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55F16">
      <w:pPr>
        <w:divId w:val="1843549438"/>
        <w:rPr>
          <w:rFonts w:eastAsia="Times New Roman"/>
          <w:vanish/>
        </w:rPr>
      </w:pPr>
      <w:r>
        <w:rPr>
          <w:rFonts w:eastAsia="Times New Roman"/>
          <w:vanish/>
        </w:rPr>
        <w:t>--12-31http://fasb.org/us-gaap/2021-01-31#OtherExpenseMember500.33http://fasb.org/us-gaap/2021-01-31#OtherExpenseMemberQ200016436150.33P6M0.33false500001643615</w:t>
      </w:r>
      <w:r>
        <w:rPr>
          <w:rFonts w:eastAsia="Times New Roman"/>
          <w:vanish/>
        </w:rPr>
        <w:t>meg:ConvertibleAndRedeemableSeriesATwoPreferredStockMember2022-03-310001643615us-gaap:LondonInterbankOfferedRateLIBORMembermeg:TwentyTwentyOneCreditFacilityMembermeg:PricingTier4Member2021-04-272021-04-270001643615meg:ConvertibleAndRedeemableSeriesATwoPref</w:t>
      </w:r>
      <w:r>
        <w:rPr>
          <w:rFonts w:eastAsia="Times New Roman"/>
          <w:vanish/>
        </w:rPr>
        <w:t>erredStockMember2020-04-132020-04-130001643615meg:TermLoanFacilityMembermeg:TwentyTwentyOneCreditFacilityMember2022-06-300001643615us-gaap:OperatingSegmentsMembermeg:RemediationAndReuseMember2021-01-012021-06-300001643615us-gaap:VehiclesMember2021-12-31000</w:t>
      </w:r>
      <w:r>
        <w:rPr>
          <w:rFonts w:eastAsia="Times New Roman"/>
          <w:vanish/>
        </w:rPr>
        <w:t>1643615meg:TwoThousandSeventeenPlanMemberus-gaap:CostOfSalesMemberus-gaap:EmployeeStockOptionMember2021-01-012021-06-300001643615us-gaap:NoncompeteAgreementsMember2021-12-310001643615meg:EnvironmentalStandardsIncMember2022-01-310001643615meg:TwoThousandSev</w:t>
      </w:r>
      <w:r>
        <w:rPr>
          <w:rFonts w:eastAsia="Times New Roman"/>
          <w:vanish/>
        </w:rPr>
        <w:t>enteenPlanMemberus-gaap:CostOfSalesMemberus-gaap:EmployeeStockOptionMember2022-04-012022-06-300001643615us-gaap:AccumulatedOtherComprehensiveIncomeMember2022-04-012022-06-300001643615us-gaap:FairValueInputsLevel3Memberus-gaap:FairValueMeasurementsRecurring</w:t>
      </w:r>
      <w:r>
        <w:rPr>
          <w:rFonts w:eastAsia="Times New Roman"/>
          <w:vanish/>
        </w:rPr>
        <w:t>Member2022-06-300001643615us-gaap:NoncompeteAgreementsMembermeg:IndustrialAutomationGroupIncMember2022-06-300001643615us-gaap:OperatingSegmentsMembermeg:AssessmentPermittingAndResponseMember2022-01-012022-06-300001643615us-gaap:NoncompeteAgreementsMemberme</w:t>
      </w:r>
      <w:r>
        <w:rPr>
          <w:rFonts w:eastAsia="Times New Roman"/>
          <w:vanish/>
        </w:rPr>
        <w:t>g:EnvironmentalStandardsIncMember2022-01-012022-06-300001643615meg:TwoThousandThirteenPlanMember2022-06-300001643615us-gaap:CommonStockMember2022-04-012022-06-300001643615meg:RemediationAndReuseSegmentMember2021-12-310001643615meg:SarStockPricePerformanceH</w:t>
      </w:r>
      <w:r>
        <w:rPr>
          <w:rFonts w:eastAsia="Times New Roman"/>
          <w:vanish/>
        </w:rPr>
        <w:t>urdleThreeMember2022-06-300001643615meg:EnvironmentalStandardsIncMember2022-06-300001643615srt:MaximumMember2020-01-012020-05-220001643615meg:TwoThousandSeventeenPlanMemberus-gaap:SellingGeneralAndAdministrativeExpensesMemberus-gaap:EmployeeStockOptionMemb</w:t>
      </w:r>
      <w:r>
        <w:rPr>
          <w:rFonts w:eastAsia="Times New Roman"/>
          <w:vanish/>
        </w:rPr>
        <w:t>er2021-04-012021-06-300001643615us-gaap:LeaseholdImprovementsMember2022-01-012022-06-300001643615meg:SensibleloTLLCMember2021-08-310001643615meg:TwoThousandSeventeenPlanMemberus-gaap:EmployeeStockOptionMember2021-04-012021-06-300001643615us-gaap:CustomerRe</w:t>
      </w:r>
      <w:r>
        <w:rPr>
          <w:rFonts w:eastAsia="Times New Roman"/>
          <w:vanish/>
        </w:rPr>
        <w:t>lationshipsMembermeg:EnvironmentalIntelligenceLLCMember2021-12-310001643615meg:OtherTwoThousandTwentyOneAcquisitionsMemberus-gaap:DevelopedTechnologyRightsMember2022-01-012022-06-300001643615meg:BusinessAcquisitionsContingentConsiderationCurrentMemberus-ga</w:t>
      </w:r>
      <w:r>
        <w:rPr>
          <w:rFonts w:eastAsia="Times New Roman"/>
          <w:vanish/>
        </w:rPr>
        <w:t>ap:FairValueInputsLevel3Memberus-gaap:FairValueMeasurementsRecurringMember2021-01-012021-06-300001643615us-gaap:ComputerSoftwareIntangibleAssetMember2022-06-300001643615srt:MinimumMemberus-gaap:ComputerSoftwareIntangibleAssetMember2022-01-012022-06-3000016</w:t>
      </w:r>
      <w:r>
        <w:rPr>
          <w:rFonts w:eastAsia="Times New Roman"/>
          <w:vanish/>
        </w:rPr>
        <w:t>43615us-gaap:AdditionalPaidInCapitalMember2021-04-012021-06-300001643615meg:ConvertibleAndRedeemableSeriesATwoPreferredStockMember2021-01-012021-06-300001643615meg:ConsolidatedProformaMember2022-01-012022-06-300001643615meg:TwoThousandSeventeenPlanMemberus</w:t>
      </w:r>
      <w:r>
        <w:rPr>
          <w:rFonts w:eastAsia="Times New Roman"/>
          <w:vanish/>
        </w:rPr>
        <w:t>-gaap:CostOfSalesMemberus-gaap:EmployeeStockOptionMember2022-01-012022-06-300001643615us-gaap:CostOfSalesMember2021-04-012021-06-300001643615us-gaap:AdditionalPaidInCapitalMember2021-06-300001643615us-gaap:CommonStockMember2020-12-310001643615meg:TwoThousa</w:t>
      </w:r>
      <w:r>
        <w:rPr>
          <w:rFonts w:eastAsia="Times New Roman"/>
          <w:vanish/>
        </w:rPr>
        <w:t>ndSeventeenPlanMemberus-gaap:EmployeeStockOptionMember2021-01-012021-06-300001643615us-gaap:NoncompeteAgreementsMembermeg:EnvironmentalStandardsIncMember2022-06-300001643615us-gaap:OperatingSegmentsMember2022-04-012022-06-300001643615meg:DepreciationAndAmo</w:t>
      </w:r>
      <w:r>
        <w:rPr>
          <w:rFonts w:eastAsia="Times New Roman"/>
          <w:vanish/>
        </w:rPr>
        <w:t>rtizationMember2022-01-012022-06-300001643615us-gaap:AirTransportationEquipmentMember2022-06-300001643615srt:MaximumMemberus-gaap:NoncompeteAgreementsMember2022-01-012022-06-300001643615us-gaap:AccumulatedOtherComprehensiveIncomeMember2021-04-012021-06-300</w:t>
      </w:r>
      <w:r>
        <w:rPr>
          <w:rFonts w:eastAsia="Times New Roman"/>
          <w:vanish/>
        </w:rPr>
        <w:t>001643615us-gaap:VehiclesMember2022-06-300001643615us-gaap:CustomerRelationshipsMembersrt:MinimumMember2022-01-012022-06-300001643615srt:MinimumMemberus-gaap:EquipmentMember2022-01-012022-06-300001643615us-gaap:FairValueInputsLevel3Memberus-gaap:FairValueM</w:t>
      </w:r>
      <w:r>
        <w:rPr>
          <w:rFonts w:eastAsia="Times New Roman"/>
          <w:vanish/>
        </w:rPr>
        <w:t>easurementsRecurringMember2020-12-310001643615meg:TwentyTwentyCreditFacilityMember2020-04-130001643615us-gaap:OperatingSegmentsMembermeg:MeasurementAndAnalysisMember2021-01-012021-06-300001643615srt:MaximumMemberus-gaap:TradeNamesMember2021-01-012021-12-31</w:t>
      </w:r>
      <w:r>
        <w:rPr>
          <w:rFonts w:eastAsia="Times New Roman"/>
          <w:vanish/>
        </w:rPr>
        <w:t>0001643615meg:TwoThousandSeventeenPlanMemberus-gaap:RestrictedStockMemberus-gaap:SellingGeneralAndAdministrativeExpensesMember2022-01-012022-06-300001643615us-gaap:VehiclesMember2022-01-012022-06-3000016436152021-03-310001643615srt:MinimumMemberus-gaap:Com</w:t>
      </w:r>
      <w:r>
        <w:rPr>
          <w:rFonts w:eastAsia="Times New Roman"/>
          <w:vanish/>
        </w:rPr>
        <w:t>puterSoftwareIntangibleAssetMember2021-01-012021-12-310001643615meg:ConversionOptionMemberus-gaap:FairValueInputsLevel3Memberus-gaap:FairValueMeasurementsRecurringMember2022-01-012022-06-300001643615srt:MaximumMembermeg:TwentyTwentyOneCreditFacilityMemberm</w:t>
      </w:r>
      <w:r>
        <w:rPr>
          <w:rFonts w:eastAsia="Times New Roman"/>
          <w:vanish/>
        </w:rPr>
        <w:t>eg:PricingTier4Member2021-04-272021-04-270001643615meg:EnvironmentalIntelligenceLLCMemberus-gaap:TradeNamesMember2021-12-310001643615meg:TwoThousandSeventeenPlanMemberus-gaap:RestrictedStockMemberus-gaap:SellingGeneralAndAdministrativeExpensesMember2021-04</w:t>
      </w:r>
      <w:r>
        <w:rPr>
          <w:rFonts w:eastAsia="Times New Roman"/>
          <w:vanish/>
        </w:rPr>
        <w:t>-012021-06-300001643615meg:ConversionOptionMemberus-gaap:FairValueInputsLevel3Memberus-gaap:FairValueMeasurementsRecurringMember2021-01-012021-06-300001643615us-gaap:LondonInterbankOfferedRateLIBORMembermeg:PricingTier3Membermeg:TwentyTwentyOneCreditFacili</w:t>
      </w:r>
      <w:r>
        <w:rPr>
          <w:rFonts w:eastAsia="Times New Roman"/>
          <w:vanish/>
        </w:rPr>
        <w:t>tyMember2021-04-272021-04-270001643615us-gaap:RetainedEarningsMember2021-06-300001643615meg:SignificantCustomerMemberus-gaap:RevenueFromContractWithCustomerMemberus-gaap:CustomerConcentrationRiskMember2021-01-012021-06-300001643615srt:MinimumMemberus-gaap:</w:t>
      </w:r>
      <w:r>
        <w:rPr>
          <w:rFonts w:eastAsia="Times New Roman"/>
          <w:vanish/>
        </w:rPr>
        <w:t>TradeNamesMember2022-01-012022-06-300001643615meg:OtherTwoThousandTwentyOneAcquisitionsMember2021-01-012021-12-310001643615meg:TwoThousandThirteenPlanMemberus-gaap:CostOfSalesMember2022-04-012022-06-300001643615meg:MSEGroupVistaEISensibleECIHorizonMember20</w:t>
      </w:r>
      <w:r>
        <w:rPr>
          <w:rFonts w:eastAsia="Times New Roman"/>
          <w:vanish/>
        </w:rPr>
        <w:t>22-01-012022-06-300001643615meg:MontroseTwoThousandSeventeenStockIncentivePlanMemberus-gaap:ShareBasedCompensationAwardTrancheTwoMembersrt:DirectorMemberus-gaap:EmployeeStockOptionMember2022-01-012022-06-300001643615srt:MinimumMembermeg:PricingTier2Memberm</w:t>
      </w:r>
      <w:r>
        <w:rPr>
          <w:rFonts w:eastAsia="Times New Roman"/>
          <w:vanish/>
        </w:rPr>
        <w:t>eg:TwentyTwentyOneCreditFacilityMember2021-04-272021-04-270001643615us-gaap:FairValueInputsLevel3Memberus-gaap:FairValueMeasurementsRecurringMember2021-06-300001643615us-gaap:PatentsMember2022-06-3000016436152023-01-012022-06-300001643615meg:MeasurementAnd</w:t>
      </w:r>
      <w:r>
        <w:rPr>
          <w:rFonts w:eastAsia="Times New Roman"/>
          <w:vanish/>
        </w:rPr>
        <w:t>AnalysisMember2022-06-300001643615meg:VistaAnalyticalLaboratoryIncMember2021-06-300001643615meg:ConvertibleAndRedeemableSeriesATwoPreferredStockMember2022-06-300001643615meg:DepreciationAndAmortizationMember2022-04-012022-06-300001643615meg:EnvironmentalSt</w:t>
      </w:r>
      <w:r>
        <w:rPr>
          <w:rFonts w:eastAsia="Times New Roman"/>
          <w:vanish/>
        </w:rPr>
        <w:t>andardsIncMember2022-01-012022-06-300001643615meg:ConsolidatedProformaMember2022-04-012022-06-300001643615us-gaap:AccumulatedOtherComprehensiveIncomeMember2021-06-300001643615meg:MontroseTwoThousandThirteenStockOptionPlanMember2022-06-300001643615us-gaap:S</w:t>
      </w:r>
      <w:r>
        <w:rPr>
          <w:rFonts w:eastAsia="Times New Roman"/>
          <w:vanish/>
        </w:rPr>
        <w:t>ellingGeneralAndAdministrativeExpensesMember2021-01-012021-06-300001643615meg:EnvironmentalIntelligenceLLCMember2021-01-012021-12-310001643615meg:DepreciationAndAmortizationMember2021-01-012021-06-300001643615us-gaap:RetainedEarningsMember2020-12-310001643</w:t>
      </w:r>
      <w:r>
        <w:rPr>
          <w:rFonts w:eastAsia="Times New Roman"/>
          <w:vanish/>
        </w:rPr>
        <w:t>615us-gaap:AccumulatedOtherComprehensiveIncomeMember2021-03-310001643615srt:MinimumMembermeg:TwentyTwentyOneCreditFacilityMembermeg:PricingTier3Member2021-04-272021-04-270001643615meg:SarStockPricePerformanceHurdleThreeMember2022-01-012022-06-300001643615m</w:t>
      </w:r>
      <w:r>
        <w:rPr>
          <w:rFonts w:eastAsia="Times New Roman"/>
          <w:vanish/>
        </w:rPr>
        <w:t>eg:TwoThousandSeventeenPlanMemberus-gaap:SellingGeneralAndAdministrativeExpensesMemberus-gaap:EmployeeStockOptionMember2022-04-012022-06-300001643615meg:ConversionOptionMemberus-gaap:FairValueInputsLevel3Memberus-gaap:FairValueMeasurementsRecurringMember20</w:t>
      </w:r>
      <w:r>
        <w:rPr>
          <w:rFonts w:eastAsia="Times New Roman"/>
          <w:vanish/>
        </w:rPr>
        <w:t>20-12-3100016436152020-04-130001643615meg:RemediationAndReuseSegmentMember2022-06-300001643615us-gaap:FairValueInputsLevel3Memberus-gaap:FairValueMeasurementsRecurringMember2021-01-012021-06-300001643615meg:TwentyTwentyCreditFacilityMember2021-04-300001643</w:t>
      </w:r>
      <w:r>
        <w:rPr>
          <w:rFonts w:eastAsia="Times New Roman"/>
          <w:vanish/>
        </w:rPr>
        <w:t>615meg:SarStockPricePerformanceHurdleOneMember2022-06-300001643615us-gaap:NoncompeteAgreementsMembermeg:OtherTwoThousandTwentyOneAcquisitionsMember2022-01-012022-06-300001643615us-gaap:LandMember2021-12-310001643615us-gaap:FairValueInputsLevel3Memberus-gaa</w:t>
      </w:r>
      <w:r>
        <w:rPr>
          <w:rFonts w:eastAsia="Times New Roman"/>
          <w:vanish/>
        </w:rPr>
        <w:t>p:InterestRateSwapMemberus-gaap:FairValueMeasurementsRecurringMember2022-06-300001643615srt:RevisionOfPriorPeriodAccountingStandardsUpdateAdjustmentMemberus-gaap:AccountingStandardsUpdate201602Member2021-04-012021-06-300001643615meg:LabAndTestEquipmentMemb</w:t>
      </w:r>
      <w:r>
        <w:rPr>
          <w:rFonts w:eastAsia="Times New Roman"/>
          <w:vanish/>
        </w:rPr>
        <w:t>er2022-01-012022-06-300001643615us-gaap:CorporateAndOtherMember2022-01-012022-06-300001643615us-gaap:FurnitureAndFixturesMember2022-01-012022-06-300001643615us-gaap:LondonInterbankOfferedRateLIBORMembermeg:PricingTier2Membermeg:TwentyTwentyOneCreditFacilit</w:t>
      </w:r>
      <w:r>
        <w:rPr>
          <w:rFonts w:eastAsia="Times New Roman"/>
          <w:vanish/>
        </w:rPr>
        <w:t>yMember2021-04-272021-04-270001643615us-gaap:CommonStockMember2022-03-310001643615meg:AssessmentPermittingAndResponseMember2022-06-300001643615us-gaap:LondonInterbankOfferedRateLIBORMembermeg:PricingTier5Membermeg:TwentyTwentyOneCreditFacilityMember2021-04</w:t>
      </w:r>
      <w:r>
        <w:rPr>
          <w:rFonts w:eastAsia="Times New Roman"/>
          <w:vanish/>
        </w:rPr>
        <w:t>-272021-04-270001643615meg:MontroseTwoThousandSeventeenStockIncentivePlanMembermeg:ShareBasedCompensationAwardTrancheFourMembersrt:DirectorMemberus-gaap:EmployeeStockOptionMember2022-01-012022-06-300001643615meg:LabAndTestEquipmentMember2021-12-31000164361</w:t>
      </w:r>
      <w:r>
        <w:rPr>
          <w:rFonts w:eastAsia="Times New Roman"/>
          <w:vanish/>
        </w:rPr>
        <w:t>5meg:TwentyTwentyOneCreditFacilityMembermeg:PricingTier2Member2021-04-272021-04-270001643615meg:BusinessAcquisitionsContingentConsiderationCurrentMemberus-gaap:FairValueInputsLevel3Memberus-gaap:FairValueMeasurementsRecurringMember2020-12-310001643615us-ga</w:t>
      </w:r>
      <w:r>
        <w:rPr>
          <w:rFonts w:eastAsia="Times New Roman"/>
          <w:vanish/>
        </w:rPr>
        <w:t>ap:OperatingSegmentsMembermeg:RemediationAndReuseMember2021-04-012021-06-300001643615us-gaap:CustomerRelationshipsMembermeg:MSEGroupLLCMembersrt:MinimumMember2022-01-012022-06-300001643615us-gaap:OfficeEquipmentMember2022-01-012022-06-300001643615us-gaap:L</w:t>
      </w:r>
      <w:r>
        <w:rPr>
          <w:rFonts w:eastAsia="Times New Roman"/>
          <w:vanish/>
        </w:rPr>
        <w:t>andMember2022-06-300001643615us-gaap:ComputerSoftwareIntangibleAssetMember2021-12-3100016436152020-12-310001643615meg:YearSixMembermeg:ConvertibleAndRedeemableSeriesATwoPreferredStockMember2022-06-300001643615meg:MontroseTwoThousandSeventeenStockIncentiveP</w:t>
      </w:r>
      <w:r>
        <w:rPr>
          <w:rFonts w:eastAsia="Times New Roman"/>
          <w:vanish/>
        </w:rPr>
        <w:t>lanMember2021-01-012021-12-310001643615us-gaap:CustomerRelationshipsMembermeg:EnvironmentalStandardsIncMember2022-01-012022-06-300001643615us-gaap:NoncompeteAgreementsMembermeg:EnvironmentalIntelligenceLLCMember2021-12-310001643615srt:MaximumMemberus-gaap:</w:t>
      </w:r>
      <w:r>
        <w:rPr>
          <w:rFonts w:eastAsia="Times New Roman"/>
          <w:vanish/>
        </w:rPr>
        <w:t>TradeNamesMember2022-01-012022-06-300001643615meg:BusinessAcquisitionsContingentConsiderationCurrentMemberus-gaap:FairValueInputsLevel3Memberus-gaap:FairValueMeasurementsRecurringMember2021-06-300001643615meg:TwoThousandSeventeenPlanMemberus-gaap:SellingGe</w:t>
      </w:r>
      <w:r>
        <w:rPr>
          <w:rFonts w:eastAsia="Times New Roman"/>
          <w:vanish/>
        </w:rPr>
        <w:t>neralAndAdministrativeExpensesMemberus-gaap:EmployeeStockOptionMember2021-01-012021-06-300001643615meg:BusinessAcquisitionsContingentConsiderationLongTermMemberus-gaap:FairValueInputsLevel3Memberus-gaap:FairValueMeasurementsRecurringMember2022-06-300001643</w:t>
      </w:r>
      <w:r>
        <w:rPr>
          <w:rFonts w:eastAsia="Times New Roman"/>
          <w:vanish/>
        </w:rPr>
        <w:t>615us-gaap:AdditionalPaidInCapitalMember2022-03-310001643615us-gaap:AccumulatedOtherComprehensiveIncomeMember2021-01-012021-03-310001643615us-gaap:AdditionalPaidInCapitalMember2021-03-310001643615srt:MaximumMembermeg:PricingTier3Membermeg:TwentyTwentyOneCr</w:t>
      </w:r>
      <w:r>
        <w:rPr>
          <w:rFonts w:eastAsia="Times New Roman"/>
          <w:vanish/>
        </w:rPr>
        <w:t>editFacilityMember2021-04-272021-04-270001643615meg:TwentyTwentyOneCreditFacilityMembermeg:PricingTier3Memberus-gaap:BaseRateMember2021-04-272021-04-270001643615meg:TriadEnvironmentalConsultantsIncMember2021-01-3100016436152020-04-132020-04-130001643615us-</w:t>
      </w:r>
      <w:r>
        <w:rPr>
          <w:rFonts w:eastAsia="Times New Roman"/>
          <w:vanish/>
        </w:rPr>
        <w:t>gaap:OperatingSegmentsMembermeg:MeasurementAndAnalysisMember2021-04-012021-06-300001643615meg:TwoThousandThirteenPlanMemberus-gaap:CostOfSalesMemberus-gaap:EmployeeStockOptionMember2021-01-012021-06-300001643615us-gaap:CorporateAndOtherMember2022-04-012022</w:t>
      </w:r>
      <w:r>
        <w:rPr>
          <w:rFonts w:eastAsia="Times New Roman"/>
          <w:vanish/>
        </w:rPr>
        <w:t>-06-300001643615meg:MeasurementAndAnalysisMember2021-12-310001643615us-gaap:OperatingSegmentsMembermeg:RemediationAndReuseMember2022-04-012022-06-300001643615meg:BusinessAcquisitionsContingentConsiderationLongTermMemberus-gaap:FairValueInputsLevel3Memberus</w:t>
      </w:r>
      <w:r>
        <w:rPr>
          <w:rFonts w:eastAsia="Times New Roman"/>
          <w:vanish/>
        </w:rPr>
        <w:t>-gaap:FairValueMeasurementsRecurringMember2022-01-012022-06-300001643615meg:EquipmentLineOfCreditMember2022-01-012022-06-300001643615us-gaap:RetainedEarningsMember2022-06-300001643615meg:OtherAcquisitionsMember2021-12-310001643615srt:MinimumMembermeg:Twent</w:t>
      </w:r>
      <w:r>
        <w:rPr>
          <w:rFonts w:eastAsia="Times New Roman"/>
          <w:vanish/>
        </w:rPr>
        <w:t>yTwentyOneCreditFacilityMembermeg:PricingTier4Member2021-04-272021-04-270001643615meg:ConvertibleAndRedeemableSeriesATwoPreferredStockMember2020-04-130001643615us-gaap:RetainedEarningsMember2021-12-310001643615meg:YearFiveMembermeg:ConvertibleAndRedeemable</w:t>
      </w:r>
      <w:r>
        <w:rPr>
          <w:rFonts w:eastAsia="Times New Roman"/>
          <w:vanish/>
        </w:rPr>
        <w:t>SeriesATwoPreferredStockMember2022-06-300001643615us-gaap:OperatingSegmentsMembermeg:RemediationAndReuseMember2022-01-012022-06-300001643615meg:TermLoanFacilityMembermeg:TwentyTwentyOneCreditFacilityMember2021-04-270001643615meg:EnvironmentalStandardsIncAn</w:t>
      </w:r>
      <w:r>
        <w:rPr>
          <w:rFonts w:eastAsia="Times New Roman"/>
          <w:vanish/>
        </w:rPr>
        <w:t>dIndustrialAutomationGroupIncMember2022-01-012022-06-3000016436152021-01-012021-03-310001643615srt:MaximumMember2022-01-012022-06-300001643615us-gaap:StockAppreciationRightsSARSMembermeg:TwoThousandSeventeenPlanMember2021-01-012021-12-310001643615meg:MSEGr</w:t>
      </w:r>
      <w:r>
        <w:rPr>
          <w:rFonts w:eastAsia="Times New Roman"/>
          <w:vanish/>
        </w:rPr>
        <w:t>oupLLCMemberus-gaap:NoncompeteAgreementsMember2022-01-012022-06-300001643615meg:TermLoanFacilityMembermeg:TwentyTwentyOneCreditFacilityMember2022-01-012022-06-300001643615meg:ConversionOptionMemberus-gaap:FairValueInputsLevel3Memberus-gaap:FairValueMeasure</w:t>
      </w:r>
      <w:r>
        <w:rPr>
          <w:rFonts w:eastAsia="Times New Roman"/>
          <w:vanish/>
        </w:rPr>
        <w:t>mentsRecurringMember2021-06-300001643615us-gaap:RetainedEarningsMember2021-01-012021-03-310001643615meg:RemediationAndReuseSegmentMember2022-01-012022-06-3000016436152022-07-012022-06-300001643615srt:MaximumMembermeg:TwentyTwentyOneCreditFacilityMembermeg:</w:t>
      </w:r>
      <w:r>
        <w:rPr>
          <w:rFonts w:eastAsia="Times New Roman"/>
          <w:vanish/>
        </w:rPr>
        <w:t>PricingTier2Member2021-04-272021-04-270001643615us-gaap:CommonStockMember2021-04-012021-06-300001643615meg:SupplementalIncentivePlansMember2021-01-012021-06-300001643615us-gaap:CommonStockMember2022-06-300001643615us-gaap:CommonStockMember2021-12-310001643</w:t>
      </w:r>
      <w:r>
        <w:rPr>
          <w:rFonts w:eastAsia="Times New Roman"/>
          <w:vanish/>
        </w:rPr>
        <w:t>615meg:TwoThousandSeventeenPlanMemberus-gaap:CostOfSalesMemberus-gaap:EmployeeStockOptionMember2021-04-012021-06-300001643615meg:TermLoanFacilityMember2022-06-3000016436152021-01-012021-06-300001643615meg:TwoThousandSeventeenPlanMemberus-gaap:SellingGenera</w:t>
      </w:r>
      <w:r>
        <w:rPr>
          <w:rFonts w:eastAsia="Times New Roman"/>
          <w:vanish/>
        </w:rPr>
        <w:t>lAndAdministrativeExpensesMemberus-gaap:EmployeeStockOptionMember2022-01-012022-06-300001643615us-gaap:SellingGeneralAndAdministrativeExpensesMember2022-01-012022-06-300001643615us-gaap:CustomerRelationshipsMembersrt:MaximumMember2021-01-012021-12-31000164</w:t>
      </w:r>
      <w:r>
        <w:rPr>
          <w:rFonts w:eastAsia="Times New Roman"/>
          <w:vanish/>
        </w:rPr>
        <w:t>3615us-gaap:AdditionalPaidInCapitalMember2022-01-012022-03-310001643615us-gaap:RevenueFromContractWithCustomerMemberus-gaap:CustomerConcentrationRiskMembermeg:CustomerTwoMember2021-04-012021-06-300001643615us-gaap:TradeNamesMembermeg:EnvironmentalStandards</w:t>
      </w:r>
      <w:r>
        <w:rPr>
          <w:rFonts w:eastAsia="Times New Roman"/>
          <w:vanish/>
        </w:rPr>
        <w:t>IncMember2022-06-300001643615meg:OtherTwoThousandTwentyOneAcquisitionsMemberus-gaap:TradeNamesMember2022-01-012022-06-300001643615srt:MinimumMemberus-gaap:NoncompeteAgreementsMember2022-01-012022-06-300001643615us-gaap:ConstructionInProgressMember2021-12-3</w:t>
      </w:r>
      <w:r>
        <w:rPr>
          <w:rFonts w:eastAsia="Times New Roman"/>
          <w:vanish/>
        </w:rPr>
        <w:t>10001643615meg:MSEGroupLLCMemberus-gaap:NoncompeteAgreementsMember2021-12-310001643615meg:TwoThousandSeventeenPlanMember2021-06-300001643615meg:ConvertibleAndRedeemableSeriesATwoPreferredStockMember2022-04-012022-06-300001643615meg:MontroseTwoThousandSeven</w:t>
      </w:r>
      <w:r>
        <w:rPr>
          <w:rFonts w:eastAsia="Times New Roman"/>
          <w:vanish/>
        </w:rPr>
        <w:t>teenStockIncentivePlanMember2021-04-012021-06-300001643615meg:MontroseTwoThousandSeventeenStockIncentivePlanMembermeg:RestrictedStockUnitsAwardsMember2022-01-012022-06-300001643615us-gaap:TechnologyBasedIntangibleAssetsMembermeg:OtherAcquisitionsMember2021</w:t>
      </w:r>
      <w:r>
        <w:rPr>
          <w:rFonts w:eastAsia="Times New Roman"/>
          <w:vanish/>
        </w:rPr>
        <w:t>-12-310001643615meg:BusinessAcquisitionsContingentConsiderationLongTermMemberus-gaap:FairValueInputsLevel3Memberus-gaap:FairValueMeasurementsRecurringMember2021-06-300001643615meg:TwoThousandSeventeenPlanMemberus-gaap:RestrictedStockMember2021-01-012021-06</w:t>
      </w:r>
      <w:r>
        <w:rPr>
          <w:rFonts w:eastAsia="Times New Roman"/>
          <w:vanish/>
        </w:rPr>
        <w:t>-300001643615us-gaap:AccumulatedOtherComprehensiveIncomeMember2022-06-300001643615srt:MinimumMembermeg:TwentyTwentyOneCreditFacilityMembermeg:PricingTier1Member2021-04-272021-04-270001643615us-gaap:LondonInterbankOfferedRateLIBORMembermeg:TwentyTwentyOneCr</w:t>
      </w:r>
      <w:r>
        <w:rPr>
          <w:rFonts w:eastAsia="Times New Roman"/>
          <w:vanish/>
        </w:rPr>
        <w:t>editFacilityMembermeg:PricingTier1Member2021-04-272021-04-270001643615us-gaap:NoncompeteAgreementsMembermeg:EnvironmentalIntelligenceLLCMember2022-01-012022-06-300001643615meg:AssessmentPermittingAndResponseMember2021-12-310001643615meg:MontroseTwoThousand</w:t>
      </w:r>
      <w:r>
        <w:rPr>
          <w:rFonts w:eastAsia="Times New Roman"/>
          <w:vanish/>
        </w:rPr>
        <w:t>ThirteenStockOptionPlanMember2021-01-012021-06-300001643615us-gaap:TechnologyBasedIntangibleAssetsMember2021-12-310001643615us-gaap:OperatingSegmentsMember2022-01-012022-06-300001643615meg:MontroseTwoThousandSeventeenStockIncentivePlanMember2021-06-3000016</w:t>
      </w:r>
      <w:r>
        <w:rPr>
          <w:rFonts w:eastAsia="Times New Roman"/>
          <w:vanish/>
        </w:rPr>
        <w:t>43615meg:TwoThousandAndTwentySixEarnOutsMembermeg:EnvironmentalStandardsIncAndIndustrialAutomationGroupIncMember2022-06-300001643615meg:TwentyTwentyOneCreditFacilityMembermeg:PricingTier3Member2021-04-272021-04-270001643615meg:SignificantCustomerMemberus-g</w:t>
      </w:r>
      <w:r>
        <w:rPr>
          <w:rFonts w:eastAsia="Times New Roman"/>
          <w:vanish/>
        </w:rPr>
        <w:t>aap:RevenueFromContractWithCustomerMemberus-gaap:CustomerConcentrationRiskMember2022-01-012022-06-300001643615meg:SensibleloTLLCMember2021-08-012021-08-310001643615meg:MontroseTwoThousandThirteenStockIncentivePlanMember2021-06-300001643615us-gaap:CustomerR</w:t>
      </w:r>
      <w:r>
        <w:rPr>
          <w:rFonts w:eastAsia="Times New Roman"/>
          <w:vanish/>
        </w:rPr>
        <w:t>elationshipsMembermeg:EnvironmentalStandardsIncMember2022-06-3000016436152021-06-300001643615us-gaap:RetainedEarningsMember2022-04-012022-06-300001643615us-gaap:ConstructionInProgressMember2022-06-300001643615meg:FloatingRateMemberus-gaap:InterestRateSwapM</w:t>
      </w:r>
      <w:r>
        <w:rPr>
          <w:rFonts w:eastAsia="Times New Roman"/>
          <w:vanish/>
        </w:rPr>
        <w:t>ember2022-01-272022-01-270001643615meg:LabAndTestEquipmentMember2022-06-300001643615us-gaap:CostOfSalesMember2021-01-012021-06-300001643615meg:TwentyTwentyOneCreditFacilityMembermeg:PricingTier1Memberus-gaap:BaseRateMember2021-04-272021-04-270001643615us-g</w:t>
      </w:r>
      <w:r>
        <w:rPr>
          <w:rFonts w:eastAsia="Times New Roman"/>
          <w:vanish/>
        </w:rPr>
        <w:t>aap:FairValueInputsLevel3Memberus-gaap:FairValueMeasurementsRecurringMember2021-12-310001643615meg:TwoThousandSeventeenPlanMemberus-gaap:RestrictedStockMember2021-04-012021-06-300001643615meg:AcquisitionProformaMember2021-01-012021-06-300001643615meg:Horiz</w:t>
      </w:r>
      <w:r>
        <w:rPr>
          <w:rFonts w:eastAsia="Times New Roman"/>
          <w:vanish/>
        </w:rPr>
        <w:t>onWaterAndEnvironmentLLCMember2021-11-012021-11-300001643615us-gaap:SellingGeneralAndAdministrativeExpensesMember2022-04-012022-06-300001643615us-gaap:OtherNonoperatingIncomeExpenseMembermeg:ConvertibleAndRedeemableSeriesATwoPreferredStockMember2022-04-012</w:t>
      </w:r>
      <w:r>
        <w:rPr>
          <w:rFonts w:eastAsia="Times New Roman"/>
          <w:vanish/>
        </w:rPr>
        <w:t>022-06-300001643615meg:ConsolidatedProformaMember2021-01-012021-06-300001643615us-gaap:EmployeeStockOptionMember2021-01-012021-06-300001643615meg:TriadEnvironmentalConsultantsIncMember2022-01-012022-06-300001643615meg:PerformanceVestedRSUsMembermeg:Montros</w:t>
      </w:r>
      <w:r>
        <w:rPr>
          <w:rFonts w:eastAsia="Times New Roman"/>
          <w:vanish/>
        </w:rPr>
        <w:t>eTwoThousandSeventeenStockIncentivePlanMember2021-01-012021-12-310001643615meg:ConversionOptionMemberus-gaap:FairValueInputsLevel3Memberus-gaap:FairValueMeasurementsRecurringMember2021-12-310001643615us-gaap:OperatingSegmentsMembermeg:AssessmentPermittingA</w:t>
      </w:r>
      <w:r>
        <w:rPr>
          <w:rFonts w:eastAsia="Times New Roman"/>
          <w:vanish/>
        </w:rPr>
        <w:t>ndResponseMember2021-01-012021-06-300001643615meg:DepreciationAndAmortizationMember2021-04-012021-06-300001643615us-gaap:CustomerRelationshipsMembersrt:MaximumMember2022-01-012022-06-300001643615meg:MontroseTwoThousandSeventeenStockIncentivePlanMember2021-</w:t>
      </w:r>
      <w:r>
        <w:rPr>
          <w:rFonts w:eastAsia="Times New Roman"/>
          <w:vanish/>
        </w:rPr>
        <w:t>01-012021-06-300001643615meg:PricingTier4Membermeg:TwentyTwentyOneCreditFacilityMember2021-04-272021-04-270001643615meg:EquipmentLineOfCreditMember2022-03-310001643615meg:TwentyTwentyOneCreditFacilityMember2022-01-012022-06-300001643615meg:MSEGroupLLCMembe</w:t>
      </w:r>
      <w:r>
        <w:rPr>
          <w:rFonts w:eastAsia="Times New Roman"/>
          <w:vanish/>
        </w:rPr>
        <w:t>r2021-01-310001643615meg:TwoThousandThirteenPlanMember2021-06-300001643615meg:TwoThousandThirteenPlanMemberus-gaap:SellingGeneralAndAdministrativeExpensesMemberus-gaap:EmployeeStockOptionMember2021-01-012021-06-300001643615meg:TwoThousandSeventeenPlanMembe</w:t>
      </w:r>
      <w:r>
        <w:rPr>
          <w:rFonts w:eastAsia="Times New Roman"/>
          <w:vanish/>
        </w:rPr>
        <w:t>rus-gaap:RestrictedStockMemberus-gaap:SellingGeneralAndAdministrativeExpensesMember2021-01-012021-06-300001643615us-gaap:EquipmentMember2022-06-300001643615us-gaap:StockAppreciationRightsSARSMembermeg:TwoThousandSeventeenPlanMember2021-12-310001643615us-ga</w:t>
      </w:r>
      <w:r>
        <w:rPr>
          <w:rFonts w:eastAsia="Times New Roman"/>
          <w:vanish/>
        </w:rPr>
        <w:t>ap:StockAppreciationRightsSARSMembermeg:TwoThousandSeventeenPlanMember2022-01-012022-06-300001643615us-gaap:RevolvingCreditFacilityMemberus-gaap:LetterOfCreditMembermeg:TwentyTwentyOneCreditFacilityMember2021-04-270001643615meg:BusinessAcquisitionsContinge</w:t>
      </w:r>
      <w:r>
        <w:rPr>
          <w:rFonts w:eastAsia="Times New Roman"/>
          <w:vanish/>
        </w:rPr>
        <w:t>ntConsiderationLongTermMemberus-gaap:FairValueInputsLevel3Memberus-gaap:FairValueMeasurementsRecurringMember2021-12-310001643615meg:TwentyTwentyOneCreditFacilityMember2022-06-300001643615us-gaap:OperatingSegmentsMembermeg:AssessmentPermittingAndResponseMem</w:t>
      </w:r>
      <w:r>
        <w:rPr>
          <w:rFonts w:eastAsia="Times New Roman"/>
          <w:vanish/>
        </w:rPr>
        <w:t>ber2021-04-012021-06-300001643615meg:CustomerOneMemberus-gaap:RevenueFromContractWithCustomerMemberus-gaap:CustomerConcentrationRiskMember2021-01-012021-06-300001643615meg:FloatingRateMemberus-gaap:InterestRateSwapMember2022-01-270001643615us-gaap:Retained</w:t>
      </w:r>
      <w:r>
        <w:rPr>
          <w:rFonts w:eastAsia="Times New Roman"/>
          <w:vanish/>
        </w:rPr>
        <w:t>EarningsMember2022-01-012022-03-310001643615meg:MontroseTwoThousandSeventeenStockIncentivePlanMemberus-gaap:RestrictedStockMember2022-04-012022-06-300001643615srt:MaximumMemberus-gaap:EquipmentMember2022-01-012022-06-300001643615us-gaap:CustomerRelationshi</w:t>
      </w:r>
      <w:r>
        <w:rPr>
          <w:rFonts w:eastAsia="Times New Roman"/>
          <w:vanish/>
        </w:rPr>
        <w:t>psMember2022-06-300001643615meg:AcquisitionProformaMember2022-01-012022-06-300001643615meg:MontroseTwoThousandThirteenStockOptionPlanMember2020-01-012020-12-310001643615meg:ConvertibleAndRedeemableSeriesATwoPreferredStockMember2021-12-310001643615meg:Montr</w:t>
      </w:r>
      <w:r>
        <w:rPr>
          <w:rFonts w:eastAsia="Times New Roman"/>
          <w:vanish/>
        </w:rPr>
        <w:t>oseTwoThousandThirteenStockIncentivePlanMember2022-01-310001643615us-gaap:CostOfSalesMember2022-01-012022-06-300001643615meg:TwoThousandSeventeenPlanMemberus-gaap:EmployeeStockOptionMember2022-04-012022-06-300001643615meg:MontroseTwoThousandSeventeenStockI</w:t>
      </w:r>
      <w:r>
        <w:rPr>
          <w:rFonts w:eastAsia="Times New Roman"/>
          <w:vanish/>
        </w:rPr>
        <w:t>ncentivePlanMember2022-06-300001643615us-gaap:StockAppreciationRightsSARSMembermeg:TwoThousandSeventeenPlanMemberus-gaap:SellingGeneralAndAdministrativeExpensesMember2022-01-012022-06-300001643615us-gaap:FurnitureAndFixturesMember2021-12-310001643615meg:Tw</w:t>
      </w:r>
      <w:r>
        <w:rPr>
          <w:rFonts w:eastAsia="Times New Roman"/>
          <w:vanish/>
        </w:rPr>
        <w:t>oThousandThirteenPlanMemberus-gaap:EmployeeStockOptionMember2021-01-012021-06-300001643615meg:TermLoanFacilityMembermeg:TwentyTwentyOneCreditFacilityMember2022-01-262022-01-260001643615meg:ConvertibleAndRedeemableSeriesATwoPreferredStockMember2021-06-30000</w:t>
      </w:r>
      <w:r>
        <w:rPr>
          <w:rFonts w:eastAsia="Times New Roman"/>
          <w:vanish/>
        </w:rPr>
        <w:t>1643615us-gaap:TradeNamesMember2021-12-310001643615meg:CustomerOneMemberus-gaap:CustomerConcentrationRiskMemberus-gaap:AccountsReceivableMember2021-01-012021-12-310001643615us-gaap:OperatingSegmentsMembermeg:AssessmentPermittingAndResponseMember2022-04-012</w:t>
      </w:r>
      <w:r>
        <w:rPr>
          <w:rFonts w:eastAsia="Times New Roman"/>
          <w:vanish/>
        </w:rPr>
        <w:t>022-06-300001643615us-gaap:CustomerRelationshipsMembermeg:EnvironmentalIntelligenceLLCMember2022-01-012022-06-300001643615us-gaap:BuildingMember2021-12-310001643615meg:IncrementalTermLoansMember2021-04-2700016436152021-12-310001643615srt:MinimumMember2022-</w:t>
      </w:r>
      <w:r>
        <w:rPr>
          <w:rFonts w:eastAsia="Times New Roman"/>
          <w:vanish/>
        </w:rPr>
        <w:t>01-012022-06-300001643615meg:PricingTier5Membermeg:TwentyTwentyOneCreditFacilityMemberus-gaap:BaseRateMember2021-04-272021-04-270001643615srt:MinimumMemberus-gaap:NoncompeteAgreementsMember2021-01-012021-12-310001643615meg:AcquisitionProformaMember2021-04-</w:t>
      </w:r>
      <w:r>
        <w:rPr>
          <w:rFonts w:eastAsia="Times New Roman"/>
          <w:vanish/>
        </w:rPr>
        <w:t>012021-06-3000016436152021-01-012021-12-310001643615meg:BusinessAcquisitionsContingentConsiderationCurrentMemberus-gaap:FairValueInputsLevel3Memberus-gaap:FairValueMeasurementsRecurringMember2022-06-300001643615srt:MaximumMemberus-gaap:NoncompeteAgreements</w:t>
      </w:r>
      <w:r>
        <w:rPr>
          <w:rFonts w:eastAsia="Times New Roman"/>
          <w:vanish/>
        </w:rPr>
        <w:t>Member2021-01-012021-12-310001643615meg:InterestExpenseNetMember2022-04-012022-06-3000016436152021-01-010001643615us-gaap:CustomerRelationshipsMembermeg:OtherTwoThousandTwentyOneAcquisitionsMember2022-01-012022-06-300001643615meg:EnvironmentalIntelligenceL</w:t>
      </w:r>
      <w:r>
        <w:rPr>
          <w:rFonts w:eastAsia="Times New Roman"/>
          <w:vanish/>
        </w:rPr>
        <w:t>LCMemberus-gaap:TradeNamesMember2022-01-012022-06-300001643615meg:MontroseTwoThousandSeventeenStockIncentivePlanMemberus-gaap:RestrictedStockMember2022-01-012022-06-300001643615meg:HorizonWaterAndEnvironmentLLCMember2021-11-300001643615meg:MontroseTwoThous</w:t>
      </w:r>
      <w:r>
        <w:rPr>
          <w:rFonts w:eastAsia="Times New Roman"/>
          <w:vanish/>
        </w:rPr>
        <w:t>andSeventeenStockIncentivePlanMember2021-12-310001643615meg:ConsolidatedProformaMember2021-04-012021-06-300001643615us-gaap:RestrictedStockMember2022-01-012022-06-300001643615us-gaap:FairValueInputsLevel3Memberus-gaap:FairValueMeasurementsRecurringMember20</w:t>
      </w:r>
      <w:r>
        <w:rPr>
          <w:rFonts w:eastAsia="Times New Roman"/>
          <w:vanish/>
        </w:rPr>
        <w:t>22-01-012022-06-300001643615meg:EnvironmentalChemistryIncMember2021-10-310001643615meg:SarStockPricePerformanceHurdleOneMember2022-01-012022-06-300001643615meg:TermLoanFacilityMembermeg:TwentyTwentyCreditFacilityMember2020-04-130001643615meg:ConvertibleAnd</w:t>
      </w:r>
      <w:r>
        <w:rPr>
          <w:rFonts w:eastAsia="Times New Roman"/>
          <w:vanish/>
        </w:rPr>
        <w:t>RedeemableSeriesATwoPreferredStockMember2021-03-310001643615meg:TwentyTwentyOneCreditFacilityMember2021-04-270001643615us-gaap:AirTransportationEquipmentMember2021-12-310001643615srt:MaximumMemberus-gaap:ComputerSoftwareIntangibleAssetMember2021-01-012021-</w:t>
      </w:r>
      <w:r>
        <w:rPr>
          <w:rFonts w:eastAsia="Times New Roman"/>
          <w:vanish/>
        </w:rPr>
        <w:t>12-310001643615us-gaap:AdditionalPaidInCapitalMember2021-12-310001643615meg:MeasurementAndAnalysisMember2022-01-012022-06-300001643615us-gaap:CustomerRelationshipsMember2021-12-3100016436152022-01-012022-06-300001643615meg:MontroseTwoThousandSeventeenStock</w:t>
      </w:r>
      <w:r>
        <w:rPr>
          <w:rFonts w:eastAsia="Times New Roman"/>
          <w:vanish/>
        </w:rPr>
        <w:t>IncentivePlanMember2022-04-012022-06-300001643615meg:MontroseTwoThousandThirteenStockOptionPlanMember2021-06-300001643615meg:StockAppreciationRightsUnitsGrantMember2022-01-310001643615meg:CustomerOneMemberus-gaap:RevenueFromContractWithCustomerMemberus-gaa</w:t>
      </w:r>
      <w:r>
        <w:rPr>
          <w:rFonts w:eastAsia="Times New Roman"/>
          <w:vanish/>
        </w:rPr>
        <w:t>p:CustomerConcentrationRiskMember2021-04-012021-06-3000016436152020-01-012020-05-220001643615meg:InterestExpenseNetMember2021-04-012021-06-300001643615srt:MaximumMemberus-gaap:ComputerSoftwareIntangibleAssetMember2022-01-012022-06-300001643615meg:Conversio</w:t>
      </w:r>
      <w:r>
        <w:rPr>
          <w:rFonts w:eastAsia="Times New Roman"/>
          <w:vanish/>
        </w:rPr>
        <w:t>nOptionMemberus-gaap:FairValueInputsLevel3Memberus-gaap:FairValueMeasurementsRecurringMember2022-06-300001643615us-gaap:RevenueFromContractWithCustomerMembermeg:CustomerThreeMemberus-gaap:CustomerConcentrationRiskMember2021-04-012021-06-300001643615meg:Con</w:t>
      </w:r>
      <w:r>
        <w:rPr>
          <w:rFonts w:eastAsia="Times New Roman"/>
          <w:vanish/>
        </w:rPr>
        <w:t>vertibleAndRedeemableSeriesATwoPreferredStockMember2022-01-012022-06-300001643615meg:TwentyTwentyCreditFacilityMember2021-04-302021-04-300001643615us-gaap:RevolvingCreditFacilityMembermeg:TwentyTwentyCreditFacilityMember2020-04-130001643615us-gaap:Retained</w:t>
      </w:r>
      <w:r>
        <w:rPr>
          <w:rFonts w:eastAsia="Times New Roman"/>
          <w:vanish/>
        </w:rPr>
        <w:t>EarningsMember2021-03-310001643615us-gaap:SellingGeneralAndAdministrativeExpensesMember2021-04-012021-06-300001643615meg:SarStockPricePerformanceHurdleTwoMember2022-01-012022-06-300001643615us-gaap:CustomerRelationshipsMembersrt:MinimumMember2021-01-012021</w:t>
      </w:r>
      <w:r>
        <w:rPr>
          <w:rFonts w:eastAsia="Times New Roman"/>
          <w:vanish/>
        </w:rPr>
        <w:t>-12-310001643615meg:TwoThousandSeventeenPlanMember2022-06-300001643615us-gaap:TradeNamesMembermeg:EnvironmentalStandardsIncMember2022-01-012022-06-300001643615srt:RevisionOfPriorPeriodAccountingStandardsUpdateAdjustmentMemberus-gaap:AccountingStandardsUpda</w:t>
      </w:r>
      <w:r>
        <w:rPr>
          <w:rFonts w:eastAsia="Times New Roman"/>
          <w:vanish/>
        </w:rPr>
        <w:t>te201602Member2021-01-012021-03-310001643615us-gaap:AirTransportationEquipmentMember2022-01-012022-06-300001643615us-gaap:FairValueInputsLevel3Memberus-gaap:InterestRateSwapMemberus-gaap:FairValueMeasurementsRecurringMember2022-01-012022-06-300001643615us-</w:t>
      </w:r>
      <w:r>
        <w:rPr>
          <w:rFonts w:eastAsia="Times New Roman"/>
          <w:vanish/>
        </w:rPr>
        <w:t>gaap:CustomerRelationshipsMembermeg:OtherAcquisitionsMember2021-12-3100016436152022-01-012022-03-310001643615us-gaap:CustomerRelationshipsMembermeg:MSEGroupLLCMembersrt:MaximumMember2022-01-012022-06-300001643615meg:IndustrialAutomationGroupIncMember2022-0</w:t>
      </w:r>
      <w:r>
        <w:rPr>
          <w:rFonts w:eastAsia="Times New Roman"/>
          <w:vanish/>
        </w:rPr>
        <w:t>1-012022-06-300001643615srt:MinimumMember2020-01-012020-05-220001643615meg:VistaAnalyticalLaboratoryIncMember2021-06-012021-06-300001643615meg:PricingTier5Membermeg:TwentyTwentyOneCreditFacilityMember2021-04-272021-04-270001643615us-gaap:OtherNonoperatingI</w:t>
      </w:r>
      <w:r>
        <w:rPr>
          <w:rFonts w:eastAsia="Times New Roman"/>
          <w:vanish/>
        </w:rPr>
        <w:t>ncomeExpenseMembermeg:ConvertibleAndRedeemableSeriesATwoPreferredStockMember2021-04-012021-06-300001643615us-gaap:CommonStockMember2021-03-310001643615meg:BusinessAcquisitionsContingentConsiderationLongTermMemberus-gaap:FairValueInputsLevel3Memberus-gaap:F</w:t>
      </w:r>
      <w:r>
        <w:rPr>
          <w:rFonts w:eastAsia="Times New Roman"/>
          <w:vanish/>
        </w:rPr>
        <w:t>airValueMeasurementsRecurringMember2021-01-012021-06-300001643615us-gaap:TradeNamesMember2022-06-300001643615us-gaap:NoncompeteAgreementsMembermeg:IndustrialAutomationGroupIncMember2022-01-012022-06-300001643615us-gaap:NoncompeteAgreementsMember2022-06-300</w:t>
      </w:r>
      <w:r>
        <w:rPr>
          <w:rFonts w:eastAsia="Times New Roman"/>
          <w:vanish/>
        </w:rPr>
        <w:t>001643615us-gaap:AccumulatedOtherComprehensiveIncomeMember2022-03-310001643615meg:TwoThousandThirteenPlanMemberus-gaap:SellingGeneralAndAdministrativeExpensesMemberus-gaap:EmployeeStockOptionMember2021-04-012021-06-300001643615us-gaap:StockAppreciationRigh</w:t>
      </w:r>
      <w:r>
        <w:rPr>
          <w:rFonts w:eastAsia="Times New Roman"/>
          <w:vanish/>
        </w:rPr>
        <w:t>tsSARSMember2022-01-310001643615meg:PricingTier2Membermeg:TwentyTwentyOneCreditFacilityMemberus-gaap:BaseRateMember2021-04-272021-04-270001643615us-gaap:OperatingSegmentsMembermeg:MeasurementAndAnalysisMember2022-01-012022-06-3000016436152022-08-0300016436</w:t>
      </w:r>
      <w:r>
        <w:rPr>
          <w:rFonts w:eastAsia="Times New Roman"/>
          <w:vanish/>
        </w:rPr>
        <w:t>15meg:MontroseTwoThousandThirteenStockIncentivePlanMember2022-06-300001643615us-gaap:OperatingSegmentsMember2021-04-012021-06-300001643615meg:MSEGroupLLCMember2021-12-310001643615meg:TwoThousandSeventeenPlanMemberus-gaap:EmployeeStockOptionMember2022-01-01</w:t>
      </w:r>
      <w:r>
        <w:rPr>
          <w:rFonts w:eastAsia="Times New Roman"/>
          <w:vanish/>
        </w:rPr>
        <w:t>2022-06-300001643615us-gaap:RevolvingCreditFacilityMembermeg:TwentyTwentyOneCreditFacilityMember2021-04-270001643615us-gaap:AccumulatedOtherComprehensiveIncomeMember2022-01-012022-03-310001643615meg:TwoThousandSeventeenPlanMemberus-gaap:RestrictedStockMemb</w:t>
      </w:r>
      <w:r>
        <w:rPr>
          <w:rFonts w:eastAsia="Times New Roman"/>
          <w:vanish/>
        </w:rPr>
        <w:t>erus-gaap:SellingGeneralAndAdministrativeExpensesMember2022-04-012022-06-300001643615meg:OtherAcquisitionsMemberus-gaap:TradeNamesMember2021-12-310001643615us-gaap:AdditionalPaidInCapitalMember2020-12-310001643615us-gaap:OperatingSegmentsMembermeg:Measurem</w:t>
      </w:r>
      <w:r>
        <w:rPr>
          <w:rFonts w:eastAsia="Times New Roman"/>
          <w:vanish/>
        </w:rPr>
        <w:t>entAndAnalysisMember2022-04-012022-06-3000016436152022-06-300001643615us-gaap:AdditionalPaidInCapitalMember2022-04-012022-06-300001643615us-gaap:FurnitureAndFixturesMember2022-06-300001643615us-gaap:RevenueFromContractWithCustomerMemberus-gaap:CustomerConc</w:t>
      </w:r>
      <w:r>
        <w:rPr>
          <w:rFonts w:eastAsia="Times New Roman"/>
          <w:vanish/>
        </w:rPr>
        <w:t>entrationRiskMembermeg:CustomerTwoMember2021-01-012021-06-300001643615meg:PricingTier4Membermeg:TwentyTwentyOneCreditFacilityMemberus-gaap:BaseRateMember2021-04-272021-04-270001643615meg:TermLoanFacilityMember2021-12-310001643615us-gaap:LeaseholdImprovemen</w:t>
      </w:r>
      <w:r>
        <w:rPr>
          <w:rFonts w:eastAsia="Times New Roman"/>
          <w:vanish/>
        </w:rPr>
        <w:t>tsMember2021-12-310001643615meg:TwentyTwentyOneCreditFacilityMember2021-04-272021-04-270001643615meg:SixtyDayPeriodPriorToSeventhAnniversaryMembermeg:ConvertibleAndRedeemableSeriesATwoPreferredStockMember2022-06-300001643615us-gaap:StockAppreciationRightsS</w:t>
      </w:r>
      <w:r>
        <w:rPr>
          <w:rFonts w:eastAsia="Times New Roman"/>
          <w:vanish/>
        </w:rPr>
        <w:t>ARSMembermeg:TwoThousandSeventeenPlanMemberus-gaap:SellingGeneralAndAdministrativeExpensesMember2022-04-012022-06-300001643615meg:MontroseTwoThousandThirteenStockOptionPlanMember2021-01-012021-12-310001643615meg:SignificantCustomerMemberus-gaap:RevenueFrom</w:t>
      </w:r>
      <w:r>
        <w:rPr>
          <w:rFonts w:eastAsia="Times New Roman"/>
          <w:vanish/>
        </w:rPr>
        <w:t>ContractWithCustomerMemberus-gaap:CustomerConcentrationRiskMember2021-04-012021-06-300001643615meg:MseGroupEiVistaAndSensibleMember2021-01-012021-06-300001643615meg:AssessmentPermittingAndResponseMember2022-01-012022-06-300001643615us-gaap:AdditionalPaidIn</w:t>
      </w:r>
      <w:r>
        <w:rPr>
          <w:rFonts w:eastAsia="Times New Roman"/>
          <w:vanish/>
        </w:rPr>
        <w:t>CapitalMember2021-01-012021-03-310001643615meg:MseGroupEiVistaAndSensibleMember2021-04-012021-06-300001643615us-gaap:StockAppreciationRightsSARSMembermeg:TwoThousandSeventeenPlanMember2022-04-012022-06-300001643615meg:CustomerOneMemberus-gaap:CustomerConce</w:t>
      </w:r>
      <w:r>
        <w:rPr>
          <w:rFonts w:eastAsia="Times New Roman"/>
          <w:vanish/>
        </w:rPr>
        <w:t>ntrationRiskMemberus-gaap:AccountsReceivableMember2022-01-012022-06-300001643615us-gaap:NoncompeteAgreementsMembermeg:OtherAcquisitionsMember2021-12-310001643615meg:TwoThousandSeventeenPlanMember2022-01-310001643615us-gaap:EmployeeStockOptionMember2022-01-</w:t>
      </w:r>
      <w:r>
        <w:rPr>
          <w:rFonts w:eastAsia="Times New Roman"/>
          <w:vanish/>
        </w:rPr>
        <w:t>012022-06-300001643615us-gaap:CustomerRelationshipsMembermeg:MSEGroupLLCMember2021-12-310001643615meg:InterestExpenseNetMember2021-01-012021-06-300001643615meg:MontroseTwoThousandSeventeenStockIncentivePlanMember2020-01-012020-12-310001643615us-gaap:Leaseh</w:t>
      </w:r>
      <w:r>
        <w:rPr>
          <w:rFonts w:eastAsia="Times New Roman"/>
          <w:vanish/>
        </w:rPr>
        <w:t>oldImprovementsMember2022-06-300001643615us-gaap:CorporateAndOtherMember2021-04-012021-06-300001643615srt:MaximumMembermeg:PricingTier5Membermeg:TwentyTwentyOneCreditFacilityMember2021-04-272021-04-270001643615meg:MontroseTwoThousandThirteenStockOptionPlan</w:t>
      </w:r>
      <w:r>
        <w:rPr>
          <w:rFonts w:eastAsia="Times New Roman"/>
          <w:vanish/>
        </w:rPr>
        <w:t>Member2022-01-012022-06-300001643615us-gaap:RetainedEarningsMember2021-04-012021-06-300001643615us-gaap:InterestRateSwapMemberus-gaap:FairValueMeasurementsRecurringMember2022-04-012022-06-300001643615meg:TwentyTwentyOneCreditFacilityMembermeg:PricingTier1M</w:t>
      </w:r>
      <w:r>
        <w:rPr>
          <w:rFonts w:eastAsia="Times New Roman"/>
          <w:vanish/>
        </w:rPr>
        <w:t>ember2021-04-272021-04-270001643615meg:BusinessAcquisitionsContingentConsiderationCurrentMemberus-gaap:FairValueInputsLevel3Memberus-gaap:FairValueMeasurementsRecurringMember2021-12-310001643615meg:MontroseTwoThousandThirteenStockOptionPlanMember2021-12-31</w:t>
      </w:r>
      <w:r>
        <w:rPr>
          <w:rFonts w:eastAsia="Times New Roman"/>
          <w:vanish/>
        </w:rPr>
        <w:t>0001643615meg:TwoThousandSeventeenPlanMemberus-gaap:RestrictedStockMember2022-01-012022-06-300001643615meg:BusinessAcquisitionsContingentConsiderationCurrentMemberus-gaap:FairValueInputsLevel3Memberus-gaap:FairValueMeasurementsRecurringMember2022-01-012022</w:t>
      </w:r>
      <w:r>
        <w:rPr>
          <w:rFonts w:eastAsia="Times New Roman"/>
          <w:vanish/>
        </w:rPr>
        <w:t>-06-300001643615us-gaap:EquipmentMember2021-12-3100016436152021-04-012021-06-300001643615meg:MontroseTwoThousandSeventeenStockIncentivePlanMembermeg:RestrictedStockUnitsAwardsMember2021-04-012021-06-300001643615us-gaap:CommonStockMember2021-06-300001643615</w:t>
      </w:r>
      <w:r>
        <w:rPr>
          <w:rFonts w:eastAsia="Times New Roman"/>
          <w:vanish/>
        </w:rPr>
        <w:t>meg:EnvironmentalIntelligenceLLCMember2021-07-012021-07-310001643615us-gaap:RetainedEarningsMember2022-03-310001643615meg:TwoThousandSeventeenPlanMemberus-gaap:RestrictedStockMember2022-04-012022-06-300001643615meg:MSEGroupLLCMemberus-gaap:TradeNamesMember</w:t>
      </w:r>
      <w:r>
        <w:rPr>
          <w:rFonts w:eastAsia="Times New Roman"/>
          <w:vanish/>
        </w:rPr>
        <w:t>2022-01-012022-06-300001643615us-gaap:InterestRateSwapMemberus-gaap:FairValueMeasurementsRecurringMember2022-01-012022-06-300001643615us-gaap:OtherNonoperatingIncomeExpenseMembermeg:ConvertibleAndRedeemableSeriesATwoPreferredStockMember2022-01-012022-06-30</w:t>
      </w:r>
      <w:r>
        <w:rPr>
          <w:rFonts w:eastAsia="Times New Roman"/>
          <w:vanish/>
        </w:rPr>
        <w:t>0001643615srt:MinimumMemberus-gaap:TradeNamesMember2021-01-012021-12-310001643615us-gaap:CommonStockMember2021-01-012021-03-310001643615us-gaap:CorporateAndOtherMember2021-01-012021-06-300001643615meg:MSEGroupLLCMemberus-gaap:TradeNamesMember2021-12-310001</w:t>
      </w:r>
      <w:r>
        <w:rPr>
          <w:rFonts w:eastAsia="Times New Roman"/>
          <w:vanish/>
        </w:rPr>
        <w:t>643615us-gaap:OperatingSegmentsMember2021-01-012021-06-300001643615us-gaap:RevenueFromContractWithCustomerMembermeg:CustomerThreeMemberus-gaap:CustomerConcentrationRiskMember2021-01-012021-06-300001643615meg:MontroseTwoThousandSeventeenStockIncentivePlanMe</w:t>
      </w:r>
      <w:r>
        <w:rPr>
          <w:rFonts w:eastAsia="Times New Roman"/>
          <w:vanish/>
        </w:rPr>
        <w:t>mberus-gaap:RestrictedStockMember2021-04-012021-06-300001643615meg:SarStockPricePerformanceHurdleTwoMember2022-06-300001643615meg:MontroseTwoThousandSeventeenStockIncentivePlanMembermeg:RestrictedStockUnitsAwardsMember2021-01-012021-06-300001643615us-gaap:</w:t>
      </w:r>
      <w:r>
        <w:rPr>
          <w:rFonts w:eastAsia="Times New Roman"/>
          <w:vanish/>
        </w:rPr>
        <w:t>AccumulatedOtherComprehensiveIncomeMember2021-12-310001643615us-gaap:AdditionalPaidInCapitalMember2022-06-300001643615us-gaap:BuildingMember2022-06-300001643615meg:MSEGroupMember2021-01-012021-12-310001643615us-gaap:PatentsMember2021-01-012021-12-310001643</w:t>
      </w:r>
      <w:r>
        <w:rPr>
          <w:rFonts w:eastAsia="Times New Roman"/>
          <w:vanish/>
        </w:rPr>
        <w:t>615meg:InterestExpenseNetMember2022-01-012022-06-300001643615meg:BusinessAcquisitionsContingentConsiderationLongTermMemberus-gaap:FairValueInputsLevel3Memberus-gaap:FairValueMeasurementsRecurringMember2020-12-310001643615us-gaap:OtherNonoperatingIncomeExpe</w:t>
      </w:r>
      <w:r>
        <w:rPr>
          <w:rFonts w:eastAsia="Times New Roman"/>
          <w:vanish/>
        </w:rPr>
        <w:t>nseMembermeg:ConvertibleAndRedeemableSeriesATwoPreferredStockMember2021-01-012021-06-300001643615meg:EnvironmentalStandardsIncAndIndustrialAutomationGroupIncMember2022-04-012022-06-300001643615meg:MSEGroupLLCMember2021-01-012021-01-310001643615meg:Montrose</w:t>
      </w:r>
      <w:r>
        <w:rPr>
          <w:rFonts w:eastAsia="Times New Roman"/>
          <w:vanish/>
        </w:rPr>
        <w:t>TwoThousandSeventeenStockIncentivePlanMember2022-01-012022-06-300001643615meg:SignificantCustomerMemberus-gaap:CustomerConcentrationRiskMemberus-gaap:AccountsReceivableMember2021-01-012021-12-310001643615us-gaap:BuildingMember2022-01-012022-06-300001643615</w:t>
      </w:r>
      <w:r>
        <w:rPr>
          <w:rFonts w:eastAsia="Times New Roman"/>
          <w:vanish/>
        </w:rPr>
        <w:t>us-gaap:StockAppreciationRightsSARSMember2022-01-012022-06-300001643615srt:RevisionOfPriorPeriodAccountingStandardsUpdateAdjustmentMemberus-gaap:AccountingStandardsUpdate201602Member2021-01-012021-01-010001643615meg:ConvertibleAndRedeemableSeriesATwoPrefer</w:t>
      </w:r>
      <w:r>
        <w:rPr>
          <w:rFonts w:eastAsia="Times New Roman"/>
          <w:vanish/>
        </w:rPr>
        <w:t>redStockMember2020-12-310001643615meg:MontroseTwoThousandSeventeenStockIncentivePlanMemberus-gaap:RestrictedStockMember2021-01-012021-06-3000016436152022-03-310001643615us-gaap:RestrictedStockMember2021-01-012021-06-300001643615meg:MontroseTwoThousandSeven</w:t>
      </w:r>
      <w:r>
        <w:rPr>
          <w:rFonts w:eastAsia="Times New Roman"/>
          <w:vanish/>
        </w:rPr>
        <w:t>teenStockIncentivePlanMembersrt:DirectorMemberus-gaap:EmployeeStockOptionMember2022-01-012022-06-300001643615us-gaap:AccumulatedOtherComprehensiveIncomeMember2020-12-310001643615us-gaap:PrivatePlacementMember2015-05-310001643615us-gaap:AccountingStandardsU</w:t>
      </w:r>
      <w:r>
        <w:rPr>
          <w:rFonts w:eastAsia="Times New Roman"/>
          <w:vanish/>
        </w:rPr>
        <w:t>pdate202006Member2022-06-300001643615meg:MontroseTwoThousandSeventeenStockIncentivePlanMemberus-gaap:RestrictedStockUnitsRSUMember2021-01-012021-12-310001643615meg:MontroseTwoThousandSeventeenStockIncentivePlanMembersrt:ExecutiveOfficerMemberus-gaap:Employ</w:t>
      </w:r>
      <w:r>
        <w:rPr>
          <w:rFonts w:eastAsia="Times New Roman"/>
          <w:vanish/>
        </w:rPr>
        <w:t>eeStockOptionMember2022-01-012022-06-300001643615meg:SupplementalIncentivePlansMember2022-01-012022-06-300001643615us-gaap:PatentsMember2021-12-310001643615meg:TwoThousandThirteenPlanMemberus-gaap:EmployeeStockOptionMember2021-04-012021-06-300001643615meg:</w:t>
      </w:r>
      <w:r>
        <w:rPr>
          <w:rFonts w:eastAsia="Times New Roman"/>
          <w:vanish/>
        </w:rPr>
        <w:t>IndustrialAutomationGroupIncMember2022-06-300001643615meg:MontroseTwoThousandSeventeenStockIncentivePlanMember2020-12-310001643615us-gaap:CommonStockMember2022-01-012022-03-310001643615meg:EnvironmentalIntelligenceLLCMember2021-12-310001643615meg:Significa</w:t>
      </w:r>
      <w:r>
        <w:rPr>
          <w:rFonts w:eastAsia="Times New Roman"/>
          <w:vanish/>
        </w:rPr>
        <w:t>ntCustomerMemberus-gaap:RevenueFromContractWithCustomerMemberus-gaap:CustomerConcentrationRiskMember2022-04-012022-06-300001643615meg:TermLoanFacilityMembermeg:TwentyTwentyOneCreditFacilityMember2022-03-012022-03-3100016436152022-04-012022-06-300001643615m</w:t>
      </w:r>
      <w:r>
        <w:rPr>
          <w:rFonts w:eastAsia="Times New Roman"/>
          <w:vanish/>
        </w:rPr>
        <w:t>eg:MontroseTwoThousandThirteenStockOptionPlanMember2020-12-310001643615meg:ConvertibleAndRedeemableSeriesATwoPreferredStockMember2021-04-012021-06-300001643615meg:EnvironmentalIntelligenceLLCMember2021-07-310001643615us-gaap:PatentsMember2022-01-012022-06-</w:t>
      </w:r>
      <w:r>
        <w:rPr>
          <w:rFonts w:eastAsia="Times New Roman"/>
          <w:vanish/>
        </w:rPr>
        <w:t>30meg:Officeiso4217:USDxbrli:sharesmeg:Employeexbrli:purexbrli:sharesmeg:Segmentmeg:Customeriso4217:USD</w: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pBdr>
          <w:top w:val="double" w:sz="6" w:space="1" w:color="auto"/>
        </w:pBdr>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F55F16">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F55F16">
      <w:pPr>
        <w:pStyle w:val="a3"/>
        <w:spacing w:before="0" w:beforeAutospacing="0" w:after="0" w:afterAutospacing="0"/>
        <w:jc w:val="center"/>
        <w:rPr>
          <w:sz w:val="20"/>
          <w:szCs w:val="20"/>
        </w:rPr>
      </w:pPr>
      <w:r>
        <w:rPr>
          <w:b/>
          <w:bCs/>
        </w:rPr>
        <w:t>WASHINGTON, DC 2054</w:t>
      </w:r>
      <w:r>
        <w:rPr>
          <w:b/>
          <w:bCs/>
        </w:rPr>
        <w:t>9</w:t>
      </w:r>
    </w:p>
    <w:p w:rsidR="00000000" w:rsidRDefault="00F55F16">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F55F16">
      <w:pPr>
        <w:pStyle w:val="a3"/>
        <w:spacing w:before="12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F55F16">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F55F16">
      <w:pPr>
        <w:pStyle w:val="a3"/>
        <w:spacing w:before="9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F55F16">
            <w:pPr>
              <w:rPr>
                <w:sz w:val="20"/>
                <w:szCs w:val="20"/>
              </w:rPr>
            </w:pPr>
          </w:p>
        </w:tc>
        <w:tc>
          <w:tcPr>
            <w:tcW w:w="4800" w:type="pct"/>
            <w:vAlign w:val="center"/>
            <w:hideMark/>
          </w:tcPr>
          <w:p w:rsidR="00000000" w:rsidRDefault="00F55F16">
            <w:pPr>
              <w:rPr>
                <w:rFonts w:eastAsia="Times New Roman"/>
                <w:sz w:val="20"/>
                <w:szCs w:val="20"/>
              </w:rPr>
            </w:pP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F55F16">
            <w:pPr>
              <w:pStyle w:val="a3"/>
              <w:spacing w:before="0" w:beforeAutospacing="0" w:after="0" w:afterAutospacing="0"/>
              <w:rPr>
                <w:sz w:val="20"/>
                <w:szCs w:val="20"/>
              </w:rPr>
            </w:pPr>
            <w:r>
              <w:rPr>
                <w:b/>
                <w:bCs/>
                <w:sz w:val="20"/>
                <w:szCs w:val="20"/>
              </w:rPr>
              <w:t>QUARTERLY REPORT PURSUANT TO SECTION 13 OR 15(d) OF THE SECURITIES EXCHANGE ACT OF 193</w:t>
            </w:r>
            <w:r>
              <w:rPr>
                <w:b/>
                <w:bCs/>
                <w:sz w:val="20"/>
                <w:szCs w:val="20"/>
              </w:rPr>
              <w:t>4</w:t>
            </w:r>
          </w:p>
        </w:tc>
      </w:tr>
    </w:tbl>
    <w:p w:rsidR="00000000" w:rsidRDefault="00F55F16">
      <w:pPr>
        <w:pStyle w:val="a3"/>
        <w:spacing w:before="12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June 30,</w:t>
      </w:r>
      <w:r>
        <w:rPr>
          <w:b/>
          <w:bCs/>
          <w:sz w:val="20"/>
          <w:szCs w:val="20"/>
        </w:rPr>
        <w:t xml:space="preserve"> </w:t>
      </w:r>
      <w:r>
        <w:rPr>
          <w:b/>
          <w:bCs/>
          <w:sz w:val="20"/>
          <w:szCs w:val="20"/>
        </w:rPr>
        <w:t>202</w:t>
      </w:r>
      <w:r>
        <w:rPr>
          <w:b/>
          <w:bCs/>
          <w:sz w:val="20"/>
          <w:szCs w:val="20"/>
        </w:rPr>
        <w:t>2</w:t>
      </w:r>
    </w:p>
    <w:p w:rsidR="00000000" w:rsidRDefault="00F55F16">
      <w:pPr>
        <w:pStyle w:val="a3"/>
        <w:spacing w:before="12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F55F16">
            <w:pPr>
              <w:rPr>
                <w:sz w:val="20"/>
                <w:szCs w:val="20"/>
              </w:rPr>
            </w:pPr>
          </w:p>
        </w:tc>
        <w:tc>
          <w:tcPr>
            <w:tcW w:w="4800" w:type="pct"/>
            <w:vAlign w:val="center"/>
            <w:hideMark/>
          </w:tcPr>
          <w:p w:rsidR="00000000" w:rsidRDefault="00F55F16">
            <w:pPr>
              <w:rPr>
                <w:rFonts w:eastAsia="Times New Roman"/>
                <w:sz w:val="20"/>
                <w:szCs w:val="20"/>
              </w:rPr>
            </w:pPr>
          </w:p>
        </w:tc>
      </w:tr>
      <w:tr w:rsidR="00000000">
        <w:trPr>
          <w:trHeight w:val="200"/>
          <w:tblCellSpacing w:w="15" w:type="dxa"/>
        </w:trPr>
        <w:tc>
          <w:tcPr>
            <w:tcW w:w="0" w:type="auto"/>
            <w:hideMark/>
          </w:tcPr>
          <w:p w:rsidR="00000000" w:rsidRDefault="00F55F16">
            <w:pPr>
              <w:pStyle w:val="a3"/>
              <w:spacing w:before="120" w:beforeAutospacing="0" w:after="0" w:afterAutospacing="0"/>
              <w:rPr>
                <w:sz w:val="20"/>
                <w:szCs w:val="20"/>
              </w:rPr>
            </w:pPr>
            <w:r>
              <w:rPr>
                <w:rFonts w:ascii="Segoe UI Symbol" w:hAnsi="Segoe UI Symbol" w:cs="Segoe UI Symbol"/>
                <w:b/>
                <w:bCs/>
                <w:sz w:val="20"/>
                <w:szCs w:val="20"/>
              </w:rPr>
              <w:t>☐</w:t>
            </w:r>
          </w:p>
        </w:tc>
        <w:tc>
          <w:tcPr>
            <w:tcW w:w="0" w:type="auto"/>
            <w:vAlign w:val="bottom"/>
            <w:hideMark/>
          </w:tcPr>
          <w:p w:rsidR="00000000" w:rsidRDefault="00F55F16">
            <w:pPr>
              <w:pStyle w:val="a3"/>
              <w:spacing w:before="12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F55F16">
      <w:pPr>
        <w:pStyle w:val="a3"/>
        <w:spacing w:before="120" w:beforeAutospacing="0" w:after="0" w:afterAutospacing="0"/>
        <w:jc w:val="center"/>
        <w:rPr>
          <w:sz w:val="20"/>
          <w:szCs w:val="20"/>
        </w:rPr>
      </w:pPr>
      <w:r>
        <w:rPr>
          <w:b/>
          <w:bCs/>
          <w:sz w:val="20"/>
          <w:szCs w:val="20"/>
        </w:rPr>
        <w:t>For the transition perio</w:t>
      </w:r>
      <w:r>
        <w:rPr>
          <w:b/>
          <w:bCs/>
          <w:sz w:val="20"/>
          <w:szCs w:val="20"/>
        </w:rPr>
        <w:t>d from t</w:t>
      </w:r>
      <w:r>
        <w:rPr>
          <w:b/>
          <w:bCs/>
          <w:sz w:val="20"/>
          <w:szCs w:val="20"/>
        </w:rPr>
        <w:t>o</w:t>
      </w:r>
      <w:r>
        <w:rPr>
          <w:b/>
          <w:bCs/>
          <w:sz w:val="20"/>
          <w:szCs w:val="20"/>
        </w:rPr>
        <w:t xml:space="preserve"> </w:t>
      </w:r>
    </w:p>
    <w:p w:rsidR="00000000" w:rsidRDefault="00F55F16">
      <w:pPr>
        <w:pStyle w:val="a3"/>
        <w:spacing w:before="12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001-3939</w:t>
      </w:r>
      <w:r>
        <w:rPr>
          <w:b/>
          <w:bCs/>
          <w:sz w:val="20"/>
          <w:szCs w:val="20"/>
        </w:rPr>
        <w:t>4</w:t>
      </w:r>
    </w:p>
    <w:p w:rsidR="00000000" w:rsidRDefault="00F55F16">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48"/>
          <w:szCs w:val="48"/>
        </w:rPr>
        <w:t>Montrose Environmental Group, Inc</w:t>
      </w:r>
      <w:r>
        <w:rPr>
          <w:b/>
          <w:bCs/>
          <w:sz w:val="48"/>
          <w:szCs w:val="48"/>
        </w:rPr>
        <w:t>.</w:t>
      </w:r>
    </w:p>
    <w:p w:rsidR="00000000" w:rsidRDefault="00F55F16">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F55F16">
      <w:pPr>
        <w:pStyle w:val="a3"/>
        <w:pBdr>
          <w:bottom w:val="single" w:sz="4" w:space="1" w:color="auto"/>
        </w:pBdr>
        <w:spacing w:before="60" w:beforeAutospacing="0" w:after="0" w:afterAutospacing="0"/>
        <w:ind w:left="4762" w:right="4762"/>
        <w:jc w:val="center"/>
        <w:rPr>
          <w:sz w:val="20"/>
          <w:szCs w:val="20"/>
        </w:rPr>
      </w:pPr>
      <w:r>
        <w:rPr>
          <w:sz w:val="20"/>
          <w:szCs w:val="20"/>
        </w:rPr>
        <w:t> </w: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F55F16">
            <w:pPr>
              <w:rPr>
                <w:sz w:val="20"/>
                <w:szCs w:val="20"/>
              </w:rPr>
            </w:pPr>
          </w:p>
        </w:tc>
        <w:tc>
          <w:tcPr>
            <w:tcW w:w="2500" w:type="pct"/>
            <w:vAlign w:val="center"/>
            <w:hideMark/>
          </w:tcPr>
          <w:p w:rsidR="00000000" w:rsidRDefault="00F55F16">
            <w:pPr>
              <w:rPr>
                <w:rFonts w:eastAsia="Times New Roman"/>
                <w:sz w:val="20"/>
                <w:szCs w:val="20"/>
              </w:rPr>
            </w:pPr>
          </w:p>
        </w:tc>
      </w:tr>
      <w:tr w:rsidR="00000000">
        <w:trPr>
          <w:trHeight w:val="200"/>
          <w:tblCellSpacing w:w="15" w:type="dxa"/>
        </w:trPr>
        <w:tc>
          <w:tcPr>
            <w:tcW w:w="0" w:type="auto"/>
            <w:vAlign w:val="bottom"/>
            <w:hideMark/>
          </w:tcPr>
          <w:p w:rsidR="00000000" w:rsidRDefault="00F55F16">
            <w:pPr>
              <w:pStyle w:val="a3"/>
              <w:spacing w:before="0" w:beforeAutospacing="0" w:after="0" w:afterAutospacing="0"/>
              <w:jc w:val="center"/>
              <w:rPr>
                <w:sz w:val="20"/>
                <w:szCs w:val="20"/>
              </w:rPr>
            </w:pPr>
            <w:r>
              <w:rPr>
                <w:b/>
                <w:bCs/>
                <w:sz w:val="20"/>
                <w:szCs w:val="20"/>
              </w:rPr>
              <w:t>Delawar</w:t>
            </w:r>
            <w:r>
              <w:rPr>
                <w:b/>
                <w:bCs/>
                <w:sz w:val="20"/>
                <w:szCs w:val="20"/>
              </w:rPr>
              <w:t>e</w:t>
            </w:r>
          </w:p>
        </w:tc>
        <w:tc>
          <w:tcPr>
            <w:tcW w:w="0" w:type="auto"/>
            <w:vAlign w:val="bottom"/>
            <w:hideMark/>
          </w:tcPr>
          <w:p w:rsidR="00000000" w:rsidRDefault="00F55F16">
            <w:pPr>
              <w:pStyle w:val="a3"/>
              <w:spacing w:before="0" w:beforeAutospacing="0" w:after="0" w:afterAutospacing="0"/>
              <w:jc w:val="center"/>
              <w:rPr>
                <w:sz w:val="20"/>
                <w:szCs w:val="20"/>
              </w:rPr>
            </w:pPr>
            <w:r>
              <w:rPr>
                <w:b/>
                <w:bCs/>
                <w:sz w:val="20"/>
                <w:szCs w:val="20"/>
              </w:rPr>
              <w:t>46-419504</w:t>
            </w:r>
            <w:r>
              <w:rPr>
                <w:b/>
                <w:bCs/>
                <w:sz w:val="20"/>
                <w:szCs w:val="20"/>
              </w:rPr>
              <w:t>4</w:t>
            </w:r>
          </w:p>
        </w:tc>
      </w:tr>
      <w:tr w:rsidR="00000000">
        <w:trPr>
          <w:trHeight w:val="140"/>
          <w:tblCellSpacing w:w="15" w:type="dxa"/>
        </w:trPr>
        <w:tc>
          <w:tcPr>
            <w:tcW w:w="0" w:type="auto"/>
            <w:vAlign w:val="bottom"/>
            <w:hideMark/>
          </w:tcPr>
          <w:p w:rsidR="00000000" w:rsidRDefault="00F55F16">
            <w:pPr>
              <w:pStyle w:val="a3"/>
              <w:spacing w:before="0" w:beforeAutospacing="0" w:after="0" w:afterAutospacing="0"/>
              <w:jc w:val="center"/>
              <w:rPr>
                <w:sz w:val="14"/>
                <w:szCs w:val="14"/>
              </w:rPr>
            </w:pPr>
            <w:r>
              <w:rPr>
                <w:b/>
                <w:bCs/>
                <w:sz w:val="14"/>
                <w:szCs w:val="14"/>
              </w:rPr>
              <w:t>( State or other jurisdiction o</w:t>
            </w:r>
            <w:r>
              <w:rPr>
                <w:b/>
                <w:bCs/>
                <w:sz w:val="14"/>
                <w:szCs w:val="14"/>
              </w:rPr>
              <w:t>f</w:t>
            </w:r>
          </w:p>
          <w:p w:rsidR="00000000" w:rsidRDefault="00F55F16">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vAlign w:val="bottom"/>
            <w:hideMark/>
          </w:tcPr>
          <w:p w:rsidR="00000000" w:rsidRDefault="00F55F16">
            <w:pPr>
              <w:pStyle w:val="a3"/>
              <w:spacing w:before="0" w:beforeAutospacing="0" w:after="0" w:afterAutospacing="0"/>
              <w:jc w:val="center"/>
              <w:rPr>
                <w:sz w:val="14"/>
                <w:szCs w:val="14"/>
              </w:rPr>
            </w:pPr>
            <w:r>
              <w:rPr>
                <w:b/>
                <w:bCs/>
                <w:sz w:val="14"/>
                <w:szCs w:val="14"/>
              </w:rPr>
              <w:t>(I.R.S. Employer</w:t>
            </w:r>
            <w:r>
              <w:rPr>
                <w:b/>
                <w:bCs/>
                <w:sz w:val="14"/>
                <w:szCs w:val="14"/>
              </w:rPr>
              <w:br/>
              <w:t>Identification No.</w:t>
            </w:r>
            <w:r>
              <w:rPr>
                <w:b/>
                <w:bCs/>
                <w:sz w:val="14"/>
                <w:szCs w:val="14"/>
              </w:rPr>
              <w:t>)</w:t>
            </w:r>
          </w:p>
        </w:tc>
      </w:tr>
      <w:tr w:rsidR="00000000">
        <w:trPr>
          <w:trHeight w:val="200"/>
          <w:tblCellSpacing w:w="15" w:type="dxa"/>
        </w:trPr>
        <w:tc>
          <w:tcPr>
            <w:tcW w:w="0" w:type="auto"/>
            <w:vAlign w:val="bottom"/>
            <w:hideMark/>
          </w:tcPr>
          <w:p w:rsidR="00000000" w:rsidRDefault="00F55F16">
            <w:pPr>
              <w:pStyle w:val="a3"/>
              <w:spacing w:before="0" w:beforeAutospacing="0" w:after="15" w:afterAutospacing="0"/>
              <w:jc w:val="center"/>
              <w:rPr>
                <w:sz w:val="20"/>
                <w:szCs w:val="20"/>
              </w:rPr>
            </w:pPr>
            <w:r>
              <w:rPr>
                <w:b/>
                <w:bCs/>
                <w:sz w:val="20"/>
                <w:szCs w:val="20"/>
              </w:rPr>
              <w:t>5120 Northshore Driv</w:t>
            </w:r>
            <w:r>
              <w:rPr>
                <w:b/>
                <w:bCs/>
                <w:sz w:val="20"/>
                <w:szCs w:val="20"/>
              </w:rPr>
              <w:t>e</w:t>
            </w:r>
            <w:r>
              <w:rPr>
                <w:b/>
                <w:bCs/>
                <w:sz w:val="20"/>
                <w:szCs w:val="20"/>
              </w:rPr>
              <w:t>,</w:t>
            </w:r>
            <w:r>
              <w:rPr>
                <w:b/>
                <w:bCs/>
                <w:sz w:val="20"/>
                <w:szCs w:val="20"/>
              </w:rPr>
              <w:t xml:space="preserve"> </w:t>
            </w:r>
          </w:p>
          <w:p w:rsidR="00000000" w:rsidRDefault="00F55F16">
            <w:pPr>
              <w:pStyle w:val="a3"/>
              <w:spacing w:before="0" w:beforeAutospacing="0" w:after="15" w:afterAutospacing="0"/>
              <w:jc w:val="center"/>
              <w:rPr>
                <w:sz w:val="20"/>
                <w:szCs w:val="20"/>
              </w:rPr>
            </w:pPr>
            <w:r>
              <w:rPr>
                <w:b/>
                <w:bCs/>
                <w:sz w:val="20"/>
                <w:szCs w:val="20"/>
              </w:rPr>
              <w:t>North Little Roc</w:t>
            </w:r>
            <w:r>
              <w:rPr>
                <w:b/>
                <w:bCs/>
                <w:sz w:val="20"/>
                <w:szCs w:val="20"/>
              </w:rPr>
              <w:t>k</w:t>
            </w:r>
            <w:r>
              <w:rPr>
                <w:b/>
                <w:bCs/>
                <w:sz w:val="20"/>
                <w:szCs w:val="20"/>
              </w:rPr>
              <w:t>,</w:t>
            </w:r>
            <w:r>
              <w:rPr>
                <w:b/>
                <w:bCs/>
                <w:sz w:val="20"/>
                <w:szCs w:val="20"/>
              </w:rPr>
              <w:t xml:space="preserve"> </w:t>
            </w:r>
            <w:r>
              <w:rPr>
                <w:b/>
                <w:bCs/>
                <w:sz w:val="20"/>
                <w:szCs w:val="20"/>
              </w:rPr>
              <w:t>Arkansa</w:t>
            </w:r>
            <w:r>
              <w:rPr>
                <w:b/>
                <w:bCs/>
                <w:sz w:val="20"/>
                <w:szCs w:val="20"/>
              </w:rPr>
              <w:t>s</w:t>
            </w:r>
          </w:p>
        </w:tc>
        <w:tc>
          <w:tcPr>
            <w:tcW w:w="0" w:type="auto"/>
            <w:vAlign w:val="bottom"/>
            <w:hideMark/>
          </w:tcPr>
          <w:p w:rsidR="00000000" w:rsidRDefault="00F55F16">
            <w:pPr>
              <w:pStyle w:val="a3"/>
              <w:spacing w:before="0" w:beforeAutospacing="0" w:after="0" w:afterAutospacing="0"/>
              <w:jc w:val="center"/>
              <w:rPr>
                <w:sz w:val="20"/>
                <w:szCs w:val="20"/>
              </w:rPr>
            </w:pPr>
            <w:r>
              <w:rPr>
                <w:b/>
                <w:bCs/>
                <w:sz w:val="20"/>
                <w:szCs w:val="20"/>
              </w:rPr>
              <w:t>7211</w:t>
            </w:r>
            <w:r>
              <w:rPr>
                <w:b/>
                <w:bCs/>
                <w:sz w:val="20"/>
                <w:szCs w:val="20"/>
              </w:rPr>
              <w:t>8</w:t>
            </w:r>
          </w:p>
        </w:tc>
      </w:tr>
      <w:tr w:rsidR="00000000">
        <w:trPr>
          <w:trHeight w:val="140"/>
          <w:tblCellSpacing w:w="15" w:type="dxa"/>
        </w:trPr>
        <w:tc>
          <w:tcPr>
            <w:tcW w:w="0" w:type="auto"/>
            <w:vAlign w:val="bottom"/>
            <w:hideMark/>
          </w:tcPr>
          <w:p w:rsidR="00000000" w:rsidRDefault="00F55F16">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vAlign w:val="bottom"/>
            <w:hideMark/>
          </w:tcPr>
          <w:p w:rsidR="00000000" w:rsidRDefault="00F55F16">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F55F16">
      <w:pPr>
        <w:pStyle w:val="a3"/>
        <w:spacing w:before="0" w:beforeAutospacing="0" w:after="0" w:afterAutospacing="0"/>
        <w:jc w:val="center"/>
        <w:rPr>
          <w:sz w:val="20"/>
          <w:szCs w:val="20"/>
        </w:rPr>
      </w:pPr>
      <w:r>
        <w:rPr>
          <w:b/>
          <w:bCs/>
          <w:sz w:val="20"/>
          <w:szCs w:val="20"/>
        </w:rPr>
        <w:t>Registrant’</w:t>
      </w:r>
      <w:r>
        <w:rPr>
          <w:b/>
          <w:bCs/>
          <w:sz w:val="20"/>
          <w:szCs w:val="20"/>
        </w:rPr>
        <w:t xml:space="preserve">s telephone number, including area code: </w:t>
      </w:r>
      <w:r>
        <w:rPr>
          <w:b/>
          <w:bCs/>
          <w:sz w:val="20"/>
          <w:szCs w:val="20"/>
        </w:rPr>
        <w:t>(</w:t>
      </w:r>
      <w:r>
        <w:rPr>
          <w:b/>
          <w:bCs/>
          <w:sz w:val="20"/>
          <w:szCs w:val="20"/>
        </w:rPr>
        <w:t>50</w:t>
      </w:r>
      <w:r>
        <w:rPr>
          <w:b/>
          <w:bCs/>
          <w:sz w:val="20"/>
          <w:szCs w:val="20"/>
        </w:rPr>
        <w:t>1</w:t>
      </w:r>
      <w:r>
        <w:rPr>
          <w:b/>
          <w:bCs/>
          <w:sz w:val="20"/>
          <w:szCs w:val="20"/>
        </w:rPr>
        <w:t>)</w:t>
      </w:r>
      <w:r>
        <w:rPr>
          <w:b/>
          <w:bCs/>
          <w:sz w:val="20"/>
          <w:szCs w:val="20"/>
        </w:rPr>
        <w:t xml:space="preserve"> </w:t>
      </w:r>
      <w:r>
        <w:rPr>
          <w:b/>
          <w:bCs/>
          <w:sz w:val="20"/>
          <w:szCs w:val="20"/>
        </w:rPr>
        <w:t>900-640</w:t>
      </w:r>
      <w:r>
        <w:rPr>
          <w:b/>
          <w:bCs/>
          <w:sz w:val="20"/>
          <w:szCs w:val="20"/>
        </w:rPr>
        <w:t>0</w:t>
      </w:r>
    </w:p>
    <w:p w:rsidR="00000000" w:rsidRDefault="00F55F16">
      <w:pPr>
        <w:pStyle w:val="a3"/>
        <w:pBdr>
          <w:bottom w:val="single" w:sz="4" w:space="1" w:color="auto"/>
        </w:pBdr>
        <w:spacing w:before="60" w:beforeAutospacing="0" w:after="0" w:afterAutospacing="0"/>
        <w:ind w:left="4762" w:right="4762"/>
        <w:jc w:val="center"/>
        <w:rPr>
          <w:sz w:val="20"/>
          <w:szCs w:val="20"/>
        </w:rPr>
      </w:pPr>
      <w:r>
        <w:rPr>
          <w:sz w:val="20"/>
          <w:szCs w:val="20"/>
        </w:rPr>
        <w:t> </w:t>
      </w:r>
    </w:p>
    <w:p w:rsidR="00000000" w:rsidRDefault="00F55F16">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2"/>
        <w:gridCol w:w="112"/>
        <w:gridCol w:w="1249"/>
        <w:gridCol w:w="111"/>
        <w:gridCol w:w="3702"/>
      </w:tblGrid>
      <w:tr w:rsidR="00000000">
        <w:trPr>
          <w:tblCellSpacing w:w="15" w:type="dxa"/>
        </w:trPr>
        <w:tc>
          <w:tcPr>
            <w:tcW w:w="1899" w:type="pct"/>
            <w:vAlign w:val="center"/>
            <w:hideMark/>
          </w:tcPr>
          <w:p w:rsidR="00000000" w:rsidRDefault="00F55F16">
            <w:pPr>
              <w:rPr>
                <w:sz w:val="20"/>
                <w:szCs w:val="20"/>
              </w:rPr>
            </w:pPr>
          </w:p>
        </w:tc>
        <w:tc>
          <w:tcPr>
            <w:tcW w:w="50" w:type="pct"/>
            <w:vAlign w:val="center"/>
            <w:hideMark/>
          </w:tcPr>
          <w:p w:rsidR="00000000" w:rsidRDefault="00F55F16">
            <w:pPr>
              <w:rPr>
                <w:rFonts w:eastAsia="Times New Roman"/>
                <w:sz w:val="20"/>
                <w:szCs w:val="20"/>
              </w:rPr>
            </w:pPr>
          </w:p>
        </w:tc>
        <w:tc>
          <w:tcPr>
            <w:tcW w:w="7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250" w:type="pct"/>
            <w:vAlign w:val="center"/>
            <w:hideMark/>
          </w:tcPr>
          <w:p w:rsidR="00000000" w:rsidRDefault="00F55F16">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F55F16">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F55F16">
            <w:pPr>
              <w:pStyle w:val="a3"/>
              <w:spacing w:before="0" w:beforeAutospacing="0" w:after="0" w:afterAutospacing="0"/>
              <w:jc w:val="center"/>
              <w:rPr>
                <w:sz w:val="16"/>
                <w:szCs w:val="16"/>
              </w:rPr>
            </w:pPr>
            <w:r>
              <w:rPr>
                <w:b/>
                <w:bCs/>
                <w:sz w:val="16"/>
                <w:szCs w:val="16"/>
              </w:rPr>
              <w:t>Tradin</w:t>
            </w:r>
            <w:r>
              <w:rPr>
                <w:b/>
                <w:bCs/>
                <w:sz w:val="16"/>
                <w:szCs w:val="16"/>
              </w:rPr>
              <w:t>g</w:t>
            </w:r>
          </w:p>
          <w:p w:rsidR="00000000" w:rsidRDefault="00F55F16">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F55F16">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trPr>
          <w:trHeight w:val="259"/>
          <w:tblCellSpacing w:w="15" w:type="dxa"/>
        </w:trPr>
        <w:tc>
          <w:tcPr>
            <w:tcW w:w="0" w:type="auto"/>
            <w:hideMark/>
          </w:tcPr>
          <w:p w:rsidR="00000000" w:rsidRDefault="00F55F16">
            <w:pPr>
              <w:pStyle w:val="a3"/>
              <w:spacing w:before="0" w:beforeAutospacing="0" w:after="0" w:afterAutospacing="0"/>
              <w:jc w:val="center"/>
              <w:rPr>
                <w:sz w:val="20"/>
                <w:szCs w:val="20"/>
              </w:rPr>
            </w:pPr>
            <w:r>
              <w:rPr>
                <w:sz w:val="18"/>
                <w:szCs w:val="18"/>
              </w:rPr>
              <w:t>Common Stock, par value $0.000004 per shar</w:t>
            </w:r>
            <w:r>
              <w:rPr>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ME</w:t>
            </w:r>
            <w:r>
              <w:rPr>
                <w:sz w:val="18"/>
                <w:szCs w:val="18"/>
              </w:rPr>
              <w:t>G</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The New York Stock Exchang</w:t>
            </w:r>
            <w:r>
              <w:rPr>
                <w:sz w:val="18"/>
                <w:szCs w:val="18"/>
              </w:rPr>
              <w:t>e</w:t>
            </w:r>
          </w:p>
        </w:tc>
      </w:tr>
    </w:tbl>
    <w:p w:rsidR="00000000" w:rsidRDefault="00F55F16">
      <w:pPr>
        <w:pStyle w:val="a3"/>
        <w:spacing w:before="12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w:t>
      </w:r>
      <w:r>
        <w:rPr>
          <w:sz w:val="18"/>
          <w:szCs w:val="18"/>
        </w:rPr>
        <w:t xml:space="preserve"> 12 months (or for such shorter period that the registrant was required to file such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F55F16">
      <w:pPr>
        <w:pStyle w:val="a3"/>
        <w:spacing w:before="80" w:beforeAutospacing="0" w:after="0" w:afterAutospacing="0"/>
        <w:ind w:firstLine="555"/>
        <w:rPr>
          <w:sz w:val="20"/>
          <w:szCs w:val="20"/>
        </w:rPr>
      </w:pPr>
      <w:r>
        <w:rPr>
          <w:sz w:val="18"/>
          <w:szCs w:val="18"/>
        </w:rPr>
        <w:t xml:space="preserve">Indicate by check mark whether the registrant has submitted electronically </w:t>
      </w:r>
      <w:r>
        <w:rPr>
          <w:sz w:val="18"/>
          <w:szCs w:val="18"/>
        </w:rPr>
        <w:t>every Interactive Data File required to be submitted pursuant to Rule 405 of Regulation S-T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F55F16">
      <w:pPr>
        <w:pStyle w:val="a3"/>
        <w:spacing w:before="80" w:beforeAutospacing="0" w:after="0" w:afterAutospacing="0"/>
        <w:ind w:firstLine="555"/>
        <w:rPr>
          <w:sz w:val="20"/>
          <w:szCs w:val="20"/>
        </w:rPr>
      </w:pPr>
      <w:r>
        <w:rPr>
          <w:sz w:val="18"/>
          <w:szCs w:val="18"/>
        </w:rPr>
        <w:t>Indicate by check mark whether the registrant is a large accelerated filer, an accelerated filer, a non-accelerated filer, smaller reporting company, or an emerging growth company. See the definitions of “large accelerated filer,” “accelerated filer,” “sma</w:t>
      </w:r>
      <w:r>
        <w:rPr>
          <w:sz w:val="18"/>
          <w:szCs w:val="18"/>
        </w:rPr>
        <w:t>ller reporting company,” and “emerging growth company” in Rule 12b-2 of the Exchange Act</w:t>
      </w:r>
      <w:r>
        <w:rPr>
          <w:sz w:val="18"/>
          <w:szCs w:val="18"/>
        </w:rPr>
        <w:t>.</w:t>
      </w:r>
    </w:p>
    <w:p w:rsidR="00000000" w:rsidRDefault="00F55F16">
      <w:pPr>
        <w:pStyle w:val="a3"/>
        <w:spacing w:before="0" w:beforeAutospacing="0" w:after="0" w:afterAutospacing="0"/>
        <w:rPr>
          <w:sz w:val="20"/>
          <w:szCs w:val="20"/>
        </w:rPr>
      </w:pPr>
      <w:r>
        <w:rPr>
          <w:sz w:val="20"/>
          <w:szCs w:val="20"/>
        </w:rPr>
        <w:lastRenderedPageBreak/>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0"/>
        <w:gridCol w:w="106"/>
        <w:gridCol w:w="4491"/>
        <w:gridCol w:w="111"/>
        <w:gridCol w:w="1672"/>
        <w:gridCol w:w="106"/>
        <w:gridCol w:w="230"/>
      </w:tblGrid>
      <w:tr w:rsidR="00000000">
        <w:trPr>
          <w:tblCellSpacing w:w="15" w:type="dxa"/>
        </w:trPr>
        <w:tc>
          <w:tcPr>
            <w:tcW w:w="959" w:type="pct"/>
            <w:vAlign w:val="center"/>
            <w:hideMark/>
          </w:tcPr>
          <w:p w:rsidR="00000000" w:rsidRDefault="00F55F16">
            <w:pPr>
              <w:rPr>
                <w:sz w:val="20"/>
                <w:szCs w:val="20"/>
              </w:rPr>
            </w:pPr>
          </w:p>
        </w:tc>
        <w:tc>
          <w:tcPr>
            <w:tcW w:w="49" w:type="pct"/>
            <w:vAlign w:val="center"/>
            <w:hideMark/>
          </w:tcPr>
          <w:p w:rsidR="00000000" w:rsidRDefault="00F55F16">
            <w:pPr>
              <w:rPr>
                <w:rFonts w:eastAsia="Times New Roman"/>
                <w:sz w:val="20"/>
                <w:szCs w:val="20"/>
              </w:rPr>
            </w:pPr>
          </w:p>
        </w:tc>
        <w:tc>
          <w:tcPr>
            <w:tcW w:w="2765" w:type="pct"/>
            <w:vAlign w:val="center"/>
            <w:hideMark/>
          </w:tcPr>
          <w:p w:rsidR="00000000" w:rsidRDefault="00F55F16">
            <w:pPr>
              <w:rPr>
                <w:rFonts w:eastAsia="Times New Roman"/>
                <w:sz w:val="20"/>
                <w:szCs w:val="20"/>
              </w:rPr>
            </w:pPr>
          </w:p>
        </w:tc>
        <w:tc>
          <w:tcPr>
            <w:tcW w:w="52" w:type="pct"/>
            <w:vAlign w:val="center"/>
            <w:hideMark/>
          </w:tcPr>
          <w:p w:rsidR="00000000" w:rsidRDefault="00F55F16">
            <w:pPr>
              <w:rPr>
                <w:rFonts w:eastAsia="Times New Roman"/>
                <w:sz w:val="20"/>
                <w:szCs w:val="20"/>
              </w:rPr>
            </w:pPr>
          </w:p>
        </w:tc>
        <w:tc>
          <w:tcPr>
            <w:tcW w:w="1019" w:type="pct"/>
            <w:vAlign w:val="center"/>
            <w:hideMark/>
          </w:tcPr>
          <w:p w:rsidR="00000000" w:rsidRDefault="00F55F16">
            <w:pPr>
              <w:rPr>
                <w:rFonts w:eastAsia="Times New Roman"/>
                <w:sz w:val="20"/>
                <w:szCs w:val="20"/>
              </w:rPr>
            </w:pPr>
          </w:p>
        </w:tc>
        <w:tc>
          <w:tcPr>
            <w:tcW w:w="49" w:type="pct"/>
            <w:vAlign w:val="center"/>
            <w:hideMark/>
          </w:tcPr>
          <w:p w:rsidR="00000000" w:rsidRDefault="00F55F16">
            <w:pPr>
              <w:rPr>
                <w:rFonts w:eastAsia="Times New Roman"/>
                <w:sz w:val="20"/>
                <w:szCs w:val="20"/>
              </w:rPr>
            </w:pPr>
          </w:p>
        </w:tc>
        <w:tc>
          <w:tcPr>
            <w:tcW w:w="104" w:type="pct"/>
            <w:vAlign w:val="center"/>
            <w:hideMark/>
          </w:tcPr>
          <w:p w:rsidR="00000000" w:rsidRDefault="00F55F16">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ind w:firstLine="555"/>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w:t>
      </w:r>
      <w:r>
        <w:rPr>
          <w:sz w:val="18"/>
          <w:szCs w:val="18"/>
        </w:rPr>
        <w:t xml:space="preserve">Section 13(a) of the Exchange Act. </w:t>
      </w:r>
      <w:r>
        <w:rPr>
          <w:rFonts w:ascii="Segoe UI Symbol" w:hAnsi="Segoe UI Symbol" w:cs="Segoe UI Symbol"/>
          <w:sz w:val="18"/>
          <w:szCs w:val="18"/>
        </w:rPr>
        <w:t>☐</w:t>
      </w:r>
    </w:p>
    <w:p w:rsidR="00000000" w:rsidRDefault="00F55F16">
      <w:pPr>
        <w:pStyle w:val="a3"/>
        <w:spacing w:before="80" w:beforeAutospacing="0" w:after="0" w:afterAutospacing="0"/>
        <w:ind w:firstLine="555"/>
        <w:rPr>
          <w:sz w:val="20"/>
          <w:szCs w:val="20"/>
        </w:rPr>
      </w:pPr>
      <w:r>
        <w:rPr>
          <w:sz w:val="18"/>
          <w:szCs w:val="18"/>
        </w:rPr>
        <w:t>Indicate by check mark whether the registrant is a shell company (as defined in Rule 12b-2 of the Exchange Act).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F55F16">
      <w:pPr>
        <w:pStyle w:val="a3"/>
        <w:spacing w:before="80" w:beforeAutospacing="0" w:after="0" w:afterAutospacing="0"/>
        <w:ind w:firstLine="555"/>
        <w:rPr>
          <w:sz w:val="20"/>
          <w:szCs w:val="20"/>
        </w:rPr>
      </w:pPr>
      <w:r>
        <w:rPr>
          <w:sz w:val="18"/>
          <w:szCs w:val="18"/>
        </w:rPr>
        <w:t>As of August 3, 2022, the registrant had</w:t>
      </w:r>
      <w:r>
        <w:rPr>
          <w:sz w:val="18"/>
          <w:szCs w:val="18"/>
        </w:rPr>
        <w:t xml:space="preserve"> </w:t>
      </w:r>
      <w:r>
        <w:rPr>
          <w:sz w:val="18"/>
          <w:szCs w:val="18"/>
        </w:rPr>
        <w:t>29,680,79</w:t>
      </w:r>
      <w:r>
        <w:rPr>
          <w:sz w:val="18"/>
          <w:szCs w:val="18"/>
        </w:rPr>
        <w:t>7</w:t>
      </w:r>
      <w:r>
        <w:rPr>
          <w:sz w:val="18"/>
          <w:szCs w:val="18"/>
        </w:rPr>
        <w:t xml:space="preserve"> shares of common stock, $0.000004 par value</w:t>
      </w:r>
      <w:r>
        <w:rPr>
          <w:sz w:val="18"/>
          <w:szCs w:val="18"/>
        </w:rPr>
        <w:t xml:space="preserve"> per share, outstanding</w:t>
      </w:r>
      <w:r>
        <w:rPr>
          <w:sz w:val="18"/>
          <w:szCs w:val="18"/>
        </w:rPr>
        <w:t>.</w:t>
      </w:r>
    </w:p>
    <w:p w:rsidR="00000000" w:rsidRDefault="00F55F16">
      <w:pPr>
        <w:pStyle w:val="a3"/>
        <w:pBdr>
          <w:bottom w:val="double" w:sz="6" w:space="1" w:color="auto"/>
        </w:pBdr>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rPr>
          <w:sz w:val="20"/>
          <w:szCs w:val="20"/>
        </w:rPr>
      </w:pPr>
      <w:r>
        <w:rPr>
          <w:sz w:val="20"/>
          <w:szCs w:val="20"/>
        </w:rPr>
        <w:t> </w:t>
      </w:r>
    </w:p>
    <w:p w:rsidR="00000000" w:rsidRDefault="00F55F16">
      <w:pPr>
        <w:rPr>
          <w:rFonts w:eastAsia="Times New Roman"/>
        </w:rPr>
      </w:pPr>
      <w:r>
        <w:rPr>
          <w:rFonts w:eastAsia="Times New Roman"/>
        </w:rPr>
        <w:pict>
          <v:rect id="_x0000_i1025"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2"/>
        <w:gridCol w:w="6824"/>
        <w:gridCol w:w="610"/>
      </w:tblGrid>
      <w:tr w:rsidR="00000000">
        <w:trPr>
          <w:tblCellSpacing w:w="15" w:type="dxa"/>
        </w:trPr>
        <w:tc>
          <w:tcPr>
            <w:tcW w:w="505" w:type="pct"/>
            <w:vAlign w:val="center"/>
            <w:hideMark/>
          </w:tcPr>
          <w:p w:rsidR="00000000" w:rsidRDefault="00F55F16">
            <w:pPr>
              <w:rPr>
                <w:sz w:val="20"/>
                <w:szCs w:val="20"/>
              </w:rPr>
            </w:pPr>
          </w:p>
        </w:tc>
        <w:tc>
          <w:tcPr>
            <w:tcW w:w="4149" w:type="pct"/>
            <w:vAlign w:val="center"/>
            <w:hideMark/>
          </w:tcPr>
          <w:p w:rsidR="00000000" w:rsidRDefault="00F55F16">
            <w:pPr>
              <w:rPr>
                <w:rFonts w:eastAsia="Times New Roman"/>
                <w:sz w:val="20"/>
                <w:szCs w:val="20"/>
              </w:rPr>
            </w:pPr>
          </w:p>
        </w:tc>
        <w:tc>
          <w:tcPr>
            <w:tcW w:w="345" w:type="pct"/>
            <w:vAlign w:val="center"/>
            <w:hideMark/>
          </w:tcPr>
          <w:p w:rsidR="00000000" w:rsidRDefault="00F55F16">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b/>
                <w:bCs/>
                <w:sz w:val="20"/>
                <w:szCs w:val="20"/>
              </w:rPr>
              <w:t>PART I</w:t>
            </w:r>
            <w:r>
              <w:rPr>
                <w:b/>
                <w:bCs/>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part_ifinancial_information" w:history="1">
              <w:r>
                <w:rPr>
                  <w:rStyle w:val="a4"/>
                  <w:sz w:val="20"/>
                  <w:szCs w:val="20"/>
                </w:rPr>
                <w:t>FINANCIAL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1_financial_statements" w:history="1">
              <w:r>
                <w:rPr>
                  <w:rStyle w:val="a4"/>
                  <w:sz w:val="20"/>
                  <w:szCs w:val="20"/>
                </w:rPr>
                <w:t>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1</w:t>
            </w:r>
          </w:p>
        </w:tc>
      </w:tr>
      <w:tr w:rsidR="00000000">
        <w:trPr>
          <w:trHeight w:val="144"/>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unaudited_condensed_consolidated_bs" w:history="1">
              <w:r>
                <w:rPr>
                  <w:rStyle w:val="a4"/>
                  <w:sz w:val="20"/>
                  <w:szCs w:val="20"/>
                </w:rPr>
                <w:t>Unaudited Condensed Consolidated Statements of Financial Positio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unaudited_condensed_consolidated_state" w:history="1">
              <w:r>
                <w:rPr>
                  <w:rStyle w:val="a4"/>
                  <w:sz w:val="20"/>
                  <w:szCs w:val="20"/>
                </w:rPr>
                <w:t>Unaudited Condensed Consolidated Statements of Operations and Comprehensive Los</w:t>
              </w:r>
              <w:r>
                <w:rPr>
                  <w:rStyle w:val="a4"/>
                  <w:sz w:val="20"/>
                  <w:szCs w:val="20"/>
                </w:rPr>
                <w:t>s</w:t>
              </w:r>
              <w:r>
                <w:rPr>
                  <w:rStyle w:val="a4"/>
                  <w:sz w:val="20"/>
                  <w:szCs w:val="20"/>
                </w:rPr>
                <w:t xml:space="preserve"> </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redeemable_series_a1_preferred_stock" w:history="1">
              <w:r>
                <w:rPr>
                  <w:rStyle w:val="a4"/>
                  <w:sz w:val="20"/>
                  <w:szCs w:val="20"/>
                </w:rPr>
                <w:t>Unaudited Condensed Consolidated Statements of Convertible and Redeemable Series A-2 Preferred Stock and Stock</w:t>
              </w:r>
              <w:r>
                <w:rPr>
                  <w:rStyle w:val="a4"/>
                  <w:sz w:val="20"/>
                  <w:szCs w:val="20"/>
                </w:rPr>
                <w:t>holders’ Equit</w:t>
              </w:r>
              <w:r>
                <w:rPr>
                  <w:rStyle w:val="a4"/>
                  <w:sz w:val="20"/>
                  <w:szCs w:val="20"/>
                </w:rPr>
                <w:t>y</w:t>
              </w:r>
              <w:r>
                <w:rPr>
                  <w:rStyle w:val="a4"/>
                  <w:sz w:val="20"/>
                  <w:szCs w:val="20"/>
                </w:rPr>
                <w:t xml:space="preserve"> </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cf_2" w:history="1">
              <w:r>
                <w:rPr>
                  <w:rStyle w:val="a4"/>
                  <w:sz w:val="20"/>
                  <w:szCs w:val="20"/>
                </w:rPr>
                <w:t>Unaudited Condensed Consolidated Statements of Cash Flow</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notes_to_unaudited_condensed_consolidat" w:history="1">
              <w:r>
                <w:rPr>
                  <w:rStyle w:val="a4"/>
                  <w:sz w:val="20"/>
                  <w:szCs w:val="20"/>
                </w:rPr>
                <w:t>Notes to Unaudited Condensed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2_managements_discussion_analysis_"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3_quantitative_qualitative_disclos"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hyperlink w:anchor="item_4_controls_procedures"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6</w:t>
            </w:r>
          </w:p>
        </w:tc>
      </w:tr>
      <w:tr w:rsidR="00000000">
        <w:trPr>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b/>
                <w:bCs/>
                <w:sz w:val="20"/>
                <w:szCs w:val="20"/>
              </w:rPr>
              <w:t>PART II</w:t>
            </w:r>
            <w:r>
              <w:rPr>
                <w:b/>
                <w:bCs/>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part_iior_information" w:history="1">
              <w:r>
                <w:rPr>
                  <w:rStyle w:val="a4"/>
                  <w:sz w:val="20"/>
                  <w:szCs w:val="20"/>
                </w:rPr>
                <w:t>OTHER IN</w:t>
              </w:r>
              <w:r>
                <w:rPr>
                  <w:rStyle w:val="a4"/>
                  <w:sz w:val="20"/>
                  <w:szCs w:val="20"/>
                </w:rPr>
                <w:t>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1_legal_proceedings"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3_defaults_upon_senior_securities" w:history="1">
              <w:r>
                <w:rPr>
                  <w:rStyle w:val="a4"/>
                  <w:sz w:val="20"/>
                  <w:szCs w:val="20"/>
                </w:rPr>
                <w:t>Defaults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4_mine_safety_disclosures"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5_or_information"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item_6_exhibits"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8</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right"/>
              <w:rPr>
                <w:sz w:val="20"/>
                <w:szCs w:val="20"/>
              </w:rPr>
            </w:pPr>
            <w:r>
              <w:rPr>
                <w:sz w:val="20"/>
                <w:szCs w:val="20"/>
              </w:rPr>
              <w:t>4</w:t>
            </w:r>
            <w:r>
              <w:rPr>
                <w:sz w:val="20"/>
                <w:szCs w:val="20"/>
              </w:rPr>
              <w:t>9</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i</w:t>
      </w:r>
    </w:p>
    <w:p w:rsidR="00000000" w:rsidRDefault="00F55F16">
      <w:pPr>
        <w:rPr>
          <w:rFonts w:eastAsia="Times New Roman"/>
        </w:rPr>
      </w:pPr>
      <w:r>
        <w:rPr>
          <w:rFonts w:eastAsia="Times New Roman"/>
        </w:rPr>
        <w:pict>
          <v:rect id="_x0000_i1026"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PART I—FINANC</w:t>
      </w:r>
      <w:r>
        <w:rPr>
          <w:b/>
          <w:bCs/>
          <w:sz w:val="20"/>
          <w:szCs w:val="20"/>
        </w:rPr>
        <w:t>I</w:t>
      </w:r>
      <w:r>
        <w:rPr>
          <w:b/>
          <w:bCs/>
          <w:sz w:val="20"/>
          <w:szCs w:val="20"/>
        </w:rPr>
        <w:t>AL INFORMATIO</w:t>
      </w:r>
      <w:r>
        <w:rPr>
          <w:b/>
          <w:bCs/>
          <w:sz w:val="20"/>
          <w:szCs w:val="20"/>
        </w:rPr>
        <w:t>N</w:t>
      </w:r>
    </w:p>
    <w:p w:rsidR="00000000" w:rsidRDefault="00F55F16">
      <w:pPr>
        <w:pStyle w:val="a3"/>
        <w:spacing w:before="120" w:beforeAutospacing="0" w:after="0" w:afterAutospacing="0"/>
        <w:rPr>
          <w:sz w:val="20"/>
          <w:szCs w:val="20"/>
        </w:rPr>
      </w:pPr>
      <w:r>
        <w:rPr>
          <w:b/>
          <w:bCs/>
          <w:sz w:val="20"/>
          <w:szCs w:val="20"/>
        </w:rPr>
        <w:lastRenderedPageBreak/>
        <w:t>Item 1. Financ</w:t>
      </w:r>
      <w:r>
        <w:rPr>
          <w:b/>
          <w:bCs/>
          <w:sz w:val="20"/>
          <w:szCs w:val="20"/>
        </w:rPr>
        <w:t>i</w:t>
      </w:r>
      <w:r>
        <w:rPr>
          <w:b/>
          <w:bCs/>
          <w:sz w:val="20"/>
          <w:szCs w:val="20"/>
        </w:rPr>
        <w:t>al Statements</w:t>
      </w:r>
      <w:r>
        <w:rPr>
          <w:b/>
          <w:bCs/>
          <w:sz w:val="20"/>
          <w:szCs w:val="20"/>
        </w:rPr>
        <w:t>.</w:t>
      </w:r>
    </w:p>
    <w:p w:rsidR="00000000" w:rsidRDefault="00F55F16">
      <w:pPr>
        <w:pStyle w:val="a3"/>
        <w:spacing w:before="12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F55F16">
      <w:pPr>
        <w:pStyle w:val="a3"/>
        <w:spacing w:before="0" w:beforeAutospacing="0" w:after="0" w:afterAutospacing="0"/>
        <w:jc w:val="center"/>
        <w:rPr>
          <w:sz w:val="20"/>
          <w:szCs w:val="20"/>
        </w:rPr>
      </w:pPr>
      <w:r>
        <w:rPr>
          <w:b/>
          <w:bCs/>
          <w:sz w:val="20"/>
          <w:szCs w:val="20"/>
        </w:rPr>
        <w:t>UNAUDITED CONDENSED CONSOLIDATED</w:t>
      </w:r>
      <w:r>
        <w:rPr>
          <w:b/>
          <w:bCs/>
          <w:sz w:val="20"/>
          <w:szCs w:val="20"/>
        </w:rPr>
        <w:t xml:space="preserve"> </w:t>
      </w:r>
      <w:r>
        <w:rPr>
          <w:b/>
          <w:bCs/>
          <w:sz w:val="20"/>
          <w:szCs w:val="20"/>
        </w:rPr>
        <w:t>STATEMENTS OF FINANCIAL POSITIO</w:t>
      </w:r>
      <w:r>
        <w:rPr>
          <w:b/>
          <w:bCs/>
          <w:sz w:val="20"/>
          <w:szCs w:val="20"/>
        </w:rPr>
        <w:t>N</w:t>
      </w:r>
    </w:p>
    <w:p w:rsidR="00000000" w:rsidRDefault="00F55F16">
      <w:pPr>
        <w:pStyle w:val="a3"/>
        <w:spacing w:before="0" w:beforeAutospacing="0" w:after="0" w:afterAutospacing="0"/>
        <w:jc w:val="center"/>
        <w:rPr>
          <w:sz w:val="20"/>
          <w:szCs w:val="20"/>
        </w:rPr>
      </w:pPr>
      <w:r>
        <w:rPr>
          <w:b/>
          <w:bCs/>
          <w:sz w:val="20"/>
          <w:szCs w:val="20"/>
        </w:rPr>
        <w:t>(In thousands, except share data</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45"/>
        <w:gridCol w:w="139"/>
        <w:gridCol w:w="140"/>
        <w:gridCol w:w="1067"/>
        <w:gridCol w:w="114"/>
        <w:gridCol w:w="139"/>
        <w:gridCol w:w="140"/>
        <w:gridCol w:w="1093"/>
        <w:gridCol w:w="129"/>
      </w:tblGrid>
      <w:tr w:rsidR="00000000">
        <w:trPr>
          <w:tblCellSpacing w:w="15" w:type="dxa"/>
        </w:trPr>
        <w:tc>
          <w:tcPr>
            <w:tcW w:w="3318" w:type="pct"/>
            <w:vAlign w:val="center"/>
            <w:hideMark/>
          </w:tcPr>
          <w:p w:rsidR="00000000" w:rsidRDefault="00F55F16">
            <w:pPr>
              <w:rPr>
                <w:sz w:val="20"/>
                <w:szCs w:val="20"/>
              </w:rPr>
            </w:pPr>
          </w:p>
        </w:tc>
        <w:tc>
          <w:tcPr>
            <w:tcW w:w="7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5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60"/>
          <w:tblCellSpacing w:w="15" w:type="dxa"/>
        </w:trPr>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center"/>
              <w:rPr>
                <w:sz w:val="16"/>
                <w:szCs w:val="16"/>
              </w:rPr>
            </w:pPr>
            <w:r>
              <w:rPr>
                <w:b/>
                <w:bCs/>
                <w:sz w:val="16"/>
                <w:szCs w:val="16"/>
              </w:rPr>
              <w:t>December 31</w:t>
            </w:r>
            <w:r>
              <w:rPr>
                <w:b/>
                <w:bCs/>
                <w:sz w:val="16"/>
                <w:szCs w:val="16"/>
              </w:rPr>
              <w:t>,</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b/>
                <w:bCs/>
                <w:sz w:val="16"/>
                <w:szCs w:val="16"/>
              </w:rPr>
              <w:t>ASSET</w:t>
            </w:r>
            <w:r>
              <w:rPr>
                <w:b/>
                <w:bCs/>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sz w:val="16"/>
                <w:szCs w:val="16"/>
              </w:rPr>
              <w:t>CURRENT ASSETS</w:t>
            </w:r>
            <w:r>
              <w:rPr>
                <w:sz w:val="16"/>
                <w:szCs w:val="16"/>
              </w:rPr>
              <w: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Cash and restricted cas</w:t>
            </w:r>
            <w:r>
              <w:rPr>
                <w:sz w:val="16"/>
                <w:szCs w:val="16"/>
              </w:rPr>
              <w:t>h</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98,41</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146,74</w:t>
            </w:r>
            <w:r>
              <w:rPr>
                <w:sz w:val="16"/>
                <w:szCs w:val="16"/>
              </w:rPr>
              <w:t>1</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Accounts receivable—ne</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87,67</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98,51</w:t>
            </w:r>
            <w:r>
              <w:rPr>
                <w:sz w:val="16"/>
                <w:szCs w:val="16"/>
              </w:rPr>
              <w:t>3</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Contract asset</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47,74</w:t>
            </w:r>
            <w:r>
              <w:rPr>
                <w:sz w:val="16"/>
                <w:szCs w:val="16"/>
              </w:rPr>
              <w:t>0</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40,13</w:t>
            </w:r>
            <w:r>
              <w:rPr>
                <w:sz w:val="16"/>
                <w:szCs w:val="16"/>
              </w:rPr>
              <w:t>9</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Prepaid and other current asset</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10,40</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8,46</w:t>
            </w:r>
            <w:r>
              <w:rPr>
                <w:sz w:val="16"/>
                <w:szCs w:val="16"/>
              </w:rPr>
              <w:t>5</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400"/>
              <w:rPr>
                <w:sz w:val="16"/>
                <w:szCs w:val="16"/>
              </w:rPr>
            </w:pPr>
            <w:r>
              <w:rPr>
                <w:sz w:val="16"/>
                <w:szCs w:val="16"/>
              </w:rPr>
              <w:t>Total current asset</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244,23</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293,85</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sz w:val="16"/>
                <w:szCs w:val="16"/>
              </w:rPr>
              <w:t>NON-CURRENT ASSETS</w:t>
            </w:r>
            <w:r>
              <w:rPr>
                <w:sz w:val="16"/>
                <w:szCs w:val="16"/>
              </w:rPr>
              <w: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Property and equipment—ne</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34,39</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31,52</w:t>
            </w:r>
            <w:r>
              <w:rPr>
                <w:sz w:val="16"/>
                <w:szCs w:val="16"/>
              </w:rPr>
              <w:t>1</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Operating lease right-of-use asset—ne</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29,46</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23,53</w:t>
            </w:r>
            <w:r>
              <w:rPr>
                <w:sz w:val="16"/>
                <w:szCs w:val="16"/>
              </w:rPr>
              <w:t>2</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Finance lease right-of-use asset—ne</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8,27</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8,94</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Goodwil</w:t>
            </w:r>
            <w:r>
              <w:rPr>
                <w:sz w:val="16"/>
                <w:szCs w:val="16"/>
              </w:rPr>
              <w:t>l</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315,62</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311,94</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Other intangible assets—ne</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150,68</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160,99</w:t>
            </w:r>
            <w:r>
              <w:rPr>
                <w:sz w:val="16"/>
                <w:szCs w:val="16"/>
              </w:rPr>
              <w:t>7</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Other asset</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5,05</w:t>
            </w:r>
            <w:r>
              <w:rPr>
                <w:sz w:val="16"/>
                <w:szCs w:val="16"/>
              </w:rPr>
              <w:t>7</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2,29</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sz w:val="16"/>
                <w:szCs w:val="16"/>
              </w:rPr>
              <w:t>TOTAL ASSET</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787,74</w:t>
            </w:r>
            <w:r>
              <w:rPr>
                <w:sz w:val="16"/>
                <w:szCs w:val="16"/>
              </w:rPr>
              <w:t>3</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833,09</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b/>
                <w:bCs/>
                <w:sz w:val="16"/>
                <w:szCs w:val="16"/>
              </w:rPr>
              <w:t>LIABILITIES, CONVERTIBLE AND REDEEMABLE SERIES A-2 PREFERRED STOCK AND</w:t>
            </w:r>
            <w:r>
              <w:rPr>
                <w:b/>
                <w:bCs/>
                <w:sz w:val="16"/>
                <w:szCs w:val="16"/>
              </w:rPr>
              <w:br/>
              <w:t>   STOCKHOLDERS’ EQUIT</w:t>
            </w:r>
            <w:r>
              <w:rPr>
                <w:b/>
                <w:bCs/>
                <w:sz w:val="16"/>
                <w:szCs w:val="16"/>
              </w:rPr>
              <w:t>Y</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sz w:val="16"/>
                <w:szCs w:val="16"/>
              </w:rPr>
              <w:t>CURRENT LIABILITIES</w:t>
            </w:r>
            <w:r>
              <w:rPr>
                <w:sz w:val="16"/>
                <w:szCs w:val="16"/>
              </w:rPr>
              <w: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Accounts payable and other accrued liabilitie</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59,28</w:t>
            </w:r>
            <w:r>
              <w:rPr>
                <w:sz w:val="16"/>
                <w:szCs w:val="16"/>
              </w:rPr>
              <w:t>5</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68,93</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Accrued payroll and benefit</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18,75</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25,97</w:t>
            </w:r>
            <w:r>
              <w:rPr>
                <w:sz w:val="16"/>
                <w:szCs w:val="16"/>
              </w:rPr>
              <w:t>1</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Business acquisitions contingent consideration, curren</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2,81</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31,45</w:t>
            </w:r>
            <w:r>
              <w:rPr>
                <w:sz w:val="16"/>
                <w:szCs w:val="16"/>
              </w:rPr>
              <w:t>0</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Current portion of operating lease liabilitie</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8,22</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6,88</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Current portion of finance lease liabilitie</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3,46</w:t>
            </w:r>
            <w:r>
              <w:rPr>
                <w:sz w:val="16"/>
                <w:szCs w:val="16"/>
              </w:rPr>
              <w:t>2</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3,51</w:t>
            </w:r>
            <w:r>
              <w:rPr>
                <w:sz w:val="16"/>
                <w:szCs w:val="16"/>
              </w:rPr>
              <w:t>2</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Current portion of long-term deb</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8,75</w:t>
            </w:r>
            <w:r>
              <w:rPr>
                <w:sz w:val="16"/>
                <w:szCs w:val="16"/>
              </w:rPr>
              <w:t>0</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10,93</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400"/>
              <w:rPr>
                <w:sz w:val="16"/>
                <w:szCs w:val="16"/>
              </w:rPr>
            </w:pPr>
            <w:r>
              <w:rPr>
                <w:sz w:val="16"/>
                <w:szCs w:val="16"/>
              </w:rPr>
              <w:t>Total current liabilitie</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101,29</w:t>
            </w:r>
            <w:r>
              <w:rPr>
                <w:sz w:val="16"/>
                <w:szCs w:val="16"/>
              </w:rPr>
              <w:t>3</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147,69</w:t>
            </w:r>
            <w:r>
              <w:rPr>
                <w:sz w:val="16"/>
                <w:szCs w:val="16"/>
              </w:rPr>
              <w:t>5</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sz w:val="16"/>
                <w:szCs w:val="16"/>
              </w:rPr>
              <w:t>NON-CURRENT LIABILITIES</w:t>
            </w:r>
            <w:r>
              <w:rPr>
                <w:sz w:val="16"/>
                <w:szCs w:val="16"/>
              </w:rPr>
              <w: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Business acquisitions contingent consideration, long-ter</w:t>
            </w:r>
            <w:r>
              <w:rPr>
                <w:sz w:val="16"/>
                <w:szCs w:val="16"/>
              </w:rPr>
              <w:t>m</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3,56</w:t>
            </w:r>
            <w:r>
              <w:rPr>
                <w:sz w:val="16"/>
                <w:szCs w:val="16"/>
              </w:rPr>
              <w:t>0</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4,35</w:t>
            </w:r>
            <w:r>
              <w:rPr>
                <w:sz w:val="16"/>
                <w:szCs w:val="16"/>
              </w:rPr>
              <w:t>0</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Other non-current liabilitie</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w:t>
            </w:r>
            <w:r>
              <w:rPr>
                <w:sz w:val="16"/>
                <w:szCs w:val="16"/>
              </w:rPr>
              <w:t>1</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10</w:t>
            </w:r>
            <w:r>
              <w:rPr>
                <w:sz w:val="16"/>
                <w:szCs w:val="16"/>
              </w:rPr>
              <w:t>0</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Deferred tax liabilities—ne</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6,20</w:t>
            </w:r>
            <w:r>
              <w:rPr>
                <w:sz w:val="16"/>
                <w:szCs w:val="16"/>
              </w:rPr>
              <w:t>7</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4,00</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Conversion optio</w:t>
            </w:r>
            <w:r>
              <w:rPr>
                <w:sz w:val="16"/>
                <w:szCs w:val="16"/>
              </w:rPr>
              <w:t>n</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24,20</w:t>
            </w:r>
            <w:r>
              <w:rPr>
                <w:sz w:val="16"/>
                <w:szCs w:val="16"/>
              </w:rPr>
              <w:t>7</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23,08</w:t>
            </w:r>
            <w:r>
              <w:rPr>
                <w:sz w:val="16"/>
                <w:szCs w:val="16"/>
              </w:rPr>
              <w:t>1</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Operating lease liability—net of current portio</w:t>
            </w:r>
            <w:r>
              <w:rPr>
                <w:sz w:val="16"/>
                <w:szCs w:val="16"/>
              </w:rPr>
              <w:t>n</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21,71</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16,85</w:t>
            </w:r>
            <w:r>
              <w:rPr>
                <w:sz w:val="16"/>
                <w:szCs w:val="16"/>
              </w:rPr>
              <w:t>9</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Finance lease liability—net of current portio</w:t>
            </w:r>
            <w:r>
              <w:rPr>
                <w:sz w:val="16"/>
                <w:szCs w:val="16"/>
              </w:rPr>
              <w:t>n</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5,19</w:t>
            </w:r>
            <w:r>
              <w:rPr>
                <w:sz w:val="16"/>
                <w:szCs w:val="16"/>
              </w:rPr>
              <w:t>9</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5,75</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Long-term debt—</w:t>
            </w:r>
            <w:r>
              <w:rPr>
                <w:sz w:val="16"/>
                <w:szCs w:val="16"/>
              </w:rPr>
              <w:t>net of deferred financing fee</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157,70</w:t>
            </w:r>
            <w:r>
              <w:rPr>
                <w:sz w:val="16"/>
                <w:szCs w:val="16"/>
              </w:rPr>
              <w:t>3</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161,81</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400"/>
              <w:rPr>
                <w:sz w:val="16"/>
                <w:szCs w:val="16"/>
              </w:rPr>
            </w:pPr>
            <w:r>
              <w:rPr>
                <w:sz w:val="16"/>
                <w:szCs w:val="16"/>
              </w:rPr>
              <w:t>Total liabilitie</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319,96</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363,66</w:t>
            </w:r>
            <w:r>
              <w:rPr>
                <w:sz w:val="16"/>
                <w:szCs w:val="16"/>
              </w:rPr>
              <w:t>5</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20"/>
                <w:szCs w:val="20"/>
              </w:rPr>
            </w:pPr>
            <w:r>
              <w:rPr>
                <w:sz w:val="16"/>
                <w:szCs w:val="16"/>
              </w:rPr>
              <w:t>COMMITMENTS AND CONTINGENCIE</w:t>
            </w:r>
            <w:r>
              <w:rPr>
                <w:sz w:val="16"/>
                <w:szCs w:val="16"/>
              </w:rPr>
              <w:t>S</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20"/>
                <w:szCs w:val="20"/>
              </w:rPr>
            </w:pPr>
            <w:r>
              <w:rPr>
                <w:sz w:val="16"/>
                <w:szCs w:val="16"/>
              </w:rPr>
              <w:t xml:space="preserve">CONVERTIBLE AND REDEEMABLE SERIES A-2 PREFERRED STOCK </w:t>
            </w:r>
            <w:r>
              <w:rPr>
                <w:sz w:val="16"/>
                <w:szCs w:val="16"/>
              </w:rPr>
              <w:t>$</w:t>
            </w:r>
            <w:r>
              <w:rPr>
                <w:sz w:val="16"/>
                <w:szCs w:val="16"/>
              </w:rPr>
              <w:t>0.000</w:t>
            </w:r>
            <w:r>
              <w:rPr>
                <w:sz w:val="16"/>
                <w:szCs w:val="16"/>
              </w:rPr>
              <w:t>1</w:t>
            </w:r>
            <w:r>
              <w:rPr>
                <w:sz w:val="16"/>
                <w:szCs w:val="16"/>
              </w:rPr>
              <w:br/>
              <w:t>   PAR VALUE</w:t>
            </w:r>
            <w:r>
              <w:rPr>
                <w:sz w:val="16"/>
                <w:szCs w:val="16"/>
              </w:rPr>
              <w: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20"/>
                <w:szCs w:val="20"/>
              </w:rPr>
            </w:pPr>
            <w:r>
              <w:rPr>
                <w:sz w:val="16"/>
                <w:szCs w:val="16"/>
              </w:rPr>
              <w:t>Authorized, issued and outstanding shares:</w:t>
            </w:r>
            <w:r>
              <w:rPr>
                <w:sz w:val="16"/>
                <w:szCs w:val="16"/>
              </w:rPr>
              <w:t xml:space="preserve"> </w:t>
            </w:r>
            <w:r>
              <w:rPr>
                <w:sz w:val="16"/>
                <w:szCs w:val="16"/>
              </w:rPr>
              <w:t>17,50</w:t>
            </w:r>
            <w:r>
              <w:rPr>
                <w:sz w:val="16"/>
                <w:szCs w:val="16"/>
              </w:rPr>
              <w:t>0</w:t>
            </w:r>
            <w:r>
              <w:rPr>
                <w:sz w:val="16"/>
                <w:szCs w:val="16"/>
              </w:rPr>
              <w:t xml:space="preserve"> at June 30, 2022 and </w:t>
            </w:r>
            <w:r>
              <w:rPr>
                <w:sz w:val="16"/>
                <w:szCs w:val="16"/>
              </w:rPr>
              <w:br/>
              <w:t xml:space="preserve">   December 31, 2021; aggregate liquidation preference of </w:t>
            </w:r>
            <w:r>
              <w:rPr>
                <w:sz w:val="16"/>
                <w:szCs w:val="16"/>
              </w:rPr>
              <w:t>$</w:t>
            </w:r>
            <w:r>
              <w:rPr>
                <w:sz w:val="16"/>
                <w:szCs w:val="16"/>
              </w:rPr>
              <w:t>182.</w:t>
            </w:r>
            <w:r>
              <w:rPr>
                <w:sz w:val="16"/>
                <w:szCs w:val="16"/>
              </w:rPr>
              <w:t>2</w:t>
            </w:r>
            <w:r>
              <w:rPr>
                <w:sz w:val="16"/>
                <w:szCs w:val="16"/>
              </w:rPr>
              <w:t> million at June 30, 2022 and</w:t>
            </w:r>
            <w:r>
              <w:rPr>
                <w:sz w:val="16"/>
                <w:szCs w:val="16"/>
              </w:rPr>
              <w:t xml:space="preserve"> </w:t>
            </w:r>
            <w:r>
              <w:rPr>
                <w:sz w:val="16"/>
                <w:szCs w:val="16"/>
              </w:rPr>
              <w:br/>
              <w:t>   December 31, 202</w:t>
            </w:r>
            <w:r>
              <w:rPr>
                <w:sz w:val="16"/>
                <w:szCs w:val="16"/>
              </w:rPr>
              <w:t>1</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152,92</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152,92</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sz w:val="16"/>
                <w:szCs w:val="16"/>
              </w:rPr>
              <w:t>STOCKHOLDERS’ EQUITY</w:t>
            </w:r>
            <w:r>
              <w:rPr>
                <w:sz w:val="16"/>
                <w:szCs w:val="16"/>
              </w:rPr>
              <w: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20"/>
                <w:szCs w:val="20"/>
              </w:rPr>
            </w:pPr>
            <w:r>
              <w:rPr>
                <w:sz w:val="16"/>
                <w:szCs w:val="16"/>
              </w:rPr>
              <w:t xml:space="preserve">Common stock, </w:t>
            </w:r>
            <w:r>
              <w:rPr>
                <w:sz w:val="16"/>
                <w:szCs w:val="16"/>
              </w:rPr>
              <w:t>$</w:t>
            </w:r>
            <w:r>
              <w:rPr>
                <w:sz w:val="16"/>
                <w:szCs w:val="16"/>
              </w:rPr>
              <w:t>0.00000</w:t>
            </w:r>
            <w:r>
              <w:rPr>
                <w:sz w:val="16"/>
                <w:szCs w:val="16"/>
              </w:rPr>
              <w:t>4</w:t>
            </w:r>
            <w:r>
              <w:rPr>
                <w:sz w:val="16"/>
                <w:szCs w:val="16"/>
              </w:rPr>
              <w:t> par value; authorized shares:</w:t>
            </w:r>
            <w:r>
              <w:rPr>
                <w:sz w:val="16"/>
                <w:szCs w:val="16"/>
              </w:rPr>
              <w:t xml:space="preserve"> </w:t>
            </w:r>
            <w:r>
              <w:rPr>
                <w:sz w:val="16"/>
                <w:szCs w:val="16"/>
              </w:rPr>
              <w:t>190,000,00</w:t>
            </w:r>
            <w:r>
              <w:rPr>
                <w:sz w:val="16"/>
                <w:szCs w:val="16"/>
              </w:rPr>
              <w:t>0</w:t>
            </w:r>
            <w:r>
              <w:rPr>
                <w:sz w:val="16"/>
                <w:szCs w:val="16"/>
              </w:rPr>
              <w:t xml:space="preserve"> at </w:t>
            </w:r>
            <w:r>
              <w:rPr>
                <w:sz w:val="16"/>
                <w:szCs w:val="16"/>
              </w:rPr>
              <w:br/>
              <w:t>   </w:t>
            </w:r>
            <w:r>
              <w:rPr>
                <w:sz w:val="16"/>
                <w:szCs w:val="16"/>
              </w:rPr>
              <w:t>June 30, 2022 and December 31, 2021; issued and outstanding shares:</w:t>
            </w:r>
            <w:r>
              <w:rPr>
                <w:sz w:val="16"/>
                <w:szCs w:val="16"/>
              </w:rPr>
              <w:t xml:space="preserve"> </w:t>
            </w:r>
            <w:r>
              <w:rPr>
                <w:sz w:val="16"/>
                <w:szCs w:val="16"/>
              </w:rPr>
              <w:t>29,679,39</w:t>
            </w:r>
            <w:r>
              <w:rPr>
                <w:sz w:val="16"/>
                <w:szCs w:val="16"/>
              </w:rPr>
              <w:t>2</w:t>
            </w:r>
            <w:r>
              <w:rPr>
                <w:sz w:val="16"/>
                <w:szCs w:val="16"/>
              </w:rPr>
              <w:t> and</w:t>
            </w:r>
            <w:r>
              <w:rPr>
                <w:sz w:val="16"/>
                <w:szCs w:val="16"/>
              </w:rPr>
              <w:br/>
              <w:t>  </w:t>
            </w:r>
            <w:r>
              <w:rPr>
                <w:sz w:val="16"/>
                <w:szCs w:val="16"/>
              </w:rPr>
              <w:t> </w:t>
            </w:r>
            <w:r>
              <w:rPr>
                <w:sz w:val="16"/>
                <w:szCs w:val="16"/>
              </w:rPr>
              <w:t>29,619,92</w:t>
            </w:r>
            <w:r>
              <w:rPr>
                <w:sz w:val="16"/>
                <w:szCs w:val="16"/>
              </w:rPr>
              <w:t>1</w:t>
            </w:r>
            <w:r>
              <w:rPr>
                <w:sz w:val="16"/>
                <w:szCs w:val="16"/>
              </w:rPr>
              <w:t> at June 30, 2022 and December 31, 2021, respectivel</w:t>
            </w:r>
            <w:r>
              <w:rPr>
                <w:sz w:val="16"/>
                <w:szCs w:val="16"/>
              </w:rPr>
              <w:t>y</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16"/>
                <w:szCs w:val="16"/>
              </w:rPr>
            </w:pPr>
            <w:r>
              <w:rPr>
                <w:sz w:val="16"/>
                <w:szCs w:val="16"/>
              </w:rPr>
              <w:t>—</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Additional paid-in-capita</w:t>
            </w:r>
            <w:r>
              <w:rPr>
                <w:sz w:val="16"/>
                <w:szCs w:val="16"/>
              </w:rPr>
              <w:t>l</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477,78</w:t>
            </w:r>
            <w:r>
              <w:rPr>
                <w:sz w:val="16"/>
                <w:szCs w:val="16"/>
              </w:rPr>
              <w:t>3</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464,14</w:t>
            </w:r>
            <w:r>
              <w:rPr>
                <w:sz w:val="16"/>
                <w:szCs w:val="16"/>
              </w:rPr>
              <w:t>3</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Accumulated defici</w:t>
            </w:r>
            <w:r>
              <w:rPr>
                <w:sz w:val="16"/>
                <w:szCs w:val="16"/>
              </w:rPr>
              <w:t>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w:t>
            </w:r>
            <w:r>
              <w:rPr>
                <w:sz w:val="16"/>
                <w:szCs w:val="16"/>
              </w:rPr>
              <w:t>162,96</w:t>
            </w:r>
            <w:r>
              <w:rPr>
                <w:sz w:val="16"/>
                <w:szCs w:val="16"/>
              </w:rPr>
              <w:t>5</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w:t>
            </w:r>
            <w:r>
              <w:rPr>
                <w:sz w:val="16"/>
                <w:szCs w:val="16"/>
              </w:rPr>
              <w:t>147,67</w:t>
            </w:r>
            <w:r>
              <w:rPr>
                <w:sz w:val="16"/>
                <w:szCs w:val="16"/>
              </w:rPr>
              <w:t>8</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F55F16">
            <w:pPr>
              <w:pStyle w:val="a3"/>
              <w:spacing w:before="0" w:beforeAutospacing="0" w:after="0" w:afterAutospacing="0"/>
              <w:ind w:left="200"/>
              <w:rPr>
                <w:sz w:val="16"/>
                <w:szCs w:val="16"/>
              </w:rPr>
            </w:pPr>
            <w:r>
              <w:rPr>
                <w:sz w:val="16"/>
                <w:szCs w:val="16"/>
              </w:rPr>
              <w:t>Accumulated other comprehensive incom</w:t>
            </w:r>
            <w:r>
              <w:rPr>
                <w:sz w:val="16"/>
                <w:szCs w:val="16"/>
              </w:rPr>
              <w:t>e</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w:t>
            </w:r>
            <w:r>
              <w:rPr>
                <w:sz w:val="16"/>
                <w:szCs w:val="16"/>
              </w:rPr>
              <w:t>3</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w:t>
            </w:r>
            <w:r>
              <w:rPr>
                <w:sz w:val="16"/>
                <w:szCs w:val="16"/>
              </w:rPr>
              <w:t>6</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ind w:left="400"/>
              <w:rPr>
                <w:sz w:val="16"/>
                <w:szCs w:val="16"/>
              </w:rPr>
            </w:pPr>
            <w:r>
              <w:rPr>
                <w:sz w:val="16"/>
                <w:szCs w:val="16"/>
              </w:rPr>
              <w:t>Total stockholders’ equit</w:t>
            </w:r>
            <w:r>
              <w:rPr>
                <w:sz w:val="16"/>
                <w:szCs w:val="16"/>
              </w:rPr>
              <w:t>y</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314,85</w:t>
            </w:r>
            <w:r>
              <w:rPr>
                <w:sz w:val="16"/>
                <w:szCs w:val="16"/>
              </w:rPr>
              <w:t>1</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316,50</w:t>
            </w:r>
            <w:r>
              <w:rPr>
                <w:sz w:val="16"/>
                <w:szCs w:val="16"/>
              </w:rPr>
              <w:t>1</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F55F16">
            <w:pPr>
              <w:pStyle w:val="a3"/>
              <w:spacing w:before="0" w:beforeAutospacing="0" w:after="0" w:afterAutospacing="0"/>
              <w:rPr>
                <w:sz w:val="16"/>
                <w:szCs w:val="16"/>
              </w:rPr>
            </w:pPr>
            <w:r>
              <w:rPr>
                <w:sz w:val="16"/>
                <w:szCs w:val="16"/>
              </w:rPr>
              <w:lastRenderedPageBreak/>
              <w:t xml:space="preserve">TOTAL LIABILITIES, CONVERTIBLE AND REDEEMABLE SERIES A-2 PREFERRED STOCK </w:t>
            </w:r>
            <w:r>
              <w:rPr>
                <w:sz w:val="16"/>
                <w:szCs w:val="16"/>
              </w:rPr>
              <w:br/>
              <w:t>   AND STOCKHOLDERS’ EQUIT</w:t>
            </w:r>
            <w:r>
              <w:rPr>
                <w:sz w:val="16"/>
                <w:szCs w:val="16"/>
              </w:rPr>
              <w:t>Y</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787,74</w:t>
            </w:r>
            <w:r>
              <w:rPr>
                <w:sz w:val="16"/>
                <w:szCs w:val="16"/>
              </w:rPr>
              <w:t>3</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6"/>
                <w:szCs w:val="16"/>
              </w:rPr>
              <w:t>833,09</w:t>
            </w:r>
            <w:r>
              <w:rPr>
                <w:sz w:val="16"/>
                <w:szCs w:val="16"/>
              </w:rPr>
              <w:t>4</w:t>
            </w:r>
          </w:p>
        </w:tc>
        <w:tc>
          <w:tcPr>
            <w:tcW w:w="0" w:type="auto"/>
            <w:noWrap/>
            <w:vAlign w:val="bottom"/>
            <w:hideMark/>
          </w:tcPr>
          <w:p w:rsidR="00000000" w:rsidRDefault="00F55F16">
            <w:pPr>
              <w:pStyle w:val="a3"/>
              <w:spacing w:before="0" w:beforeAutospacing="0" w:after="0" w:afterAutospacing="0"/>
              <w:rPr>
                <w:sz w:val="16"/>
                <w:szCs w:val="16"/>
              </w:rPr>
            </w:pPr>
            <w:r>
              <w:rPr>
                <w:sz w:val="16"/>
                <w:szCs w:val="16"/>
              </w:rPr>
              <w:t> </w:t>
            </w:r>
          </w:p>
        </w:tc>
      </w:tr>
    </w:tbl>
    <w:p w:rsidR="00000000" w:rsidRDefault="00F55F16">
      <w:pPr>
        <w:pStyle w:val="a3"/>
        <w:spacing w:before="0" w:beforeAutospacing="0" w:after="0" w:afterAutospacing="0"/>
        <w:jc w:val="center"/>
        <w:rPr>
          <w:sz w:val="20"/>
          <w:szCs w:val="20"/>
        </w:rPr>
      </w:pPr>
      <w:r>
        <w:rPr>
          <w:sz w:val="20"/>
          <w:szCs w:val="20"/>
        </w:rPr>
        <w:t> </w:t>
      </w:r>
    </w:p>
    <w:p w:rsidR="00000000" w:rsidRDefault="00F55F16">
      <w:pPr>
        <w:pStyle w:val="a3"/>
        <w:spacing w:before="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F55F16">
      <w:pPr>
        <w:pStyle w:val="a3"/>
        <w:spacing w:before="0" w:beforeAutospacing="0" w:after="0" w:afterAutospacing="0"/>
        <w:jc w:val="center"/>
        <w:rPr>
          <w:sz w:val="20"/>
          <w:szCs w:val="20"/>
        </w:rPr>
      </w:pPr>
      <w:r>
        <w:rPr>
          <w:sz w:val="20"/>
          <w:szCs w:val="20"/>
        </w:rPr>
        <w:t>1</w:t>
      </w:r>
    </w:p>
    <w:p w:rsidR="00000000" w:rsidRDefault="00F55F16">
      <w:pPr>
        <w:rPr>
          <w:rFonts w:eastAsia="Times New Roman"/>
        </w:rPr>
      </w:pPr>
      <w:r>
        <w:rPr>
          <w:rFonts w:eastAsia="Times New Roman"/>
        </w:rPr>
        <w:pict>
          <v:rect id="_x0000_i1027"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F55F16">
      <w:pPr>
        <w:pStyle w:val="a3"/>
        <w:spacing w:before="0" w:beforeAutospacing="0" w:after="0" w:afterAutospacing="0"/>
        <w:jc w:val="center"/>
        <w:rPr>
          <w:sz w:val="20"/>
          <w:szCs w:val="20"/>
        </w:rPr>
      </w:pPr>
      <w:r>
        <w:rPr>
          <w:b/>
          <w:bCs/>
          <w:sz w:val="20"/>
          <w:szCs w:val="20"/>
        </w:rPr>
        <w:t>UNAUDITED CONDENSED CONSOLIDAT</w:t>
      </w:r>
      <w:r>
        <w:rPr>
          <w:b/>
          <w:bCs/>
          <w:sz w:val="20"/>
          <w:szCs w:val="20"/>
        </w:rPr>
        <w:t>E</w:t>
      </w:r>
      <w:r>
        <w:rPr>
          <w:b/>
          <w:bCs/>
          <w:sz w:val="20"/>
          <w:szCs w:val="20"/>
        </w:rPr>
        <w:t>D STATEMENTS OF OPERATIONS AN</w:t>
      </w:r>
      <w:r>
        <w:rPr>
          <w:b/>
          <w:bCs/>
          <w:sz w:val="20"/>
          <w:szCs w:val="20"/>
        </w:rPr>
        <w:t>D</w:t>
      </w:r>
    </w:p>
    <w:p w:rsidR="00000000" w:rsidRDefault="00F55F16">
      <w:pPr>
        <w:pStyle w:val="a3"/>
        <w:spacing w:before="0" w:beforeAutospacing="0" w:after="0" w:afterAutospacing="0"/>
        <w:jc w:val="center"/>
        <w:rPr>
          <w:sz w:val="20"/>
          <w:szCs w:val="20"/>
        </w:rPr>
      </w:pPr>
      <w:r>
        <w:rPr>
          <w:b/>
          <w:bCs/>
          <w:sz w:val="20"/>
          <w:szCs w:val="20"/>
        </w:rPr>
        <w:t>COMPREHENSIVE LOS</w:t>
      </w:r>
      <w:r>
        <w:rPr>
          <w:b/>
          <w:bCs/>
          <w:sz w:val="20"/>
          <w:szCs w:val="20"/>
        </w:rPr>
        <w:t>S</w:t>
      </w:r>
    </w:p>
    <w:p w:rsidR="00000000" w:rsidRDefault="00F55F16">
      <w:pPr>
        <w:pStyle w:val="a3"/>
        <w:spacing w:before="0" w:beforeAutospacing="0" w:after="0" w:afterAutospacing="0"/>
        <w:jc w:val="center"/>
        <w:rPr>
          <w:sz w:val="20"/>
          <w:szCs w:val="20"/>
        </w:rPr>
      </w:pPr>
      <w:r>
        <w:rPr>
          <w:b/>
          <w:bCs/>
          <w:sz w:val="20"/>
          <w:szCs w:val="20"/>
        </w:rPr>
        <w:t>(In thousands, except per share data</w:t>
      </w:r>
      <w:r>
        <w:rPr>
          <w:b/>
          <w:bCs/>
          <w:sz w:val="20"/>
          <w:szCs w:val="20"/>
        </w:rPr>
        <w:t>)</w: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31"/>
        <w:gridCol w:w="110"/>
        <w:gridCol w:w="160"/>
        <w:gridCol w:w="710"/>
        <w:gridCol w:w="127"/>
        <w:gridCol w:w="110"/>
        <w:gridCol w:w="160"/>
        <w:gridCol w:w="726"/>
        <w:gridCol w:w="127"/>
        <w:gridCol w:w="110"/>
        <w:gridCol w:w="160"/>
        <w:gridCol w:w="710"/>
        <w:gridCol w:w="127"/>
        <w:gridCol w:w="110"/>
        <w:gridCol w:w="160"/>
        <w:gridCol w:w="726"/>
        <w:gridCol w:w="142"/>
      </w:tblGrid>
      <w:tr w:rsidR="00000000">
        <w:trPr>
          <w:tblCellSpacing w:w="15" w:type="dxa"/>
        </w:trPr>
        <w:tc>
          <w:tcPr>
            <w:tcW w:w="2455" w:type="pct"/>
            <w:vAlign w:val="center"/>
            <w:hideMark/>
          </w:tcPr>
          <w:p w:rsidR="00000000" w:rsidRDefault="00F55F16">
            <w:pPr>
              <w:rPr>
                <w:sz w:val="20"/>
                <w:szCs w:val="20"/>
              </w:rPr>
            </w:pPr>
          </w:p>
        </w:tc>
        <w:tc>
          <w:tcPr>
            <w:tcW w:w="5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4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4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60"/>
          <w:tblCellSpacing w:w="15" w:type="dxa"/>
        </w:trPr>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F55F16">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F55F16">
            <w:pPr>
              <w:pStyle w:val="a3"/>
              <w:spacing w:before="0" w:beforeAutospacing="0" w:after="0" w:afterAutospacing="0"/>
              <w:jc w:val="center"/>
              <w:rPr>
                <w:sz w:val="16"/>
                <w:szCs w:val="16"/>
              </w:rPr>
            </w:pPr>
            <w:r>
              <w:rPr>
                <w:b/>
                <w:bCs/>
                <w:sz w:val="16"/>
                <w:szCs w:val="16"/>
              </w:rPr>
              <w:t>Six Months Ende</w:t>
            </w:r>
            <w:r>
              <w:rPr>
                <w:b/>
                <w:bCs/>
                <w:sz w:val="16"/>
                <w:szCs w:val="16"/>
              </w:rPr>
              <w:t>d</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F55F16">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F55F16">
            <w:pPr>
              <w:pStyle w:val="a3"/>
              <w:spacing w:before="0" w:beforeAutospacing="0" w:after="0" w:afterAutospacing="0"/>
              <w:jc w:val="center"/>
              <w:rPr>
                <w:sz w:val="16"/>
                <w:szCs w:val="16"/>
              </w:rPr>
            </w:pPr>
            <w:r>
              <w:rPr>
                <w:b/>
                <w:bCs/>
                <w:sz w:val="16"/>
                <w:szCs w:val="16"/>
              </w:rPr>
              <w:t>June 30</w:t>
            </w:r>
            <w:r>
              <w:rPr>
                <w:b/>
                <w:bCs/>
                <w:sz w:val="16"/>
                <w:szCs w:val="16"/>
              </w:rPr>
              <w:t>,</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center"/>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F55F16">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139,91</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136,22</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274,59</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270,04</w:t>
            </w:r>
            <w:r>
              <w:rPr>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COST OF REVENUES (exclusive of depreciation and</w:t>
            </w:r>
            <w:r>
              <w:rPr>
                <w:sz w:val="20"/>
                <w:szCs w:val="20"/>
              </w:rPr>
              <w:br/>
              <w:t>   amortization shown below</w:t>
            </w: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90,42</w:t>
            </w:r>
            <w:r>
              <w:rPr>
                <w:sz w:val="20"/>
                <w:szCs w:val="20"/>
              </w:rPr>
              <w:t>9</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92,10</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178,81</w:t>
            </w:r>
            <w:r>
              <w:rPr>
                <w:sz w:val="20"/>
                <w:szCs w:val="20"/>
              </w:rPr>
              <w:t>5</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187,42</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SELLING, GENERAL AND ADMINISTRATIVE EXPENS</w:t>
            </w:r>
            <w:r>
              <w:rPr>
                <w:sz w:val="20"/>
                <w:szCs w:val="20"/>
              </w:rPr>
              <w:t>E</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46,45</w:t>
            </w:r>
            <w:r>
              <w:rPr>
                <w:sz w:val="20"/>
                <w:szCs w:val="20"/>
              </w:rPr>
              <w:t>6</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27,36</w:t>
            </w:r>
            <w:r>
              <w:rPr>
                <w:sz w:val="20"/>
                <w:szCs w:val="20"/>
              </w:rPr>
              <w:t>6</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88,26</w:t>
            </w:r>
            <w:r>
              <w:rPr>
                <w:sz w:val="20"/>
                <w:szCs w:val="20"/>
              </w:rPr>
              <w:t>3</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52,36</w:t>
            </w:r>
            <w:r>
              <w:rPr>
                <w:sz w:val="20"/>
                <w:szCs w:val="20"/>
              </w:rPr>
              <w:t>6</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FAIR VALUE CHANGES IN BUSINESS ACQUISITION</w:t>
            </w:r>
            <w:r>
              <w:rPr>
                <w:sz w:val="20"/>
                <w:szCs w:val="20"/>
              </w:rPr>
              <w:br/>
              <w:t>   CONTINGENCIE</w:t>
            </w:r>
            <w:r>
              <w:rPr>
                <w:sz w:val="20"/>
                <w:szCs w:val="20"/>
              </w:rPr>
              <w:t>S</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3,51</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12,97</w:t>
            </w:r>
            <w:r>
              <w:rPr>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3,53</w:t>
            </w:r>
            <w:r>
              <w:rPr>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24,03</w:t>
            </w:r>
            <w:r>
              <w:rPr>
                <w:sz w:val="20"/>
                <w:szCs w:val="20"/>
              </w:rPr>
              <w:t>5</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12,28</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9,87</w:t>
            </w:r>
            <w:r>
              <w:rPr>
                <w:sz w:val="20"/>
                <w:szCs w:val="20"/>
              </w:rPr>
              <w:t>8</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24,42</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21,67</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LOSS FROM OPERATION</w:t>
            </w:r>
            <w:r>
              <w:rPr>
                <w:sz w:val="20"/>
                <w:szCs w:val="20"/>
              </w:rPr>
              <w:t>S</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5,74</w:t>
            </w:r>
            <w:r>
              <w:rPr>
                <w:sz w:val="20"/>
                <w:szCs w:val="20"/>
              </w:rPr>
              <w:t>5</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6,09</w:t>
            </w:r>
            <w:r>
              <w:rPr>
                <w:sz w:val="20"/>
                <w:szCs w:val="20"/>
              </w:rPr>
              <w:t>5</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13,38</w:t>
            </w:r>
            <w:r>
              <w:rPr>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15,45</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OTHER (EXPENSE) INCOM</w:t>
            </w:r>
            <w:r>
              <w:rPr>
                <w:sz w:val="20"/>
                <w:szCs w:val="20"/>
              </w:rPr>
              <w:t>E</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ind w:left="200"/>
              <w:rPr>
                <w:sz w:val="20"/>
                <w:szCs w:val="20"/>
              </w:rPr>
            </w:pPr>
            <w:r>
              <w:rPr>
                <w:sz w:val="20"/>
                <w:szCs w:val="20"/>
              </w:rPr>
              <w:t>Other income (expense</w:t>
            </w: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34</w:t>
            </w:r>
            <w:r>
              <w:rPr>
                <w:sz w:val="20"/>
                <w:szCs w:val="20"/>
              </w:rPr>
              <w:t>3</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51</w:t>
            </w:r>
            <w:r>
              <w:rPr>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2,80</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1,39</w:t>
            </w:r>
            <w:r>
              <w:rPr>
                <w:sz w:val="20"/>
                <w:szCs w:val="20"/>
              </w:rPr>
              <w:t>3</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ind w:left="200"/>
              <w:rPr>
                <w:sz w:val="20"/>
                <w:szCs w:val="20"/>
              </w:rPr>
            </w:pPr>
            <w:r>
              <w:rPr>
                <w:sz w:val="20"/>
                <w:szCs w:val="20"/>
              </w:rPr>
              <w:t>Interest expense—ne</w:t>
            </w:r>
            <w:r>
              <w:rPr>
                <w:sz w:val="20"/>
                <w:szCs w:val="20"/>
              </w:rPr>
              <w:t>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1,51</w:t>
            </w:r>
            <w:r>
              <w:rPr>
                <w:sz w:val="20"/>
                <w:szCs w:val="20"/>
              </w:rPr>
              <w:t>8</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6,79</w:t>
            </w:r>
            <w:r>
              <w:rPr>
                <w:sz w:val="20"/>
                <w:szCs w:val="20"/>
              </w:rPr>
              <w:t>8</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2,61</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9,48</w:t>
            </w:r>
            <w:r>
              <w:rPr>
                <w:sz w:val="20"/>
                <w:szCs w:val="20"/>
              </w:rPr>
              <w:t>6</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ind w:left="400"/>
              <w:rPr>
                <w:sz w:val="20"/>
                <w:szCs w:val="20"/>
              </w:rPr>
            </w:pPr>
            <w:r>
              <w:rPr>
                <w:sz w:val="20"/>
                <w:szCs w:val="20"/>
              </w:rPr>
              <w:t>Total other (expense) income—ne</w:t>
            </w:r>
            <w:r>
              <w:rPr>
                <w:sz w:val="20"/>
                <w:szCs w:val="20"/>
              </w:rPr>
              <w:t>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1,17</w:t>
            </w:r>
            <w:r>
              <w:rPr>
                <w:sz w:val="20"/>
                <w:szCs w:val="20"/>
              </w:rPr>
              <w:t>5</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7,30</w:t>
            </w:r>
            <w:r>
              <w:rPr>
                <w:sz w:val="20"/>
                <w:szCs w:val="20"/>
              </w:rPr>
              <w:t>9</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19</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10,87</w:t>
            </w:r>
            <w:r>
              <w:rPr>
                <w:sz w:val="20"/>
                <w:szCs w:val="20"/>
              </w:rPr>
              <w:t>9</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LOSS BEFORE EXPENSE (BENEFIT) FROM</w:t>
            </w:r>
            <w:r>
              <w:rPr>
                <w:sz w:val="20"/>
                <w:szCs w:val="20"/>
              </w:rPr>
              <w:br/>
              <w:t>   INCOME TAXE</w:t>
            </w:r>
            <w:r>
              <w:rPr>
                <w:sz w:val="20"/>
                <w:szCs w:val="20"/>
              </w:rPr>
              <w:t>S</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6,92</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13,40</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13,18</w:t>
            </w:r>
            <w:r>
              <w:rPr>
                <w:sz w:val="20"/>
                <w:szCs w:val="20"/>
              </w:rPr>
              <w:t>7</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26,33</w:t>
            </w:r>
            <w:r>
              <w:rPr>
                <w:sz w:val="20"/>
                <w:szCs w:val="20"/>
              </w:rPr>
              <w:t>3</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INCOME TAX EXPENSE (BENEFIT</w:t>
            </w: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83</w:t>
            </w:r>
            <w:r>
              <w:rPr>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25</w:t>
            </w:r>
            <w:r>
              <w:rPr>
                <w:sz w:val="20"/>
                <w:szCs w:val="20"/>
              </w:rPr>
              <w:t>6</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2,10</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25</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b/>
                <w:bCs/>
                <w:sz w:val="20"/>
                <w:szCs w:val="20"/>
              </w:rPr>
              <w:t>NET LOS</w:t>
            </w:r>
            <w:r>
              <w:rPr>
                <w:b/>
                <w:bCs/>
                <w:sz w:val="20"/>
                <w:szCs w:val="20"/>
              </w:rPr>
              <w:t>S</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7,75</w:t>
            </w:r>
            <w:r>
              <w:rPr>
                <w:b/>
                <w:bCs/>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13,14</w:t>
            </w:r>
            <w:r>
              <w:rPr>
                <w:b/>
                <w:bCs/>
                <w:sz w:val="20"/>
                <w:szCs w:val="20"/>
              </w:rPr>
              <w:t>8</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15,28</w:t>
            </w:r>
            <w:r>
              <w:rPr>
                <w:b/>
                <w:bCs/>
                <w:sz w:val="20"/>
                <w:szCs w:val="20"/>
              </w:rPr>
              <w:t>7</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26,07</w:t>
            </w:r>
            <w:r>
              <w:rPr>
                <w:b/>
                <w:bCs/>
                <w:sz w:val="20"/>
                <w:szCs w:val="20"/>
              </w:rPr>
              <w:t>9</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 xml:space="preserve">EQUITY ADJUSTMENT FROM FOREIGN </w:t>
            </w:r>
            <w:r>
              <w:rPr>
                <w:sz w:val="20"/>
                <w:szCs w:val="20"/>
              </w:rPr>
              <w:br/>
              <w:t>   CURRENCY TRANSLATIO</w:t>
            </w:r>
            <w:r>
              <w:rPr>
                <w:sz w:val="20"/>
                <w:szCs w:val="20"/>
              </w:rPr>
              <w:t>N</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8</w:t>
            </w:r>
            <w:r>
              <w:rPr>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w:t>
            </w:r>
            <w:r>
              <w:rPr>
                <w:sz w:val="20"/>
                <w:szCs w:val="20"/>
              </w:rPr>
              <w:t>8</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3</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5</w:t>
            </w:r>
            <w:r>
              <w:rPr>
                <w:sz w:val="20"/>
                <w:szCs w:val="20"/>
              </w:rPr>
              <w:t>7</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COMPREHENSIVE LOS</w:t>
            </w:r>
            <w:r>
              <w:rPr>
                <w:sz w:val="20"/>
                <w:szCs w:val="20"/>
              </w:rPr>
              <w:t>S</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7,83</w:t>
            </w:r>
            <w:r>
              <w:rPr>
                <w:sz w:val="20"/>
                <w:szCs w:val="20"/>
              </w:rPr>
              <w:t>5</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13,12</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15,29</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26,02</w:t>
            </w:r>
            <w:r>
              <w:rPr>
                <w:sz w:val="20"/>
                <w:szCs w:val="20"/>
              </w:rPr>
              <w:t>2</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 xml:space="preserve">CONVERTIBLE AND REDEEMABLE SERIES A-2 </w:t>
            </w:r>
            <w:r>
              <w:rPr>
                <w:sz w:val="20"/>
                <w:szCs w:val="20"/>
              </w:rPr>
              <w:br/>
              <w:t>   </w:t>
            </w:r>
            <w:r>
              <w:rPr>
                <w:sz w:val="20"/>
                <w:szCs w:val="20"/>
              </w:rPr>
              <w:t>PREFERRED STOCK DIVIDEN</w:t>
            </w:r>
            <w:r>
              <w:rPr>
                <w:sz w:val="20"/>
                <w:szCs w:val="20"/>
              </w:rPr>
              <w:t>D</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4,10</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4,10</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8,20</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w:t>
            </w:r>
            <w:r>
              <w:rPr>
                <w:sz w:val="20"/>
                <w:szCs w:val="20"/>
              </w:rPr>
              <w:t>8,20</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b/>
                <w:bCs/>
                <w:sz w:val="20"/>
                <w:szCs w:val="20"/>
              </w:rPr>
              <w:t xml:space="preserve">NET LOSS ATTRIBUTABLE TO </w:t>
            </w:r>
            <w:r>
              <w:rPr>
                <w:b/>
                <w:bCs/>
                <w:sz w:val="20"/>
                <w:szCs w:val="20"/>
              </w:rPr>
              <w:br/>
              <w:t>   COMMON STOCKHOLDER</w:t>
            </w:r>
            <w:r>
              <w:rPr>
                <w:b/>
                <w:bCs/>
                <w:sz w:val="20"/>
                <w:szCs w:val="20"/>
              </w:rPr>
              <w:t>S</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11,85</w:t>
            </w:r>
            <w:r>
              <w:rPr>
                <w:b/>
                <w:bCs/>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17,24</w:t>
            </w:r>
            <w:r>
              <w:rPr>
                <w:b/>
                <w:bCs/>
                <w:sz w:val="20"/>
                <w:szCs w:val="20"/>
              </w:rPr>
              <w:t>8</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23,48</w:t>
            </w:r>
            <w:r>
              <w:rPr>
                <w:b/>
                <w:bCs/>
                <w:sz w:val="20"/>
                <w:szCs w:val="20"/>
              </w:rPr>
              <w:t>7</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34,27</w:t>
            </w:r>
            <w:r>
              <w:rPr>
                <w:b/>
                <w:bCs/>
                <w:sz w:val="20"/>
                <w:szCs w:val="20"/>
              </w:rPr>
              <w:t>9</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sz w:val="20"/>
                <w:szCs w:val="20"/>
              </w:rPr>
              <w:t>WEIGHTED AVERAGE COMMON SHARES</w:t>
            </w:r>
            <w:r>
              <w:rPr>
                <w:sz w:val="20"/>
                <w:szCs w:val="20"/>
              </w:rPr>
              <w:br/>
              <w:t xml:space="preserve">   OUTSTANDING— </w:t>
            </w:r>
            <w:r>
              <w:rPr>
                <w:sz w:val="20"/>
                <w:szCs w:val="20"/>
              </w:rPr>
              <w:t>BASIC AND DILUTE</w:t>
            </w:r>
            <w:r>
              <w:rPr>
                <w:sz w:val="20"/>
                <w:szCs w:val="20"/>
              </w:rPr>
              <w:t>D</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29,67</w:t>
            </w:r>
            <w:r>
              <w:rPr>
                <w:sz w:val="20"/>
                <w:szCs w:val="20"/>
              </w:rPr>
              <w:t>8</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26,05</w:t>
            </w:r>
            <w:r>
              <w:rPr>
                <w:sz w:val="20"/>
                <w:szCs w:val="20"/>
              </w:rPr>
              <w:t>6</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29,67</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25,58</w:t>
            </w:r>
            <w:r>
              <w:rPr>
                <w:sz w:val="20"/>
                <w:szCs w:val="20"/>
              </w:rPr>
              <w:t>6</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F55F16">
            <w:pPr>
              <w:pStyle w:val="a3"/>
              <w:spacing w:before="0" w:beforeAutospacing="0" w:after="0" w:afterAutospacing="0"/>
              <w:rPr>
                <w:sz w:val="20"/>
                <w:szCs w:val="20"/>
              </w:rPr>
            </w:pPr>
            <w:r>
              <w:rPr>
                <w:b/>
                <w:bCs/>
                <w:sz w:val="20"/>
                <w:szCs w:val="20"/>
              </w:rPr>
              <w:t xml:space="preserve">NET LOSS PER SHARE ATTRIBUTABLE TO </w:t>
            </w:r>
            <w:r>
              <w:rPr>
                <w:b/>
                <w:bCs/>
                <w:sz w:val="20"/>
                <w:szCs w:val="20"/>
              </w:rPr>
              <w:br/>
              <w:t>   COMMON STOCKHOLDERS— BASIC AND DILUTE</w:t>
            </w:r>
            <w:r>
              <w:rPr>
                <w:b/>
                <w:bCs/>
                <w:sz w:val="20"/>
                <w:szCs w:val="20"/>
              </w:rPr>
              <w:t>D</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0.4</w:t>
            </w:r>
            <w:r>
              <w:rPr>
                <w:b/>
                <w:bCs/>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0.6</w:t>
            </w:r>
            <w:r>
              <w:rPr>
                <w:b/>
                <w:bCs/>
                <w:sz w:val="20"/>
                <w:szCs w:val="20"/>
              </w:rPr>
              <w:t>6</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0.7</w:t>
            </w:r>
            <w:r>
              <w:rPr>
                <w:b/>
                <w:bCs/>
                <w:sz w:val="20"/>
                <w:szCs w:val="20"/>
              </w:rPr>
              <w:t>9</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20"/>
                <w:szCs w:val="20"/>
              </w:rPr>
              <w:t>(</w:t>
            </w:r>
            <w:r>
              <w:rPr>
                <w:b/>
                <w:bCs/>
                <w:sz w:val="20"/>
                <w:szCs w:val="20"/>
              </w:rPr>
              <w:t>1.3</w:t>
            </w:r>
            <w:r>
              <w:rPr>
                <w:b/>
                <w:bCs/>
                <w:sz w:val="20"/>
                <w:szCs w:val="20"/>
              </w:rPr>
              <w:t>4</w:t>
            </w:r>
          </w:p>
        </w:tc>
        <w:tc>
          <w:tcPr>
            <w:tcW w:w="0" w:type="auto"/>
            <w:noWrap/>
            <w:vAlign w:val="bottom"/>
            <w:hideMark/>
          </w:tcPr>
          <w:p w:rsidR="00000000" w:rsidRDefault="00F55F16">
            <w:pPr>
              <w:pStyle w:val="a3"/>
              <w:spacing w:before="0" w:beforeAutospacing="0" w:after="0" w:afterAutospacing="0"/>
              <w:rPr>
                <w:sz w:val="20"/>
                <w:szCs w:val="20"/>
              </w:rPr>
            </w:pPr>
            <w:r>
              <w:rPr>
                <w:b/>
                <w:bCs/>
                <w:sz w:val="20"/>
                <w:szCs w:val="20"/>
              </w:rPr>
              <w:t>)</w:t>
            </w:r>
          </w:p>
        </w:tc>
      </w:tr>
    </w:tbl>
    <w:p w:rsidR="00000000" w:rsidRDefault="00F55F16">
      <w:pPr>
        <w:pStyle w:val="a3"/>
        <w:spacing w:before="0" w:beforeAutospacing="0" w:after="0" w:afterAutospacing="0"/>
        <w:jc w:val="center"/>
        <w:rPr>
          <w:sz w:val="20"/>
          <w:szCs w:val="20"/>
        </w:rPr>
      </w:pPr>
      <w:r>
        <w:rPr>
          <w:sz w:val="20"/>
          <w:szCs w:val="20"/>
        </w:rPr>
        <w:lastRenderedPageBreak/>
        <w:t> </w: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F55F16">
      <w:pPr>
        <w:pStyle w:val="a3"/>
        <w:spacing w:before="240" w:beforeAutospacing="0" w:after="0" w:afterAutospacing="0"/>
        <w:jc w:val="center"/>
        <w:rPr>
          <w:sz w:val="20"/>
          <w:szCs w:val="20"/>
        </w:rPr>
      </w:pPr>
      <w:r>
        <w:rPr>
          <w:sz w:val="20"/>
          <w:szCs w:val="20"/>
        </w:rPr>
        <w:t>2</w:t>
      </w:r>
    </w:p>
    <w:p w:rsidR="00000000" w:rsidRDefault="00F55F16">
      <w:pPr>
        <w:rPr>
          <w:rFonts w:eastAsia="Times New Roman"/>
        </w:rPr>
      </w:pPr>
      <w:r>
        <w:rPr>
          <w:rFonts w:eastAsia="Times New Roman"/>
        </w:rPr>
        <w:pict>
          <v:rect id="_x0000_i1028"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p>
    <w:p w:rsidR="00000000" w:rsidRDefault="00F55F16">
      <w:pPr>
        <w:pStyle w:val="a3"/>
        <w:spacing w:before="0" w:beforeAutospacing="0" w:after="0" w:afterAutospacing="0"/>
        <w:jc w:val="center"/>
        <w:rPr>
          <w:sz w:val="20"/>
          <w:szCs w:val="20"/>
        </w:rPr>
      </w:pPr>
      <w:r>
        <w:rPr>
          <w:b/>
          <w:bCs/>
          <w:sz w:val="20"/>
          <w:szCs w:val="20"/>
        </w:rPr>
        <w:t>UNAUDITED CON</w:t>
      </w:r>
      <w:r>
        <w:rPr>
          <w:b/>
          <w:bCs/>
          <w:sz w:val="20"/>
          <w:szCs w:val="20"/>
        </w:rPr>
        <w:t>D</w:t>
      </w:r>
      <w:r>
        <w:rPr>
          <w:b/>
          <w:bCs/>
          <w:sz w:val="20"/>
          <w:szCs w:val="20"/>
        </w:rPr>
        <w:t>ENSED CONSOLIDATED STATEMENTS OF CONVERTIBLE AND REDEEMABLE SERIES A-2 PREFERRED STOCK AND STOCKHOLDERS’ EQUIT</w:t>
      </w:r>
      <w:r>
        <w:rPr>
          <w:b/>
          <w:bCs/>
          <w:sz w:val="20"/>
          <w:szCs w:val="20"/>
        </w:rPr>
        <w:t>Y</w:t>
      </w:r>
    </w:p>
    <w:p w:rsidR="00000000" w:rsidRDefault="00F55F16">
      <w:pPr>
        <w:pStyle w:val="a3"/>
        <w:spacing w:before="40" w:beforeAutospacing="0" w:after="0" w:afterAutospacing="0"/>
        <w:jc w:val="center"/>
        <w:rPr>
          <w:sz w:val="20"/>
          <w:szCs w:val="20"/>
        </w:rPr>
      </w:pPr>
      <w:r>
        <w:rPr>
          <w:b/>
          <w:bCs/>
          <w:sz w:val="20"/>
          <w:szCs w:val="20"/>
        </w:rPr>
        <w:t>(In thousands, except share data</w:t>
      </w:r>
      <w:r>
        <w:rPr>
          <w:b/>
          <w:bCs/>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8"/>
        <w:gridCol w:w="95"/>
        <w:gridCol w:w="95"/>
        <w:gridCol w:w="445"/>
        <w:gridCol w:w="95"/>
        <w:gridCol w:w="95"/>
        <w:gridCol w:w="130"/>
        <w:gridCol w:w="515"/>
        <w:gridCol w:w="95"/>
        <w:gridCol w:w="95"/>
        <w:gridCol w:w="95"/>
        <w:gridCol w:w="95"/>
        <w:gridCol w:w="690"/>
        <w:gridCol w:w="95"/>
        <w:gridCol w:w="95"/>
        <w:gridCol w:w="131"/>
        <w:gridCol w:w="466"/>
        <w:gridCol w:w="95"/>
        <w:gridCol w:w="131"/>
        <w:gridCol w:w="591"/>
        <w:gridCol w:w="107"/>
        <w:gridCol w:w="131"/>
        <w:gridCol w:w="730"/>
        <w:gridCol w:w="107"/>
        <w:gridCol w:w="132"/>
        <w:gridCol w:w="866"/>
        <w:gridCol w:w="107"/>
        <w:gridCol w:w="131"/>
        <w:gridCol w:w="751"/>
        <w:gridCol w:w="122"/>
      </w:tblGrid>
      <w:tr w:rsidR="00000000">
        <w:trPr>
          <w:tblCellSpacing w:w="15" w:type="dxa"/>
        </w:trPr>
        <w:tc>
          <w:tcPr>
            <w:tcW w:w="903" w:type="pct"/>
            <w:vAlign w:val="center"/>
            <w:hideMark/>
          </w:tcPr>
          <w:p w:rsidR="00000000" w:rsidRDefault="00F55F16">
            <w:pPr>
              <w:rPr>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1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3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5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0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6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7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2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7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40"/>
          <w:tblCellSpacing w:w="15" w:type="dxa"/>
        </w:trPr>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Othe</w:t>
            </w:r>
            <w:r>
              <w:rPr>
                <w:b/>
                <w:bCs/>
                <w:sz w:val="14"/>
                <w:szCs w:val="14"/>
              </w:rPr>
              <w:t>r</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F55F16">
            <w:pPr>
              <w:pStyle w:val="a3"/>
              <w:spacing w:before="0" w:beforeAutospacing="0" w:after="0" w:afterAutospacing="0"/>
              <w:jc w:val="center"/>
              <w:rPr>
                <w:sz w:val="14"/>
                <w:szCs w:val="14"/>
              </w:rPr>
            </w:pPr>
            <w:r>
              <w:rPr>
                <w:b/>
                <w:bCs/>
                <w:sz w:val="14"/>
                <w:szCs w:val="14"/>
              </w:rPr>
              <w:t>Convertible and Redeemabl</w:t>
            </w:r>
            <w:r>
              <w:rPr>
                <w:b/>
                <w:bCs/>
                <w:sz w:val="14"/>
                <w:szCs w:val="14"/>
              </w:rPr>
              <w:t>e</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Comprehensiv</w:t>
            </w:r>
            <w:r>
              <w:rPr>
                <w:b/>
                <w:bCs/>
                <w:sz w:val="14"/>
                <w:szCs w:val="14"/>
              </w:rPr>
              <w:t>e</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Tota</w:t>
            </w:r>
            <w:r>
              <w:rPr>
                <w:b/>
                <w:bCs/>
                <w:sz w:val="14"/>
                <w:szCs w:val="14"/>
              </w:rPr>
              <w:t>l</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6"/>
            <w:vAlign w:val="bottom"/>
            <w:hideMark/>
          </w:tcPr>
          <w:p w:rsidR="00000000" w:rsidRDefault="00F55F16">
            <w:pPr>
              <w:pStyle w:val="a3"/>
              <w:spacing w:before="0" w:beforeAutospacing="0" w:after="0" w:afterAutospacing="0"/>
              <w:jc w:val="center"/>
              <w:rPr>
                <w:sz w:val="14"/>
                <w:szCs w:val="14"/>
              </w:rPr>
            </w:pPr>
            <w:r>
              <w:rPr>
                <w:b/>
                <w:bCs/>
                <w:sz w:val="14"/>
                <w:szCs w:val="14"/>
              </w:rPr>
              <w:t>Series A-2 Preferred Stoc</w:t>
            </w:r>
            <w:r>
              <w:rPr>
                <w:b/>
                <w:bCs/>
                <w:sz w:val="14"/>
                <w:szCs w:val="14"/>
              </w:rPr>
              <w:t>k</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F55F16">
            <w:pPr>
              <w:pStyle w:val="a3"/>
              <w:spacing w:before="0" w:beforeAutospacing="0" w:after="0" w:afterAutospacing="0"/>
              <w:jc w:val="center"/>
              <w:rPr>
                <w:sz w:val="14"/>
                <w:szCs w:val="14"/>
              </w:rPr>
            </w:pPr>
            <w:r>
              <w:rPr>
                <w:b/>
                <w:bCs/>
                <w:sz w:val="14"/>
                <w:szCs w:val="14"/>
              </w:rPr>
              <w:t>Common Stoc</w:t>
            </w:r>
            <w:r>
              <w:rPr>
                <w:b/>
                <w:bCs/>
                <w:sz w:val="14"/>
                <w:szCs w:val="14"/>
              </w:rPr>
              <w:t>k</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Additiona</w:t>
            </w:r>
            <w:r>
              <w:rPr>
                <w:b/>
                <w:bCs/>
                <w:sz w:val="14"/>
                <w:szCs w:val="14"/>
              </w:rPr>
              <w:t>l</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Accumulate</w:t>
            </w:r>
            <w:r>
              <w:rPr>
                <w:b/>
                <w:bCs/>
                <w:sz w:val="14"/>
                <w:szCs w:val="14"/>
              </w:rPr>
              <w:t>d</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Incom</w:t>
            </w:r>
            <w:r>
              <w:rPr>
                <w:b/>
                <w:bCs/>
                <w:sz w:val="14"/>
                <w:szCs w:val="14"/>
              </w:rPr>
              <w:t>e</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Stockholders</w:t>
            </w:r>
            <w:r>
              <w:rPr>
                <w:b/>
                <w:bCs/>
                <w:sz w:val="14"/>
                <w:szCs w:val="14"/>
              </w:rPr>
              <w:t>'</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Share</w:t>
            </w:r>
            <w:r>
              <w:rPr>
                <w:b/>
                <w:bCs/>
                <w:sz w:val="14"/>
                <w:szCs w:val="14"/>
              </w:rPr>
              <w:t>s</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Amoun</w:t>
            </w:r>
            <w:r>
              <w:rPr>
                <w:b/>
                <w:bCs/>
                <w:sz w:val="14"/>
                <w:szCs w:val="14"/>
              </w:rPr>
              <w:t>t</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Paid-In Capita</w:t>
            </w:r>
            <w:r>
              <w:rPr>
                <w:b/>
                <w:bCs/>
                <w:sz w:val="14"/>
                <w:szCs w:val="14"/>
              </w:rPr>
              <w:t>l</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Defici</w:t>
            </w:r>
            <w:r>
              <w:rPr>
                <w:b/>
                <w:bCs/>
                <w:sz w:val="14"/>
                <w:szCs w:val="14"/>
              </w:rPr>
              <w:t>t</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(Loss</w:t>
            </w:r>
            <w:r>
              <w:rPr>
                <w:b/>
                <w:bCs/>
                <w:sz w:val="14"/>
                <w:szCs w:val="14"/>
              </w:rPr>
              <w:t>)</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center"/>
              <w:rPr>
                <w:sz w:val="14"/>
                <w:szCs w:val="14"/>
              </w:rPr>
            </w:pPr>
            <w:r>
              <w:rPr>
                <w:b/>
                <w:bCs/>
                <w:sz w:val="14"/>
                <w:szCs w:val="14"/>
              </w:rPr>
              <w:t>Equit</w:t>
            </w:r>
            <w:r>
              <w:rPr>
                <w:b/>
                <w:bCs/>
                <w:sz w:val="14"/>
                <w:szCs w:val="14"/>
              </w:rPr>
              <w:t>y</w:t>
            </w:r>
          </w:p>
        </w:tc>
        <w:tc>
          <w:tcPr>
            <w:tcW w:w="0" w:type="auto"/>
            <w:vAlign w:val="bottom"/>
            <w:hideMark/>
          </w:tcPr>
          <w:p w:rsidR="00000000" w:rsidRDefault="00F55F16">
            <w:pPr>
              <w:pStyle w:val="a3"/>
              <w:spacing w:before="0" w:beforeAutospacing="0" w:after="0" w:afterAutospacing="0"/>
              <w:jc w:val="center"/>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BALANCE—</w:t>
            </w:r>
            <w:r>
              <w:rPr>
                <w:sz w:val="14"/>
                <w:szCs w:val="14"/>
              </w:rPr>
              <w:t>December 31, 202</w:t>
            </w:r>
            <w:r>
              <w:rPr>
                <w:sz w:val="14"/>
                <w:szCs w:val="14"/>
              </w:rPr>
              <w:t>0</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17,50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152,92</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24,932,52</w:t>
            </w:r>
            <w:r>
              <w:rPr>
                <w:sz w:val="14"/>
                <w:szCs w:val="14"/>
              </w:rPr>
              <w:t>7</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259,42</w:t>
            </w:r>
            <w:r>
              <w:rPr>
                <w:sz w:val="14"/>
                <w:szCs w:val="14"/>
              </w:rPr>
              <w:t>7</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122,35</w:t>
            </w:r>
            <w:r>
              <w:rPr>
                <w:sz w:val="14"/>
                <w:szCs w:val="14"/>
              </w:rPr>
              <w:t>3</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7</w:t>
            </w:r>
            <w:r>
              <w:rPr>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137,14</w:t>
            </w:r>
            <w:r>
              <w:rPr>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12,93</w:t>
            </w:r>
            <w:r>
              <w:rPr>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12,93</w:t>
            </w:r>
            <w:r>
              <w:rPr>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1,80</w:t>
            </w:r>
            <w:r>
              <w:rPr>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1,80</w:t>
            </w:r>
            <w:r>
              <w:rPr>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506,33</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4,45</w:t>
            </w:r>
            <w:r>
              <w:rPr>
                <w:sz w:val="14"/>
                <w:szCs w:val="14"/>
              </w:rPr>
              <w:t>6</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4,45</w:t>
            </w:r>
            <w:r>
              <w:rPr>
                <w:sz w:val="14"/>
                <w:szCs w:val="14"/>
              </w:rPr>
              <w:t>6</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Accumulated other comprehensive</w:t>
            </w:r>
            <w:r>
              <w:rPr>
                <w:sz w:val="14"/>
                <w:szCs w:val="14"/>
              </w:rPr>
              <w:br/>
              <w:t>   incom</w:t>
            </w:r>
            <w:r>
              <w:rPr>
                <w:sz w:val="14"/>
                <w:szCs w:val="14"/>
              </w:rPr>
              <w:t>e</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w:t>
            </w:r>
            <w:r>
              <w:rPr>
                <w:sz w:val="14"/>
                <w:szCs w:val="14"/>
              </w:rPr>
              <w:t>9</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w:t>
            </w:r>
            <w:r>
              <w:rPr>
                <w:sz w:val="14"/>
                <w:szCs w:val="14"/>
              </w:rPr>
              <w:t>9</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b/>
                <w:bCs/>
                <w:sz w:val="14"/>
                <w:szCs w:val="14"/>
              </w:rPr>
              <w:t>BALANCE—March 31, 202</w:t>
            </w:r>
            <w:r>
              <w:rPr>
                <w:b/>
                <w:bCs/>
                <w:sz w:val="14"/>
                <w:szCs w:val="14"/>
              </w:rPr>
              <w:t>1</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25,438,85</w:t>
            </w:r>
            <w:r>
              <w:rPr>
                <w:b/>
                <w:bCs/>
                <w:sz w:val="14"/>
                <w:szCs w:val="14"/>
              </w:rPr>
              <w:t>7</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261,58</w:t>
            </w:r>
            <w:r>
              <w:rPr>
                <w:b/>
                <w:bCs/>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w:t>
            </w:r>
            <w:r>
              <w:rPr>
                <w:b/>
                <w:bCs/>
                <w:sz w:val="14"/>
                <w:szCs w:val="14"/>
              </w:rPr>
              <w:t>135,28</w:t>
            </w:r>
            <w:r>
              <w:rPr>
                <w:b/>
                <w:bCs/>
                <w:sz w:val="14"/>
                <w:szCs w:val="14"/>
              </w:rPr>
              <w:t>4</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10</w:t>
            </w:r>
            <w:r>
              <w:rPr>
                <w:b/>
                <w:bCs/>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126,40</w:t>
            </w:r>
            <w:r>
              <w:rPr>
                <w:b/>
                <w:bCs/>
                <w:sz w:val="14"/>
                <w:szCs w:val="14"/>
              </w:rPr>
              <w:t>4</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13,14</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13,14</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2,41</w:t>
            </w:r>
            <w:r>
              <w:rPr>
                <w:sz w:val="14"/>
                <w:szCs w:val="14"/>
              </w:rPr>
              <w:t>7</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2,41</w:t>
            </w:r>
            <w:r>
              <w:rPr>
                <w:sz w:val="14"/>
                <w:szCs w:val="14"/>
              </w:rPr>
              <w:t>7</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669,33</w:t>
            </w:r>
            <w:r>
              <w:rPr>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27,46</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27,46</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Accumulated other comprehensive</w:t>
            </w:r>
            <w:r>
              <w:rPr>
                <w:sz w:val="14"/>
                <w:szCs w:val="14"/>
              </w:rPr>
              <w:br/>
              <w:t>   incom</w:t>
            </w:r>
            <w:r>
              <w:rPr>
                <w:sz w:val="14"/>
                <w:szCs w:val="14"/>
              </w:rPr>
              <w:t>e</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b/>
                <w:bCs/>
                <w:sz w:val="14"/>
                <w:szCs w:val="14"/>
              </w:rPr>
              <w:t>BALANCE—</w:t>
            </w:r>
            <w:r>
              <w:rPr>
                <w:b/>
                <w:bCs/>
                <w:sz w:val="14"/>
                <w:szCs w:val="14"/>
              </w:rPr>
              <w:t>June 30, 202</w:t>
            </w:r>
            <w:r>
              <w:rPr>
                <w:b/>
                <w:bCs/>
                <w:sz w:val="14"/>
                <w:szCs w:val="14"/>
              </w:rPr>
              <w:t>1</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26,108,18</w:t>
            </w:r>
            <w:r>
              <w:rPr>
                <w:b/>
                <w:bCs/>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287,36</w:t>
            </w:r>
            <w:r>
              <w:rPr>
                <w:b/>
                <w:bCs/>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w:t>
            </w:r>
            <w:r>
              <w:rPr>
                <w:b/>
                <w:bCs/>
                <w:sz w:val="14"/>
                <w:szCs w:val="14"/>
              </w:rPr>
              <w:t>148,43</w:t>
            </w:r>
            <w:r>
              <w:rPr>
                <w:b/>
                <w:bCs/>
                <w:sz w:val="14"/>
                <w:szCs w:val="14"/>
              </w:rPr>
              <w:t>2</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12</w:t>
            </w:r>
            <w:r>
              <w:rPr>
                <w:b/>
                <w:bCs/>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139,06</w:t>
            </w:r>
            <w:r>
              <w:rPr>
                <w:b/>
                <w:bCs/>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BALANCE—December 31, 202</w:t>
            </w:r>
            <w:r>
              <w:rPr>
                <w:sz w:val="14"/>
                <w:szCs w:val="14"/>
              </w:rPr>
              <w:t>1</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17,50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152,92</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29,619,92</w:t>
            </w:r>
            <w:r>
              <w:rPr>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464,14</w:t>
            </w:r>
            <w:r>
              <w:rPr>
                <w:sz w:val="14"/>
                <w:szCs w:val="14"/>
              </w:rPr>
              <w:t>3</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147,67</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3</w:t>
            </w:r>
            <w:r>
              <w:rPr>
                <w:sz w:val="14"/>
                <w:szCs w:val="14"/>
              </w:rPr>
              <w:t>6</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316,50</w:t>
            </w:r>
            <w:r>
              <w:rPr>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7,53</w:t>
            </w:r>
            <w:r>
              <w:rPr>
                <w:sz w:val="14"/>
                <w:szCs w:val="14"/>
              </w:rPr>
              <w:t>6</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7,53</w:t>
            </w:r>
            <w:r>
              <w:rPr>
                <w:sz w:val="14"/>
                <w:szCs w:val="14"/>
              </w:rPr>
              <w:t>6</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10,42</w:t>
            </w:r>
            <w:r>
              <w:rPr>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10,42</w:t>
            </w:r>
            <w:r>
              <w:rPr>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55,89</w:t>
            </w:r>
            <w:r>
              <w:rPr>
                <w:sz w:val="14"/>
                <w:szCs w:val="14"/>
              </w:rPr>
              <w:t>6</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42</w:t>
            </w:r>
            <w:r>
              <w:rPr>
                <w:sz w:val="14"/>
                <w:szCs w:val="14"/>
              </w:rPr>
              <w:t>9</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42</w:t>
            </w:r>
            <w:r>
              <w:rPr>
                <w:sz w:val="14"/>
                <w:szCs w:val="14"/>
              </w:rPr>
              <w:t>9</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lastRenderedPageBreak/>
              <w:t>Accumulated other comprehensive</w:t>
            </w:r>
            <w:r>
              <w:rPr>
                <w:sz w:val="14"/>
                <w:szCs w:val="14"/>
              </w:rPr>
              <w:br/>
              <w:t>   incom</w:t>
            </w:r>
            <w:r>
              <w:rPr>
                <w:sz w:val="14"/>
                <w:szCs w:val="14"/>
              </w:rPr>
              <w:t>e</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4</w:t>
            </w:r>
            <w:r>
              <w:rPr>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4</w:t>
            </w:r>
            <w:r>
              <w:rPr>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b/>
                <w:bCs/>
                <w:sz w:val="14"/>
                <w:szCs w:val="14"/>
              </w:rPr>
              <w:t>BALANCE—March 31, 202</w:t>
            </w:r>
            <w:r>
              <w:rPr>
                <w:b/>
                <w:bCs/>
                <w:sz w:val="14"/>
                <w:szCs w:val="14"/>
              </w:rPr>
              <w:t>2</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29,675,81</w:t>
            </w:r>
            <w:r>
              <w:rPr>
                <w:b/>
                <w:bCs/>
                <w:sz w:val="14"/>
                <w:szCs w:val="14"/>
              </w:rPr>
              <w:t>7</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470,89</w:t>
            </w:r>
            <w:r>
              <w:rPr>
                <w:b/>
                <w:bCs/>
                <w:sz w:val="14"/>
                <w:szCs w:val="14"/>
              </w:rPr>
              <w:t>7</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w:t>
            </w:r>
            <w:r>
              <w:rPr>
                <w:b/>
                <w:bCs/>
                <w:sz w:val="14"/>
                <w:szCs w:val="14"/>
              </w:rPr>
              <w:t>155,21</w:t>
            </w:r>
            <w:r>
              <w:rPr>
                <w:b/>
                <w:bCs/>
                <w:sz w:val="14"/>
                <w:szCs w:val="14"/>
              </w:rPr>
              <w:t>4</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8</w:t>
            </w:r>
            <w:r>
              <w:rPr>
                <w:b/>
                <w:bCs/>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315,76</w:t>
            </w:r>
            <w:r>
              <w:rPr>
                <w:b/>
                <w:bCs/>
                <w:sz w:val="14"/>
                <w:szCs w:val="14"/>
              </w:rPr>
              <w:t>4</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Net los</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7,75</w:t>
            </w:r>
            <w:r>
              <w:rPr>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7,75</w:t>
            </w:r>
            <w:r>
              <w:rPr>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Stock-based compensatio</w:t>
            </w:r>
            <w:r>
              <w:rPr>
                <w:sz w:val="14"/>
                <w:szCs w:val="14"/>
              </w:rPr>
              <w:t>n</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10,93</w:t>
            </w:r>
            <w:r>
              <w:rPr>
                <w:sz w:val="14"/>
                <w:szCs w:val="14"/>
              </w:rPr>
              <w:t>2</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10,93</w:t>
            </w:r>
            <w:r>
              <w:rPr>
                <w:sz w:val="14"/>
                <w:szCs w:val="14"/>
              </w:rPr>
              <w:t>2</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Dividend payment to the Series A-2</w:t>
            </w:r>
            <w:r>
              <w:rPr>
                <w:sz w:val="14"/>
                <w:szCs w:val="14"/>
              </w:rPr>
              <w:br/>
              <w:t>   preferred shareholder</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4,10</w:t>
            </w:r>
            <w:r>
              <w:rPr>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Common stock issue</w:t>
            </w:r>
            <w:r>
              <w:rPr>
                <w:sz w:val="14"/>
                <w:szCs w:val="14"/>
              </w:rPr>
              <w:t>d</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3,57</w:t>
            </w:r>
            <w:r>
              <w:rPr>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5</w:t>
            </w:r>
            <w:r>
              <w:rPr>
                <w:sz w:val="14"/>
                <w:szCs w:val="14"/>
              </w:rPr>
              <w:t>4</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5</w:t>
            </w:r>
            <w:r>
              <w:rPr>
                <w:sz w:val="14"/>
                <w:szCs w:val="14"/>
              </w:rPr>
              <w:t>4</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Accumulated other comprehensive</w:t>
            </w:r>
            <w:r>
              <w:rPr>
                <w:sz w:val="14"/>
                <w:szCs w:val="14"/>
              </w:rPr>
              <w:br/>
              <w:t>   los</w:t>
            </w:r>
            <w:r>
              <w:rPr>
                <w:sz w:val="14"/>
                <w:szCs w:val="14"/>
              </w:rPr>
              <w:t>s</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4"/>
                <w:szCs w:val="14"/>
              </w:rPr>
              <w:t>(</w:t>
            </w:r>
            <w:r>
              <w:rPr>
                <w:sz w:val="14"/>
                <w:szCs w:val="14"/>
              </w:rPr>
              <w:t>4</w:t>
            </w:r>
            <w:r>
              <w:rPr>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w:t>
            </w:r>
          </w:p>
        </w:tc>
      </w:tr>
      <w:tr w:rsidR="00000000">
        <w:trPr>
          <w:trHeight w:val="140"/>
          <w:tblCellSpacing w:w="15" w:type="dxa"/>
        </w:trPr>
        <w:tc>
          <w:tcPr>
            <w:tcW w:w="0" w:type="auto"/>
            <w:hideMark/>
          </w:tcPr>
          <w:p w:rsidR="00000000" w:rsidRDefault="00F55F16">
            <w:pPr>
              <w:pStyle w:val="a3"/>
              <w:spacing w:before="0" w:beforeAutospacing="0" w:after="0" w:afterAutospacing="0"/>
              <w:rPr>
                <w:sz w:val="14"/>
                <w:szCs w:val="14"/>
              </w:rPr>
            </w:pPr>
            <w:r>
              <w:rPr>
                <w:b/>
                <w:bCs/>
                <w:sz w:val="14"/>
                <w:szCs w:val="14"/>
              </w:rPr>
              <w:t>BALANCE—June 30, 202</w:t>
            </w:r>
            <w:r>
              <w:rPr>
                <w:b/>
                <w:bCs/>
                <w:sz w:val="14"/>
                <w:szCs w:val="14"/>
              </w:rPr>
              <w:t>2</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17,50</w:t>
            </w:r>
            <w:r>
              <w:rPr>
                <w:b/>
                <w:bCs/>
                <w:sz w:val="14"/>
                <w:szCs w:val="14"/>
              </w:rPr>
              <w:t>0</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152,92</w:t>
            </w:r>
            <w:r>
              <w:rPr>
                <w:b/>
                <w:bCs/>
                <w:sz w:val="14"/>
                <w:szCs w:val="14"/>
              </w:rPr>
              <w:t>8</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29,679,39</w:t>
            </w:r>
            <w:r>
              <w:rPr>
                <w:b/>
                <w:bCs/>
                <w:sz w:val="14"/>
                <w:szCs w:val="14"/>
              </w:rPr>
              <w:t>2</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477,78</w:t>
            </w:r>
            <w:r>
              <w:rPr>
                <w:b/>
                <w:bCs/>
                <w:sz w:val="14"/>
                <w:szCs w:val="14"/>
              </w:rPr>
              <w:t>3</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w:t>
            </w:r>
            <w:r>
              <w:rPr>
                <w:b/>
                <w:bCs/>
                <w:sz w:val="14"/>
                <w:szCs w:val="14"/>
              </w:rPr>
              <w:t>162,96</w:t>
            </w:r>
            <w:r>
              <w:rPr>
                <w:b/>
                <w:bCs/>
                <w:sz w:val="14"/>
                <w:szCs w:val="14"/>
              </w:rPr>
              <w:t>5</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3</w:t>
            </w:r>
            <w:r>
              <w:rPr>
                <w:b/>
                <w:bCs/>
                <w:sz w:val="14"/>
                <w:szCs w:val="14"/>
              </w:rPr>
              <w:t>3</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noWrap/>
            <w:vAlign w:val="bottom"/>
            <w:hideMark/>
          </w:tcPr>
          <w:p w:rsidR="00000000" w:rsidRDefault="00F55F16">
            <w:pPr>
              <w:pStyle w:val="a3"/>
              <w:spacing w:before="0" w:beforeAutospacing="0" w:after="0" w:afterAutospacing="0"/>
              <w:rPr>
                <w:sz w:val="14"/>
                <w:szCs w:val="14"/>
              </w:rPr>
            </w:pPr>
            <w:r>
              <w:rPr>
                <w:b/>
                <w:bCs/>
                <w:sz w:val="14"/>
                <w:szCs w:val="14"/>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4"/>
                <w:szCs w:val="14"/>
              </w:rPr>
              <w:t>314,85</w:t>
            </w:r>
            <w:r>
              <w:rPr>
                <w:b/>
                <w:bCs/>
                <w:sz w:val="14"/>
                <w:szCs w:val="14"/>
              </w:rPr>
              <w:t>1</w:t>
            </w:r>
          </w:p>
        </w:tc>
        <w:tc>
          <w:tcPr>
            <w:tcW w:w="0" w:type="auto"/>
            <w:noWrap/>
            <w:vAlign w:val="bottom"/>
            <w:hideMark/>
          </w:tcPr>
          <w:p w:rsidR="00000000" w:rsidRDefault="00F55F16">
            <w:pPr>
              <w:pStyle w:val="a3"/>
              <w:spacing w:before="0" w:beforeAutospacing="0" w:after="0" w:afterAutospacing="0"/>
              <w:rPr>
                <w:sz w:val="14"/>
                <w:szCs w:val="14"/>
              </w:rPr>
            </w:pPr>
            <w:r>
              <w:rPr>
                <w:sz w:val="14"/>
                <w:szCs w:val="14"/>
              </w:rPr>
              <w:t> </w:t>
            </w:r>
          </w:p>
        </w:tc>
      </w:tr>
      <w:tr w:rsidR="00000000">
        <w:trPr>
          <w:tblCellSpacing w:w="15" w:type="dxa"/>
        </w:trPr>
        <w:tc>
          <w:tcPr>
            <w:tcW w:w="0" w:type="auto"/>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jc w:val="right"/>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jc w:val="right"/>
              <w:rPr>
                <w:sz w:val="14"/>
                <w:szCs w:val="14"/>
              </w:rPr>
            </w:pPr>
            <w:r>
              <w:rPr>
                <w:sz w:val="14"/>
                <w:szCs w:val="14"/>
              </w:rPr>
              <w:t> </w:t>
            </w:r>
          </w:p>
        </w:tc>
      </w:tr>
    </w:tbl>
    <w:p w:rsidR="00000000" w:rsidRDefault="00F55F16">
      <w:pPr>
        <w:pStyle w:val="a3"/>
        <w:spacing w:before="40" w:beforeAutospacing="0" w:after="0" w:afterAutospacing="0"/>
        <w:jc w:val="center"/>
        <w:rPr>
          <w:sz w:val="20"/>
          <w:szCs w:val="20"/>
        </w:rPr>
      </w:pPr>
      <w:r>
        <w:rPr>
          <w:sz w:val="20"/>
          <w:szCs w:val="20"/>
        </w:rPr>
        <w:t> </w:t>
      </w:r>
    </w:p>
    <w:p w:rsidR="00000000" w:rsidRDefault="00F55F16">
      <w:pPr>
        <w:pStyle w:val="a3"/>
        <w:spacing w:before="40" w:beforeAutospacing="0" w:after="0" w:afterAutospacing="0"/>
        <w:jc w:val="center"/>
        <w:rPr>
          <w:sz w:val="20"/>
          <w:szCs w:val="20"/>
        </w:rPr>
      </w:pPr>
      <w:r>
        <w:rPr>
          <w:sz w:val="20"/>
          <w:szCs w:val="20"/>
        </w:rPr>
        <w:t> </w:t>
      </w:r>
    </w:p>
    <w:p w:rsidR="00000000" w:rsidRDefault="00F55F16">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F55F16">
      <w:pPr>
        <w:pStyle w:val="a3"/>
        <w:spacing w:before="240" w:beforeAutospacing="0" w:after="0" w:afterAutospacing="0"/>
        <w:jc w:val="center"/>
        <w:rPr>
          <w:sz w:val="20"/>
          <w:szCs w:val="20"/>
        </w:rPr>
      </w:pPr>
      <w:r>
        <w:rPr>
          <w:sz w:val="20"/>
          <w:szCs w:val="20"/>
        </w:rPr>
        <w:t>3</w:t>
      </w:r>
    </w:p>
    <w:p w:rsidR="00000000" w:rsidRDefault="00F55F16">
      <w:pPr>
        <w:rPr>
          <w:rFonts w:eastAsia="Times New Roman"/>
        </w:rPr>
      </w:pPr>
      <w:r>
        <w:rPr>
          <w:rFonts w:eastAsia="Times New Roman"/>
        </w:rPr>
        <w:pict>
          <v:rect id="_x0000_i1029"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F55F16">
      <w:pPr>
        <w:pStyle w:val="a3"/>
        <w:spacing w:before="0" w:beforeAutospacing="0" w:after="0" w:afterAutospacing="0"/>
        <w:jc w:val="center"/>
        <w:rPr>
          <w:sz w:val="20"/>
          <w:szCs w:val="20"/>
        </w:rPr>
      </w:pPr>
      <w:r>
        <w:rPr>
          <w:b/>
          <w:bCs/>
          <w:sz w:val="20"/>
          <w:szCs w:val="20"/>
        </w:rPr>
        <w:t>UNAU</w:t>
      </w:r>
      <w:r>
        <w:rPr>
          <w:b/>
          <w:bCs/>
          <w:sz w:val="20"/>
          <w:szCs w:val="20"/>
        </w:rPr>
        <w:t>D</w:t>
      </w:r>
      <w:r>
        <w:rPr>
          <w:b/>
          <w:bCs/>
          <w:sz w:val="20"/>
          <w:szCs w:val="20"/>
        </w:rPr>
        <w:t>ITED CONDENSED CONSOLID</w:t>
      </w:r>
      <w:r>
        <w:rPr>
          <w:b/>
          <w:bCs/>
          <w:sz w:val="20"/>
          <w:szCs w:val="20"/>
        </w:rPr>
        <w:t>A</w:t>
      </w:r>
      <w:r>
        <w:rPr>
          <w:b/>
          <w:bCs/>
          <w:sz w:val="20"/>
          <w:szCs w:val="20"/>
        </w:rPr>
        <w:t>TED STATEMENTS OF CASH FLOW</w:t>
      </w:r>
      <w:r>
        <w:rPr>
          <w:b/>
          <w:bCs/>
          <w:sz w:val="20"/>
          <w:szCs w:val="20"/>
        </w:rPr>
        <w:t>S</w:t>
      </w:r>
    </w:p>
    <w:p w:rsidR="00000000" w:rsidRDefault="00F55F16">
      <w:pPr>
        <w:pStyle w:val="a3"/>
        <w:spacing w:before="0" w:beforeAutospacing="0" w:after="0" w:afterAutospacing="0"/>
        <w:jc w:val="center"/>
        <w:rPr>
          <w:sz w:val="20"/>
          <w:szCs w:val="20"/>
        </w:rPr>
      </w:pPr>
      <w:r>
        <w:rPr>
          <w:b/>
          <w:bCs/>
          <w:sz w:val="20"/>
          <w:szCs w:val="20"/>
        </w:rPr>
        <w:t>(In thousands</w:t>
      </w:r>
      <w:r>
        <w:rPr>
          <w:b/>
          <w:bCs/>
          <w:sz w:val="20"/>
          <w:szCs w:val="20"/>
        </w:rPr>
        <w:t>)</w: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78"/>
        <w:gridCol w:w="133"/>
        <w:gridCol w:w="150"/>
        <w:gridCol w:w="1041"/>
        <w:gridCol w:w="120"/>
        <w:gridCol w:w="134"/>
        <w:gridCol w:w="150"/>
        <w:gridCol w:w="1065"/>
        <w:gridCol w:w="135"/>
      </w:tblGrid>
      <w:tr w:rsidR="00000000">
        <w:trPr>
          <w:tblCellSpacing w:w="15" w:type="dxa"/>
        </w:trPr>
        <w:tc>
          <w:tcPr>
            <w:tcW w:w="3341" w:type="pct"/>
            <w:vAlign w:val="center"/>
            <w:hideMark/>
          </w:tcPr>
          <w:p w:rsidR="00000000" w:rsidRDefault="00F55F16">
            <w:pPr>
              <w:rPr>
                <w:sz w:val="20"/>
                <w:szCs w:val="20"/>
              </w:rPr>
            </w:pPr>
          </w:p>
        </w:tc>
        <w:tc>
          <w:tcPr>
            <w:tcW w:w="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4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5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OPERATING ACTIVITIES</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Net los</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15,28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26,07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Adjustments to reconcile net loss to net cash used in operating activities</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Provision for bad deb</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Depreciation and amortizatio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24,42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21,67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Amortization of right-of-use asse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Stock-based compensation expens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21,35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4,22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Fair value changes in financial instrument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2,85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Fair value changes in business acquisition contingencie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3,53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24,03</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Deferred income taxe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Debt extinguishment cost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4,05</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Othe</w:t>
            </w:r>
            <w:r>
              <w:rPr>
                <w:sz w:val="18"/>
                <w:szCs w:val="18"/>
              </w:rPr>
              <w:t>r</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Changes in operating assets and liabilities—net of acquisitions</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600"/>
              <w:rPr>
                <w:sz w:val="18"/>
                <w:szCs w:val="18"/>
              </w:rPr>
            </w:pPr>
            <w:r>
              <w:rPr>
                <w:sz w:val="18"/>
                <w:szCs w:val="18"/>
              </w:rPr>
              <w:t>Accounts receivable and contract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8,24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31,00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600"/>
              <w:rPr>
                <w:sz w:val="18"/>
                <w:szCs w:val="18"/>
              </w:rPr>
            </w:pPr>
            <w:r>
              <w:rPr>
                <w:sz w:val="18"/>
                <w:szCs w:val="18"/>
              </w:rPr>
              <w:t>Prepaid expenses and other current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43</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600"/>
              <w:rPr>
                <w:sz w:val="18"/>
                <w:szCs w:val="18"/>
              </w:rPr>
            </w:pPr>
            <w:r>
              <w:rPr>
                <w:sz w:val="18"/>
                <w:szCs w:val="18"/>
              </w:rPr>
              <w:t>Accounts payable and other accrued liabilitie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10,17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1,78</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600"/>
              <w:rPr>
                <w:sz w:val="18"/>
                <w:szCs w:val="18"/>
              </w:rPr>
            </w:pPr>
            <w:r>
              <w:rPr>
                <w:sz w:val="18"/>
                <w:szCs w:val="18"/>
              </w:rPr>
              <w:t>Accrued payroll and benefit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7,79</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2,84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600"/>
              <w:rPr>
                <w:sz w:val="18"/>
                <w:szCs w:val="18"/>
              </w:rPr>
            </w:pPr>
            <w:r>
              <w:rPr>
                <w:sz w:val="18"/>
                <w:szCs w:val="18"/>
              </w:rPr>
              <w:t>Payment of contingent consideratio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19,45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15,54</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600"/>
              <w:rPr>
                <w:sz w:val="18"/>
                <w:szCs w:val="18"/>
              </w:rPr>
            </w:pPr>
            <w:r>
              <w:rPr>
                <w:sz w:val="18"/>
                <w:szCs w:val="18"/>
              </w:rPr>
              <w:t>Other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600"/>
              <w:rPr>
                <w:sz w:val="18"/>
                <w:szCs w:val="18"/>
              </w:rPr>
            </w:pPr>
            <w:r>
              <w:rPr>
                <w:sz w:val="18"/>
                <w:szCs w:val="18"/>
              </w:rPr>
              <w:t>Change in operating lease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4,32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3,93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800"/>
              <w:rPr>
                <w:sz w:val="18"/>
                <w:szCs w:val="18"/>
              </w:rPr>
            </w:pPr>
            <w:r>
              <w:rPr>
                <w:sz w:val="18"/>
                <w:szCs w:val="18"/>
              </w:rPr>
              <w:t>Net cash used in operating activitie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2,94</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17,04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INVESTING ACTIVITIES</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Purchases of property and equipmen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3,50</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2,35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Proceeds received from corporate owned insuranc</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Proprietary software development and other software cost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14</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20</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Purchase price true up</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63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8,37</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Cash paid for acquisitions—</w:t>
            </w:r>
            <w:r>
              <w:rPr>
                <w:sz w:val="18"/>
                <w:szCs w:val="18"/>
              </w:rPr>
              <w:t>net of cash acquire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14,32</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14,87</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800"/>
              <w:rPr>
                <w:sz w:val="18"/>
                <w:szCs w:val="18"/>
              </w:rPr>
            </w:pPr>
            <w:r>
              <w:rPr>
                <w:sz w:val="18"/>
                <w:szCs w:val="18"/>
              </w:rPr>
              <w:t>Net cash used in investing activitie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18,33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25,81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FINANCING ACTIVITIES</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Proceeds from line of credi</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105,00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Payments on line of credi</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40,00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Proceeds from term loan</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175,00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Repayment of term loa</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6,56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173,90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Payment of contingent consideratio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10,72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9,60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Repayment of finance lease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1,91</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1,14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Debt issuance cost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2,59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Proceeds from issuance of common stock for exercised stock option</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48</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Dividend payment to the Series A-2 shareholder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Payments of deferred offering cost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18</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800"/>
              <w:rPr>
                <w:sz w:val="18"/>
                <w:szCs w:val="18"/>
              </w:rPr>
            </w:pPr>
            <w:r>
              <w:rPr>
                <w:sz w:val="18"/>
                <w:szCs w:val="18"/>
              </w:rPr>
              <w:t>Net cash (used in) provided by financing activitie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27,09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47,64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CHANGE IN CASH, CASH EQUIVALENTS AND RESTRICTED CAS</w:t>
            </w:r>
            <w:r>
              <w:rPr>
                <w:sz w:val="18"/>
                <w:szCs w:val="18"/>
              </w:rPr>
              <w:t>H</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48,36</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4,78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Foreign exchange impact on cash balanc</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52</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CASH, CASH EQUIVALENTS AND RESTRICTED CASH</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Beginning of yea</w:t>
            </w:r>
            <w:r>
              <w:rPr>
                <w:sz w:val="18"/>
                <w:szCs w:val="18"/>
              </w:rPr>
              <w:t>r</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146,74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34,88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End of perio</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98,41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40,18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SUPPLEMENTAL DISCLOSURES OF CASH FLOWS INFORMATION</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Cash paid for interes</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3,39</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Cash paid for income ta</w:t>
            </w:r>
            <w:r>
              <w:rPr>
                <w:sz w:val="18"/>
                <w:szCs w:val="18"/>
              </w:rPr>
              <w:t>x</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69</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SUPPLEMENTAL DISCLOSURES OF NON-CASH INVESTING AND FINANCING ACTIVITIES</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Accrued purchases of property and equipmen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1,40</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Property and equipment purchased under finance lease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1,27</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Common stock issued to acquire new businesse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Acquisitions unpaid contingent consideratio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6,37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31,15</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ind w:left="400"/>
              <w:rPr>
                <w:sz w:val="18"/>
                <w:szCs w:val="18"/>
              </w:rPr>
            </w:pPr>
            <w:r>
              <w:rPr>
                <w:sz w:val="18"/>
                <w:szCs w:val="18"/>
              </w:rPr>
              <w:t>Acquisitions contingent consideration paid in share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F55F16">
            <w:pPr>
              <w:pStyle w:val="a3"/>
              <w:spacing w:before="0" w:beforeAutospacing="0" w:after="0" w:afterAutospacing="0"/>
              <w:rPr>
                <w:sz w:val="14"/>
                <w:szCs w:val="14"/>
              </w:rPr>
            </w:pPr>
            <w:r>
              <w:rPr>
                <w:sz w:val="14"/>
                <w:szCs w:val="14"/>
              </w:rPr>
              <w:t> </w:t>
            </w:r>
          </w:p>
        </w:tc>
        <w:tc>
          <w:tcPr>
            <w:tcW w:w="0" w:type="auto"/>
            <w:vAlign w:val="bottom"/>
            <w:hideMark/>
          </w:tcPr>
          <w:p w:rsidR="00000000" w:rsidRDefault="00F55F16">
            <w:pPr>
              <w:pStyle w:val="a3"/>
              <w:spacing w:before="0" w:beforeAutospacing="0" w:after="0" w:afterAutospacing="0"/>
              <w:rPr>
                <w:sz w:val="14"/>
                <w:szCs w:val="14"/>
              </w:rPr>
            </w:pPr>
            <w:r>
              <w:rPr>
                <w:sz w:val="14"/>
                <w:szCs w:val="14"/>
              </w:rPr>
              <w:t> </w:t>
            </w:r>
          </w:p>
        </w:tc>
      </w:tr>
    </w:tbl>
    <w:p w:rsidR="00000000" w:rsidRDefault="00F55F16">
      <w:pPr>
        <w:pStyle w:val="a3"/>
        <w:spacing w:before="40" w:beforeAutospacing="0" w:after="0" w:afterAutospacing="0"/>
        <w:jc w:val="center"/>
        <w:rPr>
          <w:sz w:val="20"/>
          <w:szCs w:val="20"/>
        </w:rPr>
      </w:pPr>
      <w:r>
        <w:rPr>
          <w:sz w:val="20"/>
          <w:szCs w:val="20"/>
        </w:rPr>
        <w:t>The accompanying notes are an integral part of these unaudited condensed consolidated financial statements</w:t>
      </w:r>
      <w:r>
        <w:rPr>
          <w:sz w:val="20"/>
          <w:szCs w:val="20"/>
        </w:rPr>
        <w:t>.</w:t>
      </w:r>
    </w:p>
    <w:p w:rsidR="00000000" w:rsidRDefault="00F55F16">
      <w:pPr>
        <w:pStyle w:val="a3"/>
        <w:spacing w:before="240" w:beforeAutospacing="0" w:after="0" w:afterAutospacing="0"/>
        <w:jc w:val="center"/>
        <w:rPr>
          <w:sz w:val="20"/>
          <w:szCs w:val="20"/>
        </w:rPr>
      </w:pPr>
      <w:r>
        <w:rPr>
          <w:sz w:val="20"/>
          <w:szCs w:val="20"/>
        </w:rPr>
        <w:t>4</w:t>
      </w:r>
    </w:p>
    <w:p w:rsidR="00000000" w:rsidRDefault="00F55F16">
      <w:pPr>
        <w:rPr>
          <w:rFonts w:eastAsia="Times New Roman"/>
        </w:rPr>
      </w:pPr>
      <w:r>
        <w:rPr>
          <w:rFonts w:eastAsia="Times New Roman"/>
        </w:rPr>
        <w:pict>
          <v:rect id="_x0000_i1030"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MONTROSE ENVIRONMENTAL GROUP, INC</w:t>
      </w:r>
      <w:r>
        <w:rPr>
          <w:b/>
          <w:bCs/>
          <w:sz w:val="20"/>
          <w:szCs w:val="20"/>
        </w:rPr>
        <w:t>.</w:t>
      </w:r>
      <w:r>
        <w:rPr>
          <w:b/>
          <w:bCs/>
          <w:sz w:val="20"/>
          <w:szCs w:val="20"/>
        </w:rPr>
        <w:t xml:space="preserve"> </w:t>
      </w:r>
    </w:p>
    <w:p w:rsidR="00000000" w:rsidRDefault="00F55F16">
      <w:pPr>
        <w:pStyle w:val="a3"/>
        <w:spacing w:before="0" w:beforeAutospacing="0" w:after="0" w:afterAutospacing="0"/>
        <w:jc w:val="center"/>
        <w:rPr>
          <w:sz w:val="20"/>
          <w:szCs w:val="20"/>
        </w:rPr>
      </w:pPr>
      <w:r>
        <w:rPr>
          <w:b/>
          <w:bCs/>
          <w:sz w:val="20"/>
          <w:szCs w:val="20"/>
        </w:rPr>
        <w:t>NOTES TO UNAUDITED CONDENSED CONSOLIDATED FINANCIAL STATEMENT</w:t>
      </w:r>
      <w:r>
        <w:rPr>
          <w:b/>
          <w:bCs/>
          <w:sz w:val="20"/>
          <w:szCs w:val="20"/>
        </w:rPr>
        <w:t>S</w:t>
      </w:r>
    </w:p>
    <w:p w:rsidR="00000000" w:rsidRDefault="00F55F16">
      <w:pPr>
        <w:pStyle w:val="a3"/>
        <w:spacing w:before="0" w:beforeAutospacing="0" w:after="0" w:afterAutospacing="0"/>
        <w:jc w:val="center"/>
        <w:rPr>
          <w:sz w:val="20"/>
          <w:szCs w:val="20"/>
        </w:rPr>
      </w:pPr>
      <w:r>
        <w:rPr>
          <w:b/>
          <w:bCs/>
          <w:sz w:val="20"/>
          <w:szCs w:val="20"/>
        </w:rPr>
        <w:t>(In thousands, except where otherwise indicated</w:t>
      </w:r>
      <w:r>
        <w:rPr>
          <w:b/>
          <w:bCs/>
          <w:sz w:val="20"/>
          <w:szCs w:val="20"/>
        </w:rPr>
        <w:t>)</w:t>
      </w:r>
    </w:p>
    <w:p w:rsidR="00000000" w:rsidRDefault="00F55F16">
      <w:pPr>
        <w:pStyle w:val="a3"/>
        <w:spacing w:before="240" w:beforeAutospacing="0" w:after="0" w:afterAutospacing="0"/>
        <w:divId w:val="650600985"/>
        <w:rPr>
          <w:sz w:val="20"/>
          <w:szCs w:val="20"/>
        </w:rPr>
      </w:pPr>
      <w:r>
        <w:rPr>
          <w:b/>
          <w:bCs/>
          <w:sz w:val="20"/>
          <w:szCs w:val="20"/>
        </w:rPr>
        <w:t>1. DESCRIPTION OF THE BUSINESS AND BASIS OF PRESENTATIO</w:t>
      </w:r>
      <w:r>
        <w:rPr>
          <w:b/>
          <w:bCs/>
          <w:sz w:val="20"/>
          <w:szCs w:val="20"/>
        </w:rPr>
        <w:t>N</w:t>
      </w:r>
    </w:p>
    <w:p w:rsidR="00000000" w:rsidRDefault="00F55F16">
      <w:pPr>
        <w:pStyle w:val="a3"/>
        <w:spacing w:before="240" w:beforeAutospacing="0" w:after="0" w:afterAutospacing="0"/>
        <w:ind w:firstLine="555"/>
        <w:divId w:val="650600985"/>
        <w:rPr>
          <w:sz w:val="20"/>
          <w:szCs w:val="20"/>
        </w:rPr>
      </w:pPr>
      <w:r>
        <w:rPr>
          <w:b/>
          <w:bCs/>
          <w:sz w:val="20"/>
          <w:szCs w:val="20"/>
        </w:rPr>
        <w:t>Description of the Busines</w:t>
      </w:r>
      <w:r>
        <w:rPr>
          <w:b/>
          <w:bCs/>
          <w:sz w:val="20"/>
          <w:szCs w:val="20"/>
        </w:rPr>
        <w:t>s</w:t>
      </w:r>
      <w:r>
        <w:rPr>
          <w:sz w:val="20"/>
          <w:szCs w:val="20"/>
        </w:rPr>
        <w:t>—Montrose Environmental Group, Inc. (“Montrose” or the “Comp</w:t>
      </w:r>
      <w:r>
        <w:rPr>
          <w:sz w:val="20"/>
          <w:szCs w:val="20"/>
        </w:rPr>
        <w:t>any”) is a corporation formed on</w:t>
      </w:r>
      <w:r>
        <w:rPr>
          <w:sz w:val="20"/>
          <w:szCs w:val="20"/>
        </w:rPr>
        <w:t xml:space="preserve"> </w:t>
      </w:r>
      <w:r>
        <w:rPr>
          <w:sz w:val="20"/>
          <w:szCs w:val="20"/>
        </w:rPr>
        <w:t>November 201</w:t>
      </w:r>
      <w:r>
        <w:rPr>
          <w:sz w:val="20"/>
          <w:szCs w:val="20"/>
        </w:rPr>
        <w:t>3</w:t>
      </w:r>
      <w:r>
        <w:rPr>
          <w:sz w:val="20"/>
          <w:szCs w:val="20"/>
        </w:rPr>
        <w:t>, under the laws of the State of Delaware. The Company has approximately</w:t>
      </w:r>
      <w:r>
        <w:rPr>
          <w:sz w:val="20"/>
          <w:szCs w:val="20"/>
        </w:rPr>
        <w:t xml:space="preserve"> </w:t>
      </w:r>
      <w:r>
        <w:rPr>
          <w:sz w:val="20"/>
          <w:szCs w:val="20"/>
        </w:rPr>
        <w:t>8</w:t>
      </w:r>
      <w:r>
        <w:rPr>
          <w:sz w:val="20"/>
          <w:szCs w:val="20"/>
        </w:rPr>
        <w:t>0</w:t>
      </w:r>
      <w:r>
        <w:rPr>
          <w:sz w:val="20"/>
          <w:szCs w:val="20"/>
        </w:rPr>
        <w:t xml:space="preserve"> </w:t>
      </w:r>
      <w:r>
        <w:rPr>
          <w:sz w:val="20"/>
          <w:szCs w:val="20"/>
        </w:rPr>
        <w:t>offices across the United States, Canada and Australia and approximately</w:t>
      </w:r>
      <w:r>
        <w:rPr>
          <w:sz w:val="20"/>
          <w:szCs w:val="20"/>
        </w:rPr>
        <w:t xml:space="preserve"> </w:t>
      </w:r>
      <w:r>
        <w:rPr>
          <w:sz w:val="20"/>
          <w:szCs w:val="20"/>
        </w:rPr>
        <w:t>2,80</w:t>
      </w:r>
      <w:r>
        <w:rPr>
          <w:sz w:val="20"/>
          <w:szCs w:val="20"/>
        </w:rPr>
        <w:t>0</w:t>
      </w:r>
      <w:r>
        <w:rPr>
          <w:sz w:val="20"/>
          <w:szCs w:val="20"/>
        </w:rPr>
        <w:t xml:space="preserve"> </w:t>
      </w:r>
      <w:r>
        <w:rPr>
          <w:sz w:val="20"/>
          <w:szCs w:val="20"/>
        </w:rPr>
        <w:t>employees as of June 30, 2022</w:t>
      </w:r>
      <w:r>
        <w:rPr>
          <w:sz w:val="20"/>
          <w:szCs w:val="20"/>
        </w:rPr>
        <w:t>.</w:t>
      </w:r>
      <w:r>
        <w:rPr>
          <w:sz w:val="20"/>
          <w:szCs w:val="20"/>
        </w:rPr>
        <w:t xml:space="preserve"> </w:t>
      </w:r>
    </w:p>
    <w:p w:rsidR="00000000" w:rsidRDefault="00F55F16">
      <w:pPr>
        <w:pStyle w:val="a3"/>
        <w:spacing w:before="240" w:beforeAutospacing="0" w:after="0" w:afterAutospacing="0"/>
        <w:ind w:firstLine="555"/>
        <w:divId w:val="650600985"/>
        <w:rPr>
          <w:sz w:val="20"/>
          <w:szCs w:val="20"/>
        </w:rPr>
      </w:pPr>
      <w:r>
        <w:rPr>
          <w:sz w:val="20"/>
          <w:szCs w:val="20"/>
        </w:rPr>
        <w:t>Montrose is an environm</w:t>
      </w:r>
      <w:r>
        <w:rPr>
          <w:sz w:val="20"/>
          <w:szCs w:val="20"/>
        </w:rPr>
        <w:t>ental services company serving the recurring environmental needs of a diverse client base, including Fortune 500 companies and federal, state and local governments through the following</w:t>
      </w:r>
      <w:r>
        <w:rPr>
          <w:sz w:val="20"/>
          <w:szCs w:val="20"/>
        </w:rPr>
        <w:t xml:space="preserve"> </w:t>
      </w:r>
      <w:r>
        <w:rPr>
          <w:sz w:val="20"/>
          <w:szCs w:val="20"/>
        </w:rPr>
        <w:t>thre</w:t>
      </w:r>
      <w:r>
        <w:rPr>
          <w:sz w:val="20"/>
          <w:szCs w:val="20"/>
        </w:rPr>
        <w:t>e</w:t>
      </w:r>
      <w:r>
        <w:rPr>
          <w:sz w:val="20"/>
          <w:szCs w:val="20"/>
        </w:rPr>
        <w:t xml:space="preserve"> segments</w:t>
      </w:r>
      <w:r>
        <w:rPr>
          <w:sz w:val="20"/>
          <w:szCs w:val="20"/>
        </w:rPr>
        <w:t>:</w:t>
      </w:r>
    </w:p>
    <w:p w:rsidR="00000000" w:rsidRDefault="00F55F16">
      <w:pPr>
        <w:pStyle w:val="a3"/>
        <w:spacing w:before="240" w:beforeAutospacing="0" w:after="0" w:afterAutospacing="0"/>
        <w:ind w:firstLine="555"/>
        <w:divId w:val="650600985"/>
        <w:rPr>
          <w:sz w:val="20"/>
          <w:szCs w:val="20"/>
        </w:rPr>
      </w:pPr>
      <w:r>
        <w:rPr>
          <w:b/>
          <w:bCs/>
          <w:i/>
          <w:iCs/>
          <w:sz w:val="20"/>
          <w:szCs w:val="20"/>
        </w:rPr>
        <w:t>Assessment, Permitting and Respons</w:t>
      </w:r>
      <w:r>
        <w:rPr>
          <w:b/>
          <w:bCs/>
          <w:i/>
          <w:iCs/>
          <w:sz w:val="20"/>
          <w:szCs w:val="20"/>
        </w:rPr>
        <w:t>e</w:t>
      </w:r>
      <w:r>
        <w:rPr>
          <w:sz w:val="20"/>
          <w:szCs w:val="20"/>
        </w:rPr>
        <w:t>—Through its Assess</w:t>
      </w:r>
      <w:r>
        <w:rPr>
          <w:sz w:val="20"/>
          <w:szCs w:val="20"/>
        </w:rPr>
        <w:t>ment, Permitting and Response segment, Montrose provides scientific advisory and consulting services to support environmental assessments, environmental emergency response, and environmental audits and permits for current operations, facility upgrades, new</w:t>
      </w:r>
      <w:r>
        <w:rPr>
          <w:sz w:val="20"/>
          <w:szCs w:val="20"/>
        </w:rPr>
        <w:t xml:space="preserve"> projects, decommissioning projects and development projects. The Company’s technical advisory and consulting offerings include regulatory compliance support and planning, environmental, ecosystem and toxicological assessments and support during responses </w:t>
      </w:r>
      <w:r>
        <w:rPr>
          <w:sz w:val="20"/>
          <w:szCs w:val="20"/>
        </w:rPr>
        <w:t>to environmental disruption. Montrose helps clients navigate regulations at the local, state, provincial and federal levels</w:t>
      </w:r>
      <w:r>
        <w:rPr>
          <w:sz w:val="20"/>
          <w:szCs w:val="20"/>
        </w:rPr>
        <w:t>.</w:t>
      </w:r>
    </w:p>
    <w:p w:rsidR="00000000" w:rsidRDefault="00F55F16">
      <w:pPr>
        <w:pStyle w:val="a3"/>
        <w:spacing w:before="240" w:beforeAutospacing="0" w:after="0" w:afterAutospacing="0"/>
        <w:ind w:firstLine="555"/>
        <w:divId w:val="650600985"/>
        <w:rPr>
          <w:sz w:val="20"/>
          <w:szCs w:val="20"/>
        </w:rPr>
      </w:pPr>
      <w:r>
        <w:rPr>
          <w:b/>
          <w:bCs/>
          <w:i/>
          <w:iCs/>
          <w:sz w:val="20"/>
          <w:szCs w:val="20"/>
        </w:rPr>
        <w:t>Measurement and Analysi</w:t>
      </w:r>
      <w:r>
        <w:rPr>
          <w:b/>
          <w:bCs/>
          <w:i/>
          <w:iCs/>
          <w:sz w:val="20"/>
          <w:szCs w:val="20"/>
        </w:rPr>
        <w:t>s</w:t>
      </w:r>
      <w:r>
        <w:rPr>
          <w:sz w:val="20"/>
          <w:szCs w:val="20"/>
        </w:rPr>
        <w:t>—Through its Measurement and Analysis segment, Montrose’s teams test and analyze air, water and soil to det</w:t>
      </w:r>
      <w:r>
        <w:rPr>
          <w:sz w:val="20"/>
          <w:szCs w:val="20"/>
        </w:rPr>
        <w:t>ermine concentrations of contaminants, as well as the toxicological impact of contaminants on flora, fauna and human health. Montrose’s offerings include source and ambient air testing and monitoring, leak detection and repair (“LDAR”) and advanced analyti</w:t>
      </w:r>
      <w:r>
        <w:rPr>
          <w:sz w:val="20"/>
          <w:szCs w:val="20"/>
        </w:rPr>
        <w:t>cal laboratory services such as air, storm water, wastewater and drinking water analysis</w:t>
      </w:r>
      <w:r>
        <w:rPr>
          <w:sz w:val="20"/>
          <w:szCs w:val="20"/>
        </w:rPr>
        <w:t>.</w:t>
      </w:r>
    </w:p>
    <w:p w:rsidR="00000000" w:rsidRDefault="00F55F16">
      <w:pPr>
        <w:pStyle w:val="a3"/>
        <w:spacing w:before="240" w:beforeAutospacing="0" w:after="0" w:afterAutospacing="0"/>
        <w:ind w:firstLine="555"/>
        <w:divId w:val="650600985"/>
        <w:rPr>
          <w:sz w:val="20"/>
          <w:szCs w:val="20"/>
        </w:rPr>
      </w:pPr>
      <w:r>
        <w:rPr>
          <w:b/>
          <w:bCs/>
          <w:i/>
          <w:iCs/>
          <w:sz w:val="20"/>
          <w:szCs w:val="20"/>
        </w:rPr>
        <w:t>Remediation and Reus</w:t>
      </w:r>
      <w:r>
        <w:rPr>
          <w:b/>
          <w:bCs/>
          <w:i/>
          <w:iCs/>
          <w:sz w:val="20"/>
          <w:szCs w:val="20"/>
        </w:rPr>
        <w:t>e</w:t>
      </w:r>
      <w:r>
        <w:rPr>
          <w:sz w:val="20"/>
          <w:szCs w:val="20"/>
        </w:rPr>
        <w:t>—Through its Remediation and Reuse segment, Montrose provides clients with engineering, design, implementation and operations and maintenance ser</w:t>
      </w:r>
      <w:r>
        <w:rPr>
          <w:sz w:val="20"/>
          <w:szCs w:val="20"/>
        </w:rPr>
        <w:t>vices, primarily to treat contaminated water, remove contaminants from soil or create biogas from waste. The Company does not own the properties or facilities at which it implements these projects or the underlying liabilities, nor does it own material amo</w:t>
      </w:r>
      <w:r>
        <w:rPr>
          <w:sz w:val="20"/>
          <w:szCs w:val="20"/>
        </w:rPr>
        <w:t>unts of the equipment used in projects; instead, the Company assists clients in designing solutions, managing projects and mitigating their environmental risks and liabilities at their locations</w:t>
      </w:r>
      <w:r>
        <w:rPr>
          <w:sz w:val="20"/>
          <w:szCs w:val="20"/>
        </w:rPr>
        <w:t>.</w:t>
      </w:r>
    </w:p>
    <w:p w:rsidR="00000000" w:rsidRDefault="00F55F16">
      <w:pPr>
        <w:pStyle w:val="a3"/>
        <w:spacing w:before="240" w:beforeAutospacing="0" w:after="0" w:afterAutospacing="0"/>
        <w:ind w:firstLine="555"/>
        <w:divId w:val="582954151"/>
        <w:rPr>
          <w:sz w:val="20"/>
          <w:szCs w:val="20"/>
        </w:rPr>
      </w:pPr>
      <w:r>
        <w:rPr>
          <w:b/>
          <w:bCs/>
          <w:sz w:val="20"/>
          <w:szCs w:val="20"/>
        </w:rPr>
        <w:t>Basis of Presentatio</w:t>
      </w:r>
      <w:r>
        <w:rPr>
          <w:b/>
          <w:bCs/>
          <w:sz w:val="20"/>
          <w:szCs w:val="20"/>
        </w:rPr>
        <w:t>n</w:t>
      </w:r>
      <w:r>
        <w:rPr>
          <w:sz w:val="20"/>
          <w:szCs w:val="20"/>
        </w:rPr>
        <w:t>—The unaudited condensed consolidated f</w:t>
      </w:r>
      <w:r>
        <w:rPr>
          <w:sz w:val="20"/>
          <w:szCs w:val="20"/>
        </w:rPr>
        <w:t>inancial statements include the operations of the Company and its wholly-owned subsidiaries. These unaudited condensed consolidated financial statements are presented in conformity with accounting principles generally accepted in the United States (“U.S. G</w:t>
      </w:r>
      <w:r>
        <w:rPr>
          <w:sz w:val="20"/>
          <w:szCs w:val="20"/>
        </w:rPr>
        <w:t xml:space="preserve">AAP”) and have been prepared pursuant to the rules and regulations of the U.S. Securities and Exchange Commission (“SEC”) that permit reduced disclosure for interim periods. The unaudited condensed consolidated financial statements include all accounts of </w:t>
      </w:r>
      <w:r>
        <w:rPr>
          <w:sz w:val="20"/>
          <w:szCs w:val="20"/>
        </w:rPr>
        <w:t>the Company and, in the opinion of management, include all recurring adjustments and normal accruals necessary for a fair statement of the Company’s financial position, results of operations and cash flows for the dates and periods presented. These unaudit</w:t>
      </w:r>
      <w:r>
        <w:rPr>
          <w:sz w:val="20"/>
          <w:szCs w:val="20"/>
        </w:rPr>
        <w:t>ed condensed consolidated financial statements should be read in conjunction with the Company’s audited financial statements as of and for the year ended December 31, 2021. Results for interim periods are not necessarily indicative of the results to be exp</w:t>
      </w:r>
      <w:r>
        <w:rPr>
          <w:sz w:val="20"/>
          <w:szCs w:val="20"/>
        </w:rPr>
        <w:t>ected during the remainder of the current year or for any future period. All intercompany transactions, accounts and profits, have been eliminated in the unaudited condensed consolidated financial statements</w:t>
      </w:r>
      <w:r>
        <w:rPr>
          <w:sz w:val="20"/>
          <w:szCs w:val="20"/>
        </w:rPr>
        <w:t>.</w:t>
      </w:r>
    </w:p>
    <w:p w:rsidR="00000000" w:rsidRDefault="00F55F16">
      <w:pPr>
        <w:pStyle w:val="a3"/>
        <w:spacing w:before="240" w:beforeAutospacing="0" w:after="0" w:afterAutospacing="0"/>
        <w:ind w:firstLine="555"/>
        <w:divId w:val="582954151"/>
        <w:rPr>
          <w:sz w:val="20"/>
          <w:szCs w:val="20"/>
        </w:rPr>
      </w:pPr>
      <w:r>
        <w:rPr>
          <w:sz w:val="20"/>
          <w:szCs w:val="20"/>
        </w:rPr>
        <w:t>As disclosed in the Company's 2021 Annual Repor</w:t>
      </w:r>
      <w:r>
        <w:rPr>
          <w:sz w:val="20"/>
          <w:szCs w:val="20"/>
        </w:rPr>
        <w:t>t on Form 10-K, in June 2021, with an effective adoption date of January 1, 2021, the Company</w:t>
      </w:r>
      <w:r>
        <w:rPr>
          <w:sz w:val="20"/>
          <w:szCs w:val="20"/>
        </w:rPr>
        <w:t xml:space="preserve"> </w:t>
      </w:r>
      <w:r>
        <w:rPr>
          <w:sz w:val="20"/>
          <w:szCs w:val="20"/>
        </w:rPr>
        <w:t>adopted Accounting Standard Codification ("ASC") 842, Leases. As a result, the Company has adjusted the previously reported unaudited condensed consolidated finan</w:t>
      </w:r>
      <w:r>
        <w:rPr>
          <w:sz w:val="20"/>
          <w:szCs w:val="20"/>
        </w:rPr>
        <w:t xml:space="preserve">cial statements effective January 1, 2021. The retroactive adoption of ASC 842 resulted in adjustments to depreciation and amortization expense and other income (expense) financial statement line items amounting to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0.</w:t>
      </w:r>
      <w:r>
        <w:rPr>
          <w:sz w:val="20"/>
          <w:szCs w:val="20"/>
        </w:rPr>
        <w:t>3</w:t>
      </w:r>
      <w:r>
        <w:rPr>
          <w:sz w:val="20"/>
          <w:szCs w:val="20"/>
        </w:rPr>
        <w:t xml:space="preserve"> million, respective</w:t>
      </w:r>
      <w:r>
        <w:rPr>
          <w:sz w:val="20"/>
          <w:szCs w:val="20"/>
        </w:rPr>
        <w:t xml:space="preserve">ly. The total retroactive impact to net loss was an increase of </w:t>
      </w:r>
      <w:r>
        <w:rPr>
          <w:sz w:val="20"/>
          <w:szCs w:val="20"/>
        </w:rPr>
        <w:t>$</w:t>
      </w:r>
      <w:r>
        <w:rPr>
          <w:sz w:val="20"/>
          <w:szCs w:val="20"/>
        </w:rPr>
        <w:t>1.</w:t>
      </w:r>
      <w:r>
        <w:rPr>
          <w:sz w:val="20"/>
          <w:szCs w:val="20"/>
        </w:rPr>
        <w:t>3</w:t>
      </w:r>
      <w:r>
        <w:rPr>
          <w:sz w:val="20"/>
          <w:szCs w:val="20"/>
        </w:rPr>
        <w:t xml:space="preserve"> million and a decrease of </w:t>
      </w:r>
      <w:r>
        <w:rPr>
          <w:sz w:val="20"/>
          <w:szCs w:val="20"/>
        </w:rPr>
        <w:t>$</w:t>
      </w:r>
      <w:r>
        <w:rPr>
          <w:sz w:val="20"/>
          <w:szCs w:val="20"/>
        </w:rPr>
        <w:t>1.</w:t>
      </w:r>
      <w:r>
        <w:rPr>
          <w:sz w:val="20"/>
          <w:szCs w:val="20"/>
        </w:rPr>
        <w:t>3</w:t>
      </w:r>
      <w:r>
        <w:rPr>
          <w:sz w:val="20"/>
          <w:szCs w:val="20"/>
        </w:rPr>
        <w:t xml:space="preserve"> million, for the three months ended March 31, 2021 and June 30, 2021, respectively. See Note 6</w:t>
      </w:r>
      <w:r>
        <w:rPr>
          <w:sz w:val="20"/>
          <w:szCs w:val="20"/>
        </w:rPr>
        <w:t>.</w:t>
      </w:r>
    </w:p>
    <w:p w:rsidR="00000000" w:rsidRDefault="00F55F16">
      <w:pPr>
        <w:pStyle w:val="a3"/>
        <w:spacing w:before="360" w:beforeAutospacing="0" w:after="0" w:afterAutospacing="0"/>
        <w:divId w:val="2105808200"/>
        <w:rPr>
          <w:sz w:val="20"/>
          <w:szCs w:val="20"/>
        </w:rPr>
      </w:pPr>
      <w:r>
        <w:rPr>
          <w:b/>
          <w:bCs/>
          <w:sz w:val="20"/>
          <w:szCs w:val="20"/>
        </w:rPr>
        <w:t>2. SUMMARY OF NEW ACCOUNTING PRONOUNCEMENT</w:t>
      </w:r>
      <w:r>
        <w:rPr>
          <w:b/>
          <w:bCs/>
          <w:sz w:val="20"/>
          <w:szCs w:val="20"/>
        </w:rPr>
        <w:t>S</w:t>
      </w:r>
    </w:p>
    <w:p w:rsidR="00000000" w:rsidRDefault="00F55F16">
      <w:pPr>
        <w:pStyle w:val="a3"/>
        <w:spacing w:before="240" w:beforeAutospacing="0" w:after="0" w:afterAutospacing="0"/>
        <w:ind w:firstLine="555"/>
        <w:divId w:val="2051999314"/>
        <w:rPr>
          <w:sz w:val="20"/>
          <w:szCs w:val="20"/>
        </w:rPr>
      </w:pPr>
      <w:r>
        <w:rPr>
          <w:b/>
          <w:bCs/>
          <w:sz w:val="20"/>
          <w:szCs w:val="20"/>
        </w:rPr>
        <w:t>Recently Adopted</w:t>
      </w:r>
      <w:r>
        <w:rPr>
          <w:b/>
          <w:bCs/>
          <w:sz w:val="20"/>
          <w:szCs w:val="20"/>
        </w:rPr>
        <w:t xml:space="preserve"> Accounting Pronouncement</w:t>
      </w:r>
      <w:r>
        <w:rPr>
          <w:b/>
          <w:bCs/>
          <w:sz w:val="20"/>
          <w:szCs w:val="20"/>
        </w:rPr>
        <w:t>s</w:t>
      </w:r>
      <w:r>
        <w:rPr>
          <w:sz w:val="20"/>
          <w:szCs w:val="20"/>
        </w:rPr>
        <w:t>—Through the end of the year ended December 31, 2021, the Company qualified as an emerging growth company as defined in the Jumpstart Our Business Startups Act of 2012 (“JOBS Act”) and therefore has historically taken advantage of</w:t>
      </w:r>
      <w:r>
        <w:rPr>
          <w:sz w:val="20"/>
          <w:szCs w:val="20"/>
        </w:rPr>
        <w:t xml:space="preserve"> certain exemptions from various public company reporting requirements, including delaying adoption of new or revised accounting standards until those standards apply to private companies. The Company elected to use this extended transition period under th</w:t>
      </w:r>
      <w:r>
        <w:rPr>
          <w:sz w:val="20"/>
          <w:szCs w:val="20"/>
        </w:rPr>
        <w:t>e JOBS Act. The adoption dates discussed below are based on the Company no longer qualifying as an emerging growth company</w:t>
      </w:r>
      <w:r>
        <w:rPr>
          <w:sz w:val="20"/>
          <w:szCs w:val="20"/>
        </w:rPr>
        <w:t>.</w:t>
      </w:r>
    </w:p>
    <w:p w:rsidR="00000000" w:rsidRDefault="00F55F16">
      <w:pPr>
        <w:pStyle w:val="a3"/>
        <w:spacing w:before="240" w:beforeAutospacing="0" w:after="0" w:afterAutospacing="0"/>
        <w:jc w:val="center"/>
        <w:divId w:val="2051999314"/>
        <w:rPr>
          <w:sz w:val="20"/>
          <w:szCs w:val="20"/>
        </w:rPr>
      </w:pPr>
      <w:r>
        <w:rPr>
          <w:sz w:val="20"/>
          <w:szCs w:val="20"/>
        </w:rPr>
        <w:t>5</w:t>
      </w:r>
    </w:p>
    <w:p w:rsidR="00000000" w:rsidRDefault="00F55F16">
      <w:pPr>
        <w:divId w:val="2051999314"/>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F55F16">
      <w:pPr>
        <w:pStyle w:val="a3"/>
        <w:spacing w:before="0" w:beforeAutospacing="0" w:after="0" w:afterAutospacing="0"/>
        <w:divId w:val="2051999314"/>
        <w:rPr>
          <w:sz w:val="20"/>
          <w:szCs w:val="20"/>
        </w:rPr>
      </w:pPr>
      <w:r>
        <w:rPr>
          <w:sz w:val="20"/>
          <w:szCs w:val="20"/>
        </w:rPr>
        <w:t> </w:t>
      </w:r>
    </w:p>
    <w:p w:rsidR="00000000" w:rsidRDefault="00F55F16">
      <w:pPr>
        <w:pStyle w:val="a3"/>
        <w:spacing w:before="240" w:beforeAutospacing="0" w:after="0" w:afterAutospacing="0"/>
        <w:ind w:firstLine="555"/>
        <w:divId w:val="2051999314"/>
        <w:rPr>
          <w:sz w:val="20"/>
          <w:szCs w:val="20"/>
        </w:rPr>
      </w:pPr>
      <w:r>
        <w:rPr>
          <w:sz w:val="20"/>
          <w:szCs w:val="20"/>
        </w:rPr>
        <w:t>In August 2020, the Financial Accounting Standards Board ("FASB") issued Accounting Standard</w:t>
      </w:r>
      <w:r>
        <w:rPr>
          <w:sz w:val="20"/>
          <w:szCs w:val="20"/>
        </w:rPr>
        <w:t xml:space="preserve"> Update ("ASU") 2020-06, Debt—Debt with Conversion and Other Options (Subtopic 470-20) and Derivatives and Hedging—Contracts in Entity’s Own Equity (Subtopic 815-40)—Accounting for Convertible Instruments and Contracts in an Entity’s Own Equity. The ASU si</w:t>
      </w:r>
      <w:r>
        <w:rPr>
          <w:sz w:val="20"/>
          <w:szCs w:val="20"/>
        </w:rPr>
        <w:t>mplifies accounting for convertible instruments by removing major separation models required under current U.S. GAAP. Consequently, more convertible debt instruments will be reported as a single liability instrument with no separate accounting for embedded</w:t>
      </w:r>
      <w:r>
        <w:rPr>
          <w:sz w:val="20"/>
          <w:szCs w:val="20"/>
        </w:rPr>
        <w:t xml:space="preserve"> conversion features. The ASU removes certain settlement conditions that are required for equity contracts to qualify for the derivative scope exception, which will permit more equity contracts to qualify for the exception. The ASU also simplifies the dilu</w:t>
      </w:r>
      <w:r>
        <w:rPr>
          <w:sz w:val="20"/>
          <w:szCs w:val="20"/>
        </w:rPr>
        <w:t>ted net income per share calculation in certain areas. The new guidance is effective for fiscal years beginning after December 15, 2021, including interim periods within those fiscal years, and early adoption is permitted. The new guidance was</w:t>
      </w:r>
      <w:r>
        <w:rPr>
          <w:sz w:val="20"/>
          <w:szCs w:val="20"/>
        </w:rPr>
        <w:t xml:space="preserve"> </w:t>
      </w:r>
      <w:r>
        <w:rPr>
          <w:sz w:val="20"/>
          <w:szCs w:val="20"/>
        </w:rPr>
        <w:t>adopte</w:t>
      </w:r>
      <w:r>
        <w:rPr>
          <w:sz w:val="20"/>
          <w:szCs w:val="20"/>
        </w:rPr>
        <w:t>d</w:t>
      </w:r>
      <w:r>
        <w:rPr>
          <w:sz w:val="20"/>
          <w:szCs w:val="20"/>
        </w:rPr>
        <w:t xml:space="preserve"> as o</w:t>
      </w:r>
      <w:r>
        <w:rPr>
          <w:sz w:val="20"/>
          <w:szCs w:val="20"/>
        </w:rPr>
        <w:t>f</w:t>
      </w:r>
      <w:r>
        <w:rPr>
          <w:sz w:val="20"/>
          <w:szCs w:val="20"/>
        </w:rPr>
        <w:t xml:space="preserve"> </w:t>
      </w:r>
      <w:r>
        <w:rPr>
          <w:sz w:val="20"/>
          <w:szCs w:val="20"/>
        </w:rPr>
        <w:t>January 1, 202</w:t>
      </w:r>
      <w:r>
        <w:rPr>
          <w:sz w:val="20"/>
          <w:szCs w:val="20"/>
        </w:rPr>
        <w:t>2</w:t>
      </w:r>
      <w:r>
        <w:rPr>
          <w:sz w:val="20"/>
          <w:szCs w:val="20"/>
        </w:rPr>
        <w:t xml:space="preserve"> and did</w:t>
      </w:r>
      <w:r>
        <w:rPr>
          <w:sz w:val="20"/>
          <w:szCs w:val="20"/>
        </w:rPr>
        <w:t xml:space="preserve"> </w:t>
      </w:r>
      <w:r>
        <w:rPr>
          <w:sz w:val="20"/>
          <w:szCs w:val="20"/>
        </w:rPr>
        <w:t>no</w:t>
      </w:r>
      <w:r>
        <w:rPr>
          <w:sz w:val="20"/>
          <w:szCs w:val="20"/>
        </w:rPr>
        <w:t>t</w:t>
      </w:r>
      <w:r>
        <w:rPr>
          <w:sz w:val="20"/>
          <w:szCs w:val="20"/>
        </w:rPr>
        <w:t xml:space="preserve"> have a material impact on the Company’s consolidated financial statements</w:t>
      </w:r>
      <w:r>
        <w:rPr>
          <w:sz w:val="20"/>
          <w:szCs w:val="20"/>
        </w:rPr>
        <w:t>.</w:t>
      </w:r>
    </w:p>
    <w:p w:rsidR="00000000" w:rsidRDefault="00F55F16">
      <w:pPr>
        <w:pStyle w:val="a3"/>
        <w:spacing w:before="240" w:beforeAutospacing="0" w:after="0" w:afterAutospacing="0"/>
        <w:ind w:firstLine="555"/>
        <w:divId w:val="2051999314"/>
        <w:rPr>
          <w:sz w:val="20"/>
          <w:szCs w:val="20"/>
        </w:rPr>
      </w:pPr>
      <w:r>
        <w:rPr>
          <w:b/>
          <w:bCs/>
          <w:sz w:val="20"/>
          <w:szCs w:val="20"/>
        </w:rPr>
        <w:t>Recently Issued Accounting Pronouncements Not Yet Adopte</w:t>
      </w:r>
      <w:r>
        <w:rPr>
          <w:b/>
          <w:bCs/>
          <w:sz w:val="20"/>
          <w:szCs w:val="20"/>
        </w:rPr>
        <w:t>d</w:t>
      </w:r>
      <w:r>
        <w:rPr>
          <w:sz w:val="20"/>
          <w:szCs w:val="20"/>
        </w:rPr>
        <w:t>—In October 2021, the FASB issued ASU No. 2021-08, Business Combinations (Topic 805):Accountin</w:t>
      </w:r>
      <w:r>
        <w:rPr>
          <w:sz w:val="20"/>
          <w:szCs w:val="20"/>
        </w:rPr>
        <w:t>g for Contract Assets and Contract Liabilities from Contracts with Customers. Under the new guidance (ASC 805-20-30-28), the acquirer should determine what contract assets and/or contract liabilities it would have recorded under ASC 606 (the revenue guidan</w:t>
      </w:r>
      <w:r>
        <w:rPr>
          <w:sz w:val="20"/>
          <w:szCs w:val="20"/>
        </w:rPr>
        <w:t>ce) as of the acquisition date, as if the acquirer had entered into the original contract at the same date and on the same terms as the acquiree. The new guidance is effective for fiscal years beginning after December 15, 2022, including interim periods wi</w:t>
      </w:r>
      <w:r>
        <w:rPr>
          <w:sz w:val="20"/>
          <w:szCs w:val="20"/>
        </w:rPr>
        <w:t>thin those fiscal years. The Company is currently evaluating the impact of the adoption of the standard on the consolidated financial statements</w:t>
      </w:r>
      <w:r>
        <w:rPr>
          <w:sz w:val="20"/>
          <w:szCs w:val="20"/>
        </w:rPr>
        <w:t>.</w:t>
      </w:r>
    </w:p>
    <w:p w:rsidR="00000000" w:rsidRDefault="00F55F16">
      <w:pPr>
        <w:pStyle w:val="a3"/>
        <w:spacing w:before="360" w:beforeAutospacing="0" w:after="0" w:afterAutospacing="0"/>
        <w:divId w:val="268006830"/>
        <w:rPr>
          <w:sz w:val="20"/>
          <w:szCs w:val="20"/>
        </w:rPr>
      </w:pPr>
      <w:r>
        <w:rPr>
          <w:b/>
          <w:bCs/>
          <w:sz w:val="20"/>
          <w:szCs w:val="20"/>
        </w:rPr>
        <w:t>3. REVENUES AND ACCOUNTS RECEIVABL</w:t>
      </w:r>
      <w:r>
        <w:rPr>
          <w:b/>
          <w:bCs/>
          <w:sz w:val="20"/>
          <w:szCs w:val="20"/>
        </w:rPr>
        <w:t>E</w:t>
      </w:r>
    </w:p>
    <w:p w:rsidR="00000000" w:rsidRDefault="00F55F16">
      <w:pPr>
        <w:pStyle w:val="a3"/>
        <w:spacing w:before="240" w:beforeAutospacing="0" w:after="0" w:afterAutospacing="0"/>
        <w:ind w:firstLine="555"/>
        <w:divId w:val="268006830"/>
        <w:rPr>
          <w:sz w:val="20"/>
          <w:szCs w:val="20"/>
        </w:rPr>
      </w:pPr>
      <w:r>
        <w:rPr>
          <w:sz w:val="20"/>
          <w:szCs w:val="20"/>
        </w:rPr>
        <w:t>The Company’</w:t>
      </w:r>
      <w:r>
        <w:rPr>
          <w:sz w:val="20"/>
          <w:szCs w:val="20"/>
        </w:rPr>
        <w:t>s main revenue sources derive from the following revenue streams</w:t>
      </w:r>
      <w:r>
        <w:rPr>
          <w:sz w:val="20"/>
          <w:szCs w:val="20"/>
        </w:rPr>
        <w:t>:</w:t>
      </w:r>
    </w:p>
    <w:p w:rsidR="00000000" w:rsidRDefault="00F55F16">
      <w:pPr>
        <w:pStyle w:val="a3"/>
        <w:spacing w:before="240" w:beforeAutospacing="0" w:after="0" w:afterAutospacing="0"/>
        <w:ind w:firstLine="555"/>
        <w:divId w:val="268006830"/>
        <w:rPr>
          <w:sz w:val="20"/>
          <w:szCs w:val="20"/>
        </w:rPr>
      </w:pPr>
      <w:r>
        <w:rPr>
          <w:b/>
          <w:bCs/>
          <w:sz w:val="20"/>
          <w:szCs w:val="20"/>
        </w:rPr>
        <w:t>Assessment, Permitting and Response Revenue</w:t>
      </w:r>
      <w:r>
        <w:rPr>
          <w:b/>
          <w:bCs/>
          <w:sz w:val="20"/>
          <w:szCs w:val="20"/>
        </w:rPr>
        <w:t>s</w:t>
      </w:r>
      <w:r>
        <w:rPr>
          <w:sz w:val="20"/>
          <w:szCs w:val="20"/>
        </w:rPr>
        <w:t>—Assessment, Permitting and Response revenues are generated from multidisciplinary environmental consulting services. The majority of the contract</w:t>
      </w:r>
      <w:r>
        <w:rPr>
          <w:sz w:val="20"/>
          <w:szCs w:val="20"/>
        </w:rPr>
        <w:t>s are fixed-price or time and material based</w:t>
      </w:r>
      <w:r>
        <w:rPr>
          <w:sz w:val="20"/>
          <w:szCs w:val="20"/>
        </w:rPr>
        <w:t>.</w:t>
      </w:r>
    </w:p>
    <w:p w:rsidR="00000000" w:rsidRDefault="00F55F16">
      <w:pPr>
        <w:pStyle w:val="a3"/>
        <w:spacing w:before="240" w:beforeAutospacing="0" w:after="0" w:afterAutospacing="0"/>
        <w:ind w:firstLine="555"/>
        <w:divId w:val="268006830"/>
        <w:rPr>
          <w:sz w:val="20"/>
          <w:szCs w:val="20"/>
        </w:rPr>
      </w:pPr>
      <w:r>
        <w:rPr>
          <w:b/>
          <w:bCs/>
          <w:sz w:val="20"/>
          <w:szCs w:val="20"/>
        </w:rPr>
        <w:t>Measurement and Analysis Revenue</w:t>
      </w:r>
      <w:r>
        <w:rPr>
          <w:b/>
          <w:bCs/>
          <w:sz w:val="20"/>
          <w:szCs w:val="20"/>
        </w:rPr>
        <w:t>s</w:t>
      </w:r>
      <w:r>
        <w:rPr>
          <w:sz w:val="20"/>
          <w:szCs w:val="20"/>
        </w:rPr>
        <w:t>—Measurement and Analysis revenues are generated from emissions sampling, testing and reporting services, leak detection services, ambient air monitoring services and laboratory</w:t>
      </w:r>
      <w:r>
        <w:rPr>
          <w:sz w:val="20"/>
          <w:szCs w:val="20"/>
        </w:rPr>
        <w:t xml:space="preserve"> testing services. The majority of the contracts are fixed-price or time-and-materials based</w:t>
      </w:r>
      <w:r>
        <w:rPr>
          <w:sz w:val="20"/>
          <w:szCs w:val="20"/>
        </w:rPr>
        <w:t>.</w:t>
      </w:r>
    </w:p>
    <w:p w:rsidR="00000000" w:rsidRDefault="00F55F16">
      <w:pPr>
        <w:pStyle w:val="a3"/>
        <w:spacing w:before="240" w:beforeAutospacing="0" w:after="0" w:afterAutospacing="0"/>
        <w:ind w:firstLine="555"/>
        <w:divId w:val="268006830"/>
        <w:rPr>
          <w:sz w:val="20"/>
          <w:szCs w:val="20"/>
        </w:rPr>
      </w:pPr>
      <w:r>
        <w:rPr>
          <w:b/>
          <w:bCs/>
          <w:sz w:val="20"/>
          <w:szCs w:val="20"/>
        </w:rPr>
        <w:t>Remediation and Reuse Revenue</w:t>
      </w:r>
      <w:r>
        <w:rPr>
          <w:b/>
          <w:bCs/>
          <w:sz w:val="20"/>
          <w:szCs w:val="20"/>
        </w:rPr>
        <w:t>s</w:t>
      </w:r>
      <w:r>
        <w:rPr>
          <w:sz w:val="20"/>
          <w:szCs w:val="20"/>
        </w:rPr>
        <w:t>—Remediation and Reuse revenues are generated from engineering, design, implementation and operating and maintenance (“O&amp;M”) service</w:t>
      </w:r>
      <w:r>
        <w:rPr>
          <w:sz w:val="20"/>
          <w:szCs w:val="20"/>
        </w:rPr>
        <w:t>s primarily to treat contaminated water, remove contaminants from soil or create biogas from waste. Engineering, design and implementation contracts are predominantly fixed-fee and time-and-materials based. Services on the majority of O&amp;M contracts are pro</w:t>
      </w:r>
      <w:r>
        <w:rPr>
          <w:sz w:val="20"/>
          <w:szCs w:val="20"/>
        </w:rPr>
        <w:t>vided under long-term fixed-fee contracts</w:t>
      </w:r>
      <w:r>
        <w:rPr>
          <w:sz w:val="20"/>
          <w:szCs w:val="20"/>
        </w:rPr>
        <w:t>.</w:t>
      </w:r>
      <w:r>
        <w:rPr>
          <w:sz w:val="20"/>
          <w:szCs w:val="20"/>
        </w:rPr>
        <w:t xml:space="preserve"> </w:t>
      </w:r>
    </w:p>
    <w:p w:rsidR="00000000" w:rsidRDefault="00F55F16">
      <w:pPr>
        <w:pStyle w:val="a3"/>
        <w:spacing w:before="240" w:beforeAutospacing="0" w:after="0" w:afterAutospacing="0"/>
        <w:ind w:firstLine="555"/>
        <w:divId w:val="268006830"/>
        <w:rPr>
          <w:sz w:val="20"/>
          <w:szCs w:val="20"/>
        </w:rPr>
      </w:pPr>
      <w:r>
        <w:rPr>
          <w:b/>
          <w:bCs/>
          <w:sz w:val="20"/>
          <w:szCs w:val="20"/>
        </w:rPr>
        <w:t>Disaggregation of Revenu</w:t>
      </w:r>
      <w:r>
        <w:rPr>
          <w:b/>
          <w:bCs/>
          <w:sz w:val="20"/>
          <w:szCs w:val="20"/>
        </w:rPr>
        <w:t>e</w:t>
      </w:r>
      <w:r>
        <w:rPr>
          <w:sz w:val="20"/>
          <w:szCs w:val="20"/>
        </w:rPr>
        <w:t>—The Company disaggregates revenue by its operating segment</w:t>
      </w:r>
      <w:r>
        <w:rPr>
          <w:sz w:val="20"/>
          <w:szCs w:val="20"/>
        </w:rPr>
        <w:t>s</w:t>
      </w:r>
      <w:r>
        <w:rPr>
          <w:b/>
          <w:bCs/>
          <w:sz w:val="20"/>
          <w:szCs w:val="20"/>
        </w:rPr>
        <w:t>.</w:t>
      </w:r>
      <w:r>
        <w:rPr>
          <w:sz w:val="20"/>
          <w:szCs w:val="20"/>
        </w:rPr>
        <w:t xml:space="preserve"> </w:t>
      </w:r>
      <w:r>
        <w:rPr>
          <w:sz w:val="20"/>
          <w:szCs w:val="20"/>
        </w:rPr>
        <w:t>The Company believes disaggregating revenue into these categories achieves the disclosure objectives to depict how the nature, amount, and uncertainty of revenue and cash flows are affected by economic factors. Disaggregated revenue disclosures are provide</w:t>
      </w:r>
      <w:r>
        <w:rPr>
          <w:sz w:val="20"/>
          <w:szCs w:val="20"/>
        </w:rPr>
        <w:t>d in Note 18</w:t>
      </w:r>
      <w:r>
        <w:rPr>
          <w:sz w:val="20"/>
          <w:szCs w:val="20"/>
        </w:rPr>
        <w:t>.</w:t>
      </w:r>
    </w:p>
    <w:p w:rsidR="00000000" w:rsidRDefault="00F55F16">
      <w:pPr>
        <w:pStyle w:val="a3"/>
        <w:spacing w:before="240" w:beforeAutospacing="0" w:after="0" w:afterAutospacing="0"/>
        <w:ind w:firstLine="555"/>
        <w:divId w:val="268006830"/>
        <w:rPr>
          <w:sz w:val="20"/>
          <w:szCs w:val="20"/>
        </w:rPr>
      </w:pPr>
      <w:r>
        <w:rPr>
          <w:b/>
          <w:bCs/>
          <w:sz w:val="20"/>
          <w:szCs w:val="20"/>
        </w:rPr>
        <w:t>Contract Balance</w:t>
      </w:r>
      <w:r>
        <w:rPr>
          <w:b/>
          <w:bCs/>
          <w:sz w:val="20"/>
          <w:szCs w:val="20"/>
        </w:rPr>
        <w:t>s</w:t>
      </w:r>
      <w:r>
        <w:rPr>
          <w:sz w:val="20"/>
          <w:szCs w:val="20"/>
        </w:rPr>
        <w:t>—The Company presents contract balances for unbilled receivables (contract assets), as well as customer advances, deposits and deferred revenue (contract liabilities) within contract assets and accounts payable and accrued ex</w:t>
      </w:r>
      <w:r>
        <w:rPr>
          <w:sz w:val="20"/>
          <w:szCs w:val="20"/>
        </w:rPr>
        <w:t xml:space="preserve">penses, respectively, on the unaudited condensed consolidated statements of financial position. Amounts are generally billed at periodic intervals (e.g. weekly, bi-weekly or monthly) as work progresses in accordance with agreed-upon contractual terms. The </w:t>
      </w:r>
      <w:r>
        <w:rPr>
          <w:sz w:val="20"/>
          <w:szCs w:val="20"/>
        </w:rPr>
        <w:t>Company utilizes the practical expedient to not adjust the promised amount of consideration for the effects of a significant financing component as the period between when the Company transfers services to a customer and when the customer pays for those se</w:t>
      </w:r>
      <w:r>
        <w:rPr>
          <w:sz w:val="20"/>
          <w:szCs w:val="20"/>
        </w:rPr>
        <w:t>rvices is one year or less. Amounts recorded as unbilled receivables are generally for services the Company is not entitled to bill based on the passage of time. Under certain contracts, billing occurs subsequent to revenue recognition, resulting in contra</w:t>
      </w:r>
      <w:r>
        <w:rPr>
          <w:sz w:val="20"/>
          <w:szCs w:val="20"/>
        </w:rPr>
        <w:t>ct assets. The Company sometimes receives advances or deposits from customers before revenue is recognized, resulting in contract liabilities</w:t>
      </w:r>
      <w:r>
        <w:rPr>
          <w:sz w:val="20"/>
          <w:szCs w:val="20"/>
        </w:rPr>
        <w:t>.</w:t>
      </w:r>
    </w:p>
    <w:p w:rsidR="00000000" w:rsidRDefault="00F55F16">
      <w:pPr>
        <w:pStyle w:val="a3"/>
        <w:spacing w:before="240" w:beforeAutospacing="0" w:after="0" w:afterAutospacing="0"/>
        <w:ind w:firstLine="555"/>
        <w:divId w:val="1326207020"/>
        <w:rPr>
          <w:sz w:val="20"/>
          <w:szCs w:val="20"/>
        </w:rPr>
      </w:pPr>
      <w:r>
        <w:rPr>
          <w:sz w:val="20"/>
          <w:szCs w:val="20"/>
        </w:rPr>
        <w:t>The following table presents the Company’s contract balances</w:t>
      </w:r>
      <w:r>
        <w:rPr>
          <w:sz w:val="20"/>
          <w:szCs w:val="20"/>
        </w:rPr>
        <w:t>:</w:t>
      </w:r>
    </w:p>
    <w:p w:rsidR="00000000" w:rsidRDefault="00F55F16">
      <w:pPr>
        <w:pStyle w:val="a3"/>
        <w:spacing w:before="0" w:beforeAutospacing="0" w:after="0" w:afterAutospacing="0"/>
        <w:divId w:val="132620702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547"/>
        <w:gridCol w:w="105"/>
        <w:gridCol w:w="150"/>
        <w:gridCol w:w="743"/>
        <w:gridCol w:w="105"/>
        <w:gridCol w:w="105"/>
        <w:gridCol w:w="151"/>
        <w:gridCol w:w="788"/>
        <w:gridCol w:w="120"/>
      </w:tblGrid>
      <w:tr w:rsidR="00000000">
        <w:trPr>
          <w:divId w:val="1326207020"/>
          <w:tblCellSpacing w:w="15" w:type="dxa"/>
        </w:trPr>
        <w:tc>
          <w:tcPr>
            <w:tcW w:w="3204" w:type="pct"/>
            <w:vAlign w:val="center"/>
            <w:hideMark/>
          </w:tcPr>
          <w:p w:rsidR="00000000" w:rsidRDefault="00F55F16">
            <w:pPr>
              <w:rPr>
                <w:sz w:val="20"/>
                <w:szCs w:val="20"/>
              </w:rPr>
            </w:pPr>
          </w:p>
        </w:tc>
        <w:tc>
          <w:tcPr>
            <w:tcW w:w="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4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326207020"/>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326207020"/>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32620702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Contract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47,74</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40,13</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32620702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Contract liabilitie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18,91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27,90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268006830"/>
        <w:rPr>
          <w:sz w:val="20"/>
          <w:szCs w:val="20"/>
        </w:rPr>
      </w:pPr>
      <w:r>
        <w:rPr>
          <w:sz w:val="20"/>
          <w:szCs w:val="20"/>
        </w:rPr>
        <w:t xml:space="preserve">Contract assets acquired through business acquisitions amounted to </w:t>
      </w:r>
      <w:r>
        <w:rPr>
          <w:sz w:val="20"/>
          <w:szCs w:val="20"/>
        </w:rPr>
        <w:t>$</w:t>
      </w:r>
      <w:r>
        <w:rPr>
          <w:sz w:val="20"/>
          <w:szCs w:val="20"/>
        </w:rPr>
        <w:t>1.</w:t>
      </w:r>
      <w:r>
        <w:rPr>
          <w:sz w:val="20"/>
          <w:szCs w:val="20"/>
        </w:rPr>
        <w:t>0</w:t>
      </w:r>
      <w:r>
        <w:rPr>
          <w:sz w:val="20"/>
          <w:szCs w:val="20"/>
        </w:rPr>
        <w:t xml:space="preserve"> million a</w:t>
      </w:r>
      <w:r>
        <w:rPr>
          <w:sz w:val="20"/>
          <w:szCs w:val="20"/>
        </w:rPr>
        <w:t>n</w:t>
      </w:r>
      <w:r>
        <w:rPr>
          <w:sz w:val="20"/>
          <w:szCs w:val="20"/>
        </w:rPr>
        <w:t xml:space="preserve">d </w:t>
      </w:r>
      <w:r>
        <w:rPr>
          <w:sz w:val="20"/>
          <w:szCs w:val="20"/>
        </w:rPr>
        <w:t>$</w:t>
      </w:r>
      <w:r>
        <w:rPr>
          <w:sz w:val="20"/>
          <w:szCs w:val="20"/>
        </w:rPr>
        <w:t>0.</w:t>
      </w:r>
      <w:r>
        <w:rPr>
          <w:sz w:val="20"/>
          <w:szCs w:val="20"/>
        </w:rPr>
        <w:t>5</w:t>
      </w:r>
      <w:r>
        <w:rPr>
          <w:sz w:val="20"/>
          <w:szCs w:val="20"/>
        </w:rPr>
        <w:t xml:space="preserve"> million</w:t>
      </w:r>
      <w:r>
        <w:rPr>
          <w:sz w:val="20"/>
          <w:szCs w:val="20"/>
        </w:rPr>
        <w:t xml:space="preserve"> </w:t>
      </w:r>
      <w:r>
        <w:rPr>
          <w:sz w:val="20"/>
          <w:szCs w:val="20"/>
        </w:rPr>
        <w:t>as of June 30, 2022 and December 31, 2021, respectively. Contract liabilities acquired through business acquisitions amounted to</w:t>
      </w:r>
      <w:r>
        <w:rPr>
          <w:sz w:val="20"/>
          <w:szCs w:val="20"/>
        </w:rPr>
        <w:t xml:space="preserve"> </w:t>
      </w:r>
      <w:r>
        <w:rPr>
          <w:sz w:val="20"/>
          <w:szCs w:val="20"/>
        </w:rPr>
        <w:t>zer</w:t>
      </w:r>
      <w:r>
        <w:rPr>
          <w:sz w:val="20"/>
          <w:szCs w:val="20"/>
        </w:rPr>
        <w:t>o</w:t>
      </w:r>
      <w:r>
        <w:rPr>
          <w:sz w:val="20"/>
          <w:szCs w:val="20"/>
        </w:rPr>
        <w:t xml:space="preserve"> </w:t>
      </w:r>
      <w:r>
        <w:rPr>
          <w:sz w:val="20"/>
          <w:szCs w:val="20"/>
        </w:rPr>
        <w:t>an</w:t>
      </w:r>
      <w:r>
        <w:rPr>
          <w:sz w:val="20"/>
          <w:szCs w:val="20"/>
        </w:rPr>
        <w:t>d</w:t>
      </w:r>
      <w:r>
        <w:rPr>
          <w:sz w:val="20"/>
          <w:szCs w:val="20"/>
        </w:rPr>
        <w:t xml:space="preserve"> </w:t>
      </w:r>
      <w:r>
        <w:rPr>
          <w:sz w:val="20"/>
          <w:szCs w:val="20"/>
        </w:rPr>
        <w:t>$</w:t>
      </w:r>
      <w:r>
        <w:rPr>
          <w:sz w:val="20"/>
          <w:szCs w:val="20"/>
        </w:rPr>
        <w:t>0.</w:t>
      </w:r>
      <w:r>
        <w:rPr>
          <w:sz w:val="20"/>
          <w:szCs w:val="20"/>
        </w:rPr>
        <w:t>5</w:t>
      </w:r>
      <w:r>
        <w:rPr>
          <w:sz w:val="20"/>
          <w:szCs w:val="20"/>
        </w:rPr>
        <w:t xml:space="preserve"> millio</w:t>
      </w:r>
      <w:r>
        <w:rPr>
          <w:sz w:val="20"/>
          <w:szCs w:val="20"/>
        </w:rPr>
        <w:t>n</w:t>
      </w:r>
      <w:r>
        <w:rPr>
          <w:sz w:val="20"/>
          <w:szCs w:val="20"/>
        </w:rPr>
        <w:t xml:space="preserve"> as o</w:t>
      </w:r>
      <w:r>
        <w:rPr>
          <w:sz w:val="20"/>
          <w:szCs w:val="20"/>
        </w:rPr>
        <w:t>f</w:t>
      </w:r>
      <w:r>
        <w:rPr>
          <w:sz w:val="20"/>
          <w:szCs w:val="20"/>
        </w:rPr>
        <w:t xml:space="preserve"> </w:t>
      </w:r>
    </w:p>
    <w:p w:rsidR="00000000" w:rsidRDefault="00F55F16">
      <w:pPr>
        <w:pStyle w:val="a3"/>
        <w:spacing w:before="240" w:beforeAutospacing="0" w:after="0" w:afterAutospacing="0"/>
        <w:jc w:val="center"/>
        <w:divId w:val="268006830"/>
        <w:rPr>
          <w:sz w:val="20"/>
          <w:szCs w:val="20"/>
        </w:rPr>
      </w:pPr>
      <w:r>
        <w:rPr>
          <w:sz w:val="20"/>
          <w:szCs w:val="20"/>
        </w:rPr>
        <w:t>6</w:t>
      </w:r>
    </w:p>
    <w:p w:rsidR="00000000" w:rsidRDefault="00F55F16">
      <w:pPr>
        <w:divId w:val="268006830"/>
        <w:rPr>
          <w:rFonts w:eastAsia="Times New Roman"/>
        </w:rPr>
      </w:pPr>
      <w:r>
        <w:rPr>
          <w:rFonts w:eastAsia="Times New Roman"/>
        </w:rPr>
        <w:pict>
          <v:rect id="_x0000_i1032" style="width:0;height:1.5pt" o:hralign="center" o:hrstd="t" o:hr="t" fillcolor="#a0a0a0" stroked="f"/>
        </w:pict>
      </w:r>
    </w:p>
    <w:p w:rsidR="00000000" w:rsidRDefault="00F55F16">
      <w:pPr>
        <w:pStyle w:val="a3"/>
        <w:spacing w:before="0" w:beforeAutospacing="0" w:after="0" w:afterAutospacing="0"/>
        <w:divId w:val="268006830"/>
        <w:rPr>
          <w:sz w:val="20"/>
          <w:szCs w:val="20"/>
        </w:rPr>
      </w:pPr>
      <w:r>
        <w:rPr>
          <w:sz w:val="20"/>
          <w:szCs w:val="20"/>
        </w:rPr>
        <w:t> </w:t>
      </w:r>
    </w:p>
    <w:p w:rsidR="00000000" w:rsidRDefault="00F55F16">
      <w:pPr>
        <w:pStyle w:val="a3"/>
        <w:spacing w:before="240" w:beforeAutospacing="0" w:after="0" w:afterAutospacing="0"/>
        <w:divId w:val="268006830"/>
        <w:rPr>
          <w:sz w:val="20"/>
          <w:szCs w:val="20"/>
        </w:rPr>
      </w:pPr>
      <w:r>
        <w:rPr>
          <w:sz w:val="20"/>
          <w:szCs w:val="20"/>
        </w:rPr>
        <w:t xml:space="preserve">June 30, 2022 and December 31, 2021, respectively. Revenue recognized during the three and six months ended June 30, 2022, included in the contract liabilities balance at the beginning of the year was </w:t>
      </w:r>
      <w:r>
        <w:rPr>
          <w:sz w:val="20"/>
          <w:szCs w:val="20"/>
        </w:rPr>
        <w:t>$</w:t>
      </w:r>
      <w:r>
        <w:rPr>
          <w:sz w:val="20"/>
          <w:szCs w:val="20"/>
        </w:rPr>
        <w:t>5.</w:t>
      </w:r>
      <w:r>
        <w:rPr>
          <w:sz w:val="20"/>
          <w:szCs w:val="20"/>
        </w:rPr>
        <w:t>0</w:t>
      </w:r>
      <w:r>
        <w:rPr>
          <w:sz w:val="20"/>
          <w:szCs w:val="20"/>
        </w:rPr>
        <w:t xml:space="preserve"> million an</w:t>
      </w:r>
      <w:r>
        <w:rPr>
          <w:sz w:val="20"/>
          <w:szCs w:val="20"/>
        </w:rPr>
        <w:t xml:space="preserve">d </w:t>
      </w:r>
      <w:r>
        <w:rPr>
          <w:sz w:val="20"/>
          <w:szCs w:val="20"/>
        </w:rPr>
        <w:t>$</w:t>
      </w:r>
      <w:r>
        <w:rPr>
          <w:sz w:val="20"/>
          <w:szCs w:val="20"/>
        </w:rPr>
        <w:t>13.</w:t>
      </w:r>
      <w:r>
        <w:rPr>
          <w:sz w:val="20"/>
          <w:szCs w:val="20"/>
        </w:rPr>
        <w:t>3</w:t>
      </w:r>
      <w:r>
        <w:rPr>
          <w:sz w:val="20"/>
          <w:szCs w:val="20"/>
        </w:rPr>
        <w:t xml:space="preserve"> million, respectively. The revenue recognized from the contract liabilities consisted of the Company satisfying performance obligations during the normal course of business</w:t>
      </w:r>
      <w:r>
        <w:rPr>
          <w:sz w:val="20"/>
          <w:szCs w:val="20"/>
        </w:rPr>
        <w:t>.</w:t>
      </w:r>
    </w:p>
    <w:p w:rsidR="00000000" w:rsidRDefault="00F55F16">
      <w:pPr>
        <w:pStyle w:val="a3"/>
        <w:spacing w:before="240" w:beforeAutospacing="0" w:after="0" w:afterAutospacing="0"/>
        <w:ind w:firstLine="555"/>
        <w:divId w:val="268006830"/>
        <w:rPr>
          <w:sz w:val="20"/>
          <w:szCs w:val="20"/>
        </w:rPr>
      </w:pPr>
      <w:r>
        <w:rPr>
          <w:sz w:val="20"/>
          <w:szCs w:val="20"/>
        </w:rPr>
        <w:t>The amount of revenue recognized from changes in the transaction price ass</w:t>
      </w:r>
      <w:r>
        <w:rPr>
          <w:sz w:val="20"/>
          <w:szCs w:val="20"/>
        </w:rPr>
        <w:t>ociated with performance obligations satisfied in prior periods during the three and six months ended June 30, 2022 was not material</w:t>
      </w:r>
      <w:r>
        <w:rPr>
          <w:sz w:val="20"/>
          <w:szCs w:val="20"/>
        </w:rPr>
        <w:t>.</w:t>
      </w:r>
    </w:p>
    <w:p w:rsidR="00000000" w:rsidRDefault="00F55F16">
      <w:pPr>
        <w:pStyle w:val="a3"/>
        <w:spacing w:before="240" w:beforeAutospacing="0" w:after="0" w:afterAutospacing="0"/>
        <w:ind w:firstLine="555"/>
        <w:divId w:val="268006830"/>
        <w:rPr>
          <w:sz w:val="20"/>
          <w:szCs w:val="20"/>
        </w:rPr>
      </w:pPr>
      <w:r>
        <w:rPr>
          <w:b/>
          <w:bCs/>
          <w:sz w:val="20"/>
          <w:szCs w:val="20"/>
        </w:rPr>
        <w:t>Remaining Unsatisfied Performance Obligation</w:t>
      </w:r>
      <w:r>
        <w:rPr>
          <w:b/>
          <w:bCs/>
          <w:sz w:val="20"/>
          <w:szCs w:val="20"/>
        </w:rPr>
        <w:t>s</w:t>
      </w:r>
      <w:r>
        <w:rPr>
          <w:sz w:val="20"/>
          <w:szCs w:val="20"/>
        </w:rPr>
        <w:t>—Remaining unsatisfied performance obligations represent the total dollar val</w:t>
      </w:r>
      <w:r>
        <w:rPr>
          <w:sz w:val="20"/>
          <w:szCs w:val="20"/>
        </w:rPr>
        <w:t>ue of work to be performed on contracts awarded and in progress. The amount of remaining unsatisfied performance obligations increases with new contracts or additions to existing contracts and decreases as revenue is recognized on existing contracts. Contr</w:t>
      </w:r>
      <w:r>
        <w:rPr>
          <w:sz w:val="20"/>
          <w:szCs w:val="20"/>
        </w:rPr>
        <w:t>acts are included in the amount of remaining unsatisfied performance obligations when an enforceable agreement has been reached. As of June 30, 2022 and December 31, 2021, the estimated revenue expected to be recognized in the future related to performance</w:t>
      </w:r>
      <w:r>
        <w:rPr>
          <w:sz w:val="20"/>
          <w:szCs w:val="20"/>
        </w:rPr>
        <w:t xml:space="preserve"> obligations that are unsatisfied was approximately </w:t>
      </w:r>
      <w:r>
        <w:rPr>
          <w:sz w:val="20"/>
          <w:szCs w:val="20"/>
        </w:rPr>
        <w:t>$</w:t>
      </w:r>
      <w:r>
        <w:rPr>
          <w:sz w:val="20"/>
          <w:szCs w:val="20"/>
        </w:rPr>
        <w:t>97.</w:t>
      </w:r>
      <w:r>
        <w:rPr>
          <w:sz w:val="20"/>
          <w:szCs w:val="20"/>
        </w:rPr>
        <w:t>9</w:t>
      </w:r>
      <w:r>
        <w:rPr>
          <w:sz w:val="20"/>
          <w:szCs w:val="20"/>
        </w:rPr>
        <w:t xml:space="preserve"> million and </w:t>
      </w:r>
      <w:r>
        <w:rPr>
          <w:sz w:val="20"/>
          <w:szCs w:val="20"/>
        </w:rPr>
        <w:t>$</w:t>
      </w:r>
      <w:r>
        <w:rPr>
          <w:sz w:val="20"/>
          <w:szCs w:val="20"/>
        </w:rPr>
        <w:t>108.</w:t>
      </w:r>
      <w:r>
        <w:rPr>
          <w:sz w:val="20"/>
          <w:szCs w:val="20"/>
        </w:rPr>
        <w:t>7</w:t>
      </w:r>
      <w:r>
        <w:rPr>
          <w:sz w:val="20"/>
          <w:szCs w:val="20"/>
        </w:rPr>
        <w:t xml:space="preserve"> million, respectively. As of June 30, 2022, the Company expected to recognize approximately </w:t>
      </w:r>
      <w:r>
        <w:rPr>
          <w:sz w:val="20"/>
          <w:szCs w:val="20"/>
        </w:rPr>
        <w:t>$</w:t>
      </w:r>
      <w:r>
        <w:rPr>
          <w:sz w:val="20"/>
          <w:szCs w:val="20"/>
        </w:rPr>
        <w:t>74.</w:t>
      </w:r>
      <w:r>
        <w:rPr>
          <w:sz w:val="20"/>
          <w:szCs w:val="20"/>
        </w:rPr>
        <w:t>0</w:t>
      </w:r>
      <w:r>
        <w:rPr>
          <w:sz w:val="20"/>
          <w:szCs w:val="20"/>
        </w:rPr>
        <w:t xml:space="preserve"> million of this amount as revenue in</w:t>
      </w:r>
      <w:r>
        <w:rPr>
          <w:sz w:val="20"/>
          <w:szCs w:val="20"/>
        </w:rPr>
        <w:t xml:space="preserve"> </w:t>
      </w:r>
      <w:r>
        <w:rPr>
          <w:sz w:val="20"/>
          <w:szCs w:val="20"/>
        </w:rPr>
        <w:t>202</w:t>
      </w:r>
      <w:r>
        <w:rPr>
          <w:sz w:val="20"/>
          <w:szCs w:val="20"/>
        </w:rPr>
        <w:t>2</w:t>
      </w:r>
      <w:r>
        <w:rPr>
          <w:sz w:val="20"/>
          <w:szCs w:val="20"/>
        </w:rPr>
        <w:t xml:space="preserve"> and </w:t>
      </w:r>
      <w:r>
        <w:rPr>
          <w:sz w:val="20"/>
          <w:szCs w:val="20"/>
        </w:rPr>
        <w:t>$</w:t>
      </w:r>
      <w:r>
        <w:rPr>
          <w:sz w:val="20"/>
          <w:szCs w:val="20"/>
        </w:rPr>
        <w:t>23.</w:t>
      </w:r>
      <w:r>
        <w:rPr>
          <w:sz w:val="20"/>
          <w:szCs w:val="20"/>
        </w:rPr>
        <w:t>9</w:t>
      </w:r>
      <w:r>
        <w:rPr>
          <w:sz w:val="20"/>
          <w:szCs w:val="20"/>
        </w:rPr>
        <w:t xml:space="preserve"> mil</w:t>
      </w:r>
      <w:r>
        <w:rPr>
          <w:sz w:val="20"/>
          <w:szCs w:val="20"/>
        </w:rPr>
        <w:t>l</w:t>
      </w:r>
      <w:r>
        <w:rPr>
          <w:sz w:val="20"/>
          <w:szCs w:val="20"/>
        </w:rPr>
        <w:t>ion the</w:t>
      </w:r>
      <w:r>
        <w:rPr>
          <w:sz w:val="20"/>
          <w:szCs w:val="20"/>
        </w:rPr>
        <w:t xml:space="preserve"> </w:t>
      </w:r>
      <w:r>
        <w:rPr>
          <w:sz w:val="20"/>
          <w:szCs w:val="20"/>
        </w:rPr>
        <w:t>year afte</w:t>
      </w:r>
      <w:r>
        <w:rPr>
          <w:sz w:val="20"/>
          <w:szCs w:val="20"/>
        </w:rPr>
        <w:t>r</w:t>
      </w:r>
      <w:r>
        <w:rPr>
          <w:sz w:val="20"/>
          <w:szCs w:val="20"/>
        </w:rPr>
        <w:t>.</w:t>
      </w:r>
    </w:p>
    <w:p w:rsidR="00000000" w:rsidRDefault="00F55F16">
      <w:pPr>
        <w:pStyle w:val="a3"/>
        <w:spacing w:before="240" w:beforeAutospacing="0" w:after="0" w:afterAutospacing="0"/>
        <w:ind w:firstLine="555"/>
        <w:divId w:val="268006830"/>
        <w:rPr>
          <w:sz w:val="20"/>
          <w:szCs w:val="20"/>
        </w:rPr>
      </w:pPr>
      <w:r>
        <w:rPr>
          <w:b/>
          <w:bCs/>
          <w:sz w:val="20"/>
          <w:szCs w:val="20"/>
        </w:rPr>
        <w:t>Accou</w:t>
      </w:r>
      <w:r>
        <w:rPr>
          <w:b/>
          <w:bCs/>
          <w:sz w:val="20"/>
          <w:szCs w:val="20"/>
        </w:rPr>
        <w:t>nts Receivable, Ne</w:t>
      </w:r>
      <w:r>
        <w:rPr>
          <w:b/>
          <w:bCs/>
          <w:sz w:val="20"/>
          <w:szCs w:val="20"/>
        </w:rPr>
        <w:t>t</w:t>
      </w:r>
      <w:r>
        <w:rPr>
          <w:sz w:val="20"/>
          <w:szCs w:val="20"/>
        </w:rPr>
        <w:t>—The Company extends non-interest-bearing trade credit to its customers in the ordinary course of business.</w:t>
      </w:r>
      <w:r>
        <w:rPr>
          <w:sz w:val="20"/>
          <w:szCs w:val="20"/>
        </w:rPr>
        <w:t xml:space="preserve"> </w:t>
      </w:r>
      <w:r>
        <w:rPr>
          <w:sz w:val="20"/>
          <w:szCs w:val="20"/>
        </w:rPr>
        <w:t>Accounts receivable, net consisted of the following</w:t>
      </w:r>
      <w:r>
        <w:rPr>
          <w:sz w:val="20"/>
          <w:szCs w:val="20"/>
        </w:rPr>
        <w:t>:</w:t>
      </w:r>
    </w:p>
    <w:p w:rsidR="00000000" w:rsidRDefault="00F55F16">
      <w:pPr>
        <w:pStyle w:val="a3"/>
        <w:spacing w:before="0" w:beforeAutospacing="0" w:after="0" w:afterAutospacing="0"/>
        <w:divId w:val="181477969"/>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00"/>
        <w:gridCol w:w="105"/>
        <w:gridCol w:w="150"/>
        <w:gridCol w:w="690"/>
        <w:gridCol w:w="120"/>
        <w:gridCol w:w="105"/>
        <w:gridCol w:w="151"/>
        <w:gridCol w:w="758"/>
        <w:gridCol w:w="135"/>
      </w:tblGrid>
      <w:tr w:rsidR="00000000">
        <w:trPr>
          <w:divId w:val="181477969"/>
          <w:tblCellSpacing w:w="15" w:type="dxa"/>
        </w:trPr>
        <w:tc>
          <w:tcPr>
            <w:tcW w:w="3270" w:type="pct"/>
            <w:vAlign w:val="center"/>
            <w:hideMark/>
          </w:tcPr>
          <w:p w:rsidR="00000000" w:rsidRDefault="00F55F16">
            <w:pPr>
              <w:rPr>
                <w:sz w:val="20"/>
                <w:szCs w:val="20"/>
              </w:rPr>
            </w:pPr>
          </w:p>
        </w:tc>
        <w:tc>
          <w:tcPr>
            <w:tcW w:w="7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7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0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81477969"/>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1477969"/>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147796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Accounts receivable, invoice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89,66</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101,70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147796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Accounts receivable, othe</w:t>
            </w:r>
            <w:r>
              <w:rPr>
                <w:sz w:val="18"/>
                <w:szCs w:val="18"/>
              </w:rPr>
              <w:t>r</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1,38</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147796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Allowance for doubtful account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2,90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4,58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8147796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Accounts receivable—ne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87,67</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98,51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268006830"/>
        <w:rPr>
          <w:sz w:val="20"/>
          <w:szCs w:val="20"/>
        </w:rPr>
      </w:pPr>
      <w:r>
        <w:rPr>
          <w:sz w:val="20"/>
          <w:szCs w:val="20"/>
        </w:rPr>
        <w:t>As of June 30, 202</w:t>
      </w:r>
      <w:r>
        <w:rPr>
          <w:sz w:val="20"/>
          <w:szCs w:val="20"/>
        </w:rPr>
        <w:t>2</w:t>
      </w:r>
      <w:r>
        <w:rPr>
          <w:sz w:val="20"/>
          <w:szCs w:val="20"/>
        </w:rPr>
        <w:t>, the Company had</w:t>
      </w:r>
      <w:r>
        <w:rPr>
          <w:sz w:val="20"/>
          <w:szCs w:val="20"/>
        </w:rPr>
        <w:t xml:space="preserve"> </w:t>
      </w:r>
      <w:r>
        <w:rPr>
          <w:sz w:val="20"/>
          <w:szCs w:val="20"/>
        </w:rPr>
        <w:t>on</w:t>
      </w:r>
      <w:r>
        <w:rPr>
          <w:sz w:val="20"/>
          <w:szCs w:val="20"/>
        </w:rPr>
        <w:t>e</w:t>
      </w:r>
      <w:r>
        <w:rPr>
          <w:sz w:val="20"/>
          <w:szCs w:val="20"/>
        </w:rPr>
        <w:t xml:space="preserve"> customer who accounted for</w:t>
      </w:r>
      <w:r>
        <w:rPr>
          <w:sz w:val="20"/>
          <w:szCs w:val="20"/>
        </w:rPr>
        <w:t xml:space="preserve"> </w:t>
      </w:r>
      <w:r>
        <w:rPr>
          <w:sz w:val="20"/>
          <w:szCs w:val="20"/>
        </w:rPr>
        <w:t>22.</w:t>
      </w:r>
      <w:r>
        <w:rPr>
          <w:sz w:val="20"/>
          <w:szCs w:val="20"/>
        </w:rPr>
        <w:t>2</w:t>
      </w:r>
      <w:r>
        <w:rPr>
          <w:sz w:val="20"/>
          <w:szCs w:val="20"/>
        </w:rPr>
        <w:t>%</w:t>
      </w:r>
      <w:r>
        <w:rPr>
          <w:sz w:val="20"/>
          <w:szCs w:val="20"/>
        </w:rPr>
        <w:t xml:space="preserve"> of our gross accounts receivable. As of December 31, 202</w:t>
      </w:r>
      <w:r>
        <w:rPr>
          <w:sz w:val="20"/>
          <w:szCs w:val="20"/>
        </w:rPr>
        <w:t>1</w:t>
      </w:r>
      <w:r>
        <w:rPr>
          <w:sz w:val="20"/>
          <w:szCs w:val="20"/>
        </w:rPr>
        <w:t>, the Company had</w:t>
      </w:r>
      <w:r>
        <w:rPr>
          <w:sz w:val="20"/>
          <w:szCs w:val="20"/>
        </w:rPr>
        <w:t xml:space="preserve"> </w:t>
      </w:r>
      <w:r>
        <w:rPr>
          <w:sz w:val="20"/>
          <w:szCs w:val="20"/>
        </w:rPr>
        <w:t>on</w:t>
      </w:r>
      <w:r>
        <w:rPr>
          <w:sz w:val="20"/>
          <w:szCs w:val="20"/>
        </w:rPr>
        <w:t>e</w:t>
      </w:r>
      <w:r>
        <w:rPr>
          <w:sz w:val="20"/>
          <w:szCs w:val="20"/>
        </w:rPr>
        <w:t xml:space="preserve"> customer who accounted for</w:t>
      </w:r>
      <w:r>
        <w:rPr>
          <w:sz w:val="20"/>
          <w:szCs w:val="20"/>
        </w:rPr>
        <w:t xml:space="preserve"> </w:t>
      </w:r>
      <w:r>
        <w:rPr>
          <w:sz w:val="20"/>
          <w:szCs w:val="20"/>
        </w:rPr>
        <w:t>23.</w:t>
      </w:r>
      <w:r>
        <w:rPr>
          <w:sz w:val="20"/>
          <w:szCs w:val="20"/>
        </w:rPr>
        <w:t>1</w:t>
      </w:r>
      <w:r>
        <w:rPr>
          <w:sz w:val="20"/>
          <w:szCs w:val="20"/>
        </w:rPr>
        <w:t>%</w:t>
      </w:r>
      <w:r>
        <w:rPr>
          <w:sz w:val="20"/>
          <w:szCs w:val="20"/>
        </w:rPr>
        <w:t xml:space="preserve"> of our gross accounts receivable. For the three and six months ended J</w:t>
      </w:r>
      <w:r>
        <w:rPr>
          <w:sz w:val="20"/>
          <w:szCs w:val="20"/>
        </w:rPr>
        <w:t>une 30, 2022, the Company had</w:t>
      </w:r>
      <w:r>
        <w:rPr>
          <w:sz w:val="20"/>
          <w:szCs w:val="20"/>
        </w:rPr>
        <w:t xml:space="preserve"> </w:t>
      </w:r>
      <w:r>
        <w:rPr>
          <w:sz w:val="20"/>
          <w:szCs w:val="20"/>
        </w:rPr>
        <w:t>on</w:t>
      </w:r>
      <w:r>
        <w:rPr>
          <w:sz w:val="20"/>
          <w:szCs w:val="20"/>
        </w:rPr>
        <w:t>e</w:t>
      </w:r>
      <w:r>
        <w:rPr>
          <w:sz w:val="20"/>
          <w:szCs w:val="20"/>
        </w:rPr>
        <w:t xml:space="preserve"> customer who accounted for</w:t>
      </w:r>
      <w:r>
        <w:rPr>
          <w:sz w:val="20"/>
          <w:szCs w:val="20"/>
        </w:rPr>
        <w:t xml:space="preserve"> </w:t>
      </w:r>
      <w:r>
        <w:rPr>
          <w:sz w:val="20"/>
          <w:szCs w:val="20"/>
        </w:rPr>
        <w:t>16.</w:t>
      </w:r>
      <w:r>
        <w:rPr>
          <w:sz w:val="20"/>
          <w:szCs w:val="20"/>
        </w:rPr>
        <w:t>1</w:t>
      </w:r>
      <w:r>
        <w:rPr>
          <w:sz w:val="20"/>
          <w:szCs w:val="20"/>
        </w:rPr>
        <w:t>%</w:t>
      </w:r>
      <w:r>
        <w:rPr>
          <w:sz w:val="20"/>
          <w:szCs w:val="20"/>
        </w:rPr>
        <w:t xml:space="preserve"> and</w:t>
      </w:r>
      <w:r>
        <w:rPr>
          <w:sz w:val="20"/>
          <w:szCs w:val="20"/>
        </w:rPr>
        <w:t xml:space="preserve"> </w:t>
      </w:r>
      <w:r>
        <w:rPr>
          <w:sz w:val="20"/>
          <w:szCs w:val="20"/>
        </w:rPr>
        <w:t>16.</w:t>
      </w:r>
      <w:r>
        <w:rPr>
          <w:sz w:val="20"/>
          <w:szCs w:val="20"/>
        </w:rPr>
        <w:t>7</w:t>
      </w:r>
      <w:r>
        <w:rPr>
          <w:sz w:val="20"/>
          <w:szCs w:val="20"/>
        </w:rPr>
        <w:t>%</w:t>
      </w:r>
      <w:r>
        <w:rPr>
          <w:sz w:val="20"/>
          <w:szCs w:val="20"/>
        </w:rPr>
        <w:t xml:space="preserve"> of revenue, respectively. During the three and six months ended June 30, 202</w:t>
      </w:r>
      <w:r>
        <w:rPr>
          <w:sz w:val="20"/>
          <w:szCs w:val="20"/>
        </w:rPr>
        <w:t>1</w:t>
      </w:r>
      <w:r>
        <w:rPr>
          <w:sz w:val="20"/>
          <w:szCs w:val="20"/>
        </w:rPr>
        <w:t>, the Company had</w:t>
      </w:r>
      <w:r>
        <w:rPr>
          <w:sz w:val="20"/>
          <w:szCs w:val="20"/>
        </w:rPr>
        <w:t xml:space="preserve"> </w:t>
      </w:r>
      <w:r>
        <w:rPr>
          <w:sz w:val="20"/>
          <w:szCs w:val="20"/>
        </w:rPr>
        <w:t>thre</w:t>
      </w:r>
      <w:r>
        <w:rPr>
          <w:sz w:val="20"/>
          <w:szCs w:val="20"/>
        </w:rPr>
        <w:t>e</w:t>
      </w:r>
      <w:r>
        <w:rPr>
          <w:sz w:val="20"/>
          <w:szCs w:val="20"/>
        </w:rPr>
        <w:t xml:space="preserve"> customers who accounted for</w:t>
      </w:r>
      <w:r>
        <w:rPr>
          <w:sz w:val="20"/>
          <w:szCs w:val="20"/>
        </w:rPr>
        <w:t xml:space="preserve"> </w:t>
      </w:r>
      <w:r>
        <w:rPr>
          <w:sz w:val="20"/>
          <w:szCs w:val="20"/>
        </w:rPr>
        <w:t>14.</w:t>
      </w:r>
      <w:r>
        <w:rPr>
          <w:sz w:val="20"/>
          <w:szCs w:val="20"/>
        </w:rPr>
        <w:t>1</w:t>
      </w:r>
      <w:r>
        <w:rPr>
          <w:sz w:val="20"/>
          <w:szCs w:val="20"/>
        </w:rPr>
        <w:t>%,</w:t>
      </w:r>
      <w:r>
        <w:rPr>
          <w:sz w:val="20"/>
          <w:szCs w:val="20"/>
        </w:rPr>
        <w:t xml:space="preserve"> </w:t>
      </w:r>
      <w:r>
        <w:rPr>
          <w:sz w:val="20"/>
          <w:szCs w:val="20"/>
        </w:rPr>
        <w:t>14.</w:t>
      </w:r>
      <w:r>
        <w:rPr>
          <w:sz w:val="20"/>
          <w:szCs w:val="20"/>
        </w:rPr>
        <w:t>1</w:t>
      </w:r>
      <w:r>
        <w:rPr>
          <w:sz w:val="20"/>
          <w:szCs w:val="20"/>
        </w:rPr>
        <w:t>% and</w:t>
      </w:r>
      <w:r>
        <w:rPr>
          <w:sz w:val="20"/>
          <w:szCs w:val="20"/>
        </w:rPr>
        <w:t xml:space="preserve"> </w:t>
      </w:r>
      <w:r>
        <w:rPr>
          <w:sz w:val="20"/>
          <w:szCs w:val="20"/>
        </w:rPr>
        <w:t>10.</w:t>
      </w:r>
      <w:r>
        <w:rPr>
          <w:sz w:val="20"/>
          <w:szCs w:val="20"/>
        </w:rPr>
        <w:t>2</w:t>
      </w:r>
      <w:r>
        <w:rPr>
          <w:sz w:val="20"/>
          <w:szCs w:val="20"/>
        </w:rPr>
        <w:t>%, and</w:t>
      </w:r>
      <w:r>
        <w:rPr>
          <w:sz w:val="20"/>
          <w:szCs w:val="20"/>
        </w:rPr>
        <w:t xml:space="preserve"> </w:t>
      </w:r>
      <w:r>
        <w:rPr>
          <w:sz w:val="20"/>
          <w:szCs w:val="20"/>
        </w:rPr>
        <w:t>13.</w:t>
      </w:r>
      <w:r>
        <w:rPr>
          <w:sz w:val="20"/>
          <w:szCs w:val="20"/>
        </w:rPr>
        <w:t>4</w:t>
      </w:r>
      <w:r>
        <w:rPr>
          <w:sz w:val="20"/>
          <w:szCs w:val="20"/>
        </w:rPr>
        <w:t>%,</w:t>
      </w:r>
      <w:r>
        <w:rPr>
          <w:sz w:val="20"/>
          <w:szCs w:val="20"/>
        </w:rPr>
        <w:t xml:space="preserve"> </w:t>
      </w:r>
      <w:r>
        <w:rPr>
          <w:sz w:val="20"/>
          <w:szCs w:val="20"/>
        </w:rPr>
        <w:t>13.</w:t>
      </w:r>
      <w:r>
        <w:rPr>
          <w:sz w:val="20"/>
          <w:szCs w:val="20"/>
        </w:rPr>
        <w:t>2</w:t>
      </w:r>
      <w:r>
        <w:rPr>
          <w:sz w:val="20"/>
          <w:szCs w:val="20"/>
        </w:rPr>
        <w:t>% and</w:t>
      </w:r>
      <w:r>
        <w:rPr>
          <w:sz w:val="20"/>
          <w:szCs w:val="20"/>
        </w:rPr>
        <w:t xml:space="preserve"> </w:t>
      </w:r>
      <w:r>
        <w:rPr>
          <w:sz w:val="20"/>
          <w:szCs w:val="20"/>
        </w:rPr>
        <w:t>11.</w:t>
      </w:r>
      <w:r>
        <w:rPr>
          <w:sz w:val="20"/>
          <w:szCs w:val="20"/>
        </w:rPr>
        <w:t>9</w:t>
      </w:r>
      <w:r>
        <w:rPr>
          <w:sz w:val="20"/>
          <w:szCs w:val="20"/>
        </w:rPr>
        <w:t>%</w:t>
      </w:r>
      <w:r>
        <w:rPr>
          <w:sz w:val="20"/>
          <w:szCs w:val="20"/>
        </w:rPr>
        <w:t xml:space="preserve"> of revenue, respectively. The Company performs ongoing credit evaluations and based on past collection experience, the Company believes that the receivable balances from these largest customers do not represent a significant credit risk</w:t>
      </w:r>
      <w:r>
        <w:rPr>
          <w:sz w:val="20"/>
          <w:szCs w:val="20"/>
        </w:rPr>
        <w:t>.</w:t>
      </w:r>
    </w:p>
    <w:p w:rsidR="00000000" w:rsidRDefault="00F55F16">
      <w:pPr>
        <w:pStyle w:val="a3"/>
        <w:spacing w:before="240" w:beforeAutospacing="0" w:after="0" w:afterAutospacing="0"/>
        <w:ind w:firstLine="555"/>
        <w:divId w:val="268006830"/>
        <w:rPr>
          <w:sz w:val="20"/>
          <w:szCs w:val="20"/>
        </w:rPr>
      </w:pPr>
      <w:r>
        <w:rPr>
          <w:sz w:val="20"/>
          <w:szCs w:val="20"/>
        </w:rPr>
        <w:t>Accounts receivable are shown on the face of the consolidated statements of financial position, net of an allowance for doubtful accounts. The allowance for doubtful accounts is established at the origination of an account in accordance with ASU 2016-13, F</w:t>
      </w:r>
      <w:r>
        <w:rPr>
          <w:sz w:val="20"/>
          <w:szCs w:val="20"/>
        </w:rPr>
        <w:t>inancial Instruments—Credit Losses (Topic 326). ASC 326 requires the Company to estimate the lifetime expected credit losses on such instruments and to record an allowance to offset the receivables. In determining the allowance for doubtful accounts, the C</w:t>
      </w:r>
      <w:r>
        <w:rPr>
          <w:sz w:val="20"/>
          <w:szCs w:val="20"/>
        </w:rPr>
        <w:t>ompany analyzes the aging of accounts receivable, historical bad debts, customer creditworthiness and current economic trends.</w:t>
      </w:r>
      <w:r>
        <w:rPr>
          <w:sz w:val="20"/>
          <w:szCs w:val="20"/>
        </w:rPr>
        <w:t xml:space="preserve"> </w:t>
      </w:r>
      <w:r>
        <w:rPr>
          <w:sz w:val="20"/>
          <w:szCs w:val="20"/>
        </w:rPr>
        <w:t>The allowance for doubtful accounts consisted of the following</w:t>
      </w:r>
      <w:r>
        <w:rPr>
          <w:sz w:val="20"/>
          <w:szCs w:val="20"/>
        </w:rPr>
        <w:t>:</w:t>
      </w:r>
    </w:p>
    <w:p w:rsidR="00000000" w:rsidRDefault="00F55F16">
      <w:pPr>
        <w:pStyle w:val="a3"/>
        <w:spacing w:before="0" w:beforeAutospacing="0" w:after="0" w:afterAutospacing="0"/>
        <w:divId w:val="136192843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49"/>
        <w:gridCol w:w="105"/>
        <w:gridCol w:w="151"/>
        <w:gridCol w:w="728"/>
        <w:gridCol w:w="105"/>
        <w:gridCol w:w="105"/>
        <w:gridCol w:w="151"/>
        <w:gridCol w:w="600"/>
        <w:gridCol w:w="120"/>
        <w:gridCol w:w="105"/>
        <w:gridCol w:w="151"/>
        <w:gridCol w:w="744"/>
        <w:gridCol w:w="120"/>
        <w:gridCol w:w="105"/>
        <w:gridCol w:w="151"/>
        <w:gridCol w:w="563"/>
        <w:gridCol w:w="105"/>
        <w:gridCol w:w="105"/>
        <w:gridCol w:w="151"/>
        <w:gridCol w:w="572"/>
        <w:gridCol w:w="120"/>
      </w:tblGrid>
      <w:tr w:rsidR="00000000">
        <w:trPr>
          <w:divId w:val="1361928436"/>
          <w:tblCellSpacing w:w="15" w:type="dxa"/>
        </w:trPr>
        <w:tc>
          <w:tcPr>
            <w:tcW w:w="2188" w:type="pct"/>
            <w:vAlign w:val="center"/>
            <w:hideMark/>
          </w:tcPr>
          <w:p w:rsidR="00000000" w:rsidRDefault="00F55F16">
            <w:pPr>
              <w:rPr>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2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0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1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0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0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36192843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Beginning</w:t>
            </w:r>
            <w:r>
              <w:rPr>
                <w:b/>
                <w:bCs/>
                <w:sz w:val="18"/>
                <w:szCs w:val="18"/>
              </w:rPr>
              <w:br/>
              <w:t>Balanc</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Bad Debt</w:t>
            </w:r>
            <w:r>
              <w:rPr>
                <w:b/>
                <w:bCs/>
                <w:sz w:val="18"/>
                <w:szCs w:val="18"/>
              </w:rPr>
              <w:br/>
              <w:t>Expens</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Charged to</w:t>
            </w:r>
            <w:r>
              <w:rPr>
                <w:b/>
                <w:bCs/>
                <w:sz w:val="18"/>
                <w:szCs w:val="18"/>
              </w:rPr>
              <w:br/>
              <w:t>Allowanc</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Othe</w:t>
            </w:r>
            <w:r>
              <w:rPr>
                <w:b/>
                <w:bCs/>
                <w:sz w:val="18"/>
                <w:szCs w:val="18"/>
              </w:rPr>
              <w:t>r</w:t>
            </w:r>
            <w:r>
              <w:rPr>
                <w:b/>
                <w:bCs/>
                <w:sz w:val="12"/>
                <w:szCs w:val="12"/>
              </w:rPr>
              <w:t>(1</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Ending</w:t>
            </w:r>
            <w:r>
              <w:rPr>
                <w:b/>
                <w:bCs/>
                <w:sz w:val="18"/>
                <w:szCs w:val="18"/>
              </w:rPr>
              <w:br/>
              <w:t>Balanc</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3619284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Six months ended June 30, 202</w:t>
            </w:r>
            <w:r>
              <w:rPr>
                <w:sz w:val="18"/>
                <w:szCs w:val="18"/>
              </w:rPr>
              <w:t>2</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3619284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Year ended December 31, 202</w:t>
            </w:r>
            <w:r>
              <w:rPr>
                <w:sz w:val="18"/>
                <w:szCs w:val="18"/>
              </w:rPr>
              <w:t>1</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4,26</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1,13</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divId w:val="1361928436"/>
        <w:rPr>
          <w:sz w:val="20"/>
          <w:szCs w:val="20"/>
        </w:rPr>
      </w:pPr>
      <w:r>
        <w:t>___________________</w:t>
      </w:r>
      <w:r>
        <w:t>_</w:t>
      </w:r>
    </w:p>
    <w:p w:rsidR="00000000" w:rsidRDefault="00F55F16">
      <w:pPr>
        <w:divId w:val="970793385"/>
        <w:rPr>
          <w:rFonts w:eastAsia="Times New Roman"/>
        </w:rPr>
      </w:pPr>
      <w:r>
        <w:rPr>
          <w:rFonts w:eastAsia="Times New Roman"/>
          <w:sz w:val="16"/>
          <w:szCs w:val="16"/>
        </w:rPr>
        <w:t>(1</w:t>
      </w:r>
      <w:r>
        <w:rPr>
          <w:rFonts w:eastAsia="Times New Roman"/>
          <w:sz w:val="16"/>
          <w:szCs w:val="16"/>
        </w:rPr>
        <w:t>)</w:t>
      </w:r>
    </w:p>
    <w:p w:rsidR="00000000" w:rsidRDefault="00F55F16">
      <w:pPr>
        <w:divId w:val="575170675"/>
        <w:rPr>
          <w:rFonts w:eastAsia="Times New Roman"/>
        </w:rPr>
      </w:pPr>
      <w:r>
        <w:rPr>
          <w:rFonts w:eastAsia="Times New Roman"/>
          <w:sz w:val="16"/>
          <w:szCs w:val="16"/>
        </w:rPr>
        <w:t>This amount consists of additions to the allowance due to business acquisitions</w:t>
      </w:r>
      <w:r>
        <w:rPr>
          <w:rFonts w:eastAsia="Times New Roman"/>
          <w:sz w:val="16"/>
          <w:szCs w:val="16"/>
        </w:rPr>
        <w:t>.</w:t>
      </w:r>
    </w:p>
    <w:p w:rsidR="00000000" w:rsidRDefault="00F55F16">
      <w:pPr>
        <w:pStyle w:val="a3"/>
        <w:spacing w:before="360" w:beforeAutospacing="0" w:after="0" w:afterAutospacing="0"/>
        <w:divId w:val="147139315"/>
        <w:rPr>
          <w:sz w:val="20"/>
          <w:szCs w:val="20"/>
        </w:rPr>
      </w:pPr>
      <w:r>
        <w:rPr>
          <w:b/>
          <w:bCs/>
          <w:sz w:val="20"/>
          <w:szCs w:val="20"/>
        </w:rPr>
        <w:t>4. PREPAID AND OTHER CURRENT ASSET</w:t>
      </w:r>
      <w:r>
        <w:rPr>
          <w:b/>
          <w:bCs/>
          <w:sz w:val="20"/>
          <w:szCs w:val="20"/>
        </w:rPr>
        <w:t>S</w:t>
      </w:r>
    </w:p>
    <w:p w:rsidR="00000000" w:rsidRDefault="00F55F16">
      <w:pPr>
        <w:pStyle w:val="a3"/>
        <w:spacing w:before="240" w:beforeAutospacing="0" w:after="0" w:afterAutospacing="0"/>
        <w:ind w:firstLine="555"/>
        <w:divId w:val="778450878"/>
        <w:rPr>
          <w:sz w:val="20"/>
          <w:szCs w:val="20"/>
        </w:rPr>
      </w:pPr>
      <w:r>
        <w:rPr>
          <w:sz w:val="20"/>
          <w:szCs w:val="20"/>
        </w:rPr>
        <w:t>Prepaid and other current assets consisted of the following</w:t>
      </w:r>
      <w:r>
        <w:rPr>
          <w:sz w:val="20"/>
          <w:szCs w:val="20"/>
        </w:rPr>
        <w:t>:</w:t>
      </w:r>
    </w:p>
    <w:p w:rsidR="00000000" w:rsidRDefault="00F55F16">
      <w:pPr>
        <w:pStyle w:val="a3"/>
        <w:spacing w:before="0" w:beforeAutospacing="0" w:after="0" w:afterAutospacing="0"/>
        <w:divId w:val="778450878"/>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12"/>
        <w:gridCol w:w="140"/>
        <w:gridCol w:w="150"/>
        <w:gridCol w:w="1265"/>
        <w:gridCol w:w="105"/>
        <w:gridCol w:w="141"/>
        <w:gridCol w:w="151"/>
        <w:gridCol w:w="1330"/>
        <w:gridCol w:w="120"/>
      </w:tblGrid>
      <w:tr w:rsidR="00000000">
        <w:trPr>
          <w:divId w:val="778450878"/>
          <w:tblCellSpacing w:w="15" w:type="dxa"/>
        </w:trPr>
        <w:tc>
          <w:tcPr>
            <w:tcW w:w="2177" w:type="pct"/>
            <w:vAlign w:val="center"/>
            <w:hideMark/>
          </w:tcPr>
          <w:p w:rsidR="00000000" w:rsidRDefault="00F55F16">
            <w:pPr>
              <w:rPr>
                <w:sz w:val="20"/>
                <w:szCs w:val="20"/>
              </w:rPr>
            </w:pPr>
          </w:p>
        </w:tc>
        <w:tc>
          <w:tcPr>
            <w:tcW w:w="13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1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20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778450878"/>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778450878"/>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77845087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Deposit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77845087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Prepaid expense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5,17</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4,67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77845087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Supplie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2,79</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2,43</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77845087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Income tax receivabl</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50</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77845087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Prepaid and other current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10,40</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8,46</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7</w:t>
      </w:r>
    </w:p>
    <w:p w:rsidR="00000000" w:rsidRDefault="00F55F16">
      <w:pPr>
        <w:rPr>
          <w:rFonts w:eastAsia="Times New Roman"/>
        </w:rPr>
      </w:pPr>
      <w:r>
        <w:rPr>
          <w:rFonts w:eastAsia="Times New Roman"/>
        </w:rPr>
        <w:pict>
          <v:rect id="_x0000_i1033"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divId w:val="343285270"/>
        <w:rPr>
          <w:sz w:val="20"/>
          <w:szCs w:val="20"/>
        </w:rPr>
      </w:pPr>
      <w:r>
        <w:rPr>
          <w:b/>
          <w:bCs/>
          <w:sz w:val="20"/>
          <w:szCs w:val="20"/>
        </w:rPr>
        <w:t>5. PROPERTY AND EQUIPMENT, NE</w:t>
      </w:r>
      <w:r>
        <w:rPr>
          <w:b/>
          <w:bCs/>
          <w:sz w:val="20"/>
          <w:szCs w:val="20"/>
        </w:rPr>
        <w:t>T</w:t>
      </w:r>
      <w:r>
        <w:rPr>
          <w:sz w:val="20"/>
          <w:szCs w:val="20"/>
        </w:rPr>
        <w:t xml:space="preserve"> </w:t>
      </w:r>
    </w:p>
    <w:p w:rsidR="00000000" w:rsidRDefault="00F55F16">
      <w:pPr>
        <w:pStyle w:val="a3"/>
        <w:spacing w:before="240" w:beforeAutospacing="0" w:after="0" w:afterAutospacing="0"/>
        <w:ind w:firstLine="555"/>
        <w:divId w:val="343285270"/>
        <w:rPr>
          <w:sz w:val="20"/>
          <w:szCs w:val="20"/>
        </w:rPr>
      </w:pPr>
      <w:r>
        <w:rPr>
          <w:sz w:val="20"/>
          <w:szCs w:val="20"/>
        </w:rPr>
        <w:t>Property and equipment are stated at cost or estimated fair value for assets acquired through business combinations. Depreciation and amortization are provided using the straight-line method over the estimated useful lives of the assets. Leasehold improvem</w:t>
      </w:r>
      <w:r>
        <w:rPr>
          <w:sz w:val="20"/>
          <w:szCs w:val="20"/>
        </w:rPr>
        <w:t>ents are amortized using the straight-line method over the shorter of the remaining lease term, including options that are deemed to be reasonably assured, or the estimated useful life of the improvement</w:t>
      </w:r>
      <w:r>
        <w:rPr>
          <w:sz w:val="20"/>
          <w:szCs w:val="20"/>
        </w:rPr>
        <w:t>.</w:t>
      </w:r>
    </w:p>
    <w:p w:rsidR="00000000" w:rsidRDefault="00F55F16">
      <w:pPr>
        <w:pStyle w:val="a3"/>
        <w:spacing w:before="240" w:beforeAutospacing="0" w:after="0" w:afterAutospacing="0"/>
        <w:ind w:firstLine="555"/>
        <w:divId w:val="4063943"/>
        <w:rPr>
          <w:sz w:val="20"/>
          <w:szCs w:val="20"/>
        </w:rPr>
      </w:pPr>
      <w:r>
        <w:rPr>
          <w:sz w:val="20"/>
          <w:szCs w:val="20"/>
        </w:rPr>
        <w:t>Property and equipment, net, consisted of the follo</w:t>
      </w:r>
      <w:r>
        <w:rPr>
          <w:sz w:val="20"/>
          <w:szCs w:val="20"/>
        </w:rPr>
        <w:t>wing</w:t>
      </w:r>
      <w:r>
        <w:rPr>
          <w:sz w:val="20"/>
          <w:szCs w:val="20"/>
        </w:rPr>
        <w:t>:</w:t>
      </w:r>
    </w:p>
    <w:p w:rsidR="00000000" w:rsidRDefault="00F55F16">
      <w:pPr>
        <w:pStyle w:val="a3"/>
        <w:spacing w:before="0" w:beforeAutospacing="0" w:after="0" w:afterAutospacing="0"/>
        <w:ind w:firstLine="555"/>
        <w:divId w:val="406394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2"/>
        <w:gridCol w:w="185"/>
        <w:gridCol w:w="1599"/>
        <w:gridCol w:w="185"/>
        <w:gridCol w:w="150"/>
        <w:gridCol w:w="1441"/>
        <w:gridCol w:w="120"/>
        <w:gridCol w:w="186"/>
        <w:gridCol w:w="151"/>
        <w:gridCol w:w="1462"/>
        <w:gridCol w:w="135"/>
      </w:tblGrid>
      <w:tr w:rsidR="00000000">
        <w:trPr>
          <w:divId w:val="4063943"/>
          <w:tblCellSpacing w:w="15" w:type="dxa"/>
        </w:trPr>
        <w:tc>
          <w:tcPr>
            <w:tcW w:w="1674" w:type="pct"/>
            <w:vAlign w:val="center"/>
            <w:hideMark/>
          </w:tcPr>
          <w:p w:rsidR="00000000" w:rsidRDefault="00F55F16">
            <w:pPr>
              <w:rPr>
                <w:sz w:val="20"/>
                <w:szCs w:val="20"/>
              </w:rPr>
            </w:pPr>
          </w:p>
        </w:tc>
        <w:tc>
          <w:tcPr>
            <w:tcW w:w="107" w:type="pct"/>
            <w:vAlign w:val="center"/>
            <w:hideMark/>
          </w:tcPr>
          <w:p w:rsidR="00000000" w:rsidRDefault="00F55F16">
            <w:pPr>
              <w:rPr>
                <w:rFonts w:eastAsia="Times New Roman"/>
                <w:sz w:val="20"/>
                <w:szCs w:val="20"/>
              </w:rPr>
            </w:pPr>
          </w:p>
        </w:tc>
        <w:tc>
          <w:tcPr>
            <w:tcW w:w="996" w:type="pct"/>
            <w:vAlign w:val="center"/>
            <w:hideMark/>
          </w:tcPr>
          <w:p w:rsidR="00000000" w:rsidRDefault="00F55F16">
            <w:pPr>
              <w:rPr>
                <w:rFonts w:eastAsia="Times New Roman"/>
                <w:sz w:val="20"/>
                <w:szCs w:val="20"/>
              </w:rPr>
            </w:pPr>
          </w:p>
        </w:tc>
        <w:tc>
          <w:tcPr>
            <w:tcW w:w="10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9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0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0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4063943"/>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Estimate</w:t>
            </w:r>
            <w:r>
              <w:rPr>
                <w:b/>
                <w:bCs/>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4063943"/>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Useful Lif</w:t>
            </w:r>
            <w:r>
              <w:rPr>
                <w:b/>
                <w:bCs/>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Lab and test equipmen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21,00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18,58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Vehicle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5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5,45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5,41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Equipmen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3</w:t>
            </w:r>
            <w:r>
              <w:rPr>
                <w:sz w:val="18"/>
                <w:szCs w:val="18"/>
              </w:rPr>
              <w:t>-</w:t>
            </w:r>
            <w:r>
              <w:rPr>
                <w:sz w:val="18"/>
                <w:szCs w:val="18"/>
              </w:rPr>
              <w:t>7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36,69</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35,14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Furniture and fixture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Leasehold improvement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7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8,21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7,26</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Aircraf</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10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Buildin</w:t>
            </w:r>
            <w:r>
              <w:rPr>
                <w:sz w:val="18"/>
                <w:szCs w:val="18"/>
              </w:rPr>
              <w:t>g</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39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78,00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73,16</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Lan</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Construction in progres</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3,02</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2,34</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Less accumulated depreciatio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47,36</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44,70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406394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Total property and equipment—</w:t>
            </w:r>
            <w:r>
              <w:rPr>
                <w:sz w:val="18"/>
                <w:szCs w:val="18"/>
              </w:rPr>
              <w:br/>
              <w:t>   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34,39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31,52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343285270"/>
        <w:rPr>
          <w:sz w:val="20"/>
          <w:szCs w:val="20"/>
        </w:rPr>
      </w:pPr>
      <w:r>
        <w:rPr>
          <w:sz w:val="20"/>
          <w:szCs w:val="20"/>
        </w:rPr>
        <w:t xml:space="preserve">Total depreciation expense included in the unaudited condensed consolidated statements of operations was </w:t>
      </w:r>
      <w:r>
        <w:rPr>
          <w:sz w:val="20"/>
          <w:szCs w:val="20"/>
        </w:rPr>
        <w:t>$</w:t>
      </w:r>
      <w:r>
        <w:rPr>
          <w:sz w:val="20"/>
          <w:szCs w:val="20"/>
        </w:rPr>
        <w:t>1.</w:t>
      </w:r>
      <w:r>
        <w:rPr>
          <w:sz w:val="20"/>
          <w:szCs w:val="20"/>
        </w:rPr>
        <w:t>8</w:t>
      </w:r>
      <w:r>
        <w:rPr>
          <w:sz w:val="20"/>
          <w:szCs w:val="20"/>
        </w:rPr>
        <w:t xml:space="preserve"> million and </w:t>
      </w:r>
      <w:r>
        <w:rPr>
          <w:sz w:val="20"/>
          <w:szCs w:val="20"/>
        </w:rPr>
        <w:t>$</w:t>
      </w:r>
      <w:r>
        <w:rPr>
          <w:sz w:val="20"/>
          <w:szCs w:val="20"/>
        </w:rPr>
        <w:t>3.</w:t>
      </w:r>
      <w:r>
        <w:rPr>
          <w:sz w:val="20"/>
          <w:szCs w:val="20"/>
        </w:rPr>
        <w:t>6</w:t>
      </w:r>
      <w:r>
        <w:rPr>
          <w:sz w:val="20"/>
          <w:szCs w:val="20"/>
        </w:rPr>
        <w:t xml:space="preserve"> million for the three and six months ended June 30, 2022, respectively, </w:t>
      </w:r>
      <w:r>
        <w:rPr>
          <w:sz w:val="20"/>
          <w:szCs w:val="20"/>
        </w:rPr>
        <w:t>a</w:t>
      </w:r>
      <w:r>
        <w:rPr>
          <w:sz w:val="20"/>
          <w:szCs w:val="20"/>
        </w:rPr>
        <w:t xml:space="preserve">nd </w:t>
      </w:r>
      <w:r>
        <w:rPr>
          <w:sz w:val="20"/>
          <w:szCs w:val="20"/>
        </w:rPr>
        <w:t>$</w:t>
      </w:r>
      <w:r>
        <w:rPr>
          <w:sz w:val="20"/>
          <w:szCs w:val="20"/>
        </w:rPr>
        <w:t>0.</w:t>
      </w:r>
      <w:r>
        <w:rPr>
          <w:sz w:val="20"/>
          <w:szCs w:val="20"/>
        </w:rPr>
        <w:t>7</w:t>
      </w:r>
      <w:r>
        <w:rPr>
          <w:sz w:val="20"/>
          <w:szCs w:val="20"/>
        </w:rPr>
        <w:t xml:space="preserve"> </w:t>
      </w:r>
      <w:r>
        <w:rPr>
          <w:sz w:val="20"/>
          <w:szCs w:val="20"/>
        </w:rPr>
        <w:t xml:space="preserve">million and </w:t>
      </w:r>
      <w:r>
        <w:rPr>
          <w:sz w:val="20"/>
          <w:szCs w:val="20"/>
        </w:rPr>
        <w:t>$</w:t>
      </w:r>
      <w:r>
        <w:rPr>
          <w:sz w:val="20"/>
          <w:szCs w:val="20"/>
        </w:rPr>
        <w:t>3.</w:t>
      </w:r>
      <w:r>
        <w:rPr>
          <w:sz w:val="20"/>
          <w:szCs w:val="20"/>
        </w:rPr>
        <w:t>1</w:t>
      </w:r>
      <w:r>
        <w:rPr>
          <w:sz w:val="20"/>
          <w:szCs w:val="20"/>
        </w:rPr>
        <w:t xml:space="preserve"> million for the</w:t>
      </w:r>
      <w:r>
        <w:rPr>
          <w:sz w:val="20"/>
          <w:szCs w:val="20"/>
        </w:rPr>
        <w:t xml:space="preserve"> </w:t>
      </w:r>
      <w:r>
        <w:rPr>
          <w:sz w:val="20"/>
          <w:szCs w:val="20"/>
        </w:rPr>
        <w:t>three and six m</w:t>
      </w:r>
      <w:r>
        <w:rPr>
          <w:sz w:val="20"/>
          <w:szCs w:val="20"/>
        </w:rPr>
        <w:t>onths ended June 30, 202</w:t>
      </w:r>
      <w:r>
        <w:rPr>
          <w:sz w:val="20"/>
          <w:szCs w:val="20"/>
        </w:rPr>
        <w:t>1</w:t>
      </w:r>
      <w:r>
        <w:rPr>
          <w:sz w:val="20"/>
          <w:szCs w:val="20"/>
        </w:rPr>
        <w:t>, respectively</w:t>
      </w:r>
      <w:r>
        <w:rPr>
          <w:sz w:val="20"/>
          <w:szCs w:val="20"/>
        </w:rPr>
        <w:t>.</w:t>
      </w:r>
    </w:p>
    <w:p w:rsidR="00000000" w:rsidRDefault="00F55F16">
      <w:pPr>
        <w:pStyle w:val="a3"/>
        <w:spacing w:before="360" w:beforeAutospacing="0" w:after="0" w:afterAutospacing="0"/>
        <w:divId w:val="1965116808"/>
        <w:rPr>
          <w:sz w:val="20"/>
          <w:szCs w:val="20"/>
        </w:rPr>
      </w:pPr>
      <w:r>
        <w:rPr>
          <w:b/>
          <w:bCs/>
          <w:sz w:val="20"/>
          <w:szCs w:val="20"/>
        </w:rPr>
        <w:t>6. LEASE</w:t>
      </w:r>
      <w:r>
        <w:rPr>
          <w:b/>
          <w:bCs/>
          <w:sz w:val="20"/>
          <w:szCs w:val="20"/>
        </w:rPr>
        <w:t>S</w:t>
      </w:r>
    </w:p>
    <w:p w:rsidR="00000000" w:rsidRDefault="00F55F16">
      <w:pPr>
        <w:pStyle w:val="a3"/>
        <w:spacing w:before="240" w:beforeAutospacing="0" w:after="0" w:afterAutospacing="0"/>
        <w:ind w:firstLine="555"/>
        <w:divId w:val="1965116808"/>
        <w:rPr>
          <w:sz w:val="20"/>
          <w:szCs w:val="20"/>
        </w:rPr>
      </w:pPr>
      <w:r>
        <w:rPr>
          <w:sz w:val="20"/>
          <w:szCs w:val="20"/>
        </w:rPr>
        <w:t>In June 2021, with an effective adoption date of January 1, 2021, the Company adopted ASU 2016-02 using the modified retrospective approach, which permits application of this guidance at the beginning of the period of adoption</w:t>
      </w:r>
      <w:r>
        <w:rPr>
          <w:sz w:val="20"/>
          <w:szCs w:val="20"/>
        </w:rPr>
        <w:t>.</w:t>
      </w:r>
      <w:r>
        <w:rPr>
          <w:sz w:val="20"/>
          <w:szCs w:val="20"/>
        </w:rPr>
        <w:t xml:space="preserve"> </w:t>
      </w:r>
    </w:p>
    <w:p w:rsidR="00000000" w:rsidRDefault="00F55F16">
      <w:pPr>
        <w:pStyle w:val="a3"/>
        <w:spacing w:before="240" w:beforeAutospacing="0" w:after="0" w:afterAutospacing="0"/>
        <w:ind w:firstLine="555"/>
        <w:divId w:val="1965116808"/>
        <w:rPr>
          <w:sz w:val="20"/>
          <w:szCs w:val="20"/>
        </w:rPr>
      </w:pPr>
      <w:r>
        <w:rPr>
          <w:sz w:val="20"/>
          <w:szCs w:val="20"/>
        </w:rPr>
        <w:t>Leases are classified as ei</w:t>
      </w:r>
      <w:r>
        <w:rPr>
          <w:sz w:val="20"/>
          <w:szCs w:val="20"/>
        </w:rPr>
        <w:t>ther finance leases or operating leases based on criteria in ASC 842. The Company has finance leases for its vehicle and equipment leases and operating leases for its real estate space and office equipment leases. The Company’s operating and finance leases</w:t>
      </w:r>
      <w:r>
        <w:rPr>
          <w:sz w:val="20"/>
          <w:szCs w:val="20"/>
        </w:rPr>
        <w:t xml:space="preserve"> generally have original lease terms between</w:t>
      </w:r>
      <w:r>
        <w:rPr>
          <w:sz w:val="20"/>
          <w:szCs w:val="20"/>
        </w:rPr>
        <w:t xml:space="preserve"> </w:t>
      </w:r>
      <w:r>
        <w:rPr>
          <w:sz w:val="20"/>
          <w:szCs w:val="20"/>
        </w:rPr>
        <w:t>1 yea</w:t>
      </w:r>
      <w:r>
        <w:rPr>
          <w:sz w:val="20"/>
          <w:szCs w:val="20"/>
        </w:rPr>
        <w:t>r</w:t>
      </w:r>
      <w:r>
        <w:rPr>
          <w:sz w:val="20"/>
          <w:szCs w:val="20"/>
        </w:rPr>
        <w:t xml:space="preserve"> and</w:t>
      </w:r>
      <w:r>
        <w:rPr>
          <w:sz w:val="20"/>
          <w:szCs w:val="20"/>
        </w:rPr>
        <w:t xml:space="preserve"> </w:t>
      </w:r>
      <w:r>
        <w:rPr>
          <w:sz w:val="20"/>
          <w:szCs w:val="20"/>
        </w:rPr>
        <w:t>15 year</w:t>
      </w:r>
      <w:r>
        <w:rPr>
          <w:sz w:val="20"/>
          <w:szCs w:val="20"/>
        </w:rPr>
        <w:t>s</w:t>
      </w:r>
      <w:r>
        <w:rPr>
          <w:sz w:val="20"/>
          <w:szCs w:val="20"/>
        </w:rPr>
        <w:t xml:space="preserve">, </w:t>
      </w:r>
      <w:r>
        <w:rPr>
          <w:sz w:val="20"/>
          <w:szCs w:val="20"/>
        </w:rPr>
        <w:t>a</w:t>
      </w:r>
      <w:r>
        <w:rPr>
          <w:sz w:val="20"/>
          <w:szCs w:val="20"/>
        </w:rPr>
        <w:t>nd in some instances include one or more options to renew. The Company includes options to extend the lease term if the options are reasonably certain of being exercised. The Company curren</w:t>
      </w:r>
      <w:r>
        <w:rPr>
          <w:sz w:val="20"/>
          <w:szCs w:val="20"/>
        </w:rPr>
        <w:t>tly considers some of its renewal options to be reasonably certain to be exercised. Some leases also include early termination options, which can be exercised under specific conditions. The Company does not have material residual value guarantees or restri</w:t>
      </w:r>
      <w:r>
        <w:rPr>
          <w:sz w:val="20"/>
          <w:szCs w:val="20"/>
        </w:rPr>
        <w:t>ctive covenants associated with its leases</w:t>
      </w:r>
      <w:r>
        <w:rPr>
          <w:sz w:val="20"/>
          <w:szCs w:val="20"/>
        </w:rPr>
        <w:t>.</w:t>
      </w:r>
      <w:r>
        <w:rPr>
          <w:sz w:val="20"/>
          <w:szCs w:val="20"/>
        </w:rPr>
        <w:t xml:space="preserve"> </w:t>
      </w:r>
    </w:p>
    <w:p w:rsidR="00000000" w:rsidRDefault="00F55F16">
      <w:pPr>
        <w:pStyle w:val="a3"/>
        <w:spacing w:before="240" w:beforeAutospacing="0" w:after="0" w:afterAutospacing="0"/>
        <w:ind w:firstLine="555"/>
        <w:divId w:val="1965116808"/>
        <w:rPr>
          <w:sz w:val="20"/>
          <w:szCs w:val="20"/>
        </w:rPr>
      </w:pPr>
      <w:r>
        <w:rPr>
          <w:sz w:val="20"/>
          <w:szCs w:val="20"/>
        </w:rPr>
        <w:t xml:space="preserve">Finance and operating lease assets represent the right to use an underlying asset for the lease term, and finance and operating lease liabilities represent the obligation to make lease payments arising from the </w:t>
      </w:r>
      <w:r>
        <w:rPr>
          <w:sz w:val="20"/>
          <w:szCs w:val="20"/>
        </w:rPr>
        <w:t>lease</w:t>
      </w:r>
      <w:r>
        <w:rPr>
          <w:sz w:val="20"/>
          <w:szCs w:val="20"/>
        </w:rPr>
        <w:t>.</w:t>
      </w:r>
      <w:r>
        <w:rPr>
          <w:sz w:val="20"/>
          <w:szCs w:val="20"/>
        </w:rPr>
        <w:t xml:space="preserve"> </w:t>
      </w:r>
    </w:p>
    <w:p w:rsidR="00000000" w:rsidRDefault="00F55F16">
      <w:pPr>
        <w:pStyle w:val="a3"/>
        <w:spacing w:before="240" w:beforeAutospacing="0" w:after="0" w:afterAutospacing="0"/>
        <w:ind w:firstLine="555"/>
        <w:divId w:val="1965116808"/>
        <w:rPr>
          <w:sz w:val="20"/>
          <w:szCs w:val="20"/>
        </w:rPr>
      </w:pPr>
      <w:r>
        <w:rPr>
          <w:sz w:val="20"/>
          <w:szCs w:val="20"/>
        </w:rPr>
        <w:t xml:space="preserve">The Company calculates the present value of its finance and operating leases using an estimated incremental borrowing rate (“IBR”), which requires judgment. For real estate operating leases, the Company estimates the IBR based on prevailing market </w:t>
      </w:r>
      <w:r>
        <w:rPr>
          <w:sz w:val="20"/>
          <w:szCs w:val="20"/>
        </w:rPr>
        <w:t>rates for collateralized debt in a similar economic environment with similar payment terms and maturity dates commensurate with the terms of the lease. For all other leases, the Company estimates the IBR based on the stated interest rate on the contract. S</w:t>
      </w:r>
      <w:r>
        <w:rPr>
          <w:sz w:val="20"/>
          <w:szCs w:val="20"/>
        </w:rPr>
        <w:t>ince many of the inputs used to calculate the rate implicit in the leases are not readily determinable from the lessee’s perspective, the Company will not use the implicit interest rate</w:t>
      </w:r>
      <w:r>
        <w:rPr>
          <w:sz w:val="20"/>
          <w:szCs w:val="20"/>
        </w:rPr>
        <w:t>.</w:t>
      </w:r>
    </w:p>
    <w:p w:rsidR="00000000" w:rsidRDefault="00F55F16">
      <w:pPr>
        <w:pStyle w:val="a3"/>
        <w:spacing w:before="240" w:beforeAutospacing="0" w:after="0" w:afterAutospacing="0"/>
        <w:ind w:firstLine="555"/>
        <w:divId w:val="1965116808"/>
        <w:rPr>
          <w:sz w:val="20"/>
          <w:szCs w:val="20"/>
        </w:rPr>
      </w:pPr>
      <w:r>
        <w:rPr>
          <w:sz w:val="20"/>
          <w:szCs w:val="20"/>
        </w:rPr>
        <w:t>Certain leases contain variable payments, these payments are expensed</w:t>
      </w:r>
      <w:r>
        <w:rPr>
          <w:sz w:val="20"/>
          <w:szCs w:val="20"/>
        </w:rPr>
        <w:t xml:space="preserve"> as incurred and not included in the Company’s operating lease right-of-use assets and operating lease liabilities. These amounts primarily include payments for maintenance, utilities, taxes, and insurance and are excluded from the present value of the Com</w:t>
      </w:r>
      <w:r>
        <w:rPr>
          <w:sz w:val="20"/>
          <w:szCs w:val="20"/>
        </w:rPr>
        <w:t>pany’s lease obligations</w:t>
      </w:r>
      <w:r>
        <w:rPr>
          <w:sz w:val="20"/>
          <w:szCs w:val="20"/>
        </w:rPr>
        <w:t>.</w:t>
      </w:r>
    </w:p>
    <w:p w:rsidR="00000000" w:rsidRDefault="00F55F16">
      <w:pPr>
        <w:pStyle w:val="a3"/>
        <w:spacing w:before="240" w:beforeAutospacing="0" w:after="0" w:afterAutospacing="0"/>
        <w:ind w:firstLine="555"/>
        <w:divId w:val="1965116808"/>
        <w:rPr>
          <w:sz w:val="20"/>
          <w:szCs w:val="20"/>
        </w:rPr>
      </w:pPr>
      <w:r>
        <w:rPr>
          <w:sz w:val="20"/>
          <w:szCs w:val="20"/>
        </w:rPr>
        <w:t xml:space="preserve">Effective January 1, 2021, the Company recognized operating lease right-of-use assets, current operating lease liabilities and operating lease liabilities, net of current portion of </w:t>
      </w:r>
      <w:r>
        <w:rPr>
          <w:sz w:val="20"/>
          <w:szCs w:val="20"/>
        </w:rPr>
        <w:t>$</w:t>
      </w:r>
      <w:r>
        <w:rPr>
          <w:sz w:val="20"/>
          <w:szCs w:val="20"/>
        </w:rPr>
        <w:t>24.</w:t>
      </w:r>
      <w:r>
        <w:rPr>
          <w:sz w:val="20"/>
          <w:szCs w:val="20"/>
        </w:rPr>
        <w:t>6</w:t>
      </w:r>
      <w:r>
        <w:rPr>
          <w:sz w:val="20"/>
          <w:szCs w:val="20"/>
        </w:rPr>
        <w:t xml:space="preserve"> million, </w:t>
      </w:r>
      <w:r>
        <w:rPr>
          <w:sz w:val="20"/>
          <w:szCs w:val="20"/>
        </w:rPr>
        <w:t>$</w:t>
      </w:r>
      <w:r>
        <w:rPr>
          <w:sz w:val="20"/>
          <w:szCs w:val="20"/>
        </w:rPr>
        <w:t>7.</w:t>
      </w:r>
      <w:r>
        <w:rPr>
          <w:sz w:val="20"/>
          <w:szCs w:val="20"/>
        </w:rPr>
        <w:t>3</w:t>
      </w:r>
      <w:r>
        <w:rPr>
          <w:sz w:val="20"/>
          <w:szCs w:val="20"/>
        </w:rPr>
        <w:t xml:space="preserve"> million and </w:t>
      </w:r>
      <w:r>
        <w:rPr>
          <w:sz w:val="20"/>
          <w:szCs w:val="20"/>
        </w:rPr>
        <w:t>$</w:t>
      </w:r>
      <w:r>
        <w:rPr>
          <w:sz w:val="20"/>
          <w:szCs w:val="20"/>
        </w:rPr>
        <w:t>17.</w:t>
      </w:r>
      <w:r>
        <w:rPr>
          <w:sz w:val="20"/>
          <w:szCs w:val="20"/>
        </w:rPr>
        <w:t>3</w:t>
      </w:r>
      <w:r>
        <w:rPr>
          <w:sz w:val="20"/>
          <w:szCs w:val="20"/>
        </w:rPr>
        <w:t xml:space="preserve"> million,</w:t>
      </w:r>
      <w:r>
        <w:rPr>
          <w:sz w:val="20"/>
          <w:szCs w:val="20"/>
        </w:rPr>
        <w:t xml:space="preserve"> </w:t>
      </w:r>
      <w:r>
        <w:rPr>
          <w:sz w:val="20"/>
          <w:szCs w:val="20"/>
        </w:rPr>
        <w:t>r</w:t>
      </w:r>
      <w:r>
        <w:rPr>
          <w:sz w:val="20"/>
          <w:szCs w:val="20"/>
        </w:rPr>
        <w:t>espectively. The Company als</w:t>
      </w:r>
      <w:r>
        <w:rPr>
          <w:sz w:val="20"/>
          <w:szCs w:val="20"/>
        </w:rPr>
        <w:t>o</w:t>
      </w:r>
      <w:r>
        <w:rPr>
          <w:sz w:val="20"/>
          <w:szCs w:val="20"/>
        </w:rPr>
        <w:t xml:space="preserve"> </w:t>
      </w:r>
    </w:p>
    <w:p w:rsidR="00000000" w:rsidRDefault="00F55F16">
      <w:pPr>
        <w:pStyle w:val="a3"/>
        <w:spacing w:before="240" w:beforeAutospacing="0" w:after="0" w:afterAutospacing="0"/>
        <w:jc w:val="center"/>
        <w:divId w:val="1965116808"/>
        <w:rPr>
          <w:sz w:val="20"/>
          <w:szCs w:val="20"/>
        </w:rPr>
      </w:pPr>
      <w:r>
        <w:rPr>
          <w:sz w:val="20"/>
          <w:szCs w:val="20"/>
        </w:rPr>
        <w:t>8</w:t>
      </w:r>
    </w:p>
    <w:p w:rsidR="00000000" w:rsidRDefault="00F55F16">
      <w:pPr>
        <w:divId w:val="1965116808"/>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F55F16">
      <w:pPr>
        <w:pStyle w:val="a3"/>
        <w:spacing w:before="0" w:beforeAutospacing="0" w:after="0" w:afterAutospacing="0"/>
        <w:divId w:val="1965116808"/>
        <w:rPr>
          <w:sz w:val="20"/>
          <w:szCs w:val="20"/>
        </w:rPr>
      </w:pPr>
      <w:r>
        <w:rPr>
          <w:sz w:val="20"/>
          <w:szCs w:val="20"/>
        </w:rPr>
        <w:t> </w:t>
      </w:r>
    </w:p>
    <w:p w:rsidR="00000000" w:rsidRDefault="00F55F16">
      <w:pPr>
        <w:pStyle w:val="a3"/>
        <w:spacing w:before="240" w:beforeAutospacing="0" w:after="0" w:afterAutospacing="0"/>
        <w:divId w:val="1965116808"/>
        <w:rPr>
          <w:sz w:val="20"/>
          <w:szCs w:val="20"/>
        </w:rPr>
      </w:pPr>
      <w:r>
        <w:rPr>
          <w:sz w:val="20"/>
          <w:szCs w:val="20"/>
        </w:rPr>
        <w:t>recognized</w:t>
      </w:r>
      <w:r>
        <w:rPr>
          <w:sz w:val="20"/>
          <w:szCs w:val="20"/>
        </w:rPr>
        <w:t xml:space="preserve"> </w:t>
      </w:r>
      <w:r>
        <w:rPr>
          <w:sz w:val="20"/>
          <w:szCs w:val="20"/>
        </w:rPr>
        <w:t xml:space="preserve">finance lease right-of-use assets, current finance lease liabilities and finance lease liabilities, net of current portion of </w:t>
      </w:r>
      <w:r>
        <w:rPr>
          <w:sz w:val="20"/>
          <w:szCs w:val="20"/>
        </w:rPr>
        <w:t>$</w:t>
      </w:r>
      <w:r>
        <w:rPr>
          <w:sz w:val="20"/>
          <w:szCs w:val="20"/>
        </w:rPr>
        <w:t>7.</w:t>
      </w:r>
      <w:r>
        <w:rPr>
          <w:sz w:val="20"/>
          <w:szCs w:val="20"/>
        </w:rPr>
        <w:t>2</w:t>
      </w:r>
      <w:r>
        <w:rPr>
          <w:sz w:val="20"/>
          <w:szCs w:val="20"/>
        </w:rPr>
        <w:t xml:space="preserve"> million, </w:t>
      </w:r>
      <w:r>
        <w:rPr>
          <w:sz w:val="20"/>
          <w:szCs w:val="20"/>
        </w:rPr>
        <w:t>$</w:t>
      </w:r>
      <w:r>
        <w:rPr>
          <w:sz w:val="20"/>
          <w:szCs w:val="20"/>
        </w:rPr>
        <w:t>2.</w:t>
      </w:r>
      <w:r>
        <w:rPr>
          <w:sz w:val="20"/>
          <w:szCs w:val="20"/>
        </w:rPr>
        <w:t>9</w:t>
      </w:r>
      <w:r>
        <w:rPr>
          <w:sz w:val="20"/>
          <w:szCs w:val="20"/>
        </w:rPr>
        <w:t xml:space="preserve"> million and </w:t>
      </w:r>
      <w:r>
        <w:rPr>
          <w:sz w:val="20"/>
          <w:szCs w:val="20"/>
        </w:rPr>
        <w:t>$</w:t>
      </w:r>
      <w:r>
        <w:rPr>
          <w:sz w:val="20"/>
          <w:szCs w:val="20"/>
        </w:rPr>
        <w:t>4.</w:t>
      </w:r>
      <w:r>
        <w:rPr>
          <w:sz w:val="20"/>
          <w:szCs w:val="20"/>
        </w:rPr>
        <w:t>6</w:t>
      </w:r>
      <w:r>
        <w:rPr>
          <w:sz w:val="20"/>
          <w:szCs w:val="20"/>
        </w:rPr>
        <w:t xml:space="preserve"> million, re</w:t>
      </w:r>
      <w:r>
        <w:rPr>
          <w:sz w:val="20"/>
          <w:szCs w:val="20"/>
        </w:rPr>
        <w:t>spectively</w:t>
      </w:r>
      <w:r>
        <w:rPr>
          <w:sz w:val="20"/>
          <w:szCs w:val="20"/>
        </w:rPr>
        <w:t>.</w:t>
      </w:r>
    </w:p>
    <w:p w:rsidR="00000000" w:rsidRDefault="00F55F16">
      <w:pPr>
        <w:pStyle w:val="a3"/>
        <w:spacing w:before="240" w:beforeAutospacing="0" w:after="0" w:afterAutospacing="0"/>
        <w:ind w:firstLine="555"/>
        <w:divId w:val="1965116808"/>
        <w:rPr>
          <w:sz w:val="20"/>
          <w:szCs w:val="20"/>
        </w:rPr>
      </w:pPr>
      <w:r>
        <w:rPr>
          <w:sz w:val="20"/>
          <w:szCs w:val="20"/>
        </w:rPr>
        <w:t>The Company does not record operating lease right-of-use assets or operating lease liabilities for leases with an initial term of 12 months or less. The Company also combines lease and non-lease components on all new or modified operating lease</w:t>
      </w:r>
      <w:r>
        <w:rPr>
          <w:sz w:val="20"/>
          <w:szCs w:val="20"/>
        </w:rPr>
        <w:t>s into a single lease component for all classes of assets</w:t>
      </w:r>
      <w:r>
        <w:rPr>
          <w:sz w:val="20"/>
          <w:szCs w:val="20"/>
        </w:rPr>
        <w:t>.</w:t>
      </w:r>
    </w:p>
    <w:p w:rsidR="00000000" w:rsidRDefault="00F55F16">
      <w:pPr>
        <w:pStyle w:val="a3"/>
        <w:spacing w:before="240" w:beforeAutospacing="0" w:after="0" w:afterAutospacing="0"/>
        <w:ind w:firstLine="555"/>
        <w:divId w:val="1848055074"/>
        <w:rPr>
          <w:sz w:val="20"/>
          <w:szCs w:val="20"/>
        </w:rPr>
      </w:pPr>
      <w:r>
        <w:rPr>
          <w:sz w:val="20"/>
          <w:szCs w:val="20"/>
        </w:rPr>
        <w:t>The components of lease expense were as follows</w:t>
      </w:r>
      <w:r>
        <w:rPr>
          <w:sz w:val="20"/>
          <w:szCs w:val="20"/>
        </w:rPr>
        <w:t>:</w:t>
      </w:r>
    </w:p>
    <w:p w:rsidR="00000000" w:rsidRDefault="00F55F16">
      <w:pPr>
        <w:pStyle w:val="a3"/>
        <w:spacing w:before="0" w:beforeAutospacing="0" w:after="0" w:afterAutospacing="0"/>
        <w:ind w:firstLine="555"/>
        <w:divId w:val="184805507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8"/>
        <w:gridCol w:w="2479"/>
        <w:gridCol w:w="150"/>
        <w:gridCol w:w="1456"/>
        <w:gridCol w:w="115"/>
        <w:gridCol w:w="155"/>
        <w:gridCol w:w="150"/>
        <w:gridCol w:w="1463"/>
        <w:gridCol w:w="130"/>
      </w:tblGrid>
      <w:tr w:rsidR="00000000">
        <w:trPr>
          <w:divId w:val="1848055074"/>
          <w:tblCellSpacing w:w="15" w:type="dxa"/>
        </w:trPr>
        <w:tc>
          <w:tcPr>
            <w:tcW w:w="1361" w:type="pct"/>
            <w:vAlign w:val="center"/>
            <w:hideMark/>
          </w:tcPr>
          <w:p w:rsidR="00000000" w:rsidRDefault="00F55F16">
            <w:pPr>
              <w:rPr>
                <w:sz w:val="20"/>
                <w:szCs w:val="20"/>
              </w:rPr>
            </w:pPr>
          </w:p>
        </w:tc>
        <w:tc>
          <w:tcPr>
            <w:tcW w:w="154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0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0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For the Three Months Ended June 30</w:t>
            </w:r>
            <w:r>
              <w:rPr>
                <w:b/>
                <w:bCs/>
                <w:sz w:val="18"/>
                <w:szCs w:val="18"/>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b/>
                <w:bCs/>
                <w:sz w:val="18"/>
                <w:szCs w:val="18"/>
              </w:rPr>
              <w:t>Statement of Operations Locatio</w:t>
            </w:r>
            <w:r>
              <w:rPr>
                <w:b/>
                <w:bCs/>
                <w:sz w:val="18"/>
                <w:szCs w:val="18"/>
              </w:rPr>
              <w:t>n</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Operating lease cos</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Lease cos</w:t>
            </w:r>
            <w:r>
              <w:rPr>
                <w:sz w:val="18"/>
                <w:szCs w:val="18"/>
              </w:rPr>
              <w:t>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2,23</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Variable lease cos</w:t>
            </w:r>
            <w:r>
              <w:rPr>
                <w:sz w:val="18"/>
                <w:szCs w:val="18"/>
              </w:rPr>
              <w:t>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Total operating lease cos</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2,69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Finance lease cos</w:t>
            </w:r>
            <w:r>
              <w:rPr>
                <w:sz w:val="18"/>
                <w:szCs w:val="18"/>
              </w:rPr>
              <w:t>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848055074"/>
          <w:trHeight w:val="180"/>
          <w:tblCellSpacing w:w="15" w:type="dxa"/>
        </w:trPr>
        <w:tc>
          <w:tcPr>
            <w:tcW w:w="0" w:type="auto"/>
            <w:vAlign w:val="bottom"/>
            <w:hideMark/>
          </w:tcPr>
          <w:p w:rsidR="00000000" w:rsidRDefault="00F55F16">
            <w:pPr>
              <w:pStyle w:val="a3"/>
              <w:spacing w:before="0" w:beforeAutospacing="0" w:after="0" w:afterAutospacing="0"/>
              <w:ind w:left="100"/>
              <w:rPr>
                <w:sz w:val="18"/>
                <w:szCs w:val="18"/>
              </w:rPr>
            </w:pPr>
            <w:r>
              <w:rPr>
                <w:sz w:val="18"/>
                <w:szCs w:val="18"/>
              </w:rPr>
              <w:t>Amortization of right of use asset</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1,01</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bottom"/>
            <w:hideMark/>
          </w:tcPr>
          <w:p w:rsidR="00000000" w:rsidRDefault="00F55F16">
            <w:pPr>
              <w:pStyle w:val="a3"/>
              <w:spacing w:before="0" w:beforeAutospacing="0" w:after="0" w:afterAutospacing="0"/>
              <w:ind w:left="100"/>
              <w:rPr>
                <w:sz w:val="18"/>
                <w:szCs w:val="18"/>
              </w:rPr>
            </w:pPr>
            <w:r>
              <w:rPr>
                <w:sz w:val="18"/>
                <w:szCs w:val="18"/>
              </w:rPr>
              <w:t>Interest on lease liabilitie</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Interest expense—ne</w:t>
            </w:r>
            <w:r>
              <w:rPr>
                <w:sz w:val="18"/>
                <w:szCs w:val="18"/>
              </w:rPr>
              <w:t>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Total finance lease cos</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r>
              <w:rPr>
                <w:sz w:val="18"/>
                <w:szCs w:val="18"/>
              </w:rPr>
              <w:t>Total lease cos</w:t>
            </w:r>
            <w:r>
              <w:rPr>
                <w:sz w:val="18"/>
                <w:szCs w:val="18"/>
              </w:rPr>
              <w:t>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3,81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3,30</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blCellSpacing w:w="15" w:type="dxa"/>
        </w:trPr>
        <w:tc>
          <w:tcPr>
            <w:tcW w:w="0" w:type="auto"/>
            <w:vAlign w:val="center"/>
            <w:hideMark/>
          </w:tcPr>
          <w:p w:rsidR="00000000" w:rsidRDefault="00F55F16">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For the Six Months Ended June 30</w:t>
            </w:r>
            <w:r>
              <w:rPr>
                <w:b/>
                <w:bCs/>
                <w:sz w:val="18"/>
                <w:szCs w:val="18"/>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b/>
                <w:bCs/>
                <w:sz w:val="18"/>
                <w:szCs w:val="18"/>
              </w:rPr>
              <w:t>Statement of Operations Locatio</w:t>
            </w:r>
            <w:r>
              <w:rPr>
                <w:b/>
                <w:bCs/>
                <w:sz w:val="18"/>
                <w:szCs w:val="18"/>
              </w:rPr>
              <w:t>n</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Operating lease cos</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Lease cos</w:t>
            </w:r>
            <w:r>
              <w:rPr>
                <w:sz w:val="18"/>
                <w:szCs w:val="18"/>
              </w:rPr>
              <w:t>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4,95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4,33</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Variable lease cos</w:t>
            </w:r>
            <w:r>
              <w:rPr>
                <w:sz w:val="18"/>
                <w:szCs w:val="18"/>
              </w:rPr>
              <w:t>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Total operating lease cos</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5,50</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Finance lease cos</w:t>
            </w:r>
            <w:r>
              <w:rPr>
                <w:sz w:val="18"/>
                <w:szCs w:val="18"/>
              </w:rPr>
              <w:t>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848055074"/>
          <w:trHeight w:val="180"/>
          <w:tblCellSpacing w:w="15" w:type="dxa"/>
        </w:trPr>
        <w:tc>
          <w:tcPr>
            <w:tcW w:w="0" w:type="auto"/>
            <w:vAlign w:val="bottom"/>
            <w:hideMark/>
          </w:tcPr>
          <w:p w:rsidR="00000000" w:rsidRDefault="00F55F16">
            <w:pPr>
              <w:pStyle w:val="a3"/>
              <w:spacing w:before="0" w:beforeAutospacing="0" w:after="0" w:afterAutospacing="0"/>
              <w:ind w:left="100"/>
              <w:rPr>
                <w:sz w:val="18"/>
                <w:szCs w:val="18"/>
              </w:rPr>
            </w:pPr>
            <w:r>
              <w:rPr>
                <w:sz w:val="18"/>
                <w:szCs w:val="18"/>
              </w:rPr>
              <w:t>Amortization of right of use asset</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bottom"/>
            <w:hideMark/>
          </w:tcPr>
          <w:p w:rsidR="00000000" w:rsidRDefault="00F55F16">
            <w:pPr>
              <w:pStyle w:val="a3"/>
              <w:spacing w:before="0" w:beforeAutospacing="0" w:after="0" w:afterAutospacing="0"/>
              <w:ind w:left="100"/>
              <w:rPr>
                <w:sz w:val="18"/>
                <w:szCs w:val="18"/>
              </w:rPr>
            </w:pPr>
            <w:r>
              <w:rPr>
                <w:sz w:val="18"/>
                <w:szCs w:val="18"/>
              </w:rPr>
              <w:t>Interest on lease liabilitie</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Interest expense—ne</w:t>
            </w:r>
            <w:r>
              <w:rPr>
                <w:sz w:val="18"/>
                <w:szCs w:val="18"/>
              </w:rPr>
              <w:t>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Total finance lease cos</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1,84</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48055074"/>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Total lease cos</w:t>
            </w:r>
            <w:r>
              <w:rPr>
                <w:sz w:val="18"/>
                <w:szCs w:val="18"/>
              </w:rPr>
              <w:t>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7,67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6,39</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754518776"/>
        <w:rPr>
          <w:sz w:val="20"/>
          <w:szCs w:val="20"/>
        </w:rPr>
      </w:pPr>
      <w:r>
        <w:rPr>
          <w:sz w:val="20"/>
          <w:szCs w:val="20"/>
        </w:rPr>
        <w:t>Supplemental cash flows information related to leases was as follows</w:t>
      </w:r>
      <w:r>
        <w:rPr>
          <w:sz w:val="20"/>
          <w:szCs w:val="20"/>
        </w:rPr>
        <w:t>:</w:t>
      </w:r>
    </w:p>
    <w:p w:rsidR="00000000" w:rsidRDefault="00F55F16">
      <w:pPr>
        <w:pStyle w:val="a3"/>
        <w:spacing w:before="0" w:beforeAutospacing="0" w:after="0" w:afterAutospacing="0"/>
        <w:ind w:firstLine="555"/>
        <w:divId w:val="75451877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878"/>
        <w:gridCol w:w="205"/>
        <w:gridCol w:w="150"/>
        <w:gridCol w:w="906"/>
        <w:gridCol w:w="105"/>
        <w:gridCol w:w="205"/>
        <w:gridCol w:w="150"/>
        <w:gridCol w:w="926"/>
        <w:gridCol w:w="120"/>
      </w:tblGrid>
      <w:tr w:rsidR="00000000">
        <w:trPr>
          <w:divId w:val="754518776"/>
          <w:tblCellSpacing w:w="15" w:type="dxa"/>
        </w:trPr>
        <w:tc>
          <w:tcPr>
            <w:tcW w:w="3080" w:type="pct"/>
            <w:vAlign w:val="center"/>
            <w:hideMark/>
          </w:tcPr>
          <w:p w:rsidR="00000000" w:rsidRDefault="00F55F16">
            <w:pPr>
              <w:rPr>
                <w:sz w:val="20"/>
                <w:szCs w:val="20"/>
              </w:rPr>
            </w:pPr>
          </w:p>
        </w:tc>
        <w:tc>
          <w:tcPr>
            <w:tcW w:w="9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6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754518776"/>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For the Six Months Ended June 30</w:t>
            </w:r>
            <w:r>
              <w:rPr>
                <w:b/>
                <w:bCs/>
                <w:sz w:val="18"/>
                <w:szCs w:val="18"/>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754518776"/>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754518776"/>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Cash paid for amounts included in the measurement of lease liabilitie</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75451877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Operating cash flows used in operating lease</w:t>
            </w:r>
            <w:r>
              <w:rPr>
                <w:sz w:val="18"/>
                <w:szCs w:val="18"/>
              </w:rPr>
              <w:t>s</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4,74</w:t>
            </w:r>
            <w:r>
              <w:rPr>
                <w:sz w:val="18"/>
                <w:szCs w:val="18"/>
              </w:rPr>
              <w:t>1</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4,24</w:t>
            </w:r>
            <w:r>
              <w:rPr>
                <w:sz w:val="18"/>
                <w:szCs w:val="18"/>
              </w:rPr>
              <w:t>9</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75451877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Operating cash flows used in finance lease</w:t>
            </w:r>
            <w:r>
              <w:rPr>
                <w:sz w:val="18"/>
                <w:szCs w:val="18"/>
              </w:rPr>
              <w:t>s</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22</w:t>
            </w:r>
            <w:r>
              <w:rPr>
                <w:sz w:val="18"/>
                <w:szCs w:val="18"/>
              </w:rPr>
              <w:t>0</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19</w:t>
            </w:r>
            <w:r>
              <w:rPr>
                <w:sz w:val="18"/>
                <w:szCs w:val="18"/>
              </w:rPr>
              <w:t>9</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75451877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Financing cash flows used in finance lease</w:t>
            </w:r>
            <w:r>
              <w:rPr>
                <w:sz w:val="18"/>
                <w:szCs w:val="18"/>
              </w:rPr>
              <w:t>s</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1,91</w:t>
            </w:r>
            <w:r>
              <w:rPr>
                <w:sz w:val="18"/>
                <w:szCs w:val="18"/>
              </w:rPr>
              <w:t>1</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1,63</w:t>
            </w:r>
            <w:r>
              <w:rPr>
                <w:sz w:val="18"/>
                <w:szCs w:val="18"/>
              </w:rPr>
              <w:t>2</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754518776"/>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754518776"/>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Lease liabilities arising from new ROU asset</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75451877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Operating lease</w:t>
            </w:r>
            <w:r>
              <w:rPr>
                <w:sz w:val="18"/>
                <w:szCs w:val="18"/>
              </w:rPr>
              <w:t>s</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10,47</w:t>
            </w:r>
            <w:r>
              <w:rPr>
                <w:sz w:val="18"/>
                <w:szCs w:val="18"/>
              </w:rPr>
              <w:t>8</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5,30</w:t>
            </w:r>
            <w:r>
              <w:rPr>
                <w:sz w:val="18"/>
                <w:szCs w:val="18"/>
              </w:rPr>
              <w:t>5</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75451877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Finance lease</w:t>
            </w:r>
            <w:r>
              <w:rPr>
                <w:sz w:val="18"/>
                <w:szCs w:val="18"/>
              </w:rPr>
              <w:t>s</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1,27</w:t>
            </w:r>
            <w:r>
              <w:rPr>
                <w:sz w:val="18"/>
                <w:szCs w:val="18"/>
              </w:rPr>
              <w:t>3</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1,92</w:t>
            </w:r>
            <w:r>
              <w:rPr>
                <w:sz w:val="18"/>
                <w:szCs w:val="18"/>
              </w:rPr>
              <w:t>8</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900557713"/>
        <w:rPr>
          <w:sz w:val="20"/>
          <w:szCs w:val="20"/>
        </w:rPr>
      </w:pPr>
      <w:r>
        <w:rPr>
          <w:sz w:val="20"/>
          <w:szCs w:val="20"/>
        </w:rPr>
        <w:t>Weighted average remaining lease terms and weighted average discount rates were</w:t>
      </w:r>
      <w:r>
        <w:rPr>
          <w:sz w:val="20"/>
          <w:szCs w:val="20"/>
        </w:rPr>
        <w:t>:</w:t>
      </w:r>
    </w:p>
    <w:p w:rsidR="00000000" w:rsidRDefault="00F55F16">
      <w:pPr>
        <w:pStyle w:val="a3"/>
        <w:spacing w:before="0" w:beforeAutospacing="0" w:after="0" w:afterAutospacing="0"/>
        <w:ind w:firstLine="555"/>
        <w:divId w:val="190055771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67"/>
        <w:gridCol w:w="121"/>
        <w:gridCol w:w="106"/>
        <w:gridCol w:w="1198"/>
        <w:gridCol w:w="210"/>
        <w:gridCol w:w="121"/>
        <w:gridCol w:w="106"/>
        <w:gridCol w:w="1191"/>
        <w:gridCol w:w="225"/>
      </w:tblGrid>
      <w:tr w:rsidR="00000000">
        <w:trPr>
          <w:divId w:val="1900557713"/>
          <w:tblCellSpacing w:w="15" w:type="dxa"/>
        </w:trPr>
        <w:tc>
          <w:tcPr>
            <w:tcW w:w="2657" w:type="pct"/>
            <w:vAlign w:val="center"/>
            <w:hideMark/>
          </w:tcPr>
          <w:p w:rsidR="00000000" w:rsidRDefault="00F55F16">
            <w:pPr>
              <w:rPr>
                <w:sz w:val="20"/>
                <w:szCs w:val="20"/>
              </w:rPr>
            </w:pPr>
          </w:p>
        </w:tc>
        <w:tc>
          <w:tcPr>
            <w:tcW w:w="11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6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1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5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900557713"/>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June 30, 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900557713"/>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900557713"/>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Weighted average remaining lease term (years</w:t>
            </w:r>
            <w:r>
              <w:rPr>
                <w:sz w:val="18"/>
                <w:szCs w:val="18"/>
              </w:rPr>
              <w: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20"/>
                <w:szCs w:val="20"/>
              </w:rPr>
            </w:pPr>
            <w:r>
              <w:rPr>
                <w:sz w:val="18"/>
                <w:szCs w:val="18"/>
              </w:rPr>
              <w:t>4.6</w:t>
            </w:r>
            <w:r>
              <w:rPr>
                <w:sz w:val="18"/>
                <w:szCs w:val="18"/>
              </w:rPr>
              <w:t>8</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3.0</w:t>
            </w:r>
            <w:r>
              <w:rPr>
                <w:sz w:val="18"/>
                <w:szCs w:val="18"/>
              </w:rPr>
              <w:t>0</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1900557713"/>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Weighted average discount rat</w:t>
            </w:r>
            <w:r>
              <w:rPr>
                <w:sz w:val="18"/>
                <w:szCs w:val="18"/>
              </w:rPr>
              <w:t>e</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3</w:t>
            </w:r>
            <w:r>
              <w:rPr>
                <w:sz w:val="18"/>
                <w:szCs w:val="18"/>
              </w:rPr>
              <w:t>%</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20"/>
                <w:szCs w:val="20"/>
              </w:rPr>
            </w:pPr>
            <w:r>
              <w:rPr>
                <w:sz w:val="18"/>
                <w:szCs w:val="18"/>
              </w:rPr>
              <w:t>4.8</w:t>
            </w:r>
            <w:r>
              <w:rPr>
                <w:sz w:val="18"/>
                <w:szCs w:val="18"/>
              </w:rPr>
              <w:t>5</w:t>
            </w:r>
            <w:r>
              <w:rPr>
                <w:sz w:val="18"/>
                <w:szCs w:val="18"/>
              </w:rPr>
              <w:t>%</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900557713"/>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900557713"/>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June 30, 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900557713"/>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900557713"/>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Weighted average remaining lease term (years</w:t>
            </w:r>
            <w:r>
              <w:rPr>
                <w:sz w:val="18"/>
                <w:szCs w:val="18"/>
              </w:rPr>
              <w: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right"/>
              <w:rPr>
                <w:sz w:val="20"/>
                <w:szCs w:val="20"/>
              </w:rPr>
            </w:pPr>
            <w:r>
              <w:rPr>
                <w:sz w:val="18"/>
                <w:szCs w:val="18"/>
              </w:rPr>
              <w:t>5.1</w:t>
            </w:r>
            <w:r>
              <w:rPr>
                <w:sz w:val="18"/>
                <w:szCs w:val="18"/>
              </w:rPr>
              <w:t>1</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2.9</w:t>
            </w:r>
            <w:r>
              <w:rPr>
                <w:sz w:val="18"/>
                <w:szCs w:val="18"/>
              </w:rPr>
              <w:t>5</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divId w:val="1900557713"/>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Weighted average discount rat</w:t>
            </w:r>
            <w:r>
              <w:rPr>
                <w:sz w:val="18"/>
                <w:szCs w:val="18"/>
              </w:rPr>
              <w:t>e</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7</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5.1</w:t>
            </w:r>
            <w:r>
              <w:rPr>
                <w:sz w:val="18"/>
                <w:szCs w:val="18"/>
              </w:rPr>
              <w:t>0</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r>
    </w:tbl>
    <w:p w:rsidR="00000000" w:rsidRDefault="00F55F16">
      <w:pPr>
        <w:pStyle w:val="a3"/>
        <w:spacing w:before="0" w:beforeAutospacing="0" w:after="0" w:afterAutospacing="0"/>
        <w:divId w:val="1900557713"/>
        <w:rPr>
          <w:sz w:val="20"/>
          <w:szCs w:val="20"/>
        </w:rPr>
      </w:pPr>
      <w:r>
        <w:rPr>
          <w:sz w:val="20"/>
          <w:szCs w:val="20"/>
        </w:rPr>
        <w:t> </w:t>
      </w:r>
    </w:p>
    <w:p w:rsidR="00000000" w:rsidRDefault="00F55F16">
      <w:pPr>
        <w:pStyle w:val="a3"/>
        <w:spacing w:before="240" w:beforeAutospacing="0" w:after="0" w:afterAutospacing="0"/>
        <w:jc w:val="center"/>
        <w:divId w:val="1900557713"/>
        <w:rPr>
          <w:sz w:val="20"/>
          <w:szCs w:val="20"/>
        </w:rPr>
      </w:pPr>
      <w:r>
        <w:rPr>
          <w:sz w:val="20"/>
          <w:szCs w:val="20"/>
        </w:rPr>
        <w:t>9</w:t>
      </w:r>
    </w:p>
    <w:p w:rsidR="00000000" w:rsidRDefault="00F55F16">
      <w:pPr>
        <w:divId w:val="1900557713"/>
        <w:rPr>
          <w:rFonts w:eastAsia="Times New Roman"/>
        </w:rPr>
      </w:pPr>
      <w:r>
        <w:rPr>
          <w:rFonts w:eastAsia="Times New Roman"/>
        </w:rPr>
        <w:pict>
          <v:rect id="_x0000_i1035" style="width:0;height:1.5pt" o:hralign="center" o:hrstd="t" o:hr="t" fillcolor="#a0a0a0" stroked="f"/>
        </w:pict>
      </w:r>
    </w:p>
    <w:p w:rsidR="00000000" w:rsidRDefault="00F55F16">
      <w:pPr>
        <w:pStyle w:val="a3"/>
        <w:spacing w:before="0" w:beforeAutospacing="0" w:after="0" w:afterAutospacing="0"/>
        <w:divId w:val="1900557713"/>
        <w:rPr>
          <w:sz w:val="20"/>
          <w:szCs w:val="20"/>
        </w:rPr>
      </w:pPr>
      <w:r>
        <w:rPr>
          <w:sz w:val="20"/>
          <w:szCs w:val="20"/>
        </w:rPr>
        <w:t> </w:t>
      </w:r>
    </w:p>
    <w:p w:rsidR="00000000" w:rsidRDefault="00F55F16">
      <w:pPr>
        <w:pStyle w:val="a3"/>
        <w:spacing w:before="240" w:beforeAutospacing="0" w:after="0" w:afterAutospacing="0"/>
        <w:ind w:firstLine="555"/>
        <w:divId w:val="2036232036"/>
        <w:rPr>
          <w:sz w:val="20"/>
          <w:szCs w:val="20"/>
        </w:rPr>
      </w:pPr>
      <w:r>
        <w:rPr>
          <w:sz w:val="20"/>
          <w:szCs w:val="20"/>
        </w:rPr>
        <w:t>The following is a schedule by year of the maturities of lease liabilities with original terms in excess of one year</w:t>
      </w:r>
      <w:r>
        <w:rPr>
          <w:sz w:val="20"/>
          <w:szCs w:val="20"/>
        </w:rPr>
        <w:t>:</w:t>
      </w:r>
    </w:p>
    <w:p w:rsidR="00000000" w:rsidRDefault="00F55F16">
      <w:pPr>
        <w:pStyle w:val="a3"/>
        <w:spacing w:before="0" w:beforeAutospacing="0" w:after="0" w:afterAutospacing="0"/>
        <w:ind w:firstLine="555"/>
        <w:divId w:val="2036232036"/>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3392"/>
        <w:gridCol w:w="205"/>
        <w:gridCol w:w="151"/>
        <w:gridCol w:w="1189"/>
        <w:gridCol w:w="120"/>
        <w:gridCol w:w="124"/>
        <w:gridCol w:w="151"/>
        <w:gridCol w:w="1178"/>
        <w:gridCol w:w="135"/>
      </w:tblGrid>
      <w:tr w:rsidR="00000000">
        <w:trPr>
          <w:divId w:val="2036232036"/>
          <w:tblCellSpacing w:w="15" w:type="dxa"/>
        </w:trPr>
        <w:tc>
          <w:tcPr>
            <w:tcW w:w="2675" w:type="pct"/>
            <w:vAlign w:val="center"/>
            <w:hideMark/>
          </w:tcPr>
          <w:p w:rsidR="00000000" w:rsidRDefault="00F55F16">
            <w:pPr>
              <w:rPr>
                <w:sz w:val="20"/>
                <w:szCs w:val="20"/>
              </w:rPr>
            </w:pPr>
          </w:p>
        </w:tc>
        <w:tc>
          <w:tcPr>
            <w:tcW w:w="11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1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4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Operating Lease</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Finance Lease</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Remainder of 202</w:t>
            </w:r>
            <w:r>
              <w:rPr>
                <w:sz w:val="18"/>
                <w:szCs w:val="18"/>
              </w:rPr>
              <w:t>2</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4,81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2,07</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202</w:t>
            </w:r>
            <w:r>
              <w:rPr>
                <w:sz w:val="18"/>
                <w:szCs w:val="18"/>
              </w:rPr>
              <w:t>3</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7,88</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3,19</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202</w:t>
            </w:r>
            <w:r>
              <w:rPr>
                <w:sz w:val="18"/>
                <w:szCs w:val="18"/>
              </w:rPr>
              <w:t>4</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6,24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202</w:t>
            </w:r>
            <w:r>
              <w:rPr>
                <w:sz w:val="18"/>
                <w:szCs w:val="18"/>
              </w:rPr>
              <w:t>5</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4,44</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2026 and thereafte</w:t>
            </w:r>
            <w:r>
              <w:rPr>
                <w:sz w:val="18"/>
                <w:szCs w:val="18"/>
              </w:rPr>
              <w:t>r</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8,40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67</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Total undiscounted future minimum lease payment</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31,79</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9,30</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Less imputed interes</w:t>
            </w:r>
            <w:r>
              <w:rPr>
                <w:sz w:val="18"/>
                <w:szCs w:val="18"/>
              </w:rPr>
              <w:t>t</w:t>
            </w:r>
          </w:p>
        </w:tc>
        <w:tc>
          <w:tcPr>
            <w:tcW w:w="0" w:type="auto"/>
            <w:vAlign w:val="center"/>
            <w:hideMark/>
          </w:tcPr>
          <w:p w:rsidR="00000000" w:rsidRDefault="00F55F16">
            <w:pPr>
              <w:pStyle w:val="a3"/>
              <w:spacing w:before="0" w:beforeAutospacing="0" w:after="0" w:afterAutospacing="0"/>
              <w:ind w:left="10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1,85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64</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036232036"/>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Total discounted future minimum lease payment</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29,94</w:t>
            </w:r>
            <w:r>
              <w:rPr>
                <w:sz w:val="18"/>
                <w:szCs w:val="18"/>
              </w:rPr>
              <w:t>0</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8,66</w:t>
            </w:r>
            <w:r>
              <w:rPr>
                <w:sz w:val="18"/>
                <w:szCs w:val="18"/>
              </w:rPr>
              <w:t>1</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divId w:val="795416300"/>
        <w:rPr>
          <w:sz w:val="20"/>
          <w:szCs w:val="20"/>
        </w:rPr>
      </w:pPr>
      <w:r>
        <w:rPr>
          <w:b/>
          <w:bCs/>
          <w:sz w:val="20"/>
          <w:szCs w:val="20"/>
        </w:rPr>
        <w:t>7. BUSINESS ACQUISITION</w:t>
      </w:r>
      <w:r>
        <w:rPr>
          <w:b/>
          <w:bCs/>
          <w:sz w:val="20"/>
          <w:szCs w:val="20"/>
        </w:rPr>
        <w:t>S</w:t>
      </w:r>
    </w:p>
    <w:p w:rsidR="00000000" w:rsidRDefault="00F55F16">
      <w:pPr>
        <w:pStyle w:val="a3"/>
        <w:spacing w:before="240" w:beforeAutospacing="0" w:after="0" w:afterAutospacing="0"/>
        <w:ind w:firstLine="555"/>
        <w:divId w:val="795416300"/>
        <w:rPr>
          <w:sz w:val="20"/>
          <w:szCs w:val="20"/>
        </w:rPr>
      </w:pPr>
      <w:r>
        <w:rPr>
          <w:sz w:val="20"/>
          <w:szCs w:val="20"/>
        </w:rPr>
        <w:t>In line with the Company’</w:t>
      </w:r>
      <w:r>
        <w:rPr>
          <w:sz w:val="20"/>
          <w:szCs w:val="20"/>
        </w:rPr>
        <w:t>s strategic growth initiatives, the Company acquired certain businesses during the six months ended June 30, 2022 and during the year ended December 31, 2021. The results of each of those acquired businesses are included in the unaudited condensed consolid</w:t>
      </w:r>
      <w:r>
        <w:rPr>
          <w:sz w:val="20"/>
          <w:szCs w:val="20"/>
        </w:rPr>
        <w:t>ated financial statements beginning on the acquisition date. Each transaction qualified as an acquisition of a business and was accounted for as a business combination. All acquisitions resulted in the recognition of goodwill. The Company paid these premiu</w:t>
      </w:r>
      <w:r>
        <w:rPr>
          <w:sz w:val="20"/>
          <w:szCs w:val="20"/>
        </w:rPr>
        <w:t xml:space="preserve">ms resulting in such goodwill for a number of reasons, including expected synergies from combining operations of the acquiree and the Company while also growing the Company’s customer base, acquiring assembled workforces, expanding its presence in certain </w:t>
      </w:r>
      <w:r>
        <w:rPr>
          <w:sz w:val="20"/>
          <w:szCs w:val="20"/>
        </w:rPr>
        <w:t>markets and expanding and advancing its product and service offerings. The Company recorded the assets acquired and liabilities assumed at their acquisition date fair value, with the difference between the fair value of the net assets acquired and the acqu</w:t>
      </w:r>
      <w:r>
        <w:rPr>
          <w:sz w:val="20"/>
          <w:szCs w:val="20"/>
        </w:rPr>
        <w:t>isition consideration reflected as goodwill</w:t>
      </w:r>
      <w:r>
        <w:rPr>
          <w:sz w:val="20"/>
          <w:szCs w:val="20"/>
        </w:rPr>
        <w:t>.</w:t>
      </w:r>
    </w:p>
    <w:p w:rsidR="00000000" w:rsidRDefault="00F55F16">
      <w:pPr>
        <w:pStyle w:val="a3"/>
        <w:spacing w:before="240" w:beforeAutospacing="0" w:after="0" w:afterAutospacing="0"/>
        <w:ind w:firstLine="555"/>
        <w:divId w:val="795416300"/>
        <w:rPr>
          <w:sz w:val="20"/>
          <w:szCs w:val="20"/>
        </w:rPr>
      </w:pPr>
      <w:r>
        <w:rPr>
          <w:sz w:val="20"/>
          <w:szCs w:val="20"/>
        </w:rPr>
        <w:t>The identifiable intangible assets for acquisitions are valued using the excess earnings method discounted cash flow approach for customer relationships, the relief from royalty method for trade names, the patent and external proprietary software, the “wit</w:t>
      </w:r>
      <w:r>
        <w:rPr>
          <w:sz w:val="20"/>
          <w:szCs w:val="20"/>
        </w:rPr>
        <w:t>h and without” method for covenants not to compete and the replacement cost method for the internal proprietary software by incorporating Level 3 inputs as described under the fair value hierarchy of ASC 820. These unobservable inputs reflect the Company’s</w:t>
      </w:r>
      <w:r>
        <w:rPr>
          <w:sz w:val="20"/>
          <w:szCs w:val="20"/>
        </w:rPr>
        <w:t xml:space="preserve"> own assumptions about which assumptions market participants would use in pricing an asset on a non-recurring basis. These assets will be amortized over their respective estimated useful lives</w:t>
      </w:r>
      <w:r>
        <w:rPr>
          <w:sz w:val="20"/>
          <w:szCs w:val="20"/>
        </w:rPr>
        <w:t>.</w:t>
      </w:r>
    </w:p>
    <w:p w:rsidR="00000000" w:rsidRDefault="00F55F16">
      <w:pPr>
        <w:pStyle w:val="a3"/>
        <w:spacing w:before="240" w:beforeAutospacing="0" w:after="0" w:afterAutospacing="0"/>
        <w:ind w:firstLine="555"/>
        <w:divId w:val="795416300"/>
        <w:rPr>
          <w:sz w:val="20"/>
          <w:szCs w:val="20"/>
        </w:rPr>
      </w:pPr>
      <w:r>
        <w:rPr>
          <w:sz w:val="20"/>
          <w:szCs w:val="20"/>
        </w:rPr>
        <w:t xml:space="preserve">Other purchase price obligations (primarily deferred purchase </w:t>
      </w:r>
      <w:r>
        <w:rPr>
          <w:sz w:val="20"/>
          <w:szCs w:val="20"/>
        </w:rPr>
        <w:t>price liabilities and target working capital liabilities or receivables) are included on the unaudited condensed consolidated statements of financial position in accounts payable and other accrued liabilities, other non-current liabilities or accounts rece</w:t>
      </w:r>
      <w:r>
        <w:rPr>
          <w:sz w:val="20"/>
          <w:szCs w:val="20"/>
        </w:rPr>
        <w:t>ivable-net in the case of working capital deficits. Contingent consideration outstanding from acquisitions are included on the unaudited condensed consolidated statements of financial position in business acquisition contingent consideration, current or in</w:t>
      </w:r>
      <w:r>
        <w:rPr>
          <w:sz w:val="20"/>
          <w:szCs w:val="20"/>
        </w:rPr>
        <w:t xml:space="preserve"> business acquisitions contingent consideration, long-term. The contingent consideration elements of the purchase price of the acquisitions are related to earn-outs which are based on the expected achievement of revenue or earnings thresholds as of the dat</w:t>
      </w:r>
      <w:r>
        <w:rPr>
          <w:sz w:val="20"/>
          <w:szCs w:val="20"/>
        </w:rPr>
        <w:t>e of the acquisition and for which the maximum potential amount is limited</w:t>
      </w:r>
      <w:r>
        <w:rPr>
          <w:sz w:val="20"/>
          <w:szCs w:val="20"/>
        </w:rPr>
        <w:t>.</w:t>
      </w:r>
    </w:p>
    <w:p w:rsidR="00000000" w:rsidRDefault="00F55F16">
      <w:pPr>
        <w:pStyle w:val="a3"/>
        <w:spacing w:before="240" w:beforeAutospacing="0" w:after="0" w:afterAutospacing="0"/>
        <w:ind w:firstLine="555"/>
        <w:divId w:val="795416300"/>
        <w:rPr>
          <w:sz w:val="20"/>
          <w:szCs w:val="20"/>
        </w:rPr>
      </w:pPr>
      <w:r>
        <w:rPr>
          <w:sz w:val="20"/>
          <w:szCs w:val="20"/>
        </w:rPr>
        <w:t>The Company considers several factors when determining whether or not contingent consideration liabilities are part of the purchase price, including the following: (i) the valuatio</w:t>
      </w:r>
      <w:r>
        <w:rPr>
          <w:sz w:val="20"/>
          <w:szCs w:val="20"/>
        </w:rPr>
        <w:t>n of its acquisitions is not supported solely by the initial consideration paid, (ii) the former stockholders of acquired companies that remain as key employees receive compensation other than contingent consideration payments at a reasonable level compare</w:t>
      </w:r>
      <w:r>
        <w:rPr>
          <w:sz w:val="20"/>
          <w:szCs w:val="20"/>
        </w:rPr>
        <w:t>d with the compensation of the Company’s other key employees and (iii) contingent consideration payments are not affected by employment termination. The Company reviews and assesses the estimated fair value of contingent consideration at each reporting per</w:t>
      </w:r>
      <w:r>
        <w:rPr>
          <w:sz w:val="20"/>
          <w:szCs w:val="20"/>
        </w:rPr>
        <w:t>iod</w:t>
      </w:r>
      <w:r>
        <w:rPr>
          <w:sz w:val="20"/>
          <w:szCs w:val="20"/>
        </w:rPr>
        <w:t>.</w:t>
      </w:r>
    </w:p>
    <w:p w:rsidR="00000000" w:rsidRDefault="00F55F16">
      <w:pPr>
        <w:pStyle w:val="a3"/>
        <w:spacing w:before="240" w:beforeAutospacing="0" w:after="0" w:afterAutospacing="0"/>
        <w:ind w:firstLine="555"/>
        <w:divId w:val="795416300"/>
        <w:rPr>
          <w:sz w:val="20"/>
          <w:szCs w:val="20"/>
        </w:rPr>
      </w:pPr>
      <w:r>
        <w:rPr>
          <w:sz w:val="20"/>
          <w:szCs w:val="20"/>
        </w:rPr>
        <w:t xml:space="preserve">The Company may be required to make up to </w:t>
      </w:r>
      <w:r>
        <w:rPr>
          <w:sz w:val="20"/>
          <w:szCs w:val="20"/>
        </w:rPr>
        <w:t>$</w:t>
      </w:r>
      <w:r>
        <w:rPr>
          <w:sz w:val="20"/>
          <w:szCs w:val="20"/>
        </w:rPr>
        <w:t>8.</w:t>
      </w:r>
      <w:r>
        <w:rPr>
          <w:sz w:val="20"/>
          <w:szCs w:val="20"/>
        </w:rPr>
        <w:t>5</w:t>
      </w:r>
      <w:r>
        <w:rPr>
          <w:sz w:val="20"/>
          <w:szCs w:val="20"/>
        </w:rPr>
        <w:t xml:space="preserve"> million in aggregate earn-out payments between the years 2022 and 2026 in connection with certain of its business acquisitions</w:t>
      </w:r>
      <w:r>
        <w:rPr>
          <w:sz w:val="20"/>
          <w:szCs w:val="20"/>
        </w:rPr>
        <w:t>.</w:t>
      </w:r>
    </w:p>
    <w:p w:rsidR="00000000" w:rsidRDefault="00F55F16">
      <w:pPr>
        <w:pStyle w:val="a3"/>
        <w:spacing w:before="240" w:beforeAutospacing="0" w:after="0" w:afterAutospacing="0"/>
        <w:ind w:firstLine="555"/>
        <w:divId w:val="795416300"/>
        <w:rPr>
          <w:sz w:val="20"/>
          <w:szCs w:val="20"/>
        </w:rPr>
      </w:pPr>
      <w:r>
        <w:rPr>
          <w:sz w:val="20"/>
          <w:szCs w:val="20"/>
        </w:rPr>
        <w:t xml:space="preserve">Transaction costs related to business combinations totaled </w:t>
      </w:r>
      <w:r>
        <w:rPr>
          <w:sz w:val="20"/>
          <w:szCs w:val="20"/>
        </w:rPr>
        <w:t>$</w:t>
      </w:r>
      <w:r>
        <w:rPr>
          <w:sz w:val="20"/>
          <w:szCs w:val="20"/>
        </w:rPr>
        <w:t>0.</w:t>
      </w:r>
      <w:r>
        <w:rPr>
          <w:sz w:val="20"/>
          <w:szCs w:val="20"/>
        </w:rPr>
        <w:t>5</w:t>
      </w:r>
      <w:r>
        <w:rPr>
          <w:sz w:val="20"/>
          <w:szCs w:val="20"/>
        </w:rPr>
        <w:t xml:space="preserve"> million and </w:t>
      </w:r>
      <w:r>
        <w:rPr>
          <w:sz w:val="20"/>
          <w:szCs w:val="20"/>
        </w:rPr>
        <w:t>$</w:t>
      </w:r>
      <w:r>
        <w:rPr>
          <w:sz w:val="20"/>
          <w:szCs w:val="20"/>
        </w:rPr>
        <w:t>1.</w:t>
      </w:r>
      <w:r>
        <w:rPr>
          <w:sz w:val="20"/>
          <w:szCs w:val="20"/>
        </w:rPr>
        <w:t>0</w:t>
      </w:r>
      <w:r>
        <w:rPr>
          <w:sz w:val="20"/>
          <w:szCs w:val="20"/>
        </w:rPr>
        <w:t xml:space="preserve"> millio</w:t>
      </w:r>
      <w:r>
        <w:rPr>
          <w:sz w:val="20"/>
          <w:szCs w:val="20"/>
        </w:rPr>
        <w:t>n</w:t>
      </w:r>
      <w:r>
        <w:t xml:space="preserve"> </w:t>
      </w:r>
      <w:r>
        <w:rPr>
          <w:sz w:val="20"/>
          <w:szCs w:val="20"/>
        </w:rPr>
        <w:t>for the three and six months ended June 30, 202</w:t>
      </w:r>
      <w:r>
        <w:rPr>
          <w:sz w:val="20"/>
          <w:szCs w:val="20"/>
        </w:rPr>
        <w:t>2</w:t>
      </w:r>
      <w:r>
        <w:rPr>
          <w:sz w:val="20"/>
          <w:szCs w:val="20"/>
        </w:rPr>
        <w:t xml:space="preserve">, respectively, and </w:t>
      </w:r>
      <w:r>
        <w:rPr>
          <w:sz w:val="20"/>
          <w:szCs w:val="20"/>
        </w:rPr>
        <w:t>$</w:t>
      </w:r>
      <w:r>
        <w:rPr>
          <w:sz w:val="20"/>
          <w:szCs w:val="20"/>
        </w:rPr>
        <w:t>0.</w:t>
      </w:r>
      <w:r>
        <w:rPr>
          <w:sz w:val="20"/>
          <w:szCs w:val="20"/>
        </w:rPr>
        <w:t>5</w:t>
      </w:r>
      <w:r>
        <w:rPr>
          <w:sz w:val="20"/>
          <w:szCs w:val="20"/>
        </w:rPr>
        <w:t xml:space="preserve"> million and </w:t>
      </w:r>
      <w:r>
        <w:rPr>
          <w:sz w:val="20"/>
          <w:szCs w:val="20"/>
        </w:rPr>
        <w:t>$</w:t>
      </w:r>
      <w:r>
        <w:rPr>
          <w:sz w:val="20"/>
          <w:szCs w:val="20"/>
        </w:rPr>
        <w:t>0.</w:t>
      </w:r>
      <w:r>
        <w:rPr>
          <w:sz w:val="20"/>
          <w:szCs w:val="20"/>
        </w:rPr>
        <w:t>7</w:t>
      </w:r>
      <w:r>
        <w:rPr>
          <w:sz w:val="20"/>
          <w:szCs w:val="20"/>
        </w:rPr>
        <w:t xml:space="preserve"> million for the</w:t>
      </w:r>
      <w:r>
        <w:rPr>
          <w:sz w:val="20"/>
          <w:szCs w:val="20"/>
        </w:rPr>
        <w:t xml:space="preserve"> </w:t>
      </w:r>
      <w:r>
        <w:rPr>
          <w:sz w:val="20"/>
          <w:szCs w:val="20"/>
        </w:rPr>
        <w:t>three and six months ended June 30, 2021, respectively. These costs are expensed within selling, general and administrative expense in th</w:t>
      </w:r>
      <w:r>
        <w:rPr>
          <w:sz w:val="20"/>
          <w:szCs w:val="20"/>
        </w:rPr>
        <w:t>e accompanying unaudited condensed consolidated statements of operations</w:t>
      </w:r>
      <w:r>
        <w:rPr>
          <w:sz w:val="20"/>
          <w:szCs w:val="20"/>
        </w:rPr>
        <w:t>.</w:t>
      </w:r>
    </w:p>
    <w:p w:rsidR="00000000" w:rsidRDefault="00F55F16">
      <w:pPr>
        <w:pStyle w:val="a3"/>
        <w:spacing w:before="240" w:beforeAutospacing="0" w:after="0" w:afterAutospacing="0"/>
        <w:jc w:val="center"/>
        <w:divId w:val="795416300"/>
        <w:rPr>
          <w:sz w:val="20"/>
          <w:szCs w:val="20"/>
        </w:rPr>
      </w:pPr>
      <w:r>
        <w:rPr>
          <w:sz w:val="20"/>
          <w:szCs w:val="20"/>
        </w:rPr>
        <w:t>1</w:t>
      </w:r>
      <w:r>
        <w:rPr>
          <w:sz w:val="20"/>
          <w:szCs w:val="20"/>
        </w:rPr>
        <w:t>0</w:t>
      </w:r>
    </w:p>
    <w:p w:rsidR="00000000" w:rsidRDefault="00F55F16">
      <w:pPr>
        <w:divId w:val="795416300"/>
        <w:rPr>
          <w:rFonts w:eastAsia="Times New Roman"/>
        </w:rPr>
      </w:pPr>
      <w:r>
        <w:rPr>
          <w:rFonts w:eastAsia="Times New Roman"/>
        </w:rPr>
        <w:pict>
          <v:rect id="_x0000_i1036" style="width:0;height:1.5pt" o:hralign="center" o:hrstd="t" o:hr="t" fillcolor="#a0a0a0" stroked="f"/>
        </w:pict>
      </w:r>
    </w:p>
    <w:p w:rsidR="00000000" w:rsidRDefault="00F55F16">
      <w:pPr>
        <w:pStyle w:val="a3"/>
        <w:spacing w:before="0" w:beforeAutospacing="0" w:after="0" w:afterAutospacing="0"/>
        <w:divId w:val="795416300"/>
        <w:rPr>
          <w:sz w:val="20"/>
          <w:szCs w:val="20"/>
        </w:rPr>
      </w:pPr>
      <w:r>
        <w:rPr>
          <w:sz w:val="20"/>
          <w:szCs w:val="20"/>
        </w:rPr>
        <w:t> </w:t>
      </w:r>
    </w:p>
    <w:p w:rsidR="00000000" w:rsidRDefault="00F55F16">
      <w:pPr>
        <w:pStyle w:val="a3"/>
        <w:spacing w:before="240" w:beforeAutospacing="0" w:after="0" w:afterAutospacing="0"/>
        <w:ind w:firstLine="555"/>
        <w:divId w:val="795416300"/>
        <w:rPr>
          <w:sz w:val="20"/>
          <w:szCs w:val="20"/>
        </w:rPr>
      </w:pPr>
      <w:r>
        <w:rPr>
          <w:b/>
          <w:bCs/>
          <w:sz w:val="20"/>
          <w:szCs w:val="20"/>
        </w:rPr>
        <w:t>Acquisitions Completed During the Six Months Ended June 30, 202</w:t>
      </w:r>
      <w:r>
        <w:rPr>
          <w:b/>
          <w:bCs/>
          <w:sz w:val="20"/>
          <w:szCs w:val="20"/>
        </w:rPr>
        <w:t>2</w:t>
      </w:r>
    </w:p>
    <w:p w:rsidR="00000000" w:rsidRDefault="00F55F16">
      <w:pPr>
        <w:pStyle w:val="a3"/>
        <w:spacing w:before="240" w:beforeAutospacing="0" w:after="0" w:afterAutospacing="0"/>
        <w:ind w:firstLine="555"/>
        <w:divId w:val="795416300"/>
        <w:rPr>
          <w:sz w:val="20"/>
          <w:szCs w:val="20"/>
        </w:rPr>
      </w:pPr>
      <w:r>
        <w:rPr>
          <w:b/>
          <w:bCs/>
          <w:i/>
          <w:iCs/>
          <w:sz w:val="20"/>
          <w:szCs w:val="20"/>
        </w:rPr>
        <w:t>Environmental Standards, Inc. (“EnvStd”</w:t>
      </w:r>
      <w:r>
        <w:rPr>
          <w:b/>
          <w:bCs/>
          <w:i/>
          <w:iCs/>
          <w:sz w:val="20"/>
          <w:szCs w:val="20"/>
        </w:rPr>
        <w:t>)</w:t>
      </w:r>
      <w:r>
        <w:rPr>
          <w:sz w:val="20"/>
          <w:szCs w:val="20"/>
        </w:rPr>
        <w:t>—In January 2022, the Company compl</w:t>
      </w:r>
      <w:r>
        <w:rPr>
          <w:sz w:val="20"/>
          <w:szCs w:val="20"/>
        </w:rPr>
        <w:t>eted the acquisition of Environmental Standards, Inc. by acquiring</w:t>
      </w:r>
      <w:r>
        <w:rPr>
          <w:sz w:val="20"/>
          <w:szCs w:val="20"/>
        </w:rPr>
        <w:t xml:space="preserve"> </w:t>
      </w:r>
      <w:r>
        <w:rPr>
          <w:sz w:val="20"/>
          <w:szCs w:val="20"/>
        </w:rPr>
        <w:t>100.</w:t>
      </w:r>
      <w:r>
        <w:rPr>
          <w:sz w:val="20"/>
          <w:szCs w:val="20"/>
        </w:rPr>
        <w:t>0</w:t>
      </w:r>
      <w:r>
        <w:rPr>
          <w:sz w:val="20"/>
          <w:szCs w:val="20"/>
        </w:rPr>
        <w:t>% of its common stock. EnvStd is a provider of environmental consulting services. EnvStd is based in</w:t>
      </w:r>
      <w:r>
        <w:rPr>
          <w:sz w:val="20"/>
          <w:szCs w:val="20"/>
        </w:rPr>
        <w:t xml:space="preserve"> </w:t>
      </w:r>
      <w:r>
        <w:rPr>
          <w:sz w:val="20"/>
          <w:szCs w:val="20"/>
        </w:rPr>
        <w:t>Valley Forge, PA with satellite locations nationwide. The upfront cash payment made</w:t>
      </w:r>
      <w:r>
        <w:rPr>
          <w:sz w:val="20"/>
          <w:szCs w:val="20"/>
        </w:rPr>
        <w:t xml:space="preserve"> to acquire EnvStd was funded through cash on hand</w:t>
      </w:r>
      <w:r>
        <w:rPr>
          <w:sz w:val="20"/>
          <w:szCs w:val="20"/>
        </w:rPr>
        <w:t>.</w:t>
      </w:r>
      <w:r>
        <w:rPr>
          <w:sz w:val="20"/>
          <w:szCs w:val="20"/>
        </w:rPr>
        <w:t xml:space="preserve"> </w:t>
      </w:r>
    </w:p>
    <w:p w:rsidR="00000000" w:rsidRDefault="00F55F16">
      <w:pPr>
        <w:pStyle w:val="a3"/>
        <w:spacing w:before="240" w:beforeAutospacing="0" w:after="0" w:afterAutospacing="0"/>
        <w:ind w:firstLine="555"/>
        <w:divId w:val="795416300"/>
        <w:rPr>
          <w:sz w:val="20"/>
          <w:szCs w:val="20"/>
        </w:rPr>
      </w:pPr>
      <w:r>
        <w:rPr>
          <w:b/>
          <w:bCs/>
          <w:i/>
          <w:iCs/>
          <w:sz w:val="20"/>
          <w:szCs w:val="20"/>
        </w:rPr>
        <w:t>Industrial Automation Group, Inc. (“IAG”</w:t>
      </w:r>
      <w:r>
        <w:rPr>
          <w:b/>
          <w:bCs/>
          <w:i/>
          <w:iCs/>
          <w:sz w:val="20"/>
          <w:szCs w:val="20"/>
        </w:rPr>
        <w:t>)</w:t>
      </w:r>
      <w:r>
        <w:rPr>
          <w:sz w:val="20"/>
          <w:szCs w:val="20"/>
        </w:rPr>
        <w:t xml:space="preserve">—In January 2022, the Company completed the acquisition of Industrial Automation Group, Inc. by acquiring certain of its employees and a covenant not to compete. </w:t>
      </w:r>
      <w:r>
        <w:rPr>
          <w:sz w:val="20"/>
          <w:szCs w:val="20"/>
        </w:rPr>
        <w:t>The upfront cash payment made to acquire IAG was funded through cash on hand</w:t>
      </w:r>
      <w:r>
        <w:rPr>
          <w:sz w:val="20"/>
          <w:szCs w:val="20"/>
        </w:rPr>
        <w:t>.</w:t>
      </w:r>
      <w:r>
        <w:rPr>
          <w:sz w:val="20"/>
          <w:szCs w:val="20"/>
        </w:rPr>
        <w:t xml:space="preserve"> </w:t>
      </w:r>
    </w:p>
    <w:p w:rsidR="00000000" w:rsidRDefault="00F55F16">
      <w:pPr>
        <w:pStyle w:val="a3"/>
        <w:spacing w:before="240" w:beforeAutospacing="0" w:after="0" w:afterAutospacing="0"/>
        <w:ind w:firstLine="555"/>
        <w:divId w:val="287711188"/>
        <w:rPr>
          <w:sz w:val="20"/>
          <w:szCs w:val="20"/>
        </w:rPr>
      </w:pPr>
      <w:r>
        <w:rPr>
          <w:sz w:val="20"/>
          <w:szCs w:val="20"/>
        </w:rPr>
        <w:t>The following table summarizes the elements of the purchase price of the acquisitions completed during the</w:t>
      </w:r>
      <w:r>
        <w:rPr>
          <w:sz w:val="20"/>
          <w:szCs w:val="20"/>
        </w:rPr>
        <w:t xml:space="preserve"> </w:t>
      </w:r>
      <w:r>
        <w:rPr>
          <w:sz w:val="20"/>
          <w:szCs w:val="20"/>
        </w:rPr>
        <w:t>six months ended June 30, 2022</w:t>
      </w:r>
      <w:r>
        <w:rPr>
          <w:sz w:val="20"/>
          <w:szCs w:val="20"/>
        </w:rPr>
        <w:t>:</w:t>
      </w:r>
    </w:p>
    <w:p w:rsidR="00000000" w:rsidRDefault="00F55F16">
      <w:pPr>
        <w:pStyle w:val="a3"/>
        <w:spacing w:before="0" w:beforeAutospacing="0" w:after="0" w:afterAutospacing="0"/>
        <w:ind w:firstLine="555"/>
        <w:divId w:val="28771118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6"/>
        <w:gridCol w:w="105"/>
        <w:gridCol w:w="150"/>
        <w:gridCol w:w="555"/>
        <w:gridCol w:w="105"/>
        <w:gridCol w:w="105"/>
        <w:gridCol w:w="151"/>
        <w:gridCol w:w="663"/>
        <w:gridCol w:w="105"/>
        <w:gridCol w:w="105"/>
        <w:gridCol w:w="151"/>
        <w:gridCol w:w="922"/>
        <w:gridCol w:w="105"/>
        <w:gridCol w:w="105"/>
        <w:gridCol w:w="151"/>
        <w:gridCol w:w="926"/>
        <w:gridCol w:w="105"/>
        <w:gridCol w:w="105"/>
        <w:gridCol w:w="151"/>
        <w:gridCol w:w="1032"/>
        <w:gridCol w:w="105"/>
        <w:gridCol w:w="105"/>
        <w:gridCol w:w="151"/>
        <w:gridCol w:w="1040"/>
        <w:gridCol w:w="105"/>
        <w:gridCol w:w="105"/>
        <w:gridCol w:w="151"/>
        <w:gridCol w:w="647"/>
        <w:gridCol w:w="120"/>
      </w:tblGrid>
      <w:tr w:rsidR="00000000">
        <w:trPr>
          <w:divId w:val="287711188"/>
          <w:tblCellSpacing w:w="15" w:type="dxa"/>
        </w:trPr>
        <w:tc>
          <w:tcPr>
            <w:tcW w:w="470" w:type="pct"/>
            <w:vAlign w:val="center"/>
            <w:hideMark/>
          </w:tcPr>
          <w:p w:rsidR="00000000" w:rsidRDefault="00F55F16">
            <w:pPr>
              <w:rPr>
                <w:sz w:val="20"/>
                <w:szCs w:val="20"/>
              </w:rPr>
            </w:pPr>
          </w:p>
        </w:tc>
        <w:tc>
          <w:tcPr>
            <w:tcW w:w="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3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1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7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0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6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3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3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287711188"/>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Cas</w:t>
            </w:r>
            <w:r>
              <w:rPr>
                <w:b/>
                <w:bCs/>
                <w:sz w:val="18"/>
                <w:szCs w:val="18"/>
              </w:rPr>
              <w:t>h</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Common</w:t>
            </w:r>
            <w:r>
              <w:rPr>
                <w:b/>
                <w:bCs/>
                <w:sz w:val="18"/>
                <w:szCs w:val="18"/>
              </w:rPr>
              <w:br/>
              <w:t>Stoc</w:t>
            </w:r>
            <w:r>
              <w:rPr>
                <w:b/>
                <w:bCs/>
                <w:sz w:val="18"/>
                <w:szCs w:val="18"/>
              </w:rPr>
              <w:t>k</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Components</w:t>
            </w:r>
            <w:r>
              <w:rPr>
                <w:b/>
                <w:bCs/>
                <w:sz w:val="18"/>
                <w:szCs w:val="18"/>
              </w:rPr>
              <w:br/>
              <w:t>Curren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Components</w:t>
            </w:r>
            <w:r>
              <w:rPr>
                <w:b/>
                <w:bCs/>
                <w:sz w:val="18"/>
                <w:szCs w:val="18"/>
              </w:rPr>
              <w:br/>
              <w:t>Long Ter</w:t>
            </w:r>
            <w:r>
              <w:rPr>
                <w:b/>
                <w:bCs/>
                <w:sz w:val="18"/>
                <w:szCs w:val="18"/>
              </w:rPr>
              <w:t>m</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Long Ter</w:t>
            </w:r>
            <w:r>
              <w:rPr>
                <w:b/>
                <w:bCs/>
                <w:sz w:val="18"/>
                <w:szCs w:val="18"/>
              </w:rPr>
              <w:t>m</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Total</w:t>
            </w:r>
            <w:r>
              <w:rPr>
                <w:b/>
                <w:bCs/>
                <w:sz w:val="18"/>
                <w:szCs w:val="18"/>
              </w:rPr>
              <w:br/>
              <w:t>Purchase</w:t>
            </w:r>
            <w:r>
              <w:rPr>
                <w:b/>
                <w:bCs/>
                <w:sz w:val="18"/>
                <w:szCs w:val="18"/>
              </w:rPr>
              <w:br/>
              <w:t>Pric</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28771118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EnvSt</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14,47</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15,80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8771118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IA</w:t>
            </w:r>
            <w:r>
              <w:rPr>
                <w:sz w:val="18"/>
                <w:szCs w:val="18"/>
              </w:rPr>
              <w:t>G</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8771118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14,62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795416300"/>
        <w:rPr>
          <w:sz w:val="20"/>
          <w:szCs w:val="20"/>
        </w:rPr>
      </w:pPr>
      <w:r>
        <w:rPr>
          <w:sz w:val="20"/>
          <w:szCs w:val="20"/>
        </w:rPr>
        <w:t>The other purchase price components of the EnvStd purchase price consist of a surplus working capital amount, which is not finalized at this time</w:t>
      </w:r>
      <w:r>
        <w:rPr>
          <w:sz w:val="20"/>
          <w:szCs w:val="20"/>
        </w:rPr>
        <w:t>.</w:t>
      </w:r>
      <w:r>
        <w:rPr>
          <w:sz w:val="20"/>
          <w:szCs w:val="20"/>
        </w:rPr>
        <w:t xml:space="preserve"> </w:t>
      </w:r>
    </w:p>
    <w:p w:rsidR="00000000" w:rsidRDefault="00F55F16">
      <w:pPr>
        <w:pStyle w:val="a3"/>
        <w:spacing w:before="240" w:beforeAutospacing="0" w:after="0" w:afterAutospacing="0"/>
        <w:ind w:firstLine="555"/>
        <w:divId w:val="2016298171"/>
        <w:rPr>
          <w:sz w:val="20"/>
          <w:szCs w:val="20"/>
        </w:rPr>
      </w:pPr>
      <w:r>
        <w:rPr>
          <w:sz w:val="20"/>
          <w:szCs w:val="20"/>
        </w:rPr>
        <w:t>The preliminary purchase price attributable to the acquisitions was allocated as follows</w:t>
      </w:r>
      <w:r>
        <w:rPr>
          <w:sz w:val="20"/>
          <w:szCs w:val="20"/>
        </w:rPr>
        <w:t>:</w:t>
      </w:r>
    </w:p>
    <w:p w:rsidR="00000000" w:rsidRDefault="00F55F16">
      <w:pPr>
        <w:pStyle w:val="a3"/>
        <w:spacing w:before="0" w:beforeAutospacing="0" w:after="0" w:afterAutospacing="0"/>
        <w:ind w:firstLine="555"/>
        <w:divId w:val="201629817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9"/>
        <w:gridCol w:w="125"/>
        <w:gridCol w:w="150"/>
        <w:gridCol w:w="892"/>
        <w:gridCol w:w="105"/>
        <w:gridCol w:w="118"/>
        <w:gridCol w:w="150"/>
        <w:gridCol w:w="892"/>
        <w:gridCol w:w="105"/>
        <w:gridCol w:w="118"/>
        <w:gridCol w:w="150"/>
        <w:gridCol w:w="892"/>
        <w:gridCol w:w="120"/>
      </w:tblGrid>
      <w:tr w:rsidR="00000000">
        <w:trPr>
          <w:divId w:val="2016298171"/>
          <w:tblCellSpacing w:w="15" w:type="dxa"/>
        </w:trPr>
        <w:tc>
          <w:tcPr>
            <w:tcW w:w="2825" w:type="pct"/>
            <w:vAlign w:val="center"/>
            <w:hideMark/>
          </w:tcPr>
          <w:p w:rsidR="00000000" w:rsidRDefault="00F55F16">
            <w:pPr>
              <w:rPr>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2016298171"/>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EnvSt</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IA</w:t>
            </w:r>
            <w:r>
              <w:rPr>
                <w:b/>
                <w:bCs/>
                <w:sz w:val="18"/>
                <w:szCs w:val="18"/>
              </w:rPr>
              <w:t>G</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Cas</w:t>
            </w:r>
            <w:r>
              <w:rPr>
                <w:sz w:val="18"/>
                <w:szCs w:val="18"/>
              </w:rPr>
              <w:t>h</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Accounts receivable and contract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Other current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Current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5,95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5,95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Property and equipmen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Operating lease right-of-use asset—ne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2,89</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2,89</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5,80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5,80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26</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Goodwil</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3,89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Total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19,84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20,04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Current liabilitie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Operating lease liability—net of</w:t>
            </w:r>
            <w:r>
              <w:rPr>
                <w:sz w:val="18"/>
                <w:szCs w:val="18"/>
              </w:rPr>
              <w:br/>
              <w:t>   </w:t>
            </w:r>
            <w:r>
              <w:rPr>
                <w:sz w:val="18"/>
                <w:szCs w:val="18"/>
              </w:rPr>
              <w:t>current portio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2,32</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2,32</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Total liabilitie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1629817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Purchase pric</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15,80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808627733"/>
        <w:rPr>
          <w:sz w:val="20"/>
          <w:szCs w:val="20"/>
        </w:rPr>
      </w:pPr>
      <w:r>
        <w:rPr>
          <w:sz w:val="20"/>
          <w:szCs w:val="20"/>
        </w:rPr>
        <w:t>The weighted average useful lives for the acquired companies’ identifiable intangible assets are as follows</w:t>
      </w:r>
      <w:r>
        <w:rPr>
          <w:sz w:val="20"/>
          <w:szCs w:val="20"/>
        </w:rPr>
        <w:t>:</w:t>
      </w:r>
    </w:p>
    <w:p w:rsidR="00000000" w:rsidRDefault="00F55F16">
      <w:pPr>
        <w:pStyle w:val="a3"/>
        <w:spacing w:before="0" w:beforeAutospacing="0" w:after="0" w:afterAutospacing="0"/>
        <w:ind w:firstLine="555"/>
        <w:divId w:val="180862773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30"/>
        <w:gridCol w:w="2387"/>
        <w:gridCol w:w="2387"/>
        <w:gridCol w:w="2402"/>
      </w:tblGrid>
      <w:tr w:rsidR="00000000">
        <w:trPr>
          <w:divId w:val="1808627733"/>
          <w:tblCellSpacing w:w="15" w:type="dxa"/>
        </w:trPr>
        <w:tc>
          <w:tcPr>
            <w:tcW w:w="665" w:type="pct"/>
            <w:vAlign w:val="center"/>
            <w:hideMark/>
          </w:tcPr>
          <w:p w:rsidR="00000000" w:rsidRDefault="00F55F16">
            <w:pPr>
              <w:rPr>
                <w:sz w:val="20"/>
                <w:szCs w:val="20"/>
              </w:rPr>
            </w:pPr>
          </w:p>
        </w:tc>
        <w:tc>
          <w:tcPr>
            <w:tcW w:w="1444" w:type="pct"/>
            <w:vAlign w:val="center"/>
            <w:hideMark/>
          </w:tcPr>
          <w:p w:rsidR="00000000" w:rsidRDefault="00F55F16">
            <w:pPr>
              <w:rPr>
                <w:rFonts w:eastAsia="Times New Roman"/>
                <w:sz w:val="20"/>
                <w:szCs w:val="20"/>
              </w:rPr>
            </w:pPr>
          </w:p>
        </w:tc>
        <w:tc>
          <w:tcPr>
            <w:tcW w:w="1444" w:type="pct"/>
            <w:vAlign w:val="center"/>
            <w:hideMark/>
          </w:tcPr>
          <w:p w:rsidR="00000000" w:rsidRDefault="00F55F16">
            <w:pPr>
              <w:rPr>
                <w:rFonts w:eastAsia="Times New Roman"/>
                <w:sz w:val="20"/>
                <w:szCs w:val="20"/>
              </w:rPr>
            </w:pPr>
          </w:p>
        </w:tc>
        <w:tc>
          <w:tcPr>
            <w:tcW w:w="1444" w:type="pct"/>
            <w:vAlign w:val="center"/>
            <w:hideMark/>
          </w:tcPr>
          <w:p w:rsidR="00000000" w:rsidRDefault="00F55F16">
            <w:pPr>
              <w:rPr>
                <w:rFonts w:eastAsia="Times New Roman"/>
                <w:sz w:val="20"/>
                <w:szCs w:val="20"/>
              </w:rPr>
            </w:pPr>
          </w:p>
        </w:tc>
      </w:tr>
      <w:tr w:rsidR="00000000">
        <w:trPr>
          <w:divId w:val="1808627733"/>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Customer Relationship</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Tradename</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Covenants Not to Compet</w:t>
            </w:r>
            <w:r>
              <w:rPr>
                <w:b/>
                <w:bCs/>
                <w:sz w:val="18"/>
                <w:szCs w:val="18"/>
              </w:rPr>
              <w:t>e</w:t>
            </w:r>
          </w:p>
        </w:tc>
      </w:tr>
      <w:tr w:rsidR="00000000">
        <w:trPr>
          <w:divId w:val="180862773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EnvSt</w:t>
            </w:r>
            <w:r>
              <w:rPr>
                <w:sz w:val="18"/>
                <w:szCs w:val="18"/>
              </w:rPr>
              <w:t>d</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5</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5</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5</w:t>
            </w:r>
          </w:p>
        </w:tc>
      </w:tr>
      <w:tr w:rsidR="00000000">
        <w:trPr>
          <w:divId w:val="180862773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IA</w:t>
            </w:r>
            <w:r>
              <w:rPr>
                <w:sz w:val="18"/>
                <w:szCs w:val="18"/>
              </w:rPr>
              <w:t>G</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n/</w:t>
            </w:r>
            <w:r>
              <w:rPr>
                <w:sz w:val="18"/>
                <w:szCs w:val="18"/>
              </w:rPr>
              <w:t>a</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n/</w:t>
            </w:r>
            <w:r>
              <w:rPr>
                <w:sz w:val="18"/>
                <w:szCs w:val="18"/>
              </w:rPr>
              <w:t>a</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3</w:t>
            </w:r>
          </w:p>
        </w:tc>
      </w:tr>
    </w:tbl>
    <w:p w:rsidR="00000000" w:rsidRDefault="00F55F16">
      <w:pPr>
        <w:pStyle w:val="a3"/>
        <w:spacing w:before="240" w:beforeAutospacing="0" w:after="0" w:afterAutospacing="0"/>
        <w:ind w:firstLine="555"/>
        <w:divId w:val="795416300"/>
        <w:rPr>
          <w:sz w:val="20"/>
          <w:szCs w:val="20"/>
        </w:rPr>
      </w:pPr>
      <w:r>
        <w:rPr>
          <w:sz w:val="20"/>
          <w:szCs w:val="20"/>
        </w:rPr>
        <w:t>Goodwill associated with the IAG acquisition is deductible for income tax purposes</w:t>
      </w:r>
      <w:r>
        <w:rPr>
          <w:sz w:val="20"/>
          <w:szCs w:val="20"/>
        </w:rPr>
        <w:t>.</w:t>
      </w:r>
    </w:p>
    <w:p w:rsidR="00000000" w:rsidRDefault="00F55F16">
      <w:pPr>
        <w:pStyle w:val="a3"/>
        <w:spacing w:before="240" w:beforeAutospacing="0" w:after="0" w:afterAutospacing="0"/>
        <w:ind w:firstLine="555"/>
        <w:divId w:val="795416300"/>
        <w:rPr>
          <w:sz w:val="20"/>
          <w:szCs w:val="20"/>
        </w:rPr>
      </w:pPr>
      <w:r>
        <w:rPr>
          <w:sz w:val="20"/>
          <w:szCs w:val="20"/>
        </w:rPr>
        <w:t>For the acquisitions completed during the six months ended June 30, 2022, the results of operations since the acquisition dates have been combined with those of the Company. The Company’s unaudited condensed consolidated statement of operations for the thr</w:t>
      </w:r>
      <w:r>
        <w:rPr>
          <w:sz w:val="20"/>
          <w:szCs w:val="20"/>
        </w:rPr>
        <w:t xml:space="preserve">ee and six months ended June 30, 2022 includes revenue of </w:t>
      </w:r>
      <w:r>
        <w:rPr>
          <w:sz w:val="20"/>
          <w:szCs w:val="20"/>
        </w:rPr>
        <w:t>$</w:t>
      </w:r>
      <w:r>
        <w:rPr>
          <w:sz w:val="20"/>
          <w:szCs w:val="20"/>
        </w:rPr>
        <w:t>4.</w:t>
      </w:r>
      <w:r>
        <w:rPr>
          <w:sz w:val="20"/>
          <w:szCs w:val="20"/>
        </w:rPr>
        <w:t>3</w:t>
      </w:r>
      <w:r>
        <w:rPr>
          <w:sz w:val="20"/>
          <w:szCs w:val="20"/>
        </w:rPr>
        <w:t xml:space="preserve"> million and </w:t>
      </w:r>
      <w:r>
        <w:rPr>
          <w:sz w:val="20"/>
          <w:szCs w:val="20"/>
        </w:rPr>
        <w:t>$</w:t>
      </w:r>
      <w:r>
        <w:rPr>
          <w:sz w:val="20"/>
          <w:szCs w:val="20"/>
        </w:rPr>
        <w:t>7.</w:t>
      </w:r>
      <w:r>
        <w:rPr>
          <w:sz w:val="20"/>
          <w:szCs w:val="20"/>
        </w:rPr>
        <w:t>6</w:t>
      </w:r>
      <w:r>
        <w:rPr>
          <w:sz w:val="20"/>
          <w:szCs w:val="20"/>
        </w:rPr>
        <w:t xml:space="preserve"> million, respectively, and pre-tax (loss) income of </w:t>
      </w:r>
      <w:r>
        <w:rPr>
          <w:sz w:val="20"/>
          <w:szCs w:val="20"/>
        </w:rPr>
        <w:t>$</w:t>
      </w:r>
      <w:r>
        <w:rPr>
          <w:sz w:val="20"/>
          <w:szCs w:val="20"/>
        </w:rPr>
        <w:t>(</w:t>
      </w:r>
      <w:r>
        <w:rPr>
          <w:sz w:val="20"/>
          <w:szCs w:val="20"/>
        </w:rPr>
        <w:t>0.</w:t>
      </w:r>
      <w:r>
        <w:rPr>
          <w:sz w:val="20"/>
          <w:szCs w:val="20"/>
        </w:rPr>
        <w:t>1</w:t>
      </w:r>
      <w:r>
        <w:rPr>
          <w:sz w:val="20"/>
          <w:szCs w:val="20"/>
        </w:rPr>
        <w:t>)</w:t>
      </w:r>
      <w:r>
        <w:rPr>
          <w:sz w:val="20"/>
          <w:szCs w:val="20"/>
        </w:rPr>
        <w:t xml:space="preserve"> million and </w:t>
      </w:r>
      <w:r>
        <w:rPr>
          <w:sz w:val="20"/>
          <w:szCs w:val="20"/>
        </w:rPr>
        <w:t>$</w:t>
      </w:r>
      <w:r>
        <w:rPr>
          <w:sz w:val="20"/>
          <w:szCs w:val="20"/>
        </w:rPr>
        <w:t>0.</w:t>
      </w:r>
      <w:r>
        <w:rPr>
          <w:sz w:val="20"/>
          <w:szCs w:val="20"/>
        </w:rPr>
        <w:t>7</w:t>
      </w:r>
      <w:r>
        <w:rPr>
          <w:sz w:val="20"/>
          <w:szCs w:val="20"/>
        </w:rPr>
        <w:t xml:space="preserve"> million, respectively, related to these acquisitions. EnvStd and IAG are included in the Company’s A</w:t>
      </w:r>
      <w:r>
        <w:rPr>
          <w:sz w:val="20"/>
          <w:szCs w:val="20"/>
        </w:rPr>
        <w:t>ssessment, Permitting and Response and Remediation and Reuse segments, respectively</w:t>
      </w:r>
      <w:r>
        <w:rPr>
          <w:sz w:val="20"/>
          <w:szCs w:val="20"/>
        </w:rPr>
        <w:t>.</w:t>
      </w:r>
    </w:p>
    <w:p w:rsidR="00000000" w:rsidRDefault="00F55F16">
      <w:pPr>
        <w:pStyle w:val="a3"/>
        <w:spacing w:before="240" w:beforeAutospacing="0" w:after="0" w:afterAutospacing="0"/>
        <w:jc w:val="center"/>
        <w:divId w:val="795416300"/>
        <w:rPr>
          <w:sz w:val="20"/>
          <w:szCs w:val="20"/>
        </w:rPr>
      </w:pPr>
      <w:r>
        <w:rPr>
          <w:sz w:val="20"/>
          <w:szCs w:val="20"/>
        </w:rPr>
        <w:t>1</w:t>
      </w:r>
      <w:r>
        <w:rPr>
          <w:sz w:val="20"/>
          <w:szCs w:val="20"/>
        </w:rPr>
        <w:t>1</w:t>
      </w:r>
    </w:p>
    <w:p w:rsidR="00000000" w:rsidRDefault="00F55F16">
      <w:pPr>
        <w:divId w:val="795416300"/>
        <w:rPr>
          <w:rFonts w:eastAsia="Times New Roman"/>
        </w:rPr>
      </w:pPr>
      <w:r>
        <w:rPr>
          <w:rFonts w:eastAsia="Times New Roman"/>
        </w:rPr>
        <w:pict>
          <v:rect id="_x0000_i1037" style="width:0;height:1.5pt" o:hralign="center" o:hrstd="t" o:hr="t" fillcolor="#a0a0a0" stroked="f"/>
        </w:pict>
      </w:r>
    </w:p>
    <w:p w:rsidR="00000000" w:rsidRDefault="00F55F16">
      <w:pPr>
        <w:pStyle w:val="a3"/>
        <w:spacing w:before="0" w:beforeAutospacing="0" w:after="0" w:afterAutospacing="0"/>
        <w:divId w:val="795416300"/>
        <w:rPr>
          <w:sz w:val="20"/>
          <w:szCs w:val="20"/>
        </w:rPr>
      </w:pPr>
      <w:r>
        <w:rPr>
          <w:sz w:val="20"/>
          <w:szCs w:val="20"/>
        </w:rPr>
        <w:t> </w:t>
      </w:r>
    </w:p>
    <w:p w:rsidR="00000000" w:rsidRDefault="00F55F16">
      <w:pPr>
        <w:pStyle w:val="a3"/>
        <w:spacing w:before="240" w:beforeAutospacing="0" w:after="0" w:afterAutospacing="0"/>
        <w:ind w:firstLine="555"/>
        <w:divId w:val="795416300"/>
        <w:rPr>
          <w:sz w:val="20"/>
          <w:szCs w:val="20"/>
        </w:rPr>
      </w:pPr>
      <w:r>
        <w:rPr>
          <w:b/>
          <w:bCs/>
          <w:sz w:val="20"/>
          <w:szCs w:val="20"/>
        </w:rPr>
        <w:t>Acquisitions Completed During the Year Ended December 31, 202</w:t>
      </w:r>
      <w:r>
        <w:rPr>
          <w:b/>
          <w:bCs/>
          <w:sz w:val="20"/>
          <w:szCs w:val="20"/>
        </w:rPr>
        <w:t>1</w:t>
      </w:r>
    </w:p>
    <w:p w:rsidR="00000000" w:rsidRDefault="00F55F16">
      <w:pPr>
        <w:pStyle w:val="a3"/>
        <w:spacing w:before="240" w:beforeAutospacing="0" w:after="0" w:afterAutospacing="0"/>
        <w:ind w:firstLine="555"/>
        <w:divId w:val="795416300"/>
        <w:rPr>
          <w:sz w:val="20"/>
          <w:szCs w:val="20"/>
        </w:rPr>
      </w:pPr>
      <w:r>
        <w:rPr>
          <w:b/>
          <w:bCs/>
          <w:i/>
          <w:iCs/>
          <w:sz w:val="20"/>
          <w:szCs w:val="20"/>
        </w:rPr>
        <w:t>MSE Group, LLC (“MSE”</w:t>
      </w:r>
      <w:r>
        <w:rPr>
          <w:b/>
          <w:bCs/>
          <w:i/>
          <w:iCs/>
          <w:sz w:val="20"/>
          <w:szCs w:val="20"/>
        </w:rPr>
        <w:t>)</w:t>
      </w:r>
      <w:r>
        <w:rPr>
          <w:sz w:val="20"/>
          <w:szCs w:val="20"/>
        </w:rPr>
        <w:t>—In January 2021, the Company completed the a</w:t>
      </w:r>
      <w:r>
        <w:rPr>
          <w:sz w:val="20"/>
          <w:szCs w:val="20"/>
        </w:rPr>
        <w:t>cquisition of MSE Group, LLC by acquiring</w:t>
      </w:r>
      <w:r>
        <w:rPr>
          <w:sz w:val="20"/>
          <w:szCs w:val="20"/>
        </w:rPr>
        <w:t xml:space="preserve"> </w:t>
      </w:r>
      <w:r>
        <w:rPr>
          <w:sz w:val="20"/>
          <w:szCs w:val="20"/>
        </w:rPr>
        <w:t>100.</w:t>
      </w:r>
      <w:r>
        <w:rPr>
          <w:sz w:val="20"/>
          <w:szCs w:val="20"/>
        </w:rPr>
        <w:t>0</w:t>
      </w:r>
      <w:r>
        <w:rPr>
          <w:sz w:val="20"/>
          <w:szCs w:val="20"/>
        </w:rPr>
        <w:t xml:space="preserve">% of its membership interests. MSE is a provider of environmental assessment, compliance, engineering, and design services primarily to the U.S. federal government. MSE is based in Orlando, FL with additional </w:t>
      </w:r>
      <w:r>
        <w:rPr>
          <w:sz w:val="20"/>
          <w:szCs w:val="20"/>
        </w:rPr>
        <w:t>offices in Tampa, Orlando, Jacksonville, San Antonio, TX, and Wilmington, NC, and satellite locations nationwide. The upfront cash payment made to acquire MSE was funded through cash on hand and the common stock portion of the purchase price was funded thr</w:t>
      </w:r>
      <w:r>
        <w:rPr>
          <w:sz w:val="20"/>
          <w:szCs w:val="20"/>
        </w:rPr>
        <w:t>ough the issuance of</w:t>
      </w:r>
      <w:r>
        <w:rPr>
          <w:sz w:val="20"/>
          <w:szCs w:val="20"/>
        </w:rPr>
        <w:t xml:space="preserve"> </w:t>
      </w:r>
      <w:r>
        <w:rPr>
          <w:sz w:val="20"/>
          <w:szCs w:val="20"/>
        </w:rPr>
        <w:t>71,74</w:t>
      </w:r>
      <w:r>
        <w:rPr>
          <w:sz w:val="20"/>
          <w:szCs w:val="20"/>
        </w:rPr>
        <w:t>0</w:t>
      </w:r>
      <w:r>
        <w:rPr>
          <w:sz w:val="20"/>
          <w:szCs w:val="20"/>
        </w:rPr>
        <w:t xml:space="preserve"> shares of common stock</w:t>
      </w:r>
      <w:r>
        <w:rPr>
          <w:sz w:val="20"/>
          <w:szCs w:val="20"/>
        </w:rPr>
        <w:t>.</w:t>
      </w:r>
      <w:r>
        <w:rPr>
          <w:sz w:val="20"/>
          <w:szCs w:val="20"/>
        </w:rPr>
        <w:t xml:space="preserve"> </w:t>
      </w:r>
    </w:p>
    <w:p w:rsidR="00000000" w:rsidRDefault="00F55F16">
      <w:pPr>
        <w:pStyle w:val="a3"/>
        <w:spacing w:before="240" w:beforeAutospacing="0" w:after="0" w:afterAutospacing="0"/>
        <w:ind w:firstLine="555"/>
        <w:divId w:val="795416300"/>
        <w:rPr>
          <w:sz w:val="20"/>
          <w:szCs w:val="20"/>
        </w:rPr>
      </w:pPr>
      <w:r>
        <w:rPr>
          <w:b/>
          <w:bCs/>
          <w:i/>
          <w:iCs/>
          <w:sz w:val="20"/>
          <w:szCs w:val="20"/>
        </w:rPr>
        <w:t>Vista Analytical Laboratory, Inc. (“Vista”</w:t>
      </w:r>
      <w:r>
        <w:rPr>
          <w:b/>
          <w:bCs/>
          <w:i/>
          <w:iCs/>
          <w:sz w:val="20"/>
          <w:szCs w:val="20"/>
        </w:rPr>
        <w:t>)</w:t>
      </w:r>
      <w:r>
        <w:rPr>
          <w:sz w:val="20"/>
          <w:szCs w:val="20"/>
        </w:rPr>
        <w:t>—In June 2021, the Company completed the acquisition of Vista Analytical Laboratory, Inc. (“Vista”) by acquiring</w:t>
      </w:r>
      <w:r>
        <w:rPr>
          <w:sz w:val="20"/>
          <w:szCs w:val="20"/>
        </w:rPr>
        <w:t xml:space="preserve"> </w:t>
      </w:r>
      <w:r>
        <w:rPr>
          <w:sz w:val="20"/>
          <w:szCs w:val="20"/>
        </w:rPr>
        <w:t>100.</w:t>
      </w:r>
      <w:r>
        <w:rPr>
          <w:sz w:val="20"/>
          <w:szCs w:val="20"/>
        </w:rPr>
        <w:t>0</w:t>
      </w:r>
      <w:r>
        <w:rPr>
          <w:sz w:val="20"/>
          <w:szCs w:val="20"/>
        </w:rPr>
        <w:t>% of its common stock. Vista provides spec</w:t>
      </w:r>
      <w:r>
        <w:rPr>
          <w:sz w:val="20"/>
          <w:szCs w:val="20"/>
        </w:rPr>
        <w:t>ialty analytical services related to Per- and polyfluoroalkyl substances (“PFAS”) and other semi-volatile organic compounds. Vista is based in Dorado Hills, CA. The upfront cash payment made to acquire Vista was funded through cash on hand and the common s</w:t>
      </w:r>
      <w:r>
        <w:rPr>
          <w:sz w:val="20"/>
          <w:szCs w:val="20"/>
        </w:rPr>
        <w:t>tock portion of the purchase price was funded through the issuance of</w:t>
      </w:r>
      <w:r>
        <w:rPr>
          <w:sz w:val="20"/>
          <w:szCs w:val="20"/>
        </w:rPr>
        <w:t xml:space="preserve"> </w:t>
      </w:r>
      <w:r>
        <w:rPr>
          <w:sz w:val="20"/>
          <w:szCs w:val="20"/>
        </w:rPr>
        <w:t>9,32</w:t>
      </w:r>
      <w:r>
        <w:rPr>
          <w:sz w:val="20"/>
          <w:szCs w:val="20"/>
        </w:rPr>
        <w:t>2</w:t>
      </w:r>
      <w:r>
        <w:rPr>
          <w:sz w:val="20"/>
          <w:szCs w:val="20"/>
        </w:rPr>
        <w:t xml:space="preserve"> shares of common stock</w:t>
      </w:r>
      <w:r>
        <w:rPr>
          <w:sz w:val="20"/>
          <w:szCs w:val="20"/>
        </w:rPr>
        <w:t>.</w:t>
      </w:r>
      <w:r>
        <w:rPr>
          <w:sz w:val="20"/>
          <w:szCs w:val="20"/>
        </w:rPr>
        <w:t xml:space="preserve"> </w:t>
      </w:r>
    </w:p>
    <w:p w:rsidR="00000000" w:rsidRDefault="00F55F16">
      <w:pPr>
        <w:pStyle w:val="a3"/>
        <w:spacing w:before="240" w:beforeAutospacing="0" w:after="0" w:afterAutospacing="0"/>
        <w:ind w:firstLine="555"/>
        <w:divId w:val="795416300"/>
        <w:rPr>
          <w:sz w:val="20"/>
          <w:szCs w:val="20"/>
        </w:rPr>
      </w:pPr>
      <w:r>
        <w:rPr>
          <w:b/>
          <w:bCs/>
          <w:i/>
          <w:iCs/>
          <w:sz w:val="20"/>
          <w:szCs w:val="20"/>
        </w:rPr>
        <w:t>Environmental Intelligence, LLC (“EI”)</w:t>
      </w:r>
      <w:r>
        <w:rPr>
          <w:b/>
          <w:bCs/>
          <w:i/>
          <w:iCs/>
          <w:sz w:val="20"/>
          <w:szCs w:val="20"/>
        </w:rPr>
        <w:t xml:space="preserve"> </w:t>
      </w:r>
      <w:r>
        <w:rPr>
          <w:sz w:val="20"/>
          <w:szCs w:val="20"/>
        </w:rPr>
        <w:t>—In July 2021, the Company completed the acquisition of Environmental Intelligence, LLC (“EI”</w:t>
      </w:r>
      <w:r>
        <w:rPr>
          <w:sz w:val="20"/>
          <w:szCs w:val="20"/>
        </w:rPr>
        <w:t>)</w:t>
      </w:r>
      <w:r>
        <w:t xml:space="preserve"> </w:t>
      </w:r>
      <w:r>
        <w:rPr>
          <w:sz w:val="20"/>
          <w:szCs w:val="20"/>
        </w:rPr>
        <w:t>by acquiring</w:t>
      </w:r>
      <w:r>
        <w:rPr>
          <w:sz w:val="20"/>
          <w:szCs w:val="20"/>
        </w:rPr>
        <w:t xml:space="preserve"> </w:t>
      </w:r>
      <w:r>
        <w:rPr>
          <w:sz w:val="20"/>
          <w:szCs w:val="20"/>
        </w:rPr>
        <w:t>100.</w:t>
      </w:r>
      <w:r>
        <w:rPr>
          <w:sz w:val="20"/>
          <w:szCs w:val="20"/>
        </w:rPr>
        <w:t>0</w:t>
      </w:r>
      <w:r>
        <w:rPr>
          <w:sz w:val="20"/>
          <w:szCs w:val="20"/>
        </w:rPr>
        <w:t>% o</w:t>
      </w:r>
      <w:r>
        <w:rPr>
          <w:sz w:val="20"/>
          <w:szCs w:val="20"/>
        </w:rPr>
        <w:t>f its membership interests. EI is an environmental consulting company recognized for its innovative work in wildlife mitigation, biological assessments, and other environmental services. EI is based in Laguna Beach, CA and enhances Montrose’s ecological pl</w:t>
      </w:r>
      <w:r>
        <w:rPr>
          <w:sz w:val="20"/>
          <w:szCs w:val="20"/>
        </w:rPr>
        <w:t>anning and service capabilities in California and the US West Coast. The upfront cash payment made to acquire EI was funded through cash on hand and the common stock portion of the purchase price was funded through the issuance of</w:t>
      </w:r>
      <w:r>
        <w:rPr>
          <w:sz w:val="20"/>
          <w:szCs w:val="20"/>
        </w:rPr>
        <w:t xml:space="preserve"> </w:t>
      </w:r>
      <w:r>
        <w:rPr>
          <w:sz w:val="20"/>
          <w:szCs w:val="20"/>
        </w:rPr>
        <w:t>43,10</w:t>
      </w:r>
      <w:r>
        <w:rPr>
          <w:sz w:val="20"/>
          <w:szCs w:val="20"/>
        </w:rPr>
        <w:t>0</w:t>
      </w:r>
      <w:r>
        <w:rPr>
          <w:sz w:val="20"/>
          <w:szCs w:val="20"/>
        </w:rPr>
        <w:t xml:space="preserve"> shares of common s</w:t>
      </w:r>
      <w:r>
        <w:rPr>
          <w:sz w:val="20"/>
          <w:szCs w:val="20"/>
        </w:rPr>
        <w:t>tock</w:t>
      </w:r>
      <w:r>
        <w:rPr>
          <w:sz w:val="20"/>
          <w:szCs w:val="20"/>
        </w:rPr>
        <w:t>.</w:t>
      </w:r>
    </w:p>
    <w:p w:rsidR="00000000" w:rsidRDefault="00F55F16">
      <w:pPr>
        <w:pStyle w:val="a3"/>
        <w:spacing w:before="240" w:beforeAutospacing="0" w:after="0" w:afterAutospacing="0"/>
        <w:ind w:firstLine="555"/>
        <w:divId w:val="795416300"/>
        <w:rPr>
          <w:sz w:val="20"/>
          <w:szCs w:val="20"/>
        </w:rPr>
      </w:pPr>
      <w:r>
        <w:rPr>
          <w:b/>
          <w:bCs/>
          <w:i/>
          <w:iCs/>
          <w:sz w:val="20"/>
          <w:szCs w:val="20"/>
        </w:rPr>
        <w:t>SensibleIoT, LLC (“Sensible”)</w:t>
      </w:r>
      <w:r>
        <w:rPr>
          <w:b/>
          <w:bCs/>
          <w:i/>
          <w:iCs/>
          <w:sz w:val="20"/>
          <w:szCs w:val="20"/>
        </w:rPr>
        <w:t xml:space="preserve"> </w:t>
      </w:r>
      <w:r>
        <w:rPr>
          <w:sz w:val="20"/>
          <w:szCs w:val="20"/>
        </w:rPr>
        <w:t>—In August, 2021, the Company completed the business acquisition of SensibleIoT, LLC (“Sensible”) by acquiring</w:t>
      </w:r>
      <w:r>
        <w:rPr>
          <w:sz w:val="20"/>
          <w:szCs w:val="20"/>
        </w:rPr>
        <w:t xml:space="preserve"> </w:t>
      </w:r>
      <w:r>
        <w:rPr>
          <w:sz w:val="20"/>
          <w:szCs w:val="20"/>
        </w:rPr>
        <w:t>100.</w:t>
      </w:r>
      <w:r>
        <w:rPr>
          <w:sz w:val="20"/>
          <w:szCs w:val="20"/>
        </w:rPr>
        <w:t>0</w:t>
      </w:r>
      <w:r>
        <w:rPr>
          <w:sz w:val="20"/>
          <w:szCs w:val="20"/>
        </w:rPr>
        <w:t>% of its membership interests. Sensible is a technology platform that connects sensors and sources of en</w:t>
      </w:r>
      <w:r>
        <w:rPr>
          <w:sz w:val="20"/>
          <w:szCs w:val="20"/>
        </w:rPr>
        <w:t>vironment data to a central, proprietary database that enables real-time client interaction. Sensible provides Montrose with an advanced ability to integrate environmental services and enhance environmental data analytics for clients. The upfront cash paym</w:t>
      </w:r>
      <w:r>
        <w:rPr>
          <w:sz w:val="20"/>
          <w:szCs w:val="20"/>
        </w:rPr>
        <w:t>ent made to acquire Sensible was funded through cash on hand and the common stock portion of the purchase price was funded through the issuance of</w:t>
      </w:r>
      <w:r>
        <w:rPr>
          <w:sz w:val="20"/>
          <w:szCs w:val="20"/>
        </w:rPr>
        <w:t xml:space="preserve"> </w:t>
      </w:r>
      <w:r>
        <w:rPr>
          <w:sz w:val="20"/>
          <w:szCs w:val="20"/>
        </w:rPr>
        <w:t>19,63</w:t>
      </w:r>
      <w:r>
        <w:rPr>
          <w:sz w:val="20"/>
          <w:szCs w:val="20"/>
        </w:rPr>
        <w:t>8</w:t>
      </w:r>
      <w:r>
        <w:rPr>
          <w:sz w:val="20"/>
          <w:szCs w:val="20"/>
        </w:rPr>
        <w:t xml:space="preserve"> shares of common stock</w:t>
      </w:r>
      <w:r>
        <w:rPr>
          <w:sz w:val="20"/>
          <w:szCs w:val="20"/>
        </w:rPr>
        <w:t>.</w:t>
      </w:r>
    </w:p>
    <w:p w:rsidR="00000000" w:rsidRDefault="00F55F16">
      <w:pPr>
        <w:pStyle w:val="a3"/>
        <w:spacing w:before="240" w:beforeAutospacing="0" w:after="0" w:afterAutospacing="0"/>
        <w:ind w:firstLine="555"/>
        <w:divId w:val="795416300"/>
        <w:rPr>
          <w:sz w:val="20"/>
          <w:szCs w:val="20"/>
        </w:rPr>
      </w:pPr>
      <w:r>
        <w:rPr>
          <w:b/>
          <w:bCs/>
          <w:i/>
          <w:iCs/>
          <w:sz w:val="20"/>
          <w:szCs w:val="20"/>
        </w:rPr>
        <w:t>Environmental Chemistry, Inc. (“ECI”</w:t>
      </w:r>
      <w:r>
        <w:rPr>
          <w:b/>
          <w:bCs/>
          <w:i/>
          <w:iCs/>
          <w:sz w:val="20"/>
          <w:szCs w:val="20"/>
        </w:rPr>
        <w:t>)</w:t>
      </w:r>
      <w:r>
        <w:rPr>
          <w:sz w:val="20"/>
          <w:szCs w:val="20"/>
        </w:rPr>
        <w:t xml:space="preserve"> —In October 2021, the Company completed </w:t>
      </w:r>
      <w:r>
        <w:rPr>
          <w:sz w:val="20"/>
          <w:szCs w:val="20"/>
        </w:rPr>
        <w:t>the business acquisition of Environmental Chemistry, Inc. (“ECI”) by acquiring</w:t>
      </w:r>
      <w:r>
        <w:rPr>
          <w:sz w:val="20"/>
          <w:szCs w:val="20"/>
        </w:rPr>
        <w:t xml:space="preserve"> </w:t>
      </w:r>
      <w:r>
        <w:rPr>
          <w:sz w:val="20"/>
          <w:szCs w:val="20"/>
        </w:rPr>
        <w:t>100.</w:t>
      </w:r>
      <w:r>
        <w:rPr>
          <w:sz w:val="20"/>
          <w:szCs w:val="20"/>
        </w:rPr>
        <w:t>0</w:t>
      </w:r>
      <w:r>
        <w:rPr>
          <w:sz w:val="20"/>
          <w:szCs w:val="20"/>
        </w:rPr>
        <w:t>% of its common stock. ECI provides a full suite of environmental laboratory analytical services to industrial, governmental, and engineering/consulting clients. Combined w</w:t>
      </w:r>
      <w:r>
        <w:rPr>
          <w:sz w:val="20"/>
          <w:szCs w:val="20"/>
        </w:rPr>
        <w:t>ith the Company’s existing Houston, TX laboratory, ECI (located also in Houston, TX) will enable Montrose to provide air, water and soil analytical services in the gulf coast region. The upfront cash payment made to acquire ECI was funded through cash on h</w:t>
      </w:r>
      <w:r>
        <w:rPr>
          <w:sz w:val="20"/>
          <w:szCs w:val="20"/>
        </w:rPr>
        <w:t>and</w:t>
      </w:r>
      <w:r>
        <w:rPr>
          <w:sz w:val="20"/>
          <w:szCs w:val="20"/>
        </w:rPr>
        <w:t>.</w:t>
      </w:r>
    </w:p>
    <w:p w:rsidR="00000000" w:rsidRDefault="00F55F16">
      <w:pPr>
        <w:pStyle w:val="a3"/>
        <w:spacing w:before="240" w:beforeAutospacing="0" w:after="0" w:afterAutospacing="0"/>
        <w:ind w:firstLine="555"/>
        <w:divId w:val="795416300"/>
        <w:rPr>
          <w:sz w:val="20"/>
          <w:szCs w:val="20"/>
        </w:rPr>
      </w:pPr>
      <w:r>
        <w:rPr>
          <w:b/>
          <w:bCs/>
          <w:i/>
          <w:iCs/>
          <w:sz w:val="20"/>
          <w:szCs w:val="20"/>
        </w:rPr>
        <w:t>Horizon Water and Environment, LLC (“Horizon”</w:t>
      </w:r>
      <w:r>
        <w:rPr>
          <w:b/>
          <w:bCs/>
          <w:i/>
          <w:iCs/>
          <w:sz w:val="20"/>
          <w:szCs w:val="20"/>
        </w:rPr>
        <w:t>)</w:t>
      </w:r>
      <w:r>
        <w:rPr>
          <w:sz w:val="20"/>
          <w:szCs w:val="20"/>
        </w:rPr>
        <w:t>— In November 2021, the Company completed the business acquisition of Horizon Water and Environment, LLC (“Horizon”) by acquiring</w:t>
      </w:r>
      <w:r>
        <w:rPr>
          <w:sz w:val="20"/>
          <w:szCs w:val="20"/>
        </w:rPr>
        <w:t xml:space="preserve"> </w:t>
      </w:r>
      <w:r>
        <w:rPr>
          <w:sz w:val="20"/>
          <w:szCs w:val="20"/>
        </w:rPr>
        <w:t>100.</w:t>
      </w:r>
      <w:r>
        <w:rPr>
          <w:sz w:val="20"/>
          <w:szCs w:val="20"/>
        </w:rPr>
        <w:t>0</w:t>
      </w:r>
      <w:r>
        <w:rPr>
          <w:sz w:val="20"/>
          <w:szCs w:val="20"/>
        </w:rPr>
        <w:t xml:space="preserve">% of its membership interests. Horizon is an environmental consulting </w:t>
      </w:r>
      <w:r>
        <w:rPr>
          <w:sz w:val="20"/>
          <w:szCs w:val="20"/>
        </w:rPr>
        <w:t xml:space="preserve">firm specializing in planning, watershed science, and environmental compliance for water and natural resource projects. The upfront cash payment made to acquire Horizon was funded through cash on hand and the common stock portion of the purchase price was </w:t>
      </w:r>
      <w:r>
        <w:rPr>
          <w:sz w:val="20"/>
          <w:szCs w:val="20"/>
        </w:rPr>
        <w:t>funded through the issuance of</w:t>
      </w:r>
      <w:r>
        <w:rPr>
          <w:sz w:val="20"/>
          <w:szCs w:val="20"/>
        </w:rPr>
        <w:t xml:space="preserve"> </w:t>
      </w:r>
      <w:r>
        <w:rPr>
          <w:sz w:val="20"/>
          <w:szCs w:val="20"/>
        </w:rPr>
        <w:t>34,92</w:t>
      </w:r>
      <w:r>
        <w:rPr>
          <w:sz w:val="20"/>
          <w:szCs w:val="20"/>
        </w:rPr>
        <w:t>1</w:t>
      </w:r>
      <w:r>
        <w:rPr>
          <w:sz w:val="20"/>
          <w:szCs w:val="20"/>
        </w:rPr>
        <w:t xml:space="preserve"> shares of common stock</w:t>
      </w:r>
      <w:r>
        <w:rPr>
          <w:sz w:val="20"/>
          <w:szCs w:val="20"/>
        </w:rPr>
        <w:t>.</w:t>
      </w:r>
    </w:p>
    <w:p w:rsidR="00000000" w:rsidRDefault="00F55F16">
      <w:pPr>
        <w:pStyle w:val="a3"/>
        <w:spacing w:before="240" w:beforeAutospacing="0" w:after="0" w:afterAutospacing="0"/>
        <w:ind w:firstLine="555"/>
        <w:divId w:val="944314829"/>
        <w:rPr>
          <w:sz w:val="20"/>
          <w:szCs w:val="20"/>
        </w:rPr>
      </w:pPr>
      <w:r>
        <w:rPr>
          <w:sz w:val="20"/>
          <w:szCs w:val="20"/>
        </w:rPr>
        <w:t>The following table summarizes the elements of the purchase price of the acquisitions completed during the year ended</w:t>
      </w:r>
      <w:r>
        <w:rPr>
          <w:sz w:val="20"/>
          <w:szCs w:val="20"/>
        </w:rPr>
        <w:t xml:space="preserve"> </w:t>
      </w:r>
      <w:r>
        <w:rPr>
          <w:sz w:val="20"/>
          <w:szCs w:val="20"/>
        </w:rPr>
        <w:t>December 31, 2021</w:t>
      </w:r>
      <w:r>
        <w:rPr>
          <w:sz w:val="20"/>
          <w:szCs w:val="20"/>
        </w:rPr>
        <w:t>:</w:t>
      </w:r>
    </w:p>
    <w:p w:rsidR="00000000" w:rsidRDefault="00F55F16">
      <w:pPr>
        <w:pStyle w:val="a3"/>
        <w:spacing w:before="0" w:beforeAutospacing="0" w:after="0" w:afterAutospacing="0"/>
        <w:divId w:val="9443148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0"/>
        <w:gridCol w:w="105"/>
        <w:gridCol w:w="150"/>
        <w:gridCol w:w="555"/>
        <w:gridCol w:w="105"/>
        <w:gridCol w:w="105"/>
        <w:gridCol w:w="151"/>
        <w:gridCol w:w="674"/>
        <w:gridCol w:w="105"/>
        <w:gridCol w:w="105"/>
        <w:gridCol w:w="151"/>
        <w:gridCol w:w="913"/>
        <w:gridCol w:w="120"/>
        <w:gridCol w:w="105"/>
        <w:gridCol w:w="151"/>
        <w:gridCol w:w="1028"/>
        <w:gridCol w:w="105"/>
        <w:gridCol w:w="105"/>
        <w:gridCol w:w="151"/>
        <w:gridCol w:w="1028"/>
        <w:gridCol w:w="105"/>
        <w:gridCol w:w="105"/>
        <w:gridCol w:w="151"/>
        <w:gridCol w:w="673"/>
        <w:gridCol w:w="120"/>
      </w:tblGrid>
      <w:tr w:rsidR="00000000">
        <w:trPr>
          <w:divId w:val="944314829"/>
          <w:tblCellSpacing w:w="15" w:type="dxa"/>
        </w:trPr>
        <w:tc>
          <w:tcPr>
            <w:tcW w:w="1065" w:type="pct"/>
            <w:vAlign w:val="center"/>
            <w:hideMark/>
          </w:tcPr>
          <w:p w:rsidR="00000000" w:rsidRDefault="00F55F16">
            <w:pPr>
              <w:rPr>
                <w:sz w:val="20"/>
                <w:szCs w:val="20"/>
              </w:rPr>
            </w:pPr>
          </w:p>
        </w:tc>
        <w:tc>
          <w:tcPr>
            <w:tcW w:w="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9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4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4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944314829"/>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Cas</w:t>
            </w:r>
            <w:r>
              <w:rPr>
                <w:b/>
                <w:bCs/>
                <w:sz w:val="18"/>
                <w:szCs w:val="18"/>
              </w:rPr>
              <w:t>h</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Common</w:t>
            </w:r>
            <w:r>
              <w:rPr>
                <w:b/>
                <w:bCs/>
                <w:sz w:val="18"/>
                <w:szCs w:val="18"/>
              </w:rPr>
              <w:br/>
            </w:r>
            <w:r>
              <w:rPr>
                <w:b/>
                <w:bCs/>
                <w:sz w:val="18"/>
                <w:szCs w:val="18"/>
              </w:rPr>
              <w:t>Stoc</w:t>
            </w:r>
            <w:r>
              <w:rPr>
                <w:b/>
                <w:bCs/>
                <w:sz w:val="18"/>
                <w:szCs w:val="18"/>
              </w:rPr>
              <w:t>k</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Other</w:t>
            </w:r>
            <w:r>
              <w:rPr>
                <w:b/>
                <w:bCs/>
                <w:sz w:val="18"/>
                <w:szCs w:val="18"/>
              </w:rPr>
              <w:br/>
              <w:t>Purchase</w:t>
            </w:r>
            <w:r>
              <w:rPr>
                <w:b/>
                <w:bCs/>
                <w:sz w:val="18"/>
                <w:szCs w:val="18"/>
              </w:rPr>
              <w:br/>
              <w:t>Price</w:t>
            </w:r>
            <w:r>
              <w:rPr>
                <w:b/>
                <w:bCs/>
                <w:sz w:val="18"/>
                <w:szCs w:val="18"/>
              </w:rPr>
              <w:br/>
              <w:t>Components</w:t>
            </w:r>
            <w:r>
              <w:rPr>
                <w:b/>
                <w:bCs/>
                <w:sz w:val="18"/>
                <w:szCs w:val="18"/>
              </w:rPr>
              <w:br/>
              <w:t>Curren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Contingent</w:t>
            </w:r>
            <w:r>
              <w:rPr>
                <w:b/>
                <w:bCs/>
                <w:sz w:val="18"/>
                <w:szCs w:val="18"/>
              </w:rPr>
              <w:br/>
              <w:t>Consideration</w:t>
            </w:r>
            <w:r>
              <w:rPr>
                <w:b/>
                <w:bCs/>
                <w:sz w:val="18"/>
                <w:szCs w:val="18"/>
              </w:rPr>
              <w:br/>
              <w:t>Long Ter</w:t>
            </w:r>
            <w:r>
              <w:rPr>
                <w:b/>
                <w:bCs/>
                <w:sz w:val="18"/>
                <w:szCs w:val="18"/>
              </w:rPr>
              <w:t>m</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Total</w:t>
            </w:r>
            <w:r>
              <w:rPr>
                <w:b/>
                <w:bCs/>
                <w:sz w:val="18"/>
                <w:szCs w:val="18"/>
              </w:rPr>
              <w:br/>
              <w:t>Purchase</w:t>
            </w:r>
            <w:r>
              <w:rPr>
                <w:b/>
                <w:bCs/>
                <w:sz w:val="18"/>
                <w:szCs w:val="18"/>
              </w:rPr>
              <w:br/>
              <w:t>Pric</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94431482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MS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9,08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10,70</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23,85</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94431482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w:t>
            </w:r>
            <w:r>
              <w:rPr>
                <w:sz w:val="18"/>
                <w:szCs w:val="18"/>
              </w:rPr>
              <w:t>I</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20,72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22,93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94431482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All other 2021 acquisition</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29,68</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4,35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40,67</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944314829"/>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59,48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8,32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12,25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2,80</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4,60</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87,46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795416300"/>
        <w:rPr>
          <w:sz w:val="20"/>
          <w:szCs w:val="20"/>
        </w:rPr>
      </w:pPr>
      <w:r>
        <w:rPr>
          <w:sz w:val="20"/>
          <w:szCs w:val="20"/>
        </w:rPr>
        <w:t>The other purchase price components of the MSE purchase price consist of a surplus working capital amount on the date of close, a seller make-whole for taxes related to a 338(h)(10) election, an integration payment liability and a purchase price true up re</w:t>
      </w:r>
      <w:r>
        <w:rPr>
          <w:sz w:val="20"/>
          <w:szCs w:val="20"/>
        </w:rPr>
        <w:t>lated to MSE’s financial performance in the fourth quarter of 2020. The other purchase price components of the EI purchase price consist of a surplus working capital amount on the date of close. The other purchase price components of all the other acquisit</w:t>
      </w:r>
      <w:r>
        <w:rPr>
          <w:sz w:val="20"/>
          <w:szCs w:val="20"/>
        </w:rPr>
        <w:t>ion</w:t>
      </w:r>
      <w:r>
        <w:rPr>
          <w:sz w:val="20"/>
          <w:szCs w:val="20"/>
        </w:rPr>
        <w:t>s</w:t>
      </w:r>
      <w:r>
        <w:rPr>
          <w:sz w:val="20"/>
          <w:szCs w:val="20"/>
        </w:rPr>
        <w:t xml:space="preserve"> </w:t>
      </w:r>
    </w:p>
    <w:p w:rsidR="00000000" w:rsidRDefault="00F55F16">
      <w:pPr>
        <w:pStyle w:val="a3"/>
        <w:spacing w:before="240" w:beforeAutospacing="0" w:after="0" w:afterAutospacing="0"/>
        <w:jc w:val="center"/>
        <w:divId w:val="795416300"/>
        <w:rPr>
          <w:sz w:val="20"/>
          <w:szCs w:val="20"/>
        </w:rPr>
      </w:pPr>
      <w:r>
        <w:rPr>
          <w:sz w:val="20"/>
          <w:szCs w:val="20"/>
        </w:rPr>
        <w:t>1</w:t>
      </w:r>
      <w:r>
        <w:rPr>
          <w:sz w:val="20"/>
          <w:szCs w:val="20"/>
        </w:rPr>
        <w:t>2</w:t>
      </w:r>
    </w:p>
    <w:p w:rsidR="00000000" w:rsidRDefault="00F55F16">
      <w:pPr>
        <w:divId w:val="795416300"/>
        <w:rPr>
          <w:rFonts w:eastAsia="Times New Roman"/>
        </w:rPr>
      </w:pPr>
      <w:r>
        <w:rPr>
          <w:rFonts w:eastAsia="Times New Roman"/>
        </w:rPr>
        <w:pict>
          <v:rect id="_x0000_i1038" style="width:0;height:1.5pt" o:hralign="center" o:hrstd="t" o:hr="t" fillcolor="#a0a0a0" stroked="f"/>
        </w:pict>
      </w:r>
    </w:p>
    <w:p w:rsidR="00000000" w:rsidRDefault="00F55F16">
      <w:pPr>
        <w:pStyle w:val="a3"/>
        <w:spacing w:before="0" w:beforeAutospacing="0" w:after="0" w:afterAutospacing="0"/>
        <w:divId w:val="795416300"/>
        <w:rPr>
          <w:sz w:val="20"/>
          <w:szCs w:val="20"/>
        </w:rPr>
      </w:pPr>
      <w:r>
        <w:rPr>
          <w:sz w:val="20"/>
          <w:szCs w:val="20"/>
        </w:rPr>
        <w:t> </w:t>
      </w:r>
    </w:p>
    <w:p w:rsidR="00000000" w:rsidRDefault="00F55F16">
      <w:pPr>
        <w:pStyle w:val="a3"/>
        <w:spacing w:before="240" w:beforeAutospacing="0" w:after="0" w:afterAutospacing="0"/>
        <w:divId w:val="795416300"/>
        <w:rPr>
          <w:sz w:val="20"/>
          <w:szCs w:val="20"/>
        </w:rPr>
      </w:pPr>
      <w:r>
        <w:rPr>
          <w:sz w:val="20"/>
          <w:szCs w:val="20"/>
        </w:rPr>
        <w:t>purchase price mainly consist of surplus/deficit working capital amounts and 338(h)(10) election liabilities. Horizon's closing working capital deficit amount will be finalized during the third quarter of 2022</w:t>
      </w:r>
      <w:r>
        <w:rPr>
          <w:sz w:val="20"/>
          <w:szCs w:val="20"/>
        </w:rPr>
        <w:t>.</w:t>
      </w:r>
    </w:p>
    <w:p w:rsidR="00000000" w:rsidRDefault="00F55F16">
      <w:pPr>
        <w:pStyle w:val="a3"/>
        <w:spacing w:before="240" w:beforeAutospacing="0" w:after="0" w:afterAutospacing="0"/>
        <w:ind w:firstLine="555"/>
        <w:divId w:val="1279217736"/>
        <w:rPr>
          <w:sz w:val="20"/>
          <w:szCs w:val="20"/>
        </w:rPr>
      </w:pPr>
      <w:r>
        <w:rPr>
          <w:sz w:val="20"/>
          <w:szCs w:val="20"/>
        </w:rPr>
        <w:t>The purchase price attributable to the acquis</w:t>
      </w:r>
      <w:r>
        <w:rPr>
          <w:sz w:val="20"/>
          <w:szCs w:val="20"/>
        </w:rPr>
        <w:t>itions was allocated as follows</w:t>
      </w:r>
      <w:r>
        <w:rPr>
          <w:sz w:val="20"/>
          <w:szCs w:val="20"/>
        </w:rPr>
        <w:t>:</w:t>
      </w:r>
    </w:p>
    <w:p w:rsidR="00000000" w:rsidRDefault="00F55F16">
      <w:pPr>
        <w:pStyle w:val="a3"/>
        <w:spacing w:before="0" w:beforeAutospacing="0" w:after="0" w:afterAutospacing="0"/>
        <w:divId w:val="1279217736"/>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869"/>
        <w:gridCol w:w="105"/>
        <w:gridCol w:w="150"/>
        <w:gridCol w:w="765"/>
        <w:gridCol w:w="105"/>
        <w:gridCol w:w="105"/>
        <w:gridCol w:w="150"/>
        <w:gridCol w:w="767"/>
        <w:gridCol w:w="105"/>
        <w:gridCol w:w="105"/>
        <w:gridCol w:w="151"/>
        <w:gridCol w:w="870"/>
        <w:gridCol w:w="105"/>
        <w:gridCol w:w="105"/>
        <w:gridCol w:w="150"/>
        <w:gridCol w:w="748"/>
        <w:gridCol w:w="120"/>
      </w:tblGrid>
      <w:tr w:rsidR="00000000">
        <w:trPr>
          <w:divId w:val="1279217736"/>
          <w:tblCellSpacing w:w="15" w:type="dxa"/>
        </w:trPr>
        <w:tc>
          <w:tcPr>
            <w:tcW w:w="2056" w:type="pct"/>
            <w:vAlign w:val="center"/>
            <w:hideMark/>
          </w:tcPr>
          <w:p w:rsidR="00000000" w:rsidRDefault="00F55F16">
            <w:pPr>
              <w:rPr>
                <w:sz w:val="20"/>
                <w:szCs w:val="20"/>
              </w:rPr>
            </w:pPr>
          </w:p>
        </w:tc>
        <w:tc>
          <w:tcPr>
            <w:tcW w:w="6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6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6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0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6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27921773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MS</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E</w:t>
            </w:r>
            <w:r>
              <w:rPr>
                <w:b/>
                <w:bCs/>
                <w:sz w:val="18"/>
                <w:szCs w:val="18"/>
              </w:rPr>
              <w:t>I</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All other</w:t>
            </w:r>
            <w:r>
              <w:rPr>
                <w:b/>
                <w:bCs/>
                <w:sz w:val="18"/>
                <w:szCs w:val="18"/>
              </w:rPr>
              <w:br/>
              <w:t>acquisition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Cas</w:t>
            </w:r>
            <w:r>
              <w:rPr>
                <w:sz w:val="18"/>
                <w:szCs w:val="18"/>
              </w:rPr>
              <w:t>h</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69</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3,75</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Accounts receivabl</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2,98</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4,67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4,13</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11,78</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Other current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Current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5,82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5,00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15,94</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Property and equipmen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1,16</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Operating lease right-of-use asset—ne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74</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2,23</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10,07</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12,83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31,62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1,95</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3,47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2,68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Acquired Technolog</w:t>
            </w:r>
            <w:r>
              <w:rPr>
                <w:sz w:val="18"/>
                <w:szCs w:val="18"/>
              </w:rPr>
              <w:t>y</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Goodwil</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8,17</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8,96</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19,95</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37,09</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Total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25,41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25,68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44,83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95,93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Current liabilitie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2,71</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6,07</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Operating lease liability—net of</w:t>
            </w:r>
            <w:r>
              <w:rPr>
                <w:sz w:val="18"/>
                <w:szCs w:val="18"/>
              </w:rPr>
              <w:br/>
              <w:t>   current portio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1,80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Total liabilitie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1,55</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2,75</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4,15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8,46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7921773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Purchase pric</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23,85</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22,93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40,67</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87,46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122648320"/>
        <w:rPr>
          <w:sz w:val="20"/>
          <w:szCs w:val="20"/>
        </w:rPr>
      </w:pPr>
      <w:r>
        <w:rPr>
          <w:sz w:val="20"/>
          <w:szCs w:val="20"/>
        </w:rPr>
        <w:t>The weighted average useful lives for the acquired companies’ identifiable intangible assets are as follows</w:t>
      </w:r>
      <w:r>
        <w:rPr>
          <w:sz w:val="20"/>
          <w:szCs w:val="20"/>
        </w:rPr>
        <w:t>:</w:t>
      </w:r>
    </w:p>
    <w:p w:rsidR="00000000" w:rsidRDefault="00F55F16">
      <w:pPr>
        <w:pStyle w:val="a3"/>
        <w:spacing w:before="0" w:beforeAutospacing="0" w:after="0" w:afterAutospacing="0"/>
        <w:ind w:firstLine="555"/>
        <w:divId w:val="1122648320"/>
        <w:rPr>
          <w:sz w:val="20"/>
          <w:szCs w:val="20"/>
        </w:rPr>
      </w:pPr>
      <w:r>
        <w:rPr>
          <w:sz w:val="20"/>
          <w:szCs w:val="20"/>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2255"/>
        <w:gridCol w:w="1239"/>
        <w:gridCol w:w="1239"/>
        <w:gridCol w:w="1239"/>
        <w:gridCol w:w="1254"/>
      </w:tblGrid>
      <w:tr w:rsidR="00000000">
        <w:trPr>
          <w:divId w:val="1122648320"/>
          <w:tblCellSpacing w:w="15" w:type="dxa"/>
        </w:trPr>
        <w:tc>
          <w:tcPr>
            <w:tcW w:w="1568" w:type="pct"/>
            <w:vAlign w:val="center"/>
            <w:hideMark/>
          </w:tcPr>
          <w:p w:rsidR="00000000" w:rsidRDefault="00F55F16">
            <w:pPr>
              <w:rPr>
                <w:sz w:val="20"/>
                <w:szCs w:val="20"/>
              </w:rPr>
            </w:pPr>
          </w:p>
        </w:tc>
        <w:tc>
          <w:tcPr>
            <w:tcW w:w="857" w:type="pct"/>
            <w:vAlign w:val="center"/>
            <w:hideMark/>
          </w:tcPr>
          <w:p w:rsidR="00000000" w:rsidRDefault="00F55F16">
            <w:pPr>
              <w:rPr>
                <w:rFonts w:eastAsia="Times New Roman"/>
                <w:sz w:val="20"/>
                <w:szCs w:val="20"/>
              </w:rPr>
            </w:pPr>
          </w:p>
        </w:tc>
        <w:tc>
          <w:tcPr>
            <w:tcW w:w="857" w:type="pct"/>
            <w:vAlign w:val="center"/>
            <w:hideMark/>
          </w:tcPr>
          <w:p w:rsidR="00000000" w:rsidRDefault="00F55F16">
            <w:pPr>
              <w:rPr>
                <w:rFonts w:eastAsia="Times New Roman"/>
                <w:sz w:val="20"/>
                <w:szCs w:val="20"/>
              </w:rPr>
            </w:pPr>
          </w:p>
        </w:tc>
        <w:tc>
          <w:tcPr>
            <w:tcW w:w="857" w:type="pct"/>
            <w:vAlign w:val="center"/>
            <w:hideMark/>
          </w:tcPr>
          <w:p w:rsidR="00000000" w:rsidRDefault="00F55F16">
            <w:pPr>
              <w:rPr>
                <w:rFonts w:eastAsia="Times New Roman"/>
                <w:sz w:val="20"/>
                <w:szCs w:val="20"/>
              </w:rPr>
            </w:pPr>
          </w:p>
        </w:tc>
        <w:tc>
          <w:tcPr>
            <w:tcW w:w="857" w:type="pct"/>
            <w:vAlign w:val="center"/>
            <w:hideMark/>
          </w:tcPr>
          <w:p w:rsidR="00000000" w:rsidRDefault="00F55F16">
            <w:pPr>
              <w:rPr>
                <w:rFonts w:eastAsia="Times New Roman"/>
                <w:sz w:val="20"/>
                <w:szCs w:val="20"/>
              </w:rPr>
            </w:pPr>
          </w:p>
        </w:tc>
      </w:tr>
      <w:tr w:rsidR="00000000">
        <w:trPr>
          <w:divId w:val="1122648320"/>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Customer Relationship</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Tradename</w:t>
            </w:r>
            <w:r>
              <w:rPr>
                <w:b/>
                <w:bCs/>
                <w:sz w:val="18"/>
                <w:szCs w:val="18"/>
              </w:rPr>
              <w:t>s</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Covenants Not to Compet</w:t>
            </w:r>
            <w:r>
              <w:rPr>
                <w:b/>
                <w:bCs/>
                <w:sz w:val="18"/>
                <w:szCs w:val="18"/>
              </w:rPr>
              <w:t>e</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Developed Technolog</w:t>
            </w:r>
            <w:r>
              <w:rPr>
                <w:b/>
                <w:bCs/>
                <w:sz w:val="18"/>
                <w:szCs w:val="18"/>
              </w:rPr>
              <w:t>y</w:t>
            </w:r>
          </w:p>
        </w:tc>
      </w:tr>
      <w:tr w:rsidR="00000000">
        <w:trPr>
          <w:divId w:val="1122648320"/>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MS</w:t>
            </w:r>
            <w:r>
              <w:rPr>
                <w:sz w:val="18"/>
                <w:szCs w:val="18"/>
              </w:rPr>
              <w:t>E</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2</w:t>
            </w:r>
            <w:r>
              <w:rPr>
                <w:sz w:val="18"/>
                <w:szCs w:val="18"/>
              </w:rPr>
              <w:t>-</w:t>
            </w:r>
            <w:r>
              <w:rPr>
                <w:sz w:val="18"/>
                <w:szCs w:val="18"/>
              </w:rPr>
              <w:t>7</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2</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122648320"/>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E</w:t>
            </w:r>
            <w:r>
              <w:rPr>
                <w:sz w:val="18"/>
                <w:szCs w:val="18"/>
              </w:rPr>
              <w:t>I</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0</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5</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n/</w:t>
            </w:r>
            <w:r>
              <w:rPr>
                <w:sz w:val="18"/>
                <w:szCs w:val="18"/>
              </w:rPr>
              <w:t>a</w:t>
            </w:r>
          </w:p>
        </w:tc>
      </w:tr>
      <w:tr w:rsidR="00000000">
        <w:trPr>
          <w:divId w:val="1122648320"/>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All other 2021 acquisition</w:t>
            </w:r>
            <w:r>
              <w:rPr>
                <w:sz w:val="18"/>
                <w:szCs w:val="18"/>
              </w:rPr>
              <w:t>s</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0</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n/a</w:t>
            </w:r>
            <w:r>
              <w:rPr>
                <w:sz w:val="18"/>
                <w:szCs w:val="18"/>
              </w:rPr>
              <w:t>-</w:t>
            </w:r>
            <w:r>
              <w:rPr>
                <w:sz w:val="18"/>
                <w:szCs w:val="18"/>
              </w:rPr>
              <w:t>3</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n/a</w:t>
            </w:r>
            <w:r>
              <w:rPr>
                <w:sz w:val="18"/>
                <w:szCs w:val="18"/>
              </w:rPr>
              <w:t>-</w:t>
            </w:r>
            <w:r>
              <w:rPr>
                <w:sz w:val="18"/>
                <w:szCs w:val="18"/>
              </w:rPr>
              <w:t>5</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n/a</w:t>
            </w:r>
            <w:r>
              <w:rPr>
                <w:sz w:val="18"/>
                <w:szCs w:val="18"/>
              </w:rPr>
              <w:t>-</w:t>
            </w:r>
            <w:r>
              <w:rPr>
                <w:sz w:val="18"/>
                <w:szCs w:val="18"/>
              </w:rPr>
              <w:t>5</w:t>
            </w:r>
          </w:p>
        </w:tc>
      </w:tr>
    </w:tbl>
    <w:p w:rsidR="00000000" w:rsidRDefault="00F55F16">
      <w:pPr>
        <w:pStyle w:val="a3"/>
        <w:spacing w:before="240" w:beforeAutospacing="0" w:after="0" w:afterAutospacing="0"/>
        <w:ind w:firstLine="555"/>
        <w:divId w:val="795416300"/>
        <w:rPr>
          <w:sz w:val="20"/>
          <w:szCs w:val="20"/>
        </w:rPr>
      </w:pPr>
      <w:r>
        <w:rPr>
          <w:sz w:val="20"/>
          <w:szCs w:val="20"/>
        </w:rPr>
        <w:t>Goodwill associated with all of these acquisitions is deductible for income tax purposes</w:t>
      </w:r>
      <w:r>
        <w:rPr>
          <w:sz w:val="20"/>
          <w:szCs w:val="20"/>
        </w:rPr>
        <w:t>.</w:t>
      </w:r>
    </w:p>
    <w:p w:rsidR="00000000" w:rsidRDefault="00F55F16">
      <w:pPr>
        <w:pStyle w:val="a3"/>
        <w:spacing w:before="240" w:beforeAutospacing="0" w:after="0" w:afterAutospacing="0"/>
        <w:ind w:firstLine="555"/>
        <w:divId w:val="795416300"/>
        <w:rPr>
          <w:sz w:val="20"/>
          <w:szCs w:val="20"/>
        </w:rPr>
      </w:pPr>
      <w:r>
        <w:rPr>
          <w:sz w:val="20"/>
          <w:szCs w:val="20"/>
        </w:rPr>
        <w:t>For the acquisitions completed during the year ended December 31, 2021, the results of operations since the acquisition dates have been combined with those of the Company. The Company’s unaudited condensed consolidated statement of operations for the three</w:t>
      </w:r>
      <w:r>
        <w:rPr>
          <w:sz w:val="20"/>
          <w:szCs w:val="20"/>
        </w:rPr>
        <w:t xml:space="preserve"> and six months ended June 30, 202</w:t>
      </w:r>
      <w:r>
        <w:rPr>
          <w:sz w:val="20"/>
          <w:szCs w:val="20"/>
        </w:rPr>
        <w:t>1</w:t>
      </w:r>
      <w:r>
        <w:rPr>
          <w:sz w:val="20"/>
          <w:szCs w:val="20"/>
        </w:rPr>
        <w:t xml:space="preserve"> includes revenue of </w:t>
      </w:r>
      <w:r>
        <w:rPr>
          <w:sz w:val="20"/>
          <w:szCs w:val="20"/>
        </w:rPr>
        <w:t>$</w:t>
      </w:r>
      <w:r>
        <w:rPr>
          <w:sz w:val="20"/>
          <w:szCs w:val="20"/>
        </w:rPr>
        <w:t>3.</w:t>
      </w:r>
      <w:r>
        <w:rPr>
          <w:sz w:val="20"/>
          <w:szCs w:val="20"/>
        </w:rPr>
        <w:t>9</w:t>
      </w:r>
      <w:r>
        <w:rPr>
          <w:sz w:val="20"/>
          <w:szCs w:val="20"/>
        </w:rPr>
        <w:t xml:space="preserve"> million and </w:t>
      </w:r>
      <w:r>
        <w:rPr>
          <w:sz w:val="20"/>
          <w:szCs w:val="20"/>
        </w:rPr>
        <w:t>$</w:t>
      </w:r>
      <w:r>
        <w:rPr>
          <w:sz w:val="20"/>
          <w:szCs w:val="20"/>
        </w:rPr>
        <w:t>7.</w:t>
      </w:r>
      <w:r>
        <w:rPr>
          <w:sz w:val="20"/>
          <w:szCs w:val="20"/>
        </w:rPr>
        <w:t>8</w:t>
      </w:r>
      <w:r>
        <w:rPr>
          <w:sz w:val="20"/>
          <w:szCs w:val="20"/>
        </w:rPr>
        <w:t xml:space="preserve"> million, respectively, and pre-tax income (loss) of </w:t>
      </w:r>
      <w:r>
        <w:rPr>
          <w:sz w:val="20"/>
          <w:szCs w:val="20"/>
        </w:rPr>
        <w:t>$</w:t>
      </w:r>
      <w:r>
        <w:rPr>
          <w:sz w:val="20"/>
          <w:szCs w:val="20"/>
        </w:rPr>
        <w:t>0.</w:t>
      </w:r>
      <w:r>
        <w:rPr>
          <w:sz w:val="20"/>
          <w:szCs w:val="20"/>
        </w:rPr>
        <w:t>1</w:t>
      </w:r>
      <w:r>
        <w:rPr>
          <w:sz w:val="20"/>
          <w:szCs w:val="20"/>
        </w:rPr>
        <w:t xml:space="preserve"> million and $</w:t>
      </w:r>
      <w:r>
        <w:rPr>
          <w:sz w:val="20"/>
          <w:szCs w:val="20"/>
        </w:rPr>
        <w:t>(</w:t>
      </w:r>
      <w:r>
        <w:rPr>
          <w:sz w:val="20"/>
          <w:szCs w:val="20"/>
        </w:rPr>
        <w:t>0.</w:t>
      </w:r>
      <w:r>
        <w:rPr>
          <w:sz w:val="20"/>
          <w:szCs w:val="20"/>
        </w:rPr>
        <w:t>2</w:t>
      </w:r>
      <w:r>
        <w:rPr>
          <w:sz w:val="20"/>
          <w:szCs w:val="20"/>
        </w:rPr>
        <w:t>) million, respectively, related to the acquisitions completed prior to June 30, 2021.</w:t>
      </w:r>
      <w:r>
        <w:rPr>
          <w:sz w:val="20"/>
          <w:szCs w:val="20"/>
        </w:rPr>
        <w:t xml:space="preserve"> </w:t>
      </w:r>
      <w:r>
        <w:rPr>
          <w:sz w:val="20"/>
          <w:szCs w:val="20"/>
        </w:rPr>
        <w:t>MSE is included i</w:t>
      </w:r>
      <w:r>
        <w:rPr>
          <w:sz w:val="20"/>
          <w:szCs w:val="20"/>
        </w:rPr>
        <w:t>n the Company’s Remediation and Reuse segment and Vista is included in the Company’s Measurement and Analysis segment</w:t>
      </w:r>
      <w:r>
        <w:rPr>
          <w:sz w:val="20"/>
          <w:szCs w:val="20"/>
        </w:rPr>
        <w:t>.</w:t>
      </w:r>
      <w:r>
        <w:rPr>
          <w:sz w:val="20"/>
          <w:szCs w:val="20"/>
        </w:rPr>
        <w:t xml:space="preserve"> </w:t>
      </w:r>
    </w:p>
    <w:p w:rsidR="00000000" w:rsidRDefault="00F55F16">
      <w:pPr>
        <w:pStyle w:val="a3"/>
        <w:spacing w:before="240" w:beforeAutospacing="0" w:after="0" w:afterAutospacing="0"/>
        <w:jc w:val="center"/>
        <w:divId w:val="795416300"/>
        <w:rPr>
          <w:sz w:val="20"/>
          <w:szCs w:val="20"/>
        </w:rPr>
      </w:pPr>
      <w:r>
        <w:rPr>
          <w:sz w:val="20"/>
          <w:szCs w:val="20"/>
        </w:rPr>
        <w:t>1</w:t>
      </w:r>
      <w:r>
        <w:rPr>
          <w:sz w:val="20"/>
          <w:szCs w:val="20"/>
        </w:rPr>
        <w:t>3</w:t>
      </w:r>
    </w:p>
    <w:p w:rsidR="00000000" w:rsidRDefault="00F55F16">
      <w:pPr>
        <w:divId w:val="795416300"/>
        <w:rPr>
          <w:rFonts w:eastAsia="Times New Roman"/>
        </w:rPr>
      </w:pPr>
      <w:r>
        <w:rPr>
          <w:rFonts w:eastAsia="Times New Roman"/>
        </w:rPr>
        <w:pict>
          <v:rect id="_x0000_i1039" style="width:0;height:1.5pt" o:hralign="center" o:hrstd="t" o:hr="t" fillcolor="#a0a0a0" stroked="f"/>
        </w:pict>
      </w:r>
    </w:p>
    <w:p w:rsidR="00000000" w:rsidRDefault="00F55F16">
      <w:pPr>
        <w:pStyle w:val="a3"/>
        <w:spacing w:before="0" w:beforeAutospacing="0" w:after="0" w:afterAutospacing="0"/>
        <w:divId w:val="795416300"/>
        <w:rPr>
          <w:sz w:val="20"/>
          <w:szCs w:val="20"/>
        </w:rPr>
      </w:pPr>
      <w:r>
        <w:rPr>
          <w:sz w:val="20"/>
          <w:szCs w:val="20"/>
        </w:rPr>
        <w:t> </w:t>
      </w:r>
    </w:p>
    <w:p w:rsidR="00000000" w:rsidRDefault="00F55F16">
      <w:pPr>
        <w:pStyle w:val="a3"/>
        <w:spacing w:before="240" w:beforeAutospacing="0" w:after="0" w:afterAutospacing="0"/>
        <w:ind w:firstLine="555"/>
        <w:divId w:val="795416300"/>
        <w:rPr>
          <w:sz w:val="20"/>
          <w:szCs w:val="20"/>
        </w:rPr>
      </w:pPr>
      <w:r>
        <w:rPr>
          <w:b/>
          <w:bCs/>
          <w:sz w:val="20"/>
          <w:szCs w:val="20"/>
        </w:rPr>
        <w:t>Supplemental Unaudited Pro-Form</w:t>
      </w:r>
      <w:r>
        <w:rPr>
          <w:b/>
          <w:bCs/>
          <w:sz w:val="20"/>
          <w:szCs w:val="20"/>
        </w:rPr>
        <w:t>a</w:t>
      </w:r>
      <w:r>
        <w:rPr>
          <w:sz w:val="20"/>
          <w:szCs w:val="20"/>
        </w:rPr>
        <w:t>—</w:t>
      </w:r>
      <w:r>
        <w:rPr>
          <w:sz w:val="20"/>
          <w:szCs w:val="20"/>
        </w:rPr>
        <w:t>The unaudited condensed consolidated financial information summarized in the following table gives effect to the</w:t>
      </w:r>
      <w:r>
        <w:rPr>
          <w:sz w:val="20"/>
          <w:szCs w:val="20"/>
        </w:rPr>
        <w:t xml:space="preserve"> </w:t>
      </w:r>
      <w:r>
        <w:rPr>
          <w:sz w:val="20"/>
          <w:szCs w:val="20"/>
        </w:rPr>
        <w:t>2022 and the 2021 acquisitions discussed above assuming they occurred on January 1, 2021. These unaudited consolidated pro forma operating resu</w:t>
      </w:r>
      <w:r>
        <w:rPr>
          <w:sz w:val="20"/>
          <w:szCs w:val="20"/>
        </w:rPr>
        <w:t xml:space="preserve">lts do not assume any impact from revenue, cost or other operating synergies that are expected or may have been realized as a result of the acquisitions. These unaudited consolidated pro forma operating results are presented for illustrative purposes only </w:t>
      </w:r>
      <w:r>
        <w:rPr>
          <w:sz w:val="20"/>
          <w:szCs w:val="20"/>
        </w:rPr>
        <w:t>and are not indicative of the operating results that would have been achieved had the acquisitions occurred on January 1, 2021, nor does the information purport to reflect results for any future period</w:t>
      </w:r>
      <w:r>
        <w:rPr>
          <w:sz w:val="20"/>
          <w:szCs w:val="20"/>
        </w:rPr>
        <w:t>.</w:t>
      </w:r>
    </w:p>
    <w:p w:rsidR="00000000" w:rsidRDefault="00F55F16">
      <w:pPr>
        <w:pStyle w:val="a3"/>
        <w:spacing w:before="0" w:beforeAutospacing="0" w:after="0" w:afterAutospacing="0"/>
        <w:ind w:firstLine="555"/>
        <w:divId w:val="57883448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6"/>
        <w:gridCol w:w="105"/>
        <w:gridCol w:w="150"/>
        <w:gridCol w:w="645"/>
        <w:gridCol w:w="120"/>
        <w:gridCol w:w="105"/>
        <w:gridCol w:w="151"/>
        <w:gridCol w:w="912"/>
        <w:gridCol w:w="105"/>
        <w:gridCol w:w="105"/>
        <w:gridCol w:w="151"/>
        <w:gridCol w:w="971"/>
        <w:gridCol w:w="120"/>
        <w:gridCol w:w="105"/>
        <w:gridCol w:w="150"/>
        <w:gridCol w:w="645"/>
        <w:gridCol w:w="120"/>
        <w:gridCol w:w="105"/>
        <w:gridCol w:w="151"/>
        <w:gridCol w:w="915"/>
        <w:gridCol w:w="105"/>
        <w:gridCol w:w="105"/>
        <w:gridCol w:w="151"/>
        <w:gridCol w:w="973"/>
        <w:gridCol w:w="135"/>
      </w:tblGrid>
      <w:tr w:rsidR="00000000">
        <w:trPr>
          <w:divId w:val="578834489"/>
          <w:tblCellSpacing w:w="15" w:type="dxa"/>
        </w:trPr>
        <w:tc>
          <w:tcPr>
            <w:tcW w:w="692" w:type="pct"/>
            <w:vAlign w:val="center"/>
            <w:hideMark/>
          </w:tcPr>
          <w:p w:rsidR="00000000" w:rsidRDefault="00F55F16">
            <w:pPr>
              <w:rPr>
                <w:sz w:val="20"/>
                <w:szCs w:val="20"/>
              </w:rPr>
            </w:pPr>
          </w:p>
        </w:tc>
        <w:tc>
          <w:tcPr>
            <w:tcW w:w="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8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4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7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0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7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578834489"/>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2"/>
            <w:vAlign w:val="bottom"/>
            <w:hideMark/>
          </w:tcPr>
          <w:p w:rsidR="00000000" w:rsidRDefault="00F55F16">
            <w:pPr>
              <w:pStyle w:val="a3"/>
              <w:spacing w:before="0" w:beforeAutospacing="0" w:after="0" w:afterAutospacing="0"/>
              <w:jc w:val="center"/>
              <w:rPr>
                <w:sz w:val="18"/>
                <w:szCs w:val="18"/>
              </w:rPr>
            </w:pPr>
            <w:r>
              <w:rPr>
                <w:b/>
                <w:bCs/>
                <w:sz w:val="18"/>
                <w:szCs w:val="18"/>
              </w:rPr>
              <w:t>For the Three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578834489"/>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578834489"/>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Acquisitions</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Consolidated</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Acquisitions</w:t>
            </w:r>
            <w:r>
              <w:rPr>
                <w:b/>
                <w:bCs/>
                <w:sz w:val="18"/>
                <w:szCs w:val="18"/>
              </w:rPr>
              <w:br/>
              <w:t>Pro-Forma</w:t>
            </w:r>
            <w:r>
              <w:rPr>
                <w:b/>
                <w:bCs/>
                <w:sz w:val="18"/>
                <w:szCs w:val="18"/>
              </w:rPr>
              <w:br/>
            </w:r>
            <w:r>
              <w:rPr>
                <w:b/>
                <w:bCs/>
                <w:sz w:val="18"/>
                <w:szCs w:val="18"/>
              </w:rPr>
              <w:t>(Unaudited</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Consolidated</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57883448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139,91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139,91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136,22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14,12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150,34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57883448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7,75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7,75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13,14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2,75</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10,38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578834489"/>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578834489"/>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2"/>
            <w:vAlign w:val="bottom"/>
            <w:hideMark/>
          </w:tcPr>
          <w:p w:rsidR="00000000" w:rsidRDefault="00F55F16">
            <w:pPr>
              <w:pStyle w:val="a3"/>
              <w:spacing w:before="0" w:beforeAutospacing="0" w:after="0" w:afterAutospacing="0"/>
              <w:jc w:val="center"/>
              <w:rPr>
                <w:sz w:val="18"/>
                <w:szCs w:val="18"/>
              </w:rPr>
            </w:pPr>
            <w:r>
              <w:rPr>
                <w:b/>
                <w:bCs/>
                <w:sz w:val="18"/>
                <w:szCs w:val="18"/>
              </w:rPr>
              <w:t>For the 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578834489"/>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578834489"/>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Acquisitions</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Consolidated</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As</w:t>
            </w:r>
            <w:r>
              <w:rPr>
                <w:b/>
                <w:bCs/>
                <w:sz w:val="18"/>
                <w:szCs w:val="18"/>
              </w:rPr>
              <w:br/>
              <w:t>reporte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Acquisitions</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Consolidated</w:t>
            </w:r>
            <w:r>
              <w:rPr>
                <w:b/>
                <w:bCs/>
                <w:sz w:val="18"/>
                <w:szCs w:val="18"/>
              </w:rPr>
              <w:br/>
              <w:t>Pro-Forma</w:t>
            </w:r>
            <w:r>
              <w:rPr>
                <w:b/>
                <w:bCs/>
                <w:sz w:val="18"/>
                <w:szCs w:val="18"/>
              </w:rPr>
              <w:br/>
              <w:t>(Unaudited</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57883448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274,59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1,39</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275,98</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270,04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25,97</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296,01</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57883448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15,28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15,09</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26,07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4,74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21,33</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divId w:val="259460034"/>
        <w:rPr>
          <w:sz w:val="20"/>
          <w:szCs w:val="20"/>
        </w:rPr>
      </w:pPr>
      <w:r>
        <w:rPr>
          <w:b/>
          <w:bCs/>
          <w:sz w:val="20"/>
          <w:szCs w:val="20"/>
        </w:rPr>
        <w:t>8. GOODWILL AND INTANGIBLE ASSET</w:t>
      </w:r>
      <w:r>
        <w:rPr>
          <w:b/>
          <w:bCs/>
          <w:sz w:val="20"/>
          <w:szCs w:val="20"/>
        </w:rPr>
        <w:t>S</w:t>
      </w:r>
    </w:p>
    <w:p w:rsidR="00000000" w:rsidRDefault="00F55F16">
      <w:pPr>
        <w:pStyle w:val="a3"/>
        <w:spacing w:before="240" w:beforeAutospacing="0" w:after="0" w:afterAutospacing="0"/>
        <w:ind w:firstLine="555"/>
        <w:divId w:val="2084444379"/>
        <w:rPr>
          <w:sz w:val="20"/>
          <w:szCs w:val="20"/>
        </w:rPr>
      </w:pPr>
      <w:r>
        <w:rPr>
          <w:sz w:val="20"/>
          <w:szCs w:val="20"/>
        </w:rPr>
        <w:t>Amounts related to goodwill are as follows</w:t>
      </w:r>
      <w:r>
        <w:rPr>
          <w:sz w:val="20"/>
          <w:szCs w:val="20"/>
        </w:rPr>
        <w:t>:</w:t>
      </w:r>
    </w:p>
    <w:p w:rsidR="00000000" w:rsidRDefault="00F55F16">
      <w:pPr>
        <w:pStyle w:val="a3"/>
        <w:spacing w:before="0" w:beforeAutospacing="0" w:after="0" w:afterAutospacing="0"/>
        <w:divId w:val="208444437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58"/>
        <w:gridCol w:w="105"/>
        <w:gridCol w:w="151"/>
        <w:gridCol w:w="1017"/>
        <w:gridCol w:w="120"/>
        <w:gridCol w:w="105"/>
        <w:gridCol w:w="151"/>
        <w:gridCol w:w="1065"/>
        <w:gridCol w:w="105"/>
        <w:gridCol w:w="105"/>
        <w:gridCol w:w="151"/>
        <w:gridCol w:w="1033"/>
        <w:gridCol w:w="105"/>
        <w:gridCol w:w="105"/>
        <w:gridCol w:w="150"/>
        <w:gridCol w:w="645"/>
        <w:gridCol w:w="135"/>
      </w:tblGrid>
      <w:tr w:rsidR="00000000">
        <w:trPr>
          <w:divId w:val="2084444379"/>
          <w:tblCellSpacing w:w="15" w:type="dxa"/>
        </w:trPr>
        <w:tc>
          <w:tcPr>
            <w:tcW w:w="1958" w:type="pct"/>
            <w:vAlign w:val="center"/>
            <w:hideMark/>
          </w:tcPr>
          <w:p w:rsidR="00000000" w:rsidRDefault="00F55F16">
            <w:pPr>
              <w:rPr>
                <w:sz w:val="20"/>
                <w:szCs w:val="20"/>
              </w:rPr>
            </w:pPr>
          </w:p>
        </w:tc>
        <w:tc>
          <w:tcPr>
            <w:tcW w:w="6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8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6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2084444379"/>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Assessment,</w:t>
            </w:r>
            <w:r>
              <w:rPr>
                <w:b/>
                <w:bCs/>
                <w:sz w:val="18"/>
                <w:szCs w:val="18"/>
              </w:rPr>
              <w:br/>
              <w:t>Permitting</w:t>
            </w:r>
            <w:r>
              <w:rPr>
                <w:b/>
                <w:bCs/>
                <w:sz w:val="18"/>
                <w:szCs w:val="18"/>
              </w:rPr>
              <w:br/>
              <w:t>and Respons</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Measurement</w:t>
            </w:r>
            <w:r>
              <w:rPr>
                <w:b/>
                <w:bCs/>
                <w:sz w:val="18"/>
                <w:szCs w:val="18"/>
              </w:rPr>
              <w:br/>
              <w:t>and</w:t>
            </w:r>
            <w:r>
              <w:rPr>
                <w:b/>
                <w:bCs/>
                <w:sz w:val="18"/>
                <w:szCs w:val="18"/>
              </w:rPr>
              <w:br/>
              <w:t>Analysi</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Remediation</w:t>
            </w:r>
            <w:r>
              <w:rPr>
                <w:b/>
                <w:bCs/>
                <w:sz w:val="18"/>
                <w:szCs w:val="18"/>
              </w:rPr>
              <w:br/>
              <w:t>and</w:t>
            </w:r>
            <w:r>
              <w:rPr>
                <w:b/>
                <w:bCs/>
                <w:sz w:val="18"/>
                <w:szCs w:val="18"/>
              </w:rPr>
              <w:br/>
              <w:t>Reus</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208444437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Balance as of December 31, 202</w:t>
            </w:r>
            <w:r>
              <w:rPr>
                <w:sz w:val="18"/>
                <w:szCs w:val="18"/>
              </w:rPr>
              <w:t>1</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176,54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83,77</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51,63</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311,94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84444379"/>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Goodwill acquired during the perio</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3,89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084444379"/>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Acquisitions measurement period adjustment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51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08444437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Balance as of June 30, 202</w:t>
            </w:r>
            <w:r>
              <w:rPr>
                <w:sz w:val="18"/>
                <w:szCs w:val="18"/>
              </w:rPr>
              <w:t>2</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179,77</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84,06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51,78</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315,62</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164974394"/>
        <w:rPr>
          <w:sz w:val="20"/>
          <w:szCs w:val="20"/>
        </w:rPr>
      </w:pPr>
      <w:r>
        <w:rPr>
          <w:sz w:val="20"/>
          <w:szCs w:val="20"/>
        </w:rPr>
        <w:t>Amounts related to finite-lived intangible assets are as follows</w:t>
      </w:r>
      <w:r>
        <w:rPr>
          <w:sz w:val="20"/>
          <w:szCs w:val="20"/>
        </w:rPr>
        <w:t>:</w:t>
      </w:r>
    </w:p>
    <w:p w:rsidR="00000000" w:rsidRDefault="00F55F16">
      <w:pPr>
        <w:pStyle w:val="a3"/>
        <w:spacing w:before="0" w:beforeAutospacing="0" w:after="0" w:afterAutospacing="0"/>
        <w:divId w:val="1164974394"/>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3"/>
        <w:gridCol w:w="134"/>
        <w:gridCol w:w="1206"/>
        <w:gridCol w:w="134"/>
        <w:gridCol w:w="150"/>
        <w:gridCol w:w="1064"/>
        <w:gridCol w:w="105"/>
        <w:gridCol w:w="135"/>
        <w:gridCol w:w="151"/>
        <w:gridCol w:w="1123"/>
        <w:gridCol w:w="105"/>
        <w:gridCol w:w="135"/>
        <w:gridCol w:w="151"/>
        <w:gridCol w:w="1109"/>
        <w:gridCol w:w="120"/>
      </w:tblGrid>
      <w:tr w:rsidR="00000000">
        <w:trPr>
          <w:divId w:val="1164974394"/>
          <w:tblCellSpacing w:w="15" w:type="dxa"/>
        </w:trPr>
        <w:tc>
          <w:tcPr>
            <w:tcW w:w="1162" w:type="pct"/>
            <w:vAlign w:val="center"/>
            <w:hideMark/>
          </w:tcPr>
          <w:p w:rsidR="00000000" w:rsidRDefault="00F55F16">
            <w:pPr>
              <w:rPr>
                <w:sz w:val="20"/>
                <w:szCs w:val="20"/>
              </w:rPr>
            </w:pPr>
          </w:p>
        </w:tc>
        <w:tc>
          <w:tcPr>
            <w:tcW w:w="88" w:type="pct"/>
            <w:vAlign w:val="center"/>
            <w:hideMark/>
          </w:tcPr>
          <w:p w:rsidR="00000000" w:rsidRDefault="00F55F16">
            <w:pPr>
              <w:rPr>
                <w:rFonts w:eastAsia="Times New Roman"/>
                <w:sz w:val="20"/>
                <w:szCs w:val="20"/>
              </w:rPr>
            </w:pPr>
          </w:p>
        </w:tc>
        <w:tc>
          <w:tcPr>
            <w:tcW w:w="853" w:type="pct"/>
            <w:vAlign w:val="center"/>
            <w:hideMark/>
          </w:tcPr>
          <w:p w:rsidR="00000000" w:rsidRDefault="00F55F16">
            <w:pPr>
              <w:rPr>
                <w:rFonts w:eastAsia="Times New Roman"/>
                <w:sz w:val="20"/>
                <w:szCs w:val="20"/>
              </w:rPr>
            </w:pPr>
          </w:p>
        </w:tc>
        <w:tc>
          <w:tcPr>
            <w:tcW w:w="8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9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8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164974394"/>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June 30, 202</w:t>
            </w:r>
            <w:r>
              <w:rPr>
                <w:b/>
                <w:bCs/>
                <w:sz w:val="18"/>
                <w:szCs w:val="18"/>
              </w:rPr>
              <w:t>2</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Estimated</w:t>
            </w:r>
            <w:r>
              <w:rPr>
                <w:b/>
                <w:bCs/>
                <w:sz w:val="18"/>
                <w:szCs w:val="18"/>
              </w:rPr>
              <w:br/>
              <w:t>Useful Lif</w:t>
            </w:r>
            <w:r>
              <w:rPr>
                <w:b/>
                <w:bCs/>
                <w:sz w:val="18"/>
                <w:szCs w:val="18"/>
              </w:rPr>
              <w:t>e</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Gross</w:t>
            </w:r>
            <w:r>
              <w:rPr>
                <w:b/>
                <w:bCs/>
                <w:sz w:val="18"/>
                <w:szCs w:val="18"/>
              </w:rPr>
              <w:br/>
              <w:t>Balanc</w:t>
            </w:r>
            <w:r>
              <w:rPr>
                <w:b/>
                <w:bCs/>
                <w:sz w:val="18"/>
                <w:szCs w:val="18"/>
              </w:rPr>
              <w:t>e</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Accumulated</w:t>
            </w:r>
            <w:r>
              <w:rPr>
                <w:b/>
                <w:bCs/>
                <w:sz w:val="18"/>
                <w:szCs w:val="18"/>
              </w:rPr>
              <w:br/>
            </w:r>
            <w:r>
              <w:rPr>
                <w:b/>
                <w:bCs/>
                <w:sz w:val="18"/>
                <w:szCs w:val="18"/>
              </w:rPr>
              <w:t>Amortizatio</w:t>
            </w:r>
            <w:r>
              <w:rPr>
                <w:b/>
                <w:bCs/>
                <w:sz w:val="18"/>
                <w:szCs w:val="18"/>
              </w:rPr>
              <w:t>n</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Total</w:t>
            </w:r>
            <w:r>
              <w:rPr>
                <w:b/>
                <w:bCs/>
                <w:sz w:val="18"/>
                <w:szCs w:val="18"/>
              </w:rPr>
              <w:br/>
              <w:t>Intangible</w:t>
            </w:r>
            <w:r>
              <w:rPr>
                <w:b/>
                <w:bCs/>
                <w:sz w:val="18"/>
                <w:szCs w:val="18"/>
              </w:rPr>
              <w:br/>
              <w:t>Assets—Ne</w:t>
            </w:r>
            <w:r>
              <w:rPr>
                <w:b/>
                <w:bCs/>
                <w:sz w:val="18"/>
                <w:szCs w:val="18"/>
              </w:rPr>
              <w:t>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Finite lived intangible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2</w:t>
            </w:r>
            <w:r>
              <w:rPr>
                <w:sz w:val="18"/>
                <w:szCs w:val="18"/>
              </w:rPr>
              <w:t>-</w:t>
            </w:r>
            <w:r>
              <w:rPr>
                <w:sz w:val="18"/>
                <w:szCs w:val="18"/>
              </w:rPr>
              <w:t>1</w:t>
            </w:r>
            <w:r>
              <w:rPr>
                <w:sz w:val="18"/>
                <w:szCs w:val="18"/>
              </w:rPr>
              <w:t>5</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202,21</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85,50</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116,70</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4</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32,94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26,74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21,42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16,67</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4,74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Proprietary softwar</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3</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22,22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13,63</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8,59</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Paten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6</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17,47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3,03</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14,44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Total other intangible assets</w:t>
            </w:r>
            <w:r>
              <w:rPr>
                <w:sz w:val="18"/>
                <w:szCs w:val="18"/>
              </w:rPr>
              <w:br/>
              <w:t>   —ne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296,27</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145,59</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150,68</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divId w:val="1164974394"/>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653"/>
        <w:gridCol w:w="134"/>
        <w:gridCol w:w="1206"/>
        <w:gridCol w:w="134"/>
        <w:gridCol w:w="150"/>
        <w:gridCol w:w="1064"/>
        <w:gridCol w:w="105"/>
        <w:gridCol w:w="135"/>
        <w:gridCol w:w="151"/>
        <w:gridCol w:w="1121"/>
        <w:gridCol w:w="105"/>
        <w:gridCol w:w="137"/>
        <w:gridCol w:w="151"/>
        <w:gridCol w:w="1109"/>
        <w:gridCol w:w="120"/>
      </w:tblGrid>
      <w:tr w:rsidR="00000000">
        <w:trPr>
          <w:divId w:val="1164974394"/>
          <w:tblCellSpacing w:w="15" w:type="dxa"/>
        </w:trPr>
        <w:tc>
          <w:tcPr>
            <w:tcW w:w="1162" w:type="pct"/>
            <w:vAlign w:val="center"/>
            <w:hideMark/>
          </w:tcPr>
          <w:p w:rsidR="00000000" w:rsidRDefault="00F55F16">
            <w:pPr>
              <w:rPr>
                <w:sz w:val="20"/>
                <w:szCs w:val="20"/>
              </w:rPr>
            </w:pPr>
          </w:p>
        </w:tc>
        <w:tc>
          <w:tcPr>
            <w:tcW w:w="88" w:type="pct"/>
            <w:vAlign w:val="center"/>
            <w:hideMark/>
          </w:tcPr>
          <w:p w:rsidR="00000000" w:rsidRDefault="00F55F16">
            <w:pPr>
              <w:rPr>
                <w:rFonts w:eastAsia="Times New Roman"/>
                <w:sz w:val="20"/>
                <w:szCs w:val="20"/>
              </w:rPr>
            </w:pPr>
          </w:p>
        </w:tc>
        <w:tc>
          <w:tcPr>
            <w:tcW w:w="853" w:type="pct"/>
            <w:vAlign w:val="center"/>
            <w:hideMark/>
          </w:tcPr>
          <w:p w:rsidR="00000000" w:rsidRDefault="00F55F16">
            <w:pPr>
              <w:rPr>
                <w:rFonts w:eastAsia="Times New Roman"/>
                <w:sz w:val="20"/>
                <w:szCs w:val="20"/>
              </w:rPr>
            </w:pPr>
          </w:p>
        </w:tc>
        <w:tc>
          <w:tcPr>
            <w:tcW w:w="8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5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9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8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164974394"/>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December 31, 202</w:t>
            </w:r>
            <w:r>
              <w:rPr>
                <w:b/>
                <w:bCs/>
                <w:sz w:val="18"/>
                <w:szCs w:val="18"/>
              </w:rPr>
              <w:t>1</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Estimated</w:t>
            </w:r>
            <w:r>
              <w:rPr>
                <w:b/>
                <w:bCs/>
                <w:sz w:val="18"/>
                <w:szCs w:val="18"/>
              </w:rPr>
              <w:br/>
              <w:t>Useful Lif</w:t>
            </w:r>
            <w:r>
              <w:rPr>
                <w:b/>
                <w:bCs/>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Gross</w:t>
            </w:r>
            <w:r>
              <w:rPr>
                <w:b/>
                <w:bCs/>
                <w:sz w:val="18"/>
                <w:szCs w:val="18"/>
              </w:rPr>
              <w:br/>
              <w:t>Balanc</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Accumulated</w:t>
            </w:r>
            <w:r>
              <w:rPr>
                <w:b/>
                <w:bCs/>
                <w:sz w:val="18"/>
                <w:szCs w:val="18"/>
              </w:rPr>
              <w:br/>
              <w:t>Amortizatio</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Total</w:t>
            </w:r>
            <w:r>
              <w:rPr>
                <w:b/>
                <w:bCs/>
                <w:sz w:val="18"/>
                <w:szCs w:val="18"/>
              </w:rPr>
              <w:br/>
              <w:t>Intangible</w:t>
            </w:r>
            <w:r>
              <w:rPr>
                <w:b/>
                <w:bCs/>
                <w:sz w:val="18"/>
                <w:szCs w:val="18"/>
              </w:rPr>
              <w:br/>
              <w:t>Assets—Ne</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Finite lived intangible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Customer relationship</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2</w:t>
            </w:r>
            <w:r>
              <w:rPr>
                <w:sz w:val="18"/>
                <w:szCs w:val="18"/>
              </w:rPr>
              <w:t>-</w:t>
            </w:r>
            <w:r>
              <w:rPr>
                <w:sz w:val="18"/>
                <w:szCs w:val="18"/>
              </w:rPr>
              <w:t>1</w:t>
            </w:r>
            <w:r>
              <w:rPr>
                <w:sz w:val="18"/>
                <w:szCs w:val="18"/>
              </w:rPr>
              <w:t>5</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196,32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74,01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122,31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Covenants not to compet</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4</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32,62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25,11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7,50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Trade name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20,40</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15,13</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5,26</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Proprietary softwar</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3</w:t>
            </w:r>
            <w:r>
              <w:rPr>
                <w:sz w:val="18"/>
                <w:szCs w:val="18"/>
              </w:rPr>
              <w:t>-</w:t>
            </w:r>
            <w:r>
              <w:rPr>
                <w:sz w:val="18"/>
                <w:szCs w:val="18"/>
              </w:rPr>
              <w:t>5</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22,07</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11,15</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10,92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Paten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6</w:t>
            </w:r>
            <w:r>
              <w:rPr>
                <w:sz w:val="18"/>
                <w:szCs w:val="18"/>
              </w:rPr>
              <w:t> year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17,47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14,98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164974394"/>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Total other intangible assets</w:t>
            </w:r>
            <w:r>
              <w:rPr>
                <w:sz w:val="18"/>
                <w:szCs w:val="18"/>
              </w:rPr>
              <w:br/>
              <w:t>   —ne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288,90</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127,90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160,99</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divId w:val="1164974394"/>
        <w:rPr>
          <w:sz w:val="20"/>
          <w:szCs w:val="20"/>
        </w:rPr>
      </w:pPr>
      <w:r>
        <w:rPr>
          <w:sz w:val="20"/>
          <w:szCs w:val="20"/>
        </w:rPr>
        <w:t> </w:t>
      </w:r>
    </w:p>
    <w:p w:rsidR="00000000" w:rsidRDefault="00F55F16">
      <w:pPr>
        <w:pStyle w:val="a3"/>
        <w:spacing w:before="240" w:beforeAutospacing="0" w:after="0" w:afterAutospacing="0"/>
        <w:jc w:val="center"/>
        <w:divId w:val="1164974394"/>
        <w:rPr>
          <w:sz w:val="20"/>
          <w:szCs w:val="20"/>
        </w:rPr>
      </w:pPr>
      <w:r>
        <w:rPr>
          <w:sz w:val="20"/>
          <w:szCs w:val="20"/>
        </w:rPr>
        <w:t>1</w:t>
      </w:r>
      <w:r>
        <w:rPr>
          <w:sz w:val="20"/>
          <w:szCs w:val="20"/>
        </w:rPr>
        <w:t>4</w:t>
      </w:r>
    </w:p>
    <w:p w:rsidR="00000000" w:rsidRDefault="00F55F16">
      <w:pPr>
        <w:divId w:val="1164974394"/>
        <w:rPr>
          <w:rFonts w:eastAsia="Times New Roman"/>
        </w:rPr>
      </w:pPr>
      <w:r>
        <w:rPr>
          <w:rFonts w:eastAsia="Times New Roman"/>
        </w:rPr>
        <w:pict>
          <v:rect id="_x0000_i1040" style="width:0;height:1.5pt" o:hralign="center" o:hrstd="t" o:hr="t" fillcolor="#a0a0a0" stroked="f"/>
        </w:pict>
      </w:r>
    </w:p>
    <w:p w:rsidR="00000000" w:rsidRDefault="00F55F16">
      <w:pPr>
        <w:pStyle w:val="a3"/>
        <w:spacing w:before="0" w:beforeAutospacing="0" w:after="0" w:afterAutospacing="0"/>
        <w:divId w:val="1164974394"/>
        <w:rPr>
          <w:sz w:val="20"/>
          <w:szCs w:val="20"/>
        </w:rPr>
      </w:pPr>
      <w:r>
        <w:rPr>
          <w:sz w:val="20"/>
          <w:szCs w:val="20"/>
        </w:rPr>
        <w:t> </w:t>
      </w:r>
    </w:p>
    <w:p w:rsidR="00000000" w:rsidRDefault="00F55F16">
      <w:pPr>
        <w:pStyle w:val="a3"/>
        <w:spacing w:before="240" w:beforeAutospacing="0" w:after="0" w:afterAutospacing="0"/>
        <w:ind w:firstLine="555"/>
        <w:divId w:val="259460034"/>
        <w:rPr>
          <w:sz w:val="20"/>
          <w:szCs w:val="20"/>
        </w:rPr>
      </w:pPr>
      <w:r>
        <w:rPr>
          <w:sz w:val="20"/>
          <w:szCs w:val="20"/>
        </w:rPr>
        <w:t>Intangible assets with finite lives are stated at cost, less accumulated amortization and impairment losses, if any. These intangible assets are amortized using the straight-line method over the estimated useful lives of the assets. Amortization expense wa</w:t>
      </w:r>
      <w:r>
        <w:rPr>
          <w:sz w:val="20"/>
          <w:szCs w:val="20"/>
        </w:rPr>
        <w:t xml:space="preserve">s </w:t>
      </w:r>
      <w:r>
        <w:rPr>
          <w:sz w:val="20"/>
          <w:szCs w:val="20"/>
        </w:rPr>
        <w:t>$</w:t>
      </w:r>
      <w:r>
        <w:rPr>
          <w:sz w:val="20"/>
          <w:szCs w:val="20"/>
        </w:rPr>
        <w:t>9.</w:t>
      </w:r>
      <w:r>
        <w:rPr>
          <w:sz w:val="20"/>
          <w:szCs w:val="20"/>
        </w:rPr>
        <w:t>5</w:t>
      </w:r>
      <w:r>
        <w:rPr>
          <w:sz w:val="20"/>
          <w:szCs w:val="20"/>
        </w:rPr>
        <w:t xml:space="preserve"> million and </w:t>
      </w:r>
      <w:r>
        <w:rPr>
          <w:sz w:val="20"/>
          <w:szCs w:val="20"/>
        </w:rPr>
        <w:t>$</w:t>
      </w:r>
      <w:r>
        <w:rPr>
          <w:sz w:val="20"/>
          <w:szCs w:val="20"/>
        </w:rPr>
        <w:t>18.</w:t>
      </w:r>
      <w:r>
        <w:rPr>
          <w:sz w:val="20"/>
          <w:szCs w:val="20"/>
        </w:rPr>
        <w:t>9</w:t>
      </w:r>
      <w:r>
        <w:rPr>
          <w:sz w:val="20"/>
          <w:szCs w:val="20"/>
        </w:rPr>
        <w:t xml:space="preserve"> million for the</w:t>
      </w:r>
      <w:r>
        <w:rPr>
          <w:sz w:val="20"/>
          <w:szCs w:val="20"/>
        </w:rPr>
        <w:t xml:space="preserve"> </w:t>
      </w:r>
      <w:r>
        <w:rPr>
          <w:sz w:val="20"/>
          <w:szCs w:val="20"/>
        </w:rPr>
        <w:t>three and six months ended June 30, 202</w:t>
      </w:r>
      <w:r>
        <w:rPr>
          <w:sz w:val="20"/>
          <w:szCs w:val="20"/>
        </w:rPr>
        <w:t>2</w:t>
      </w:r>
      <w:r>
        <w:rPr>
          <w:sz w:val="20"/>
          <w:szCs w:val="20"/>
        </w:rPr>
        <w:t xml:space="preserve">, respectively, and </w:t>
      </w:r>
      <w:r>
        <w:rPr>
          <w:sz w:val="20"/>
          <w:szCs w:val="20"/>
        </w:rPr>
        <w:t>$</w:t>
      </w:r>
      <w:r>
        <w:rPr>
          <w:sz w:val="20"/>
          <w:szCs w:val="20"/>
        </w:rPr>
        <w:t>8.</w:t>
      </w:r>
      <w:r>
        <w:rPr>
          <w:sz w:val="20"/>
          <w:szCs w:val="20"/>
        </w:rPr>
        <w:t>4</w:t>
      </w:r>
      <w:r>
        <w:rPr>
          <w:sz w:val="20"/>
          <w:szCs w:val="20"/>
        </w:rPr>
        <w:t xml:space="preserve"> million and </w:t>
      </w:r>
      <w:r>
        <w:rPr>
          <w:sz w:val="20"/>
          <w:szCs w:val="20"/>
        </w:rPr>
        <w:t>$</w:t>
      </w:r>
      <w:r>
        <w:rPr>
          <w:sz w:val="20"/>
          <w:szCs w:val="20"/>
        </w:rPr>
        <w:t>17.</w:t>
      </w:r>
      <w:r>
        <w:rPr>
          <w:sz w:val="20"/>
          <w:szCs w:val="20"/>
        </w:rPr>
        <w:t>0</w:t>
      </w:r>
      <w:r>
        <w:rPr>
          <w:sz w:val="20"/>
          <w:szCs w:val="20"/>
        </w:rPr>
        <w:t xml:space="preserve"> million for the</w:t>
      </w:r>
      <w:r>
        <w:rPr>
          <w:sz w:val="20"/>
          <w:szCs w:val="20"/>
        </w:rPr>
        <w:t xml:space="preserve"> </w:t>
      </w:r>
      <w:r>
        <w:rPr>
          <w:sz w:val="20"/>
          <w:szCs w:val="20"/>
        </w:rPr>
        <w:t>three and six months ended June 30, 2021, respectively</w:t>
      </w:r>
      <w:r>
        <w:rPr>
          <w:sz w:val="20"/>
          <w:szCs w:val="20"/>
        </w:rPr>
        <w:t>.</w:t>
      </w:r>
      <w:r>
        <w:rPr>
          <w:sz w:val="20"/>
          <w:szCs w:val="20"/>
        </w:rPr>
        <w:t xml:space="preserve"> </w:t>
      </w:r>
    </w:p>
    <w:p w:rsidR="00000000" w:rsidRDefault="00F55F16">
      <w:pPr>
        <w:pStyle w:val="a3"/>
        <w:spacing w:before="240" w:beforeAutospacing="0" w:after="0" w:afterAutospacing="0"/>
        <w:ind w:firstLine="555"/>
        <w:divId w:val="573660687"/>
        <w:rPr>
          <w:sz w:val="20"/>
          <w:szCs w:val="20"/>
        </w:rPr>
      </w:pPr>
      <w:r>
        <w:rPr>
          <w:sz w:val="20"/>
          <w:szCs w:val="20"/>
        </w:rPr>
        <w:t>Future amortization expense is estimated to be as follows f</w:t>
      </w:r>
      <w:r>
        <w:rPr>
          <w:sz w:val="20"/>
          <w:szCs w:val="20"/>
        </w:rPr>
        <w:t>or each of the five following years and thereafter</w:t>
      </w:r>
      <w:r>
        <w:rPr>
          <w:sz w:val="20"/>
          <w:szCs w:val="20"/>
        </w:rPr>
        <w:t>:</w:t>
      </w:r>
    </w:p>
    <w:p w:rsidR="00000000" w:rsidRDefault="00F55F16">
      <w:pPr>
        <w:pStyle w:val="a3"/>
        <w:spacing w:before="0" w:beforeAutospacing="0" w:after="0" w:afterAutospacing="0"/>
        <w:divId w:val="573660687"/>
        <w:rPr>
          <w:sz w:val="20"/>
          <w:szCs w:val="20"/>
        </w:rPr>
      </w:pPr>
      <w:r>
        <w:rPr>
          <w:sz w:val="20"/>
          <w:szCs w:val="20"/>
        </w:rPr>
        <w:t> </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3829"/>
        <w:gridCol w:w="105"/>
        <w:gridCol w:w="150"/>
        <w:gridCol w:w="780"/>
        <w:gridCol w:w="120"/>
      </w:tblGrid>
      <w:tr w:rsidR="00000000">
        <w:trPr>
          <w:divId w:val="573660687"/>
          <w:tblCellSpacing w:w="15" w:type="dxa"/>
        </w:trPr>
        <w:tc>
          <w:tcPr>
            <w:tcW w:w="3972" w:type="pct"/>
            <w:vAlign w:val="center"/>
            <w:hideMark/>
          </w:tcPr>
          <w:p w:rsidR="00000000" w:rsidRDefault="00F55F16">
            <w:pPr>
              <w:rPr>
                <w:sz w:val="20"/>
                <w:szCs w:val="20"/>
              </w:rPr>
            </w:pPr>
          </w:p>
        </w:tc>
        <w:tc>
          <w:tcPr>
            <w:tcW w:w="9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3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573660687"/>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57366068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2022 (remaining</w:t>
            </w: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15,86</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57366068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w:t>
            </w:r>
            <w:r>
              <w:rPr>
                <w:sz w:val="18"/>
                <w:szCs w:val="18"/>
              </w:rPr>
              <w:t>3</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27,53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57366068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w:t>
            </w:r>
            <w:r>
              <w:rPr>
                <w:sz w:val="18"/>
                <w:szCs w:val="18"/>
              </w:rPr>
              <w:t>4</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23,00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57366068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w:t>
            </w:r>
            <w:r>
              <w:rPr>
                <w:sz w:val="18"/>
                <w:szCs w:val="18"/>
              </w:rPr>
              <w:t>5</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16,41</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57366068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2026 and thereafte</w:t>
            </w:r>
            <w:r>
              <w:rPr>
                <w:sz w:val="18"/>
                <w:szCs w:val="18"/>
              </w:rPr>
              <w:t>r</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67,86</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57366068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150,68</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divId w:val="988052917"/>
        <w:rPr>
          <w:sz w:val="20"/>
          <w:szCs w:val="20"/>
        </w:rPr>
      </w:pPr>
      <w:r>
        <w:rPr>
          <w:b/>
          <w:bCs/>
          <w:sz w:val="20"/>
          <w:szCs w:val="20"/>
        </w:rPr>
        <w:t>9. ACCOUNTS PAYABLE AND OTHER ACCRUED LIABILITIE</w:t>
      </w:r>
      <w:r>
        <w:rPr>
          <w:b/>
          <w:bCs/>
          <w:sz w:val="20"/>
          <w:szCs w:val="20"/>
        </w:rPr>
        <w:t>S</w:t>
      </w:r>
    </w:p>
    <w:p w:rsidR="00000000" w:rsidRDefault="00F55F16">
      <w:pPr>
        <w:pStyle w:val="a3"/>
        <w:spacing w:before="240" w:beforeAutospacing="0" w:after="0" w:afterAutospacing="0"/>
        <w:ind w:firstLine="555"/>
        <w:divId w:val="484514175"/>
        <w:rPr>
          <w:sz w:val="20"/>
          <w:szCs w:val="20"/>
        </w:rPr>
      </w:pPr>
      <w:r>
        <w:rPr>
          <w:sz w:val="20"/>
          <w:szCs w:val="20"/>
        </w:rPr>
        <w:t>Accounts payable and other accrued liabilities consisted of the following</w:t>
      </w:r>
      <w:r>
        <w:rPr>
          <w:sz w:val="20"/>
          <w:szCs w:val="20"/>
        </w:rPr>
        <w:t>:</w:t>
      </w:r>
    </w:p>
    <w:p w:rsidR="00000000" w:rsidRDefault="00F55F16">
      <w:pPr>
        <w:pStyle w:val="a3"/>
        <w:spacing w:before="0" w:beforeAutospacing="0" w:after="0" w:afterAutospacing="0"/>
        <w:divId w:val="484514175"/>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260"/>
        <w:gridCol w:w="105"/>
        <w:gridCol w:w="150"/>
        <w:gridCol w:w="887"/>
        <w:gridCol w:w="105"/>
        <w:gridCol w:w="105"/>
        <w:gridCol w:w="151"/>
        <w:gridCol w:w="931"/>
        <w:gridCol w:w="120"/>
      </w:tblGrid>
      <w:tr w:rsidR="00000000">
        <w:trPr>
          <w:divId w:val="484514175"/>
          <w:tblCellSpacing w:w="15" w:type="dxa"/>
        </w:trPr>
        <w:tc>
          <w:tcPr>
            <w:tcW w:w="2945" w:type="pct"/>
            <w:vAlign w:val="center"/>
            <w:hideMark/>
          </w:tcPr>
          <w:p w:rsidR="00000000" w:rsidRDefault="00F55F16">
            <w:pPr>
              <w:rPr>
                <w:sz w:val="20"/>
                <w:szCs w:val="20"/>
              </w:rPr>
            </w:pPr>
          </w:p>
        </w:tc>
        <w:tc>
          <w:tcPr>
            <w:tcW w:w="9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1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5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48451417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48451417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48451417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Accounts payabl</w:t>
            </w:r>
            <w:r>
              <w:rPr>
                <w:sz w:val="18"/>
                <w:szCs w:val="18"/>
              </w:rPr>
              <w:t>e</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26,32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24,16</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8451417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Accrued expense</w:t>
            </w:r>
            <w:r>
              <w:rPr>
                <w:sz w:val="18"/>
                <w:szCs w:val="18"/>
              </w:rPr>
              <w:t>s</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11,91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14,90</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8451417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Other business acquisitions purchase </w:t>
            </w:r>
            <w:r>
              <w:rPr>
                <w:sz w:val="18"/>
                <w:szCs w:val="18"/>
              </w:rPr>
              <w:br/>
              <w:t>   price obligation</w:t>
            </w:r>
            <w:r>
              <w:rPr>
                <w:sz w:val="18"/>
                <w:szCs w:val="18"/>
              </w:rPr>
              <w:t>s</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36</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50</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8451417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Contract liabilitie</w:t>
            </w:r>
            <w:r>
              <w:rPr>
                <w:sz w:val="18"/>
                <w:szCs w:val="18"/>
              </w:rPr>
              <w:t>s</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18,91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27,90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8451417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Other current liabilitie</w:t>
            </w:r>
            <w:r>
              <w:rPr>
                <w:sz w:val="18"/>
                <w:szCs w:val="18"/>
              </w:rPr>
              <w:t>s</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48451417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Total accounts payable and </w:t>
            </w:r>
            <w:r>
              <w:rPr>
                <w:sz w:val="18"/>
                <w:szCs w:val="18"/>
              </w:rPr>
              <w:br/>
              <w:t>   other accrued liabilitie</w:t>
            </w:r>
            <w:r>
              <w:rPr>
                <w:sz w:val="18"/>
                <w:szCs w:val="18"/>
              </w:rPr>
              <w:t>s</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59,28</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68,93</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divId w:val="2093812610"/>
        <w:rPr>
          <w:sz w:val="20"/>
          <w:szCs w:val="20"/>
        </w:rPr>
      </w:pPr>
      <w:r>
        <w:rPr>
          <w:b/>
          <w:bCs/>
          <w:sz w:val="20"/>
          <w:szCs w:val="20"/>
        </w:rPr>
        <w:t>10. ACCRUED PAYROLL AND BENEFIT</w:t>
      </w:r>
      <w:r>
        <w:rPr>
          <w:b/>
          <w:bCs/>
          <w:sz w:val="20"/>
          <w:szCs w:val="20"/>
        </w:rPr>
        <w:t>S</w:t>
      </w:r>
    </w:p>
    <w:p w:rsidR="00000000" w:rsidRDefault="00F55F16">
      <w:pPr>
        <w:pStyle w:val="a3"/>
        <w:spacing w:before="240" w:beforeAutospacing="0" w:after="0" w:afterAutospacing="0"/>
        <w:ind w:firstLine="555"/>
        <w:divId w:val="1058475586"/>
        <w:rPr>
          <w:sz w:val="20"/>
          <w:szCs w:val="20"/>
        </w:rPr>
      </w:pPr>
      <w:r>
        <w:rPr>
          <w:sz w:val="20"/>
          <w:szCs w:val="20"/>
        </w:rPr>
        <w:t>Accrued payroll and benefits consisted of the following</w:t>
      </w:r>
      <w:r>
        <w:rPr>
          <w:sz w:val="20"/>
          <w:szCs w:val="20"/>
        </w:rPr>
        <w:t>:</w:t>
      </w:r>
    </w:p>
    <w:p w:rsidR="00000000" w:rsidRDefault="00F55F16">
      <w:pPr>
        <w:pStyle w:val="a3"/>
        <w:spacing w:before="0" w:beforeAutospacing="0" w:after="0" w:afterAutospacing="0"/>
        <w:ind w:firstLine="555"/>
        <w:divId w:val="1058475586"/>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98"/>
        <w:gridCol w:w="105"/>
        <w:gridCol w:w="150"/>
        <w:gridCol w:w="917"/>
        <w:gridCol w:w="105"/>
        <w:gridCol w:w="105"/>
        <w:gridCol w:w="151"/>
        <w:gridCol w:w="963"/>
        <w:gridCol w:w="120"/>
      </w:tblGrid>
      <w:tr w:rsidR="00000000">
        <w:trPr>
          <w:divId w:val="1058475586"/>
          <w:tblCellSpacing w:w="15" w:type="dxa"/>
        </w:trPr>
        <w:tc>
          <w:tcPr>
            <w:tcW w:w="2889" w:type="pct"/>
            <w:vAlign w:val="center"/>
            <w:hideMark/>
          </w:tcPr>
          <w:p w:rsidR="00000000" w:rsidRDefault="00F55F16">
            <w:pPr>
              <w:rPr>
                <w:sz w:val="20"/>
                <w:szCs w:val="20"/>
              </w:rPr>
            </w:pPr>
          </w:p>
        </w:tc>
        <w:tc>
          <w:tcPr>
            <w:tcW w:w="9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3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7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05847558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05847558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05847558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Accrued bonuse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4,86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13,43</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5847558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Accrued paid time of</w:t>
            </w:r>
            <w:r>
              <w:rPr>
                <w:sz w:val="18"/>
                <w:szCs w:val="18"/>
              </w:rPr>
              <w:t>f</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5847558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Accrued payrol</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8,03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6,54</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5847558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Accrued othe</w:t>
            </w:r>
            <w:r>
              <w:rPr>
                <w:sz w:val="18"/>
                <w:szCs w:val="18"/>
              </w:rPr>
              <w:t>r</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4,84</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5847558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Total accrued payroll and benefit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18,75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25,97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ind w:firstLine="555"/>
        <w:rPr>
          <w:sz w:val="20"/>
          <w:szCs w:val="20"/>
        </w:rPr>
      </w:pPr>
      <w:r>
        <w:rPr>
          <w:sz w:val="20"/>
          <w:szCs w:val="20"/>
        </w:rPr>
        <w:t> </w:t>
      </w:r>
    </w:p>
    <w:p w:rsidR="00000000" w:rsidRDefault="00F55F16">
      <w:pPr>
        <w:pStyle w:val="a3"/>
        <w:spacing w:before="360" w:beforeAutospacing="0" w:after="0" w:afterAutospacing="0"/>
        <w:divId w:val="2106682784"/>
        <w:rPr>
          <w:sz w:val="20"/>
          <w:szCs w:val="20"/>
        </w:rPr>
      </w:pPr>
      <w:r>
        <w:rPr>
          <w:b/>
          <w:bCs/>
          <w:sz w:val="20"/>
          <w:szCs w:val="20"/>
        </w:rPr>
        <w:t>11. INCOME TAXE</w:t>
      </w:r>
      <w:r>
        <w:rPr>
          <w:b/>
          <w:bCs/>
          <w:sz w:val="20"/>
          <w:szCs w:val="20"/>
        </w:rPr>
        <w:t>S</w:t>
      </w:r>
    </w:p>
    <w:p w:rsidR="00000000" w:rsidRDefault="00F55F16">
      <w:pPr>
        <w:pStyle w:val="a3"/>
        <w:spacing w:before="240" w:beforeAutospacing="0" w:after="0" w:afterAutospacing="0"/>
        <w:ind w:firstLine="555"/>
        <w:divId w:val="2106682784"/>
        <w:rPr>
          <w:sz w:val="20"/>
          <w:szCs w:val="20"/>
        </w:rPr>
      </w:pPr>
      <w:r>
        <w:rPr>
          <w:sz w:val="20"/>
          <w:szCs w:val="20"/>
        </w:rPr>
        <w:t>The Company calculates its interim income tax provision in accordance with ASC Topic 270, Interim Reporting (“ASC 270”), and ASC 740. The Company’s effective tax rate (“ETR”) from continuing operations was</w:t>
      </w:r>
      <w:r>
        <w:rPr>
          <w:sz w:val="20"/>
          <w:szCs w:val="20"/>
        </w:rPr>
        <w:t xml:space="preserve"> </w:t>
      </w:r>
      <w:r>
        <w:rPr>
          <w:sz w:val="20"/>
          <w:szCs w:val="20"/>
        </w:rPr>
        <w:t>(</w:t>
      </w:r>
      <w:r>
        <w:rPr>
          <w:sz w:val="20"/>
          <w:szCs w:val="20"/>
        </w:rPr>
        <w:t>12.</w:t>
      </w:r>
      <w:r>
        <w:rPr>
          <w:sz w:val="20"/>
          <w:szCs w:val="20"/>
        </w:rPr>
        <w:t>0</w:t>
      </w:r>
      <w:r>
        <w:rPr>
          <w:sz w:val="20"/>
          <w:szCs w:val="20"/>
        </w:rPr>
        <w:t>)</w:t>
      </w:r>
      <w:r>
        <w:rPr>
          <w:sz w:val="20"/>
          <w:szCs w:val="20"/>
        </w:rPr>
        <w:t>%</w:t>
      </w:r>
      <w:r>
        <w:rPr>
          <w:sz w:val="20"/>
          <w:szCs w:val="20"/>
        </w:rPr>
        <w:t xml:space="preserve"> and</w:t>
      </w:r>
      <w:r>
        <w:rPr>
          <w:sz w:val="20"/>
          <w:szCs w:val="20"/>
        </w:rPr>
        <w:t xml:space="preserve"> </w:t>
      </w:r>
      <w:r>
        <w:rPr>
          <w:sz w:val="20"/>
          <w:szCs w:val="20"/>
        </w:rPr>
        <w:t>(</w:t>
      </w:r>
      <w:r>
        <w:rPr>
          <w:sz w:val="20"/>
          <w:szCs w:val="20"/>
        </w:rPr>
        <w:t>15.</w:t>
      </w:r>
      <w:r>
        <w:rPr>
          <w:sz w:val="20"/>
          <w:szCs w:val="20"/>
        </w:rPr>
        <w:t>9</w:t>
      </w:r>
      <w:r>
        <w:rPr>
          <w:sz w:val="20"/>
          <w:szCs w:val="20"/>
        </w:rPr>
        <w:t>)</w:t>
      </w:r>
      <w:r>
        <w:rPr>
          <w:sz w:val="20"/>
          <w:szCs w:val="20"/>
        </w:rPr>
        <w:t>%</w:t>
      </w:r>
      <w:r>
        <w:rPr>
          <w:sz w:val="20"/>
          <w:szCs w:val="20"/>
        </w:rPr>
        <w:t xml:space="preserve"> for the three</w:t>
      </w:r>
      <w:r>
        <w:rPr>
          <w:sz w:val="20"/>
          <w:szCs w:val="20"/>
        </w:rPr>
        <w:t xml:space="preserve"> and six months ended June 30, 202</w:t>
      </w:r>
      <w:r>
        <w:rPr>
          <w:sz w:val="20"/>
          <w:szCs w:val="20"/>
        </w:rPr>
        <w:t>2</w:t>
      </w:r>
      <w:r>
        <w:rPr>
          <w:sz w:val="20"/>
          <w:szCs w:val="20"/>
        </w:rPr>
        <w:t>, respectively, and</w:t>
      </w:r>
      <w:r>
        <w:rPr>
          <w:sz w:val="20"/>
          <w:szCs w:val="20"/>
        </w:rPr>
        <w:t xml:space="preserve"> </w:t>
      </w:r>
      <w:r>
        <w:rPr>
          <w:sz w:val="20"/>
          <w:szCs w:val="20"/>
        </w:rPr>
        <w:t>1.</w:t>
      </w:r>
      <w:r>
        <w:rPr>
          <w:sz w:val="20"/>
          <w:szCs w:val="20"/>
        </w:rPr>
        <w:t>8</w:t>
      </w:r>
      <w:r>
        <w:rPr>
          <w:sz w:val="20"/>
          <w:szCs w:val="20"/>
        </w:rPr>
        <w:t>% and</w:t>
      </w:r>
      <w:r>
        <w:rPr>
          <w:sz w:val="20"/>
          <w:szCs w:val="20"/>
        </w:rPr>
        <w:t xml:space="preserve"> </w:t>
      </w:r>
      <w:r>
        <w:rPr>
          <w:sz w:val="20"/>
          <w:szCs w:val="20"/>
        </w:rPr>
        <w:t>1.</w:t>
      </w:r>
      <w:r>
        <w:rPr>
          <w:sz w:val="20"/>
          <w:szCs w:val="20"/>
        </w:rPr>
        <w:t>0</w:t>
      </w:r>
      <w:r>
        <w:rPr>
          <w:sz w:val="20"/>
          <w:szCs w:val="20"/>
        </w:rPr>
        <w:t>% for the</w:t>
      </w:r>
      <w:r>
        <w:rPr>
          <w:sz w:val="20"/>
          <w:szCs w:val="20"/>
        </w:rPr>
        <w:t xml:space="preserve"> </w:t>
      </w:r>
      <w:r>
        <w:rPr>
          <w:sz w:val="20"/>
          <w:szCs w:val="20"/>
        </w:rPr>
        <w:t xml:space="preserve">three and six months ended June 30, 2021, respectively. Income tax expense recorded by the Company during the three and six months ended June 30, 2022 was </w:t>
      </w:r>
      <w:r>
        <w:rPr>
          <w:sz w:val="20"/>
          <w:szCs w:val="20"/>
        </w:rPr>
        <w:t>$</w:t>
      </w:r>
      <w:r>
        <w:rPr>
          <w:sz w:val="20"/>
          <w:szCs w:val="20"/>
        </w:rPr>
        <w:t>0.</w:t>
      </w:r>
      <w:r>
        <w:rPr>
          <w:sz w:val="20"/>
          <w:szCs w:val="20"/>
        </w:rPr>
        <w:t>8</w:t>
      </w:r>
      <w:r>
        <w:rPr>
          <w:sz w:val="20"/>
          <w:szCs w:val="20"/>
        </w:rPr>
        <w:t xml:space="preserve"> million and </w:t>
      </w:r>
      <w:r>
        <w:rPr>
          <w:sz w:val="20"/>
          <w:szCs w:val="20"/>
        </w:rPr>
        <w:t>$</w:t>
      </w:r>
      <w:r>
        <w:rPr>
          <w:sz w:val="20"/>
          <w:szCs w:val="20"/>
        </w:rPr>
        <w:t>2.</w:t>
      </w:r>
      <w:r>
        <w:rPr>
          <w:sz w:val="20"/>
          <w:szCs w:val="20"/>
        </w:rPr>
        <w:t>1</w:t>
      </w:r>
      <w:r>
        <w:rPr>
          <w:sz w:val="20"/>
          <w:szCs w:val="20"/>
        </w:rPr>
        <w:t xml:space="preserve"> mi</w:t>
      </w:r>
      <w:r>
        <w:rPr>
          <w:sz w:val="20"/>
          <w:szCs w:val="20"/>
        </w:rPr>
        <w:t>llion, respectively. The income tax (benefit) recorded by the Company during the three and six months ended June 30, 202</w:t>
      </w:r>
      <w:r>
        <w:rPr>
          <w:sz w:val="20"/>
          <w:szCs w:val="20"/>
        </w:rPr>
        <w:t>1</w:t>
      </w:r>
      <w:r>
        <w:rPr>
          <w:sz w:val="20"/>
          <w:szCs w:val="20"/>
        </w:rPr>
        <w:t xml:space="preserve"> was $</w:t>
      </w:r>
      <w:r>
        <w:rPr>
          <w:sz w:val="20"/>
          <w:szCs w:val="20"/>
        </w:rPr>
        <w:t>(</w:t>
      </w:r>
      <w:r>
        <w:rPr>
          <w:sz w:val="20"/>
          <w:szCs w:val="20"/>
        </w:rPr>
        <w:t>0.</w:t>
      </w:r>
      <w:r>
        <w:rPr>
          <w:sz w:val="20"/>
          <w:szCs w:val="20"/>
        </w:rPr>
        <w:t>3</w:t>
      </w:r>
      <w:r>
        <w:rPr>
          <w:sz w:val="20"/>
          <w:szCs w:val="20"/>
        </w:rPr>
        <w:t>) million in both periods. The difference between the ETR and federal statutory rate of</w:t>
      </w:r>
      <w:r>
        <w:rPr>
          <w:sz w:val="20"/>
          <w:szCs w:val="20"/>
        </w:rPr>
        <w:t xml:space="preserve"> </w:t>
      </w:r>
      <w:r>
        <w:rPr>
          <w:sz w:val="20"/>
          <w:szCs w:val="20"/>
        </w:rPr>
        <w:t>21.</w:t>
      </w:r>
      <w:r>
        <w:rPr>
          <w:sz w:val="20"/>
          <w:szCs w:val="20"/>
        </w:rPr>
        <w:t>0</w:t>
      </w:r>
      <w:r>
        <w:rPr>
          <w:sz w:val="20"/>
          <w:szCs w:val="20"/>
        </w:rPr>
        <w:t>% is primarily attributable to it</w:t>
      </w:r>
      <w:r>
        <w:rPr>
          <w:sz w:val="20"/>
          <w:szCs w:val="20"/>
        </w:rPr>
        <w:t>ems recorded for U.S. GAAP but permanently disallowed for U.S. federal income tax purposes, recognition of a U.S. federal and state valuation allowance and state and foreign income tax provisions</w:t>
      </w:r>
      <w:r>
        <w:rPr>
          <w:sz w:val="20"/>
          <w:szCs w:val="20"/>
        </w:rPr>
        <w:t>.</w:t>
      </w:r>
    </w:p>
    <w:p w:rsidR="00000000" w:rsidRDefault="00F55F16">
      <w:pPr>
        <w:pStyle w:val="a3"/>
        <w:spacing w:before="240" w:beforeAutospacing="0" w:after="0" w:afterAutospacing="0"/>
        <w:ind w:firstLine="555"/>
        <w:divId w:val="2106682784"/>
        <w:rPr>
          <w:sz w:val="20"/>
          <w:szCs w:val="20"/>
        </w:rPr>
      </w:pPr>
      <w:r>
        <w:rPr>
          <w:sz w:val="20"/>
          <w:szCs w:val="20"/>
        </w:rPr>
        <w:t>A valuation allowance is recorded when it is more-likely-th</w:t>
      </w:r>
      <w:r>
        <w:rPr>
          <w:sz w:val="20"/>
          <w:szCs w:val="20"/>
        </w:rPr>
        <w:t>an-not some of the Company’s deferred tax assets may not be realized. Significant judgment is applied when assessing the need for a valuation allowance and the Company considers future taxabl</w:t>
      </w:r>
      <w:r>
        <w:rPr>
          <w:sz w:val="20"/>
          <w:szCs w:val="20"/>
        </w:rPr>
        <w:t>e</w:t>
      </w:r>
      <w:r>
        <w:rPr>
          <w:sz w:val="20"/>
          <w:szCs w:val="20"/>
        </w:rPr>
        <w:t xml:space="preserve"> </w:t>
      </w:r>
    </w:p>
    <w:p w:rsidR="00000000" w:rsidRDefault="00F55F16">
      <w:pPr>
        <w:pStyle w:val="a3"/>
        <w:spacing w:before="240" w:beforeAutospacing="0" w:after="0" w:afterAutospacing="0"/>
        <w:jc w:val="center"/>
        <w:divId w:val="2106682784"/>
        <w:rPr>
          <w:sz w:val="20"/>
          <w:szCs w:val="20"/>
        </w:rPr>
      </w:pPr>
      <w:r>
        <w:rPr>
          <w:sz w:val="20"/>
          <w:szCs w:val="20"/>
        </w:rPr>
        <w:t>1</w:t>
      </w:r>
      <w:r>
        <w:rPr>
          <w:sz w:val="20"/>
          <w:szCs w:val="20"/>
        </w:rPr>
        <w:t>5</w:t>
      </w:r>
    </w:p>
    <w:p w:rsidR="00000000" w:rsidRDefault="00F55F16">
      <w:pPr>
        <w:divId w:val="2106682784"/>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F55F16">
      <w:pPr>
        <w:pStyle w:val="a3"/>
        <w:spacing w:before="0" w:beforeAutospacing="0" w:after="0" w:afterAutospacing="0"/>
        <w:divId w:val="2106682784"/>
        <w:rPr>
          <w:sz w:val="20"/>
          <w:szCs w:val="20"/>
        </w:rPr>
      </w:pPr>
      <w:r>
        <w:rPr>
          <w:sz w:val="20"/>
          <w:szCs w:val="20"/>
        </w:rPr>
        <w:t> </w:t>
      </w:r>
    </w:p>
    <w:p w:rsidR="00000000" w:rsidRDefault="00F55F16">
      <w:pPr>
        <w:pStyle w:val="a3"/>
        <w:spacing w:before="240" w:beforeAutospacing="0" w:after="0" w:afterAutospacing="0"/>
        <w:divId w:val="2106682784"/>
        <w:rPr>
          <w:sz w:val="20"/>
          <w:szCs w:val="20"/>
        </w:rPr>
      </w:pPr>
      <w:r>
        <w:rPr>
          <w:sz w:val="20"/>
          <w:szCs w:val="20"/>
        </w:rPr>
        <w:t>income, reversals of</w:t>
      </w:r>
      <w:r>
        <w:rPr>
          <w:sz w:val="20"/>
          <w:szCs w:val="20"/>
        </w:rPr>
        <w:t xml:space="preserve"> existing deferred tax assets and liabilities and ongoing prudent and feasible tax planning strategies, in making such assessment. As of June 30, 2022, the Company’s U.S. federal, state and various foreign net deferred tax assets are not more-likely-than-n</w:t>
      </w:r>
      <w:r>
        <w:rPr>
          <w:sz w:val="20"/>
          <w:szCs w:val="20"/>
        </w:rPr>
        <w:t>ot to be realized and a full valuation allowance is maintained</w:t>
      </w:r>
      <w:r>
        <w:rPr>
          <w:sz w:val="20"/>
          <w:szCs w:val="20"/>
        </w:rPr>
        <w:t>.</w:t>
      </w:r>
    </w:p>
    <w:p w:rsidR="00000000" w:rsidRDefault="00F55F16">
      <w:pPr>
        <w:pStyle w:val="a3"/>
        <w:spacing w:before="240" w:beforeAutospacing="0" w:after="0" w:afterAutospacing="0"/>
        <w:ind w:firstLine="555"/>
        <w:divId w:val="2106682784"/>
        <w:rPr>
          <w:sz w:val="20"/>
          <w:szCs w:val="20"/>
        </w:rPr>
      </w:pPr>
      <w:r>
        <w:rPr>
          <w:sz w:val="20"/>
          <w:szCs w:val="20"/>
        </w:rPr>
        <w:t>The Company records uncertain tax positions in accordance with ASC 740, on the basis of a two-step process in which (i) the Company determines whether it is more likely than not a tax position</w:t>
      </w:r>
      <w:r>
        <w:rPr>
          <w:sz w:val="20"/>
          <w:szCs w:val="20"/>
        </w:rPr>
        <w:t xml:space="preserve"> will be sustained on the basis of the technical merits of such position and (ii) for those tax positions meeting the more-likely-than-not recognition threshold, the Company would recognize the largest amount of tax benefit that is more than 50.0% likely t</w:t>
      </w:r>
      <w:r>
        <w:rPr>
          <w:sz w:val="20"/>
          <w:szCs w:val="20"/>
        </w:rPr>
        <w:t>o be realized upon ultimate settlement with the related tax authority. The Company has determined it has</w:t>
      </w:r>
      <w:r>
        <w:rPr>
          <w:sz w:val="20"/>
          <w:szCs w:val="20"/>
        </w:rPr>
        <w:t xml:space="preserve"> </w:t>
      </w:r>
      <w:r>
        <w:rPr>
          <w:sz w:val="20"/>
          <w:szCs w:val="20"/>
        </w:rPr>
        <w:t>n</w:t>
      </w:r>
      <w:r>
        <w:rPr>
          <w:sz w:val="20"/>
          <w:szCs w:val="20"/>
        </w:rPr>
        <w:t>o</w:t>
      </w:r>
      <w:r>
        <w:rPr>
          <w:sz w:val="20"/>
          <w:szCs w:val="20"/>
        </w:rPr>
        <w:t xml:space="preserve"> uncertain tax positions as of</w:t>
      </w:r>
      <w:r>
        <w:rPr>
          <w:sz w:val="20"/>
          <w:szCs w:val="20"/>
        </w:rPr>
        <w:t xml:space="preserve"> </w:t>
      </w:r>
      <w:r>
        <w:rPr>
          <w:sz w:val="20"/>
          <w:szCs w:val="20"/>
        </w:rPr>
        <w:t>June 30, 202</w:t>
      </w:r>
      <w:r>
        <w:rPr>
          <w:sz w:val="20"/>
          <w:szCs w:val="20"/>
        </w:rPr>
        <w:t>2</w:t>
      </w:r>
      <w:r>
        <w:rPr>
          <w:sz w:val="20"/>
          <w:szCs w:val="20"/>
        </w:rPr>
        <w:t>. The Company classifies interest and penalties recognized on uncertain tax positions as a component of i</w:t>
      </w:r>
      <w:r>
        <w:rPr>
          <w:sz w:val="20"/>
          <w:szCs w:val="20"/>
        </w:rPr>
        <w:t>ncome tax expense</w:t>
      </w:r>
      <w:r>
        <w:rPr>
          <w:sz w:val="20"/>
          <w:szCs w:val="20"/>
        </w:rPr>
        <w:t>.</w:t>
      </w:r>
    </w:p>
    <w:p w:rsidR="00000000" w:rsidRDefault="00F55F16">
      <w:pPr>
        <w:pStyle w:val="a3"/>
        <w:spacing w:before="360" w:beforeAutospacing="0" w:after="0" w:afterAutospacing="0"/>
        <w:divId w:val="90975521"/>
        <w:rPr>
          <w:sz w:val="20"/>
          <w:szCs w:val="20"/>
        </w:rPr>
      </w:pPr>
      <w:r>
        <w:rPr>
          <w:b/>
          <w:bCs/>
          <w:sz w:val="20"/>
          <w:szCs w:val="20"/>
        </w:rPr>
        <w:t>12. DEB</w:t>
      </w:r>
      <w:r>
        <w:rPr>
          <w:b/>
          <w:bCs/>
          <w:sz w:val="20"/>
          <w:szCs w:val="20"/>
        </w:rPr>
        <w:t>T</w:t>
      </w:r>
    </w:p>
    <w:p w:rsidR="00000000" w:rsidRDefault="00F55F16">
      <w:pPr>
        <w:pStyle w:val="a3"/>
        <w:spacing w:before="240" w:beforeAutospacing="0" w:after="0" w:afterAutospacing="0"/>
        <w:ind w:firstLine="555"/>
        <w:divId w:val="69230622"/>
        <w:rPr>
          <w:sz w:val="20"/>
          <w:szCs w:val="20"/>
        </w:rPr>
      </w:pPr>
      <w:r>
        <w:rPr>
          <w:sz w:val="20"/>
          <w:szCs w:val="20"/>
        </w:rPr>
        <w:t>Debt consisted of the following</w:t>
      </w:r>
      <w:r>
        <w:rPr>
          <w:sz w:val="20"/>
          <w:szCs w:val="20"/>
        </w:rPr>
        <w:t>:</w:t>
      </w:r>
    </w:p>
    <w:p w:rsidR="00000000" w:rsidRDefault="00F55F16">
      <w:pPr>
        <w:pStyle w:val="a3"/>
        <w:spacing w:before="0" w:beforeAutospacing="0" w:after="0" w:afterAutospacing="0"/>
        <w:divId w:val="69230622"/>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93"/>
        <w:gridCol w:w="133"/>
        <w:gridCol w:w="150"/>
        <w:gridCol w:w="1234"/>
        <w:gridCol w:w="120"/>
        <w:gridCol w:w="133"/>
        <w:gridCol w:w="151"/>
        <w:gridCol w:w="1265"/>
        <w:gridCol w:w="135"/>
      </w:tblGrid>
      <w:tr w:rsidR="00000000">
        <w:trPr>
          <w:divId w:val="69230622"/>
          <w:tblCellSpacing w:w="15" w:type="dxa"/>
        </w:trPr>
        <w:tc>
          <w:tcPr>
            <w:tcW w:w="2255" w:type="pct"/>
            <w:vAlign w:val="center"/>
            <w:hideMark/>
          </w:tcPr>
          <w:p w:rsidR="00000000" w:rsidRDefault="00F55F16">
            <w:pPr>
              <w:rPr>
                <w:sz w:val="20"/>
                <w:szCs w:val="20"/>
              </w:rPr>
            </w:pPr>
          </w:p>
        </w:tc>
        <w:tc>
          <w:tcPr>
            <w:tcW w:w="13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12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1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692306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692306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692306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Term loan facilit</w:t>
            </w:r>
            <w:r>
              <w:rPr>
                <w:sz w:val="18"/>
                <w:szCs w:val="18"/>
              </w:rPr>
              <w:t>y</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168,43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175,00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692306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Revolving line of credi</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692306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Less deferred debt issuance cost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1,98</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2,24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692306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Total deb</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166,45</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172,75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692306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Less current portion of long-term deb</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8,75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10,93</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692306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Long-term debt, less current portio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157,70</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161,81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90975521"/>
        <w:rPr>
          <w:sz w:val="20"/>
          <w:szCs w:val="20"/>
        </w:rPr>
      </w:pPr>
      <w:r>
        <w:rPr>
          <w:b/>
          <w:bCs/>
          <w:sz w:val="20"/>
          <w:szCs w:val="20"/>
        </w:rPr>
        <w:t>Deferred Financing Cost</w:t>
      </w:r>
      <w:r>
        <w:rPr>
          <w:b/>
          <w:bCs/>
          <w:sz w:val="20"/>
          <w:szCs w:val="20"/>
        </w:rPr>
        <w:t>s</w:t>
      </w:r>
      <w:r>
        <w:rPr>
          <w:sz w:val="20"/>
          <w:szCs w:val="20"/>
        </w:rPr>
        <w:t>—Costs relating to debt issuance have been deferred and are presented as discounted against the underlying debt instrument. These costs are amortized to interest expense over the terms of the underlying debt instruments</w:t>
      </w:r>
      <w:r>
        <w:rPr>
          <w:sz w:val="20"/>
          <w:szCs w:val="20"/>
        </w:rPr>
        <w:t>.</w:t>
      </w:r>
    </w:p>
    <w:p w:rsidR="00000000" w:rsidRDefault="00F55F16">
      <w:pPr>
        <w:pStyle w:val="a3"/>
        <w:spacing w:before="240" w:beforeAutospacing="0" w:after="0" w:afterAutospacing="0"/>
        <w:ind w:firstLine="555"/>
        <w:divId w:val="90975521"/>
        <w:rPr>
          <w:sz w:val="20"/>
          <w:szCs w:val="20"/>
        </w:rPr>
      </w:pPr>
      <w:r>
        <w:rPr>
          <w:b/>
          <w:bCs/>
          <w:sz w:val="20"/>
          <w:szCs w:val="20"/>
        </w:rPr>
        <w:t>2021 Credit</w:t>
      </w:r>
      <w:r>
        <w:rPr>
          <w:b/>
          <w:bCs/>
          <w:sz w:val="20"/>
          <w:szCs w:val="20"/>
        </w:rPr>
        <w:t xml:space="preserve"> Facilit</w:t>
      </w:r>
      <w:r>
        <w:rPr>
          <w:b/>
          <w:bCs/>
          <w:sz w:val="20"/>
          <w:szCs w:val="20"/>
        </w:rPr>
        <w:t>y</w:t>
      </w:r>
      <w:r>
        <w:rPr>
          <w:sz w:val="20"/>
          <w:szCs w:val="20"/>
        </w:rPr>
        <w:t>—On April 27, 202</w:t>
      </w:r>
      <w:r>
        <w:rPr>
          <w:sz w:val="20"/>
          <w:szCs w:val="20"/>
        </w:rPr>
        <w:t>1</w:t>
      </w:r>
      <w:r>
        <w:rPr>
          <w:sz w:val="20"/>
          <w:szCs w:val="20"/>
        </w:rPr>
        <w:t xml:space="preserve">, the Company entered into a Senior Secured Credit Agreement providing for a </w:t>
      </w:r>
      <w:r>
        <w:rPr>
          <w:sz w:val="20"/>
          <w:szCs w:val="20"/>
        </w:rPr>
        <w:t>$</w:t>
      </w:r>
      <w:r>
        <w:rPr>
          <w:sz w:val="20"/>
          <w:szCs w:val="20"/>
        </w:rPr>
        <w:t>300.</w:t>
      </w:r>
      <w:r>
        <w:rPr>
          <w:sz w:val="20"/>
          <w:szCs w:val="20"/>
        </w:rPr>
        <w:t>0</w:t>
      </w:r>
      <w:r>
        <w:rPr>
          <w:sz w:val="20"/>
          <w:szCs w:val="20"/>
        </w:rPr>
        <w:t xml:space="preserve"> million credit facility comprised of a </w:t>
      </w:r>
      <w:r>
        <w:rPr>
          <w:sz w:val="20"/>
          <w:szCs w:val="20"/>
        </w:rPr>
        <w:t>$</w:t>
      </w:r>
      <w:r>
        <w:rPr>
          <w:sz w:val="20"/>
          <w:szCs w:val="20"/>
        </w:rPr>
        <w:t>175.</w:t>
      </w:r>
      <w:r>
        <w:rPr>
          <w:sz w:val="20"/>
          <w:szCs w:val="20"/>
        </w:rPr>
        <w:t>0</w:t>
      </w:r>
      <w:r>
        <w:rPr>
          <w:sz w:val="20"/>
          <w:szCs w:val="20"/>
        </w:rPr>
        <w:t xml:space="preserve"> million term loan and a </w:t>
      </w:r>
      <w:r>
        <w:rPr>
          <w:sz w:val="20"/>
          <w:szCs w:val="20"/>
        </w:rPr>
        <w:t>$</w:t>
      </w:r>
      <w:r>
        <w:rPr>
          <w:sz w:val="20"/>
          <w:szCs w:val="20"/>
        </w:rPr>
        <w:t>125.</w:t>
      </w:r>
      <w:r>
        <w:rPr>
          <w:sz w:val="20"/>
          <w:szCs w:val="20"/>
        </w:rPr>
        <w:t>0</w:t>
      </w:r>
      <w:r>
        <w:rPr>
          <w:sz w:val="20"/>
          <w:szCs w:val="20"/>
        </w:rPr>
        <w:t xml:space="preserve"> million revolving line of credit (the “2021 Credit Facility”), and u</w:t>
      </w:r>
      <w:r>
        <w:rPr>
          <w:sz w:val="20"/>
          <w:szCs w:val="20"/>
        </w:rPr>
        <w:t xml:space="preserve">sed a portion of the proceeds from the 2021 Credit Facility to repay all amounts outstanding under the 2020 Credit Facility (as defined below). The 2021 revolving credit facility includes a </w:t>
      </w:r>
      <w:r>
        <w:rPr>
          <w:sz w:val="20"/>
          <w:szCs w:val="20"/>
        </w:rPr>
        <w:t>$</w:t>
      </w:r>
      <w:r>
        <w:rPr>
          <w:sz w:val="20"/>
          <w:szCs w:val="20"/>
        </w:rPr>
        <w:t>20.</w:t>
      </w:r>
      <w:r>
        <w:rPr>
          <w:sz w:val="20"/>
          <w:szCs w:val="20"/>
        </w:rPr>
        <w:t>0</w:t>
      </w:r>
      <w:r>
        <w:rPr>
          <w:sz w:val="20"/>
          <w:szCs w:val="20"/>
        </w:rPr>
        <w:t xml:space="preserve"> million sublimit for the issuance of letters of credit. Subj</w:t>
      </w:r>
      <w:r>
        <w:rPr>
          <w:sz w:val="20"/>
          <w:szCs w:val="20"/>
        </w:rPr>
        <w:t>ect to certain exceptions, all amounts under the 2021 Credit Facility will become due on</w:t>
      </w:r>
      <w:r>
        <w:rPr>
          <w:sz w:val="20"/>
          <w:szCs w:val="20"/>
        </w:rPr>
        <w:t xml:space="preserve"> </w:t>
      </w:r>
      <w:r>
        <w:rPr>
          <w:sz w:val="20"/>
          <w:szCs w:val="20"/>
        </w:rPr>
        <w:t>April 27, 202</w:t>
      </w:r>
      <w:r>
        <w:rPr>
          <w:sz w:val="20"/>
          <w:szCs w:val="20"/>
        </w:rPr>
        <w:t>6</w:t>
      </w:r>
      <w:r>
        <w:rPr>
          <w:sz w:val="20"/>
          <w:szCs w:val="20"/>
        </w:rPr>
        <w:t xml:space="preserve">. The Company has the option to borrow incremental term loans or request an increase in the aggregate commitments under the revolving credit facility up </w:t>
      </w:r>
      <w:r>
        <w:rPr>
          <w:sz w:val="20"/>
          <w:szCs w:val="20"/>
        </w:rPr>
        <w:t xml:space="preserve">to an aggregate amount of </w:t>
      </w:r>
      <w:r>
        <w:rPr>
          <w:sz w:val="20"/>
          <w:szCs w:val="20"/>
        </w:rPr>
        <w:t>$</w:t>
      </w:r>
      <w:r>
        <w:rPr>
          <w:sz w:val="20"/>
          <w:szCs w:val="20"/>
        </w:rPr>
        <w:t>150.</w:t>
      </w:r>
      <w:r>
        <w:rPr>
          <w:sz w:val="20"/>
          <w:szCs w:val="20"/>
        </w:rPr>
        <w:t>0</w:t>
      </w:r>
      <w:r>
        <w:rPr>
          <w:sz w:val="20"/>
          <w:szCs w:val="20"/>
        </w:rPr>
        <w:t xml:space="preserve"> million subject to the satisfaction of certain conditions</w:t>
      </w:r>
      <w:r>
        <w:rPr>
          <w:sz w:val="20"/>
          <w:szCs w:val="20"/>
        </w:rPr>
        <w:t>.</w:t>
      </w:r>
      <w:r>
        <w:rPr>
          <w:sz w:val="20"/>
          <w:szCs w:val="20"/>
        </w:rPr>
        <w:t xml:space="preserve"> </w:t>
      </w:r>
    </w:p>
    <w:p w:rsidR="00000000" w:rsidRDefault="00F55F16">
      <w:pPr>
        <w:pStyle w:val="a3"/>
        <w:spacing w:before="240" w:beforeAutospacing="0" w:after="0" w:afterAutospacing="0"/>
        <w:ind w:firstLine="555"/>
        <w:divId w:val="351342123"/>
        <w:rPr>
          <w:sz w:val="20"/>
          <w:szCs w:val="20"/>
        </w:rPr>
      </w:pPr>
      <w:r>
        <w:rPr>
          <w:sz w:val="20"/>
          <w:szCs w:val="20"/>
        </w:rPr>
        <w:t>The 2021 Credit Facility term loan must be repaid in quarterly installments and shall amortize at the following future quarterly rates</w:t>
      </w:r>
      <w:r>
        <w:rPr>
          <w:sz w:val="20"/>
          <w:szCs w:val="20"/>
        </w:rPr>
        <w:t>:</w:t>
      </w:r>
    </w:p>
    <w:p w:rsidR="00000000" w:rsidRDefault="00F55F16">
      <w:pPr>
        <w:pStyle w:val="a3"/>
        <w:spacing w:before="0" w:beforeAutospacing="0" w:after="0" w:afterAutospacing="0"/>
        <w:divId w:val="351342123"/>
        <w:rPr>
          <w:sz w:val="20"/>
          <w:szCs w:val="20"/>
        </w:rPr>
      </w:pPr>
      <w:r>
        <w:rPr>
          <w:sz w:val="20"/>
          <w:szCs w:val="20"/>
        </w:rPr>
        <w:t> </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527"/>
        <w:gridCol w:w="1795"/>
      </w:tblGrid>
      <w:tr w:rsidR="00000000">
        <w:trPr>
          <w:divId w:val="351342123"/>
          <w:tblCellSpacing w:w="15" w:type="dxa"/>
        </w:trPr>
        <w:tc>
          <w:tcPr>
            <w:tcW w:w="2293" w:type="pct"/>
            <w:vAlign w:val="center"/>
            <w:hideMark/>
          </w:tcPr>
          <w:p w:rsidR="00000000" w:rsidRDefault="00F55F16">
            <w:pPr>
              <w:rPr>
                <w:sz w:val="20"/>
                <w:szCs w:val="20"/>
              </w:rPr>
            </w:pPr>
          </w:p>
        </w:tc>
        <w:tc>
          <w:tcPr>
            <w:tcW w:w="2707" w:type="pct"/>
            <w:vAlign w:val="center"/>
            <w:hideMark/>
          </w:tcPr>
          <w:p w:rsidR="00000000" w:rsidRDefault="00F55F16">
            <w:pPr>
              <w:rPr>
                <w:rFonts w:eastAsia="Times New Roman"/>
                <w:sz w:val="20"/>
                <w:szCs w:val="20"/>
              </w:rPr>
            </w:pP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Dat</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Quarterly Installment Rat</w:t>
            </w:r>
            <w:r>
              <w:rPr>
                <w:b/>
                <w:bCs/>
                <w:sz w:val="18"/>
                <w:szCs w:val="18"/>
              </w:rPr>
              <w:t>e</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September 30, 202</w:t>
            </w:r>
            <w:r>
              <w:rPr>
                <w:sz w:val="18"/>
                <w:szCs w:val="18"/>
              </w:rPr>
              <w:t>2</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December 31, 202</w:t>
            </w:r>
            <w:r>
              <w:rPr>
                <w:sz w:val="18"/>
                <w:szCs w:val="18"/>
              </w:rPr>
              <w:t>2</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March 31, 202</w:t>
            </w:r>
            <w:r>
              <w:rPr>
                <w:sz w:val="18"/>
                <w:szCs w:val="18"/>
              </w:rPr>
              <w:t>3</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June 30, 202</w:t>
            </w:r>
            <w:r>
              <w:rPr>
                <w:sz w:val="18"/>
                <w:szCs w:val="18"/>
              </w:rPr>
              <w:t>3</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September 30, 202</w:t>
            </w:r>
            <w:r>
              <w:rPr>
                <w:sz w:val="18"/>
                <w:szCs w:val="18"/>
              </w:rPr>
              <w:t>3</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1.2</w:t>
            </w:r>
            <w:r>
              <w:rPr>
                <w:sz w:val="18"/>
                <w:szCs w:val="18"/>
              </w:rPr>
              <w:t>5</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December 31, 202</w:t>
            </w:r>
            <w:r>
              <w:rPr>
                <w:sz w:val="18"/>
                <w:szCs w:val="18"/>
              </w:rPr>
              <w:t>3</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March 31, 202</w:t>
            </w:r>
            <w:r>
              <w:rPr>
                <w:sz w:val="18"/>
                <w:szCs w:val="18"/>
              </w:rPr>
              <w:t>4</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June 30, 202</w:t>
            </w:r>
            <w:r>
              <w:rPr>
                <w:sz w:val="18"/>
                <w:szCs w:val="18"/>
              </w:rPr>
              <w:t>4</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September 30, 202</w:t>
            </w:r>
            <w:r>
              <w:rPr>
                <w:sz w:val="18"/>
                <w:szCs w:val="18"/>
              </w:rPr>
              <w:t>4</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December 31, 202</w:t>
            </w:r>
            <w:r>
              <w:rPr>
                <w:sz w:val="18"/>
                <w:szCs w:val="18"/>
              </w:rPr>
              <w:t>4</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March 31, 202</w:t>
            </w:r>
            <w:r>
              <w:rPr>
                <w:sz w:val="18"/>
                <w:szCs w:val="18"/>
              </w:rPr>
              <w:t>5</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June 30, 202</w:t>
            </w:r>
            <w:r>
              <w:rPr>
                <w:sz w:val="18"/>
                <w:szCs w:val="18"/>
              </w:rPr>
              <w:t>5</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September 30, 202</w:t>
            </w:r>
            <w:r>
              <w:rPr>
                <w:sz w:val="18"/>
                <w:szCs w:val="18"/>
              </w:rPr>
              <w:t>5</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1.8</w:t>
            </w:r>
            <w:r>
              <w:rPr>
                <w:sz w:val="18"/>
                <w:szCs w:val="18"/>
              </w:rPr>
              <w:t>8</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December 31, 202</w:t>
            </w:r>
            <w:r>
              <w:rPr>
                <w:sz w:val="18"/>
                <w:szCs w:val="18"/>
              </w:rPr>
              <w:t>5</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2.5</w:t>
            </w:r>
            <w:r>
              <w:rPr>
                <w:sz w:val="18"/>
                <w:szCs w:val="18"/>
              </w:rPr>
              <w:t>0</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March 31, 202</w:t>
            </w:r>
            <w:r>
              <w:rPr>
                <w:sz w:val="18"/>
                <w:szCs w:val="18"/>
              </w:rPr>
              <w:t>6</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2.5</w:t>
            </w:r>
            <w:r>
              <w:rPr>
                <w:sz w:val="18"/>
                <w:szCs w:val="18"/>
              </w:rPr>
              <w:t>0</w:t>
            </w:r>
            <w:r>
              <w:rPr>
                <w:sz w:val="18"/>
                <w:szCs w:val="18"/>
              </w:rPr>
              <w:t>%</w:t>
            </w:r>
          </w:p>
        </w:tc>
      </w:tr>
      <w:tr w:rsidR="00000000">
        <w:trPr>
          <w:divId w:val="35134212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April 27, 202</w:t>
            </w:r>
            <w:r>
              <w:rPr>
                <w:sz w:val="18"/>
                <w:szCs w:val="18"/>
              </w:rPr>
              <w:t>6</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Remaining balanc</w:t>
            </w:r>
            <w:r>
              <w:rPr>
                <w:sz w:val="18"/>
                <w:szCs w:val="18"/>
              </w:rPr>
              <w:t>e</w:t>
            </w:r>
          </w:p>
        </w:tc>
      </w:tr>
    </w:tbl>
    <w:p w:rsidR="00000000" w:rsidRDefault="00F55F16">
      <w:pPr>
        <w:pStyle w:val="a3"/>
        <w:spacing w:before="0" w:beforeAutospacing="0" w:after="0" w:afterAutospacing="0"/>
        <w:divId w:val="351342123"/>
        <w:rPr>
          <w:sz w:val="20"/>
          <w:szCs w:val="20"/>
        </w:rPr>
      </w:pPr>
      <w:r>
        <w:rPr>
          <w:sz w:val="20"/>
          <w:szCs w:val="20"/>
        </w:rPr>
        <w:t> </w:t>
      </w:r>
    </w:p>
    <w:p w:rsidR="00000000" w:rsidRDefault="00F55F16">
      <w:pPr>
        <w:pStyle w:val="a3"/>
        <w:spacing w:before="240" w:beforeAutospacing="0" w:after="0" w:afterAutospacing="0"/>
        <w:jc w:val="center"/>
        <w:divId w:val="351342123"/>
        <w:rPr>
          <w:sz w:val="20"/>
          <w:szCs w:val="20"/>
        </w:rPr>
      </w:pPr>
      <w:r>
        <w:rPr>
          <w:sz w:val="20"/>
          <w:szCs w:val="20"/>
        </w:rPr>
        <w:t>1</w:t>
      </w:r>
      <w:r>
        <w:rPr>
          <w:sz w:val="20"/>
          <w:szCs w:val="20"/>
        </w:rPr>
        <w:t>6</w:t>
      </w:r>
    </w:p>
    <w:p w:rsidR="00000000" w:rsidRDefault="00F55F16">
      <w:pPr>
        <w:divId w:val="351342123"/>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F55F16">
      <w:pPr>
        <w:pStyle w:val="a3"/>
        <w:spacing w:before="0" w:beforeAutospacing="0" w:after="0" w:afterAutospacing="0"/>
        <w:divId w:val="351342123"/>
        <w:rPr>
          <w:sz w:val="20"/>
          <w:szCs w:val="20"/>
        </w:rPr>
      </w:pPr>
      <w:r>
        <w:rPr>
          <w:sz w:val="20"/>
          <w:szCs w:val="20"/>
        </w:rPr>
        <w:t> </w:t>
      </w:r>
    </w:p>
    <w:p w:rsidR="00000000" w:rsidRDefault="00F55F16">
      <w:pPr>
        <w:pStyle w:val="a3"/>
        <w:spacing w:before="240" w:beforeAutospacing="0" w:after="0" w:afterAutospacing="0"/>
        <w:ind w:firstLine="555"/>
        <w:divId w:val="90975521"/>
        <w:rPr>
          <w:sz w:val="20"/>
          <w:szCs w:val="20"/>
        </w:rPr>
      </w:pPr>
      <w:r>
        <w:rPr>
          <w:sz w:val="20"/>
          <w:szCs w:val="20"/>
        </w:rPr>
        <w:t>Repayments of quarterly installments were scheduled to begin with the quarter ended December 31, 2021.</w:t>
      </w:r>
      <w:r>
        <w:rPr>
          <w:sz w:val="20"/>
          <w:szCs w:val="20"/>
        </w:rPr>
        <w:t xml:space="preserve"> </w:t>
      </w:r>
      <w:r>
        <w:rPr>
          <w:sz w:val="20"/>
          <w:szCs w:val="20"/>
        </w:rPr>
        <w:t xml:space="preserve">The first quarterly installment repayment, amounting to </w:t>
      </w:r>
      <w:r>
        <w:rPr>
          <w:sz w:val="20"/>
          <w:szCs w:val="20"/>
        </w:rPr>
        <w:t>$</w:t>
      </w:r>
      <w:r>
        <w:rPr>
          <w:sz w:val="20"/>
          <w:szCs w:val="20"/>
        </w:rPr>
        <w:t>2.</w:t>
      </w:r>
      <w:r>
        <w:rPr>
          <w:sz w:val="20"/>
          <w:szCs w:val="20"/>
        </w:rPr>
        <w:t>2</w:t>
      </w:r>
      <w:r>
        <w:rPr>
          <w:sz w:val="20"/>
          <w:szCs w:val="20"/>
        </w:rPr>
        <w:t xml:space="preserve"> million, was billed and charged by the lenders in Janu</w:t>
      </w:r>
      <w:r>
        <w:rPr>
          <w:sz w:val="20"/>
          <w:szCs w:val="20"/>
        </w:rPr>
        <w:t xml:space="preserve">ary 2022. The second and third quarterly installment repayments amounting to </w:t>
      </w:r>
      <w:r>
        <w:rPr>
          <w:sz w:val="20"/>
          <w:szCs w:val="20"/>
        </w:rPr>
        <w:t>$</w:t>
      </w:r>
      <w:r>
        <w:rPr>
          <w:sz w:val="20"/>
          <w:szCs w:val="20"/>
        </w:rPr>
        <w:t>2.</w:t>
      </w:r>
      <w:r>
        <w:rPr>
          <w:sz w:val="20"/>
          <w:szCs w:val="20"/>
        </w:rPr>
        <w:t>2</w:t>
      </w:r>
      <w:r>
        <w:rPr>
          <w:sz w:val="20"/>
          <w:szCs w:val="20"/>
        </w:rPr>
        <w:t xml:space="preserve"> million each were paid in the first and second quarter of 2022, respectively</w:t>
      </w:r>
      <w:r>
        <w:rPr>
          <w:sz w:val="20"/>
          <w:szCs w:val="20"/>
        </w:rPr>
        <w:t>.</w:t>
      </w:r>
    </w:p>
    <w:p w:rsidR="00000000" w:rsidRDefault="00F55F16">
      <w:pPr>
        <w:pStyle w:val="a3"/>
        <w:spacing w:before="240" w:beforeAutospacing="0" w:after="0" w:afterAutospacing="0"/>
        <w:ind w:firstLine="555"/>
        <w:divId w:val="1032413906"/>
        <w:rPr>
          <w:sz w:val="20"/>
          <w:szCs w:val="20"/>
        </w:rPr>
      </w:pPr>
      <w:r>
        <w:rPr>
          <w:sz w:val="20"/>
          <w:szCs w:val="20"/>
        </w:rPr>
        <w:t>The 2021 Credit Facility term loan and the revolver bear interest subject to the Company’s lever</w:t>
      </w:r>
      <w:r>
        <w:rPr>
          <w:sz w:val="20"/>
          <w:szCs w:val="20"/>
        </w:rPr>
        <w:t>age ratio and LIBOR as follows</w:t>
      </w:r>
      <w:r>
        <w:rPr>
          <w:sz w:val="20"/>
          <w:szCs w:val="20"/>
        </w:rPr>
        <w:t>:</w:t>
      </w:r>
    </w:p>
    <w:p w:rsidR="00000000" w:rsidRDefault="00F55F16">
      <w:pPr>
        <w:pStyle w:val="a3"/>
        <w:spacing w:before="0" w:beforeAutospacing="0" w:after="0" w:afterAutospacing="0"/>
        <w:ind w:firstLine="555"/>
        <w:divId w:val="103241390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2"/>
        <w:gridCol w:w="105"/>
        <w:gridCol w:w="1710"/>
        <w:gridCol w:w="105"/>
        <w:gridCol w:w="106"/>
        <w:gridCol w:w="662"/>
        <w:gridCol w:w="105"/>
        <w:gridCol w:w="210"/>
        <w:gridCol w:w="106"/>
        <w:gridCol w:w="654"/>
        <w:gridCol w:w="105"/>
        <w:gridCol w:w="210"/>
        <w:gridCol w:w="123"/>
        <w:gridCol w:w="957"/>
        <w:gridCol w:w="105"/>
        <w:gridCol w:w="210"/>
        <w:gridCol w:w="106"/>
        <w:gridCol w:w="595"/>
        <w:gridCol w:w="105"/>
        <w:gridCol w:w="225"/>
      </w:tblGrid>
      <w:tr w:rsidR="00000000">
        <w:trPr>
          <w:divId w:val="1032413906"/>
          <w:tblCellSpacing w:w="15" w:type="dxa"/>
        </w:trPr>
        <w:tc>
          <w:tcPr>
            <w:tcW w:w="1170" w:type="pct"/>
            <w:vAlign w:val="center"/>
            <w:hideMark/>
          </w:tcPr>
          <w:p w:rsidR="00000000" w:rsidRDefault="00F55F16">
            <w:pPr>
              <w:rPr>
                <w:sz w:val="20"/>
                <w:szCs w:val="20"/>
              </w:rPr>
            </w:pPr>
          </w:p>
        </w:tc>
        <w:tc>
          <w:tcPr>
            <w:tcW w:w="57" w:type="pct"/>
            <w:vAlign w:val="center"/>
            <w:hideMark/>
          </w:tcPr>
          <w:p w:rsidR="00000000" w:rsidRDefault="00F55F16">
            <w:pPr>
              <w:rPr>
                <w:rFonts w:eastAsia="Times New Roman"/>
                <w:sz w:val="20"/>
                <w:szCs w:val="20"/>
              </w:rPr>
            </w:pPr>
          </w:p>
        </w:tc>
        <w:tc>
          <w:tcPr>
            <w:tcW w:w="1133" w:type="pct"/>
            <w:vAlign w:val="center"/>
            <w:hideMark/>
          </w:tcPr>
          <w:p w:rsidR="00000000" w:rsidRDefault="00F55F16">
            <w:pPr>
              <w:rPr>
                <w:rFonts w:eastAsia="Times New Roman"/>
                <w:sz w:val="20"/>
                <w:szCs w:val="20"/>
              </w:rPr>
            </w:pPr>
          </w:p>
        </w:tc>
        <w:tc>
          <w:tcPr>
            <w:tcW w:w="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r>
      <w:tr w:rsidR="00000000">
        <w:trPr>
          <w:divId w:val="103241390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Pricing Tie</w:t>
            </w:r>
            <w:r>
              <w:rPr>
                <w:b/>
                <w:bCs/>
                <w:sz w:val="18"/>
                <w:szCs w:val="18"/>
              </w:rPr>
              <w:t>r</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Consolidated</w:t>
            </w:r>
            <w:r>
              <w:rPr>
                <w:b/>
                <w:bCs/>
                <w:sz w:val="18"/>
                <w:szCs w:val="18"/>
              </w:rPr>
              <w:br/>
              <w:t>Leverage Rati</w:t>
            </w:r>
            <w:r>
              <w:rPr>
                <w:b/>
                <w:bCs/>
                <w:sz w:val="18"/>
                <w:szCs w:val="18"/>
              </w:rPr>
              <w:t>o</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LIBO</w:t>
            </w:r>
            <w:r>
              <w:rPr>
                <w:b/>
                <w:bCs/>
                <w:sz w:val="18"/>
                <w:szCs w:val="18"/>
              </w:rPr>
              <w:t>R</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Base Rat</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Commitment</w:t>
            </w:r>
            <w:r>
              <w:rPr>
                <w:b/>
                <w:bCs/>
                <w:sz w:val="18"/>
                <w:szCs w:val="18"/>
              </w:rPr>
              <w:br/>
              <w:t>Fe</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Letter of Credit Fe</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032413906"/>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1</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w:t>
            </w:r>
            <w:r>
              <w:rPr>
                <w:sz w:val="18"/>
                <w:szCs w:val="18"/>
              </w:rPr>
              <w:t xml:space="preserve"> </w:t>
            </w:r>
            <w:r>
              <w:rPr>
                <w:sz w:val="18"/>
                <w:szCs w:val="18"/>
              </w:rPr>
              <w:t>3.7</w:t>
            </w:r>
            <w:r>
              <w:rPr>
                <w:sz w:val="18"/>
                <w:szCs w:val="18"/>
              </w:rPr>
              <w:t>5</w:t>
            </w:r>
            <w:r>
              <w:rPr>
                <w:sz w:val="18"/>
                <w:szCs w:val="18"/>
              </w:rPr>
              <w:t>x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0.2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r>
      <w:tr w:rsidR="00000000">
        <w:trPr>
          <w:divId w:val="1032413906"/>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2</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&lt;</w:t>
            </w:r>
            <w:r>
              <w:rPr>
                <w:sz w:val="18"/>
                <w:szCs w:val="18"/>
              </w:rPr>
              <w:t xml:space="preserve"> </w:t>
            </w:r>
            <w:r>
              <w:rPr>
                <w:sz w:val="18"/>
                <w:szCs w:val="18"/>
              </w:rPr>
              <w:t>3.7</w:t>
            </w:r>
            <w:r>
              <w:rPr>
                <w:sz w:val="18"/>
                <w:szCs w:val="18"/>
              </w:rPr>
              <w:t>5</w:t>
            </w:r>
            <w:r>
              <w:rPr>
                <w:sz w:val="18"/>
                <w:szCs w:val="18"/>
              </w:rPr>
              <w:t xml:space="preserve">x to 1.0 but </w:t>
            </w:r>
            <w:r>
              <w:rPr>
                <w:sz w:val="18"/>
                <w:szCs w:val="18"/>
              </w:rPr>
              <w:t>≥</w:t>
            </w:r>
            <w:r>
              <w:rPr>
                <w:sz w:val="18"/>
                <w:szCs w:val="18"/>
              </w:rPr>
              <w:t xml:space="preserve"> </w:t>
            </w:r>
            <w:r>
              <w:rPr>
                <w:sz w:val="18"/>
                <w:szCs w:val="18"/>
              </w:rPr>
              <w:t>3.2</w:t>
            </w:r>
            <w:r>
              <w:rPr>
                <w:sz w:val="18"/>
                <w:szCs w:val="18"/>
              </w:rPr>
              <w:t>5</w:t>
            </w:r>
            <w:r>
              <w:rPr>
                <w:sz w:val="18"/>
                <w:szCs w:val="18"/>
              </w:rPr>
              <w:t>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0.2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032413906"/>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3</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&lt;</w:t>
            </w:r>
            <w:r>
              <w:rPr>
                <w:sz w:val="18"/>
                <w:szCs w:val="18"/>
              </w:rPr>
              <w:t>3.2</w:t>
            </w:r>
            <w:r>
              <w:rPr>
                <w:sz w:val="18"/>
                <w:szCs w:val="18"/>
              </w:rPr>
              <w:t>5</w:t>
            </w:r>
            <w:r>
              <w:rPr>
                <w:sz w:val="18"/>
                <w:szCs w:val="18"/>
              </w:rPr>
              <w:t xml:space="preserve">x to 1.0 but </w:t>
            </w:r>
            <w:r>
              <w:rPr>
                <w:sz w:val="18"/>
                <w:szCs w:val="18"/>
              </w:rPr>
              <w:t>≥</w:t>
            </w:r>
            <w:r>
              <w:rPr>
                <w:sz w:val="18"/>
                <w:szCs w:val="18"/>
              </w:rPr>
              <w:t xml:space="preserve"> </w:t>
            </w:r>
            <w:r>
              <w:rPr>
                <w:sz w:val="18"/>
                <w:szCs w:val="18"/>
              </w:rPr>
              <w:t>2.5</w:t>
            </w:r>
            <w:r>
              <w:rPr>
                <w:sz w:val="18"/>
                <w:szCs w:val="18"/>
              </w:rPr>
              <w:t>0</w:t>
            </w:r>
            <w:r>
              <w:rPr>
                <w:sz w:val="18"/>
                <w:szCs w:val="18"/>
              </w:rPr>
              <w:t>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0.2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032413906"/>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4</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&lt;</w:t>
            </w:r>
            <w:r>
              <w:rPr>
                <w:sz w:val="18"/>
                <w:szCs w:val="18"/>
              </w:rPr>
              <w:t>2.5</w:t>
            </w:r>
            <w:r>
              <w:rPr>
                <w:sz w:val="18"/>
                <w:szCs w:val="18"/>
              </w:rPr>
              <w:t>0</w:t>
            </w:r>
            <w:r>
              <w:rPr>
                <w:sz w:val="18"/>
                <w:szCs w:val="18"/>
              </w:rPr>
              <w:t xml:space="preserve">x to 1.0 but </w:t>
            </w:r>
            <w:r>
              <w:rPr>
                <w:sz w:val="18"/>
                <w:szCs w:val="18"/>
              </w:rPr>
              <w:t>≥</w:t>
            </w:r>
            <w:r>
              <w:rPr>
                <w:sz w:val="18"/>
                <w:szCs w:val="18"/>
              </w:rPr>
              <w:t xml:space="preserve"> </w:t>
            </w:r>
            <w:r>
              <w:rPr>
                <w:sz w:val="18"/>
                <w:szCs w:val="18"/>
              </w:rPr>
              <w:t>1.7</w:t>
            </w:r>
            <w:r>
              <w:rPr>
                <w:sz w:val="18"/>
                <w:szCs w:val="18"/>
              </w:rPr>
              <w:t>5</w:t>
            </w:r>
            <w:r>
              <w:rPr>
                <w:sz w:val="18"/>
                <w:szCs w:val="18"/>
              </w:rPr>
              <w:t>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0.7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0.1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032413906"/>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5</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20"/>
                <w:szCs w:val="20"/>
              </w:rPr>
            </w:pPr>
            <w:r>
              <w:rPr>
                <w:sz w:val="18"/>
                <w:szCs w:val="18"/>
              </w:rPr>
              <w:t>&lt;</w:t>
            </w:r>
            <w:r>
              <w:rPr>
                <w:sz w:val="18"/>
                <w:szCs w:val="18"/>
              </w:rPr>
              <w:t>1.7</w:t>
            </w:r>
            <w:r>
              <w:rPr>
                <w:sz w:val="18"/>
                <w:szCs w:val="18"/>
              </w:rPr>
              <w:t>5</w:t>
            </w:r>
            <w:r>
              <w:rPr>
                <w:sz w:val="18"/>
                <w:szCs w:val="18"/>
              </w:rPr>
              <w:t>x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0.5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18"/>
                <w:szCs w:val="18"/>
              </w:rPr>
              <w:t>0.1</w:t>
            </w:r>
            <w:r>
              <w:rPr>
                <w:sz w:val="18"/>
                <w:szCs w:val="18"/>
              </w:rPr>
              <w:t>5</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bl>
    <w:p w:rsidR="00000000" w:rsidRDefault="00F55F16">
      <w:pPr>
        <w:pStyle w:val="a3"/>
        <w:spacing w:before="240" w:beforeAutospacing="0" w:after="0" w:afterAutospacing="0"/>
        <w:ind w:firstLine="555"/>
        <w:divId w:val="90975521"/>
        <w:rPr>
          <w:sz w:val="20"/>
          <w:szCs w:val="20"/>
        </w:rPr>
      </w:pPr>
      <w:r>
        <w:rPr>
          <w:sz w:val="20"/>
          <w:szCs w:val="20"/>
        </w:rPr>
        <w:t xml:space="preserve">On January 27, 2022, the Company entered into an interest rate swap transaction fixing the floating component of the interest rate on </w:t>
      </w:r>
      <w:r>
        <w:rPr>
          <w:sz w:val="20"/>
          <w:szCs w:val="20"/>
        </w:rPr>
        <w:t>$</w:t>
      </w:r>
      <w:r>
        <w:rPr>
          <w:sz w:val="20"/>
          <w:szCs w:val="20"/>
        </w:rPr>
        <w:t>100.</w:t>
      </w:r>
      <w:r>
        <w:rPr>
          <w:sz w:val="20"/>
          <w:szCs w:val="20"/>
        </w:rPr>
        <w:t>0</w:t>
      </w:r>
      <w:r>
        <w:rPr>
          <w:sz w:val="20"/>
          <w:szCs w:val="20"/>
        </w:rPr>
        <w:t xml:space="preserve"> million of borrowings to</w:t>
      </w:r>
      <w:r>
        <w:rPr>
          <w:sz w:val="20"/>
          <w:szCs w:val="20"/>
        </w:rPr>
        <w:t xml:space="preserve"> </w:t>
      </w:r>
      <w:r>
        <w:rPr>
          <w:sz w:val="20"/>
          <w:szCs w:val="20"/>
        </w:rPr>
        <w:t>1.3</w:t>
      </w:r>
      <w:r>
        <w:rPr>
          <w:sz w:val="20"/>
          <w:szCs w:val="20"/>
        </w:rPr>
        <w:t>9</w:t>
      </w:r>
      <w:r>
        <w:rPr>
          <w:sz w:val="20"/>
          <w:szCs w:val="20"/>
        </w:rPr>
        <w:t>% until</w:t>
      </w:r>
      <w:r>
        <w:rPr>
          <w:sz w:val="20"/>
          <w:szCs w:val="20"/>
        </w:rPr>
        <w:t xml:space="preserve"> </w:t>
      </w:r>
      <w:r>
        <w:rPr>
          <w:sz w:val="20"/>
          <w:szCs w:val="20"/>
        </w:rPr>
        <w:t>January 27, 202</w:t>
      </w:r>
      <w:r>
        <w:rPr>
          <w:sz w:val="20"/>
          <w:szCs w:val="20"/>
        </w:rPr>
        <w:t>5</w:t>
      </w:r>
      <w:r>
        <w:rPr>
          <w:sz w:val="20"/>
          <w:szCs w:val="20"/>
        </w:rPr>
        <w:t>.</w:t>
      </w:r>
      <w:r>
        <w:rPr>
          <w:sz w:val="20"/>
          <w:szCs w:val="20"/>
        </w:rPr>
        <w:t xml:space="preserve"> Additionally, the Company may receive an interest rate adjus</w:t>
      </w:r>
      <w:r>
        <w:rPr>
          <w:sz w:val="20"/>
          <w:szCs w:val="20"/>
        </w:rPr>
        <w:t>tment of up to</w:t>
      </w:r>
      <w:r>
        <w:rPr>
          <w:sz w:val="20"/>
          <w:szCs w:val="20"/>
        </w:rPr>
        <w:t xml:space="preserve"> </w:t>
      </w:r>
      <w:r>
        <w:rPr>
          <w:sz w:val="20"/>
          <w:szCs w:val="20"/>
        </w:rPr>
        <w:t>0.0</w:t>
      </w:r>
      <w:r>
        <w:rPr>
          <w:sz w:val="20"/>
          <w:szCs w:val="20"/>
        </w:rPr>
        <w:t>5</w:t>
      </w:r>
      <w:r>
        <w:rPr>
          <w:sz w:val="20"/>
          <w:szCs w:val="20"/>
        </w:rPr>
        <w:t>% under the 2021 Credit Facility based on the Company’s performance against certain defined sustainability and environmental, social and governance related objectives</w:t>
      </w:r>
      <w:r>
        <w:rPr>
          <w:sz w:val="20"/>
          <w:szCs w:val="20"/>
        </w:rPr>
        <w:t>.</w:t>
      </w:r>
      <w:r>
        <w:rPr>
          <w:sz w:val="20"/>
          <w:szCs w:val="20"/>
        </w:rPr>
        <w:t xml:space="preserve"> </w:t>
      </w:r>
    </w:p>
    <w:p w:rsidR="00000000" w:rsidRDefault="00F55F16">
      <w:pPr>
        <w:pStyle w:val="a3"/>
        <w:spacing w:before="240" w:beforeAutospacing="0" w:after="0" w:afterAutospacing="0"/>
        <w:ind w:firstLine="555"/>
        <w:divId w:val="90975521"/>
        <w:rPr>
          <w:sz w:val="20"/>
          <w:szCs w:val="20"/>
        </w:rPr>
      </w:pPr>
      <w:r>
        <w:rPr>
          <w:sz w:val="20"/>
          <w:szCs w:val="20"/>
        </w:rPr>
        <w:t>The 2021 Credit Facility includes a number of covenants imposing cer</w:t>
      </w:r>
      <w:r>
        <w:rPr>
          <w:sz w:val="20"/>
          <w:szCs w:val="20"/>
        </w:rPr>
        <w:t>tain restrictions on the Company’s business, including, among other things, restrictions on the Company’s ability, subject to certain exceptions and baskets, to incur indebtedness, incur liens on its assets, agree to any additional negative pledges, pay di</w:t>
      </w:r>
      <w:r>
        <w:rPr>
          <w:sz w:val="20"/>
          <w:szCs w:val="20"/>
        </w:rPr>
        <w:t>vidends or repurchase stock, limit the ability of its subsidiaries to pay dividends or distribute assets, make investments, enter into any transaction of merger or consolidation, liquidate, wind-up or dissolve, or convey any part of its business, assets or</w:t>
      </w:r>
      <w:r>
        <w:rPr>
          <w:sz w:val="20"/>
          <w:szCs w:val="20"/>
        </w:rPr>
        <w:t xml:space="preserve"> property, or acquire the business, property or assets of another person, enter into sale and leaseback transactions, enter into certain transactions with affiliates, engage in any material line of business substantially different from those engaged on the</w:t>
      </w:r>
      <w:r>
        <w:rPr>
          <w:sz w:val="20"/>
          <w:szCs w:val="20"/>
        </w:rPr>
        <w:t xml:space="preserve"> closing date, modify the terms of indebtedness subordinated to the loans incurred under the 2021 Credit Facility and modify the terms of its organizational documents. The 2021 Credit Facility also include</w:t>
      </w:r>
      <w:r>
        <w:rPr>
          <w:sz w:val="20"/>
          <w:szCs w:val="20"/>
        </w:rPr>
        <w:t>s</w:t>
      </w:r>
      <w:r>
        <w:rPr>
          <w:sz w:val="20"/>
          <w:szCs w:val="20"/>
        </w:rPr>
        <w:t xml:space="preserve"> financial covenants requiring the Company to rema</w:t>
      </w:r>
      <w:r>
        <w:rPr>
          <w:sz w:val="20"/>
          <w:szCs w:val="20"/>
        </w:rPr>
        <w:t>in below a maximum total net leverage ratio of</w:t>
      </w:r>
      <w:r>
        <w:rPr>
          <w:sz w:val="20"/>
          <w:szCs w:val="20"/>
        </w:rPr>
        <w:t xml:space="preserve"> </w:t>
      </w:r>
      <w:r>
        <w:rPr>
          <w:sz w:val="20"/>
          <w:szCs w:val="20"/>
        </w:rPr>
        <w:t>4.2</w:t>
      </w:r>
      <w:r>
        <w:rPr>
          <w:sz w:val="20"/>
          <w:szCs w:val="20"/>
        </w:rPr>
        <w:t>5</w:t>
      </w:r>
      <w:r>
        <w:rPr>
          <w:sz w:val="20"/>
          <w:szCs w:val="20"/>
        </w:rPr>
        <w:t xml:space="preserve"> times, which steps down to</w:t>
      </w:r>
      <w:r>
        <w:rPr>
          <w:sz w:val="20"/>
          <w:szCs w:val="20"/>
        </w:rPr>
        <w:t xml:space="preserve"> </w:t>
      </w:r>
      <w:r>
        <w:rPr>
          <w:sz w:val="20"/>
          <w:szCs w:val="20"/>
        </w:rPr>
        <w:t>4.0</w:t>
      </w:r>
      <w:r>
        <w:rPr>
          <w:sz w:val="20"/>
          <w:szCs w:val="20"/>
        </w:rPr>
        <w:t>0</w:t>
      </w:r>
      <w:r>
        <w:rPr>
          <w:sz w:val="20"/>
          <w:szCs w:val="20"/>
        </w:rPr>
        <w:t xml:space="preserve"> times beginning with the fiscal quarter ending December 31, 2022 through and including the fiscal quarter ending September 30, 2023 and then to</w:t>
      </w:r>
      <w:r>
        <w:rPr>
          <w:sz w:val="20"/>
          <w:szCs w:val="20"/>
        </w:rPr>
        <w:t xml:space="preserve"> </w:t>
      </w:r>
      <w:r>
        <w:rPr>
          <w:sz w:val="20"/>
          <w:szCs w:val="20"/>
        </w:rPr>
        <w:t>3.7</w:t>
      </w:r>
      <w:r>
        <w:rPr>
          <w:sz w:val="20"/>
          <w:szCs w:val="20"/>
        </w:rPr>
        <w:t>5</w:t>
      </w:r>
      <w:r>
        <w:rPr>
          <w:sz w:val="20"/>
          <w:szCs w:val="20"/>
        </w:rPr>
        <w:t xml:space="preserve"> times beginning with th</w:t>
      </w:r>
      <w:r>
        <w:rPr>
          <w:sz w:val="20"/>
          <w:szCs w:val="20"/>
        </w:rPr>
        <w:t>e fiscal quarter ending December 31, 2023, and a minimum fixed charge coverage ratio of</w:t>
      </w:r>
      <w:r>
        <w:rPr>
          <w:sz w:val="20"/>
          <w:szCs w:val="20"/>
        </w:rPr>
        <w:t xml:space="preserve"> </w:t>
      </w:r>
      <w:r>
        <w:rPr>
          <w:sz w:val="20"/>
          <w:szCs w:val="20"/>
        </w:rPr>
        <w:t>1.2</w:t>
      </w:r>
      <w:r>
        <w:rPr>
          <w:sz w:val="20"/>
          <w:szCs w:val="20"/>
        </w:rPr>
        <w:t>5</w:t>
      </w:r>
      <w:r>
        <w:rPr>
          <w:sz w:val="20"/>
          <w:szCs w:val="20"/>
        </w:rPr>
        <w:t xml:space="preserve"> times. As of</w:t>
      </w:r>
      <w:r>
        <w:rPr>
          <w:sz w:val="20"/>
          <w:szCs w:val="20"/>
        </w:rPr>
        <w:t xml:space="preserve"> </w:t>
      </w:r>
      <w:r>
        <w:rPr>
          <w:sz w:val="20"/>
          <w:szCs w:val="20"/>
        </w:rPr>
        <w:t>June 30, 2022, the Company’s consolidated total leverage ratio (as defined in the 2021 Credit Facility) was</w:t>
      </w:r>
      <w:r>
        <w:rPr>
          <w:sz w:val="20"/>
          <w:szCs w:val="20"/>
        </w:rPr>
        <w:t xml:space="preserve"> </w:t>
      </w:r>
      <w:r>
        <w:rPr>
          <w:sz w:val="20"/>
          <w:szCs w:val="20"/>
        </w:rPr>
        <w:t>1.</w:t>
      </w:r>
      <w:r>
        <w:rPr>
          <w:sz w:val="20"/>
          <w:szCs w:val="20"/>
        </w:rPr>
        <w:t>1</w:t>
      </w:r>
      <w:r>
        <w:rPr>
          <w:sz w:val="20"/>
          <w:szCs w:val="20"/>
        </w:rPr>
        <w:t xml:space="preserve"> times and the Company was in complianc</w:t>
      </w:r>
      <w:r>
        <w:rPr>
          <w:sz w:val="20"/>
          <w:szCs w:val="20"/>
        </w:rPr>
        <w:t>e with all covenants under the 2021 Credit Facility</w:t>
      </w:r>
      <w:r>
        <w:rPr>
          <w:sz w:val="20"/>
          <w:szCs w:val="20"/>
        </w:rPr>
        <w:t>.</w:t>
      </w:r>
      <w:r>
        <w:rPr>
          <w:sz w:val="20"/>
          <w:szCs w:val="20"/>
        </w:rPr>
        <w:t xml:space="preserve"> </w:t>
      </w:r>
    </w:p>
    <w:p w:rsidR="00000000" w:rsidRDefault="00F55F16">
      <w:pPr>
        <w:pStyle w:val="a3"/>
        <w:spacing w:before="240" w:beforeAutospacing="0" w:after="0" w:afterAutospacing="0"/>
        <w:ind w:firstLine="555"/>
        <w:divId w:val="90975521"/>
        <w:rPr>
          <w:sz w:val="20"/>
          <w:szCs w:val="20"/>
        </w:rPr>
      </w:pPr>
      <w:r>
        <w:rPr>
          <w:sz w:val="20"/>
          <w:szCs w:val="20"/>
        </w:rPr>
        <w:t>The 2021 Credit Facility requires customary mandatory prepayments of the term loan and revolver and cash collateralization of letters of credit, subject to customary exceptions, including</w:t>
      </w:r>
      <w:r>
        <w:rPr>
          <w:sz w:val="20"/>
          <w:szCs w:val="20"/>
        </w:rPr>
        <w:t xml:space="preserve"> </w:t>
      </w:r>
      <w:r>
        <w:rPr>
          <w:sz w:val="20"/>
          <w:szCs w:val="20"/>
        </w:rPr>
        <w:t>100.</w:t>
      </w:r>
      <w:r>
        <w:rPr>
          <w:sz w:val="20"/>
          <w:szCs w:val="20"/>
        </w:rPr>
        <w:t>0</w:t>
      </w:r>
      <w:r>
        <w:rPr>
          <w:sz w:val="20"/>
          <w:szCs w:val="20"/>
        </w:rPr>
        <w:t xml:space="preserve">% of the </w:t>
      </w:r>
      <w:r>
        <w:rPr>
          <w:sz w:val="20"/>
          <w:szCs w:val="20"/>
        </w:rPr>
        <w:t>proceeds of debt not permitted by the 2021 Credit Facility,</w:t>
      </w:r>
      <w:r>
        <w:rPr>
          <w:sz w:val="20"/>
          <w:szCs w:val="20"/>
        </w:rPr>
        <w:t xml:space="preserve"> </w:t>
      </w:r>
      <w:r>
        <w:rPr>
          <w:sz w:val="20"/>
          <w:szCs w:val="20"/>
        </w:rPr>
        <w:t>100.</w:t>
      </w:r>
      <w:r>
        <w:rPr>
          <w:sz w:val="20"/>
          <w:szCs w:val="20"/>
        </w:rPr>
        <w:t>0</w:t>
      </w:r>
      <w:r>
        <w:rPr>
          <w:sz w:val="20"/>
          <w:szCs w:val="20"/>
        </w:rPr>
        <w:t>% of the proceeds of certain dispositions, subject to customary reinvestment rights, where applicable, and</w:t>
      </w:r>
      <w:r>
        <w:rPr>
          <w:sz w:val="20"/>
          <w:szCs w:val="20"/>
        </w:rPr>
        <w:t xml:space="preserve"> </w:t>
      </w:r>
      <w:r>
        <w:rPr>
          <w:sz w:val="20"/>
          <w:szCs w:val="20"/>
        </w:rPr>
        <w:t>100.</w:t>
      </w:r>
      <w:r>
        <w:rPr>
          <w:sz w:val="20"/>
          <w:szCs w:val="20"/>
        </w:rPr>
        <w:t>0</w:t>
      </w:r>
      <w:r>
        <w:rPr>
          <w:sz w:val="20"/>
          <w:szCs w:val="20"/>
        </w:rPr>
        <w:t>% of insurance or condemnation proceeds, subject to customary reinvestment righ</w:t>
      </w:r>
      <w:r>
        <w:rPr>
          <w:sz w:val="20"/>
          <w:szCs w:val="20"/>
        </w:rPr>
        <w:t>ts, where applicable. The 2021 Credit Facility also includes customary events of default and related acceleration and termination rights</w:t>
      </w:r>
      <w:r>
        <w:rPr>
          <w:sz w:val="20"/>
          <w:szCs w:val="20"/>
        </w:rPr>
        <w:t>.</w:t>
      </w:r>
    </w:p>
    <w:p w:rsidR="00000000" w:rsidRDefault="00F55F16">
      <w:pPr>
        <w:pStyle w:val="a3"/>
        <w:spacing w:before="240" w:beforeAutospacing="0" w:after="0" w:afterAutospacing="0"/>
        <w:ind w:firstLine="555"/>
        <w:divId w:val="90975521"/>
        <w:rPr>
          <w:sz w:val="20"/>
          <w:szCs w:val="20"/>
        </w:rPr>
      </w:pPr>
      <w:r>
        <w:rPr>
          <w:sz w:val="20"/>
          <w:szCs w:val="20"/>
        </w:rPr>
        <w:t>The weighted average interest rate on the 2021 Credit Facility for the six months ended June 30, 2022 was</w:t>
      </w:r>
      <w:r>
        <w:rPr>
          <w:sz w:val="20"/>
          <w:szCs w:val="20"/>
        </w:rPr>
        <w:t xml:space="preserve"> </w:t>
      </w:r>
      <w:r>
        <w:rPr>
          <w:sz w:val="20"/>
          <w:szCs w:val="20"/>
        </w:rPr>
        <w:t>2.</w:t>
      </w:r>
      <w:r>
        <w:rPr>
          <w:sz w:val="20"/>
          <w:szCs w:val="20"/>
        </w:rPr>
        <w:t>2</w:t>
      </w:r>
      <w:r>
        <w:rPr>
          <w:sz w:val="20"/>
          <w:szCs w:val="20"/>
        </w:rPr>
        <w:t>%</w:t>
      </w:r>
      <w:r>
        <w:rPr>
          <w:sz w:val="20"/>
          <w:szCs w:val="20"/>
        </w:rPr>
        <w:t>.</w:t>
      </w:r>
    </w:p>
    <w:p w:rsidR="00000000" w:rsidRDefault="00F55F16">
      <w:pPr>
        <w:pStyle w:val="a3"/>
        <w:spacing w:before="240" w:beforeAutospacing="0" w:after="0" w:afterAutospacing="0"/>
        <w:ind w:firstLine="555"/>
        <w:divId w:val="90975521"/>
        <w:rPr>
          <w:sz w:val="20"/>
          <w:szCs w:val="20"/>
        </w:rPr>
      </w:pPr>
      <w:r>
        <w:rPr>
          <w:sz w:val="20"/>
          <w:szCs w:val="20"/>
        </w:rPr>
        <w:t>The Co</w:t>
      </w:r>
      <w:r>
        <w:rPr>
          <w:sz w:val="20"/>
          <w:szCs w:val="20"/>
        </w:rPr>
        <w:t>mpany’s obligations under the 2021 Credit Facility are guaranteed by certain of the Company’s existing and future direct and indirect subsidiaries, and such obligations are secured by substantially all of the Company’s assets, including the capital stock o</w:t>
      </w:r>
      <w:r>
        <w:rPr>
          <w:sz w:val="20"/>
          <w:szCs w:val="20"/>
        </w:rPr>
        <w:t>r other equity interests in those subsidiaries</w:t>
      </w:r>
      <w:r>
        <w:rPr>
          <w:sz w:val="20"/>
          <w:szCs w:val="20"/>
        </w:rPr>
        <w:t>.</w:t>
      </w:r>
    </w:p>
    <w:p w:rsidR="00000000" w:rsidRDefault="00F55F16">
      <w:pPr>
        <w:pStyle w:val="a3"/>
        <w:spacing w:before="240" w:beforeAutospacing="0" w:after="0" w:afterAutospacing="0"/>
        <w:ind w:firstLine="555"/>
        <w:divId w:val="90975521"/>
        <w:rPr>
          <w:sz w:val="20"/>
          <w:szCs w:val="20"/>
        </w:rPr>
      </w:pPr>
      <w:r>
        <w:rPr>
          <w:b/>
          <w:bCs/>
          <w:sz w:val="20"/>
          <w:szCs w:val="20"/>
        </w:rPr>
        <w:t>2020 Credit Facilit</w:t>
      </w:r>
      <w:r>
        <w:rPr>
          <w:b/>
          <w:bCs/>
          <w:sz w:val="20"/>
          <w:szCs w:val="20"/>
        </w:rPr>
        <w:t>y</w:t>
      </w:r>
      <w:r>
        <w:rPr>
          <w:sz w:val="20"/>
          <w:szCs w:val="20"/>
        </w:rPr>
        <w:t xml:space="preserve">—On April 13, 2020, the Company entered into a Unitranche Credit Agreement (the “2020 Credit Facility”) providing for a </w:t>
      </w:r>
      <w:r>
        <w:rPr>
          <w:sz w:val="20"/>
          <w:szCs w:val="20"/>
        </w:rPr>
        <w:t>$</w:t>
      </w:r>
      <w:r>
        <w:rPr>
          <w:sz w:val="20"/>
          <w:szCs w:val="20"/>
        </w:rPr>
        <w:t>225.</w:t>
      </w:r>
      <w:r>
        <w:rPr>
          <w:sz w:val="20"/>
          <w:szCs w:val="20"/>
        </w:rPr>
        <w:t>0</w:t>
      </w:r>
      <w:r>
        <w:rPr>
          <w:sz w:val="20"/>
          <w:szCs w:val="20"/>
        </w:rPr>
        <w:t xml:space="preserve"> </w:t>
      </w:r>
      <w:r>
        <w:rPr>
          <w:sz w:val="20"/>
          <w:szCs w:val="20"/>
        </w:rPr>
        <w:t xml:space="preserve">million credit facility comprised of a </w:t>
      </w:r>
      <w:r>
        <w:rPr>
          <w:sz w:val="20"/>
          <w:szCs w:val="20"/>
        </w:rPr>
        <w:t>$</w:t>
      </w:r>
      <w:r>
        <w:rPr>
          <w:sz w:val="20"/>
          <w:szCs w:val="20"/>
        </w:rPr>
        <w:t>175.</w:t>
      </w:r>
      <w:r>
        <w:rPr>
          <w:sz w:val="20"/>
          <w:szCs w:val="20"/>
        </w:rPr>
        <w:t>0</w:t>
      </w:r>
      <w:r>
        <w:rPr>
          <w:sz w:val="20"/>
          <w:szCs w:val="20"/>
        </w:rPr>
        <w:t xml:space="preserve"> million term loan and a </w:t>
      </w:r>
      <w:r>
        <w:rPr>
          <w:sz w:val="20"/>
          <w:szCs w:val="20"/>
        </w:rPr>
        <w:t>$</w:t>
      </w:r>
      <w:r>
        <w:rPr>
          <w:sz w:val="20"/>
          <w:szCs w:val="20"/>
        </w:rPr>
        <w:t>50.</w:t>
      </w:r>
      <w:r>
        <w:rPr>
          <w:sz w:val="20"/>
          <w:szCs w:val="20"/>
        </w:rPr>
        <w:t>0</w:t>
      </w:r>
      <w:r>
        <w:rPr>
          <w:sz w:val="20"/>
          <w:szCs w:val="20"/>
        </w:rPr>
        <w:t xml:space="preserve"> million revolving credit facility.</w:t>
      </w:r>
      <w:r>
        <w:rPr>
          <w:sz w:val="20"/>
          <w:szCs w:val="20"/>
        </w:rPr>
        <w:t xml:space="preserve"> </w:t>
      </w:r>
      <w:r>
        <w:rPr>
          <w:sz w:val="20"/>
          <w:szCs w:val="20"/>
        </w:rPr>
        <w:t xml:space="preserve">The 2020 Credit facility was repaid in full in in April 2021. The resulting loss on extinguishment upon repayment of the 2020 Credit Facility in </w:t>
      </w:r>
      <w:r>
        <w:rPr>
          <w:sz w:val="20"/>
          <w:szCs w:val="20"/>
        </w:rPr>
        <w:t xml:space="preserve">April 2021, amounted to </w:t>
      </w:r>
      <w:r>
        <w:rPr>
          <w:sz w:val="20"/>
          <w:szCs w:val="20"/>
        </w:rPr>
        <w:t>$</w:t>
      </w:r>
      <w:r>
        <w:rPr>
          <w:sz w:val="20"/>
          <w:szCs w:val="20"/>
        </w:rPr>
        <w:t>4.</w:t>
      </w:r>
      <w:r>
        <w:rPr>
          <w:sz w:val="20"/>
          <w:szCs w:val="20"/>
        </w:rPr>
        <w:t>1</w:t>
      </w:r>
      <w:r>
        <w:rPr>
          <w:sz w:val="20"/>
          <w:szCs w:val="20"/>
        </w:rPr>
        <w:t xml:space="preserve"> million, of which </w:t>
      </w:r>
      <w:r>
        <w:rPr>
          <w:sz w:val="20"/>
          <w:szCs w:val="20"/>
        </w:rPr>
        <w:t>$</w:t>
      </w:r>
      <w:r>
        <w:rPr>
          <w:sz w:val="20"/>
          <w:szCs w:val="20"/>
        </w:rPr>
        <w:t>1.</w:t>
      </w:r>
      <w:r>
        <w:rPr>
          <w:sz w:val="20"/>
          <w:szCs w:val="20"/>
        </w:rPr>
        <w:t>0</w:t>
      </w:r>
      <w:r>
        <w:rPr>
          <w:sz w:val="20"/>
          <w:szCs w:val="20"/>
        </w:rPr>
        <w:t xml:space="preserve"> million was related to fees paid and </w:t>
      </w:r>
      <w:r>
        <w:rPr>
          <w:sz w:val="20"/>
          <w:szCs w:val="20"/>
        </w:rPr>
        <w:t>$</w:t>
      </w:r>
      <w:r>
        <w:rPr>
          <w:sz w:val="20"/>
          <w:szCs w:val="20"/>
        </w:rPr>
        <w:t>3.</w:t>
      </w:r>
      <w:r>
        <w:rPr>
          <w:sz w:val="20"/>
          <w:szCs w:val="20"/>
        </w:rPr>
        <w:t>1</w:t>
      </w:r>
      <w:r>
        <w:rPr>
          <w:sz w:val="20"/>
          <w:szCs w:val="20"/>
        </w:rPr>
        <w:t xml:space="preserve"> related to unamortized debt issuance costs. Total loss on extinguishment is recorded in interest expense, net within the unaudited condensed consolidated statemen</w:t>
      </w:r>
      <w:r>
        <w:rPr>
          <w:sz w:val="20"/>
          <w:szCs w:val="20"/>
        </w:rPr>
        <w:t>t of operations for the three and six months ended June 30, 2021</w:t>
      </w:r>
      <w:r>
        <w:rPr>
          <w:sz w:val="20"/>
          <w:szCs w:val="20"/>
        </w:rPr>
        <w:t>.</w:t>
      </w:r>
    </w:p>
    <w:p w:rsidR="00000000" w:rsidRDefault="00F55F16">
      <w:pPr>
        <w:pStyle w:val="a3"/>
        <w:spacing w:before="240" w:beforeAutospacing="0" w:after="0" w:afterAutospacing="0"/>
        <w:ind w:firstLine="555"/>
        <w:divId w:val="90975521"/>
        <w:rPr>
          <w:sz w:val="20"/>
          <w:szCs w:val="20"/>
        </w:rPr>
      </w:pPr>
      <w:r>
        <w:rPr>
          <w:b/>
          <w:bCs/>
          <w:sz w:val="20"/>
          <w:szCs w:val="20"/>
        </w:rPr>
        <w:t>Equipment Line of Credi</w:t>
      </w:r>
      <w:r>
        <w:rPr>
          <w:b/>
          <w:bCs/>
          <w:sz w:val="20"/>
          <w:szCs w:val="20"/>
        </w:rPr>
        <w:t>t</w:t>
      </w:r>
      <w:r>
        <w:rPr>
          <w:sz w:val="20"/>
          <w:szCs w:val="20"/>
        </w:rPr>
        <w:t>—</w:t>
      </w:r>
      <w:r>
        <w:rPr>
          <w:sz w:val="20"/>
          <w:szCs w:val="20"/>
        </w:rPr>
        <w:t xml:space="preserve">In the first quarter of 2022, the Company entered into a new </w:t>
      </w:r>
      <w:r>
        <w:rPr>
          <w:sz w:val="20"/>
          <w:szCs w:val="20"/>
        </w:rPr>
        <w:t>$</w:t>
      </w:r>
      <w:r>
        <w:rPr>
          <w:sz w:val="20"/>
          <w:szCs w:val="20"/>
        </w:rPr>
        <w:t>10.</w:t>
      </w:r>
      <w:r>
        <w:rPr>
          <w:sz w:val="20"/>
          <w:szCs w:val="20"/>
        </w:rPr>
        <w:t>0</w:t>
      </w:r>
      <w:r>
        <w:rPr>
          <w:sz w:val="20"/>
          <w:szCs w:val="20"/>
        </w:rPr>
        <w:t xml:space="preserve"> million equipment leasing facility for the purchase of equipment and related freight, installation</w:t>
      </w:r>
      <w:r>
        <w:rPr>
          <w:sz w:val="20"/>
          <w:szCs w:val="20"/>
        </w:rPr>
        <w:t xml:space="preserve"> costs and taxes paid. Any unused capacity on this equipment leasing facility expires on</w:t>
      </w:r>
      <w:r>
        <w:rPr>
          <w:sz w:val="20"/>
          <w:szCs w:val="20"/>
        </w:rPr>
        <w:t xml:space="preserve"> </w:t>
      </w:r>
      <w:r>
        <w:rPr>
          <w:sz w:val="20"/>
          <w:szCs w:val="20"/>
        </w:rPr>
        <w:t>December 30, 202</w:t>
      </w:r>
      <w:r>
        <w:rPr>
          <w:sz w:val="20"/>
          <w:szCs w:val="20"/>
        </w:rPr>
        <w:t>2</w:t>
      </w:r>
      <w:r>
        <w:rPr>
          <w:sz w:val="20"/>
          <w:szCs w:val="20"/>
        </w:rPr>
        <w:t>. Interest on the line of credit is determined based on a three-year swap rate at the time of funding. Equipment leased through this line of credit me</w:t>
      </w:r>
      <w:r>
        <w:rPr>
          <w:sz w:val="20"/>
          <w:szCs w:val="20"/>
        </w:rPr>
        <w:t>ets the finance lease criteria as per ASC 842 and accordingly is accounted for as finance lease right-of-use assets and a finance lease liabilities (Note 6)</w:t>
      </w:r>
      <w:r>
        <w:rPr>
          <w:sz w:val="20"/>
          <w:szCs w:val="20"/>
        </w:rPr>
        <w:t>.</w:t>
      </w:r>
    </w:p>
    <w:p w:rsidR="00000000" w:rsidRDefault="00F55F16">
      <w:pPr>
        <w:pStyle w:val="a3"/>
        <w:spacing w:before="240" w:beforeAutospacing="0" w:after="0" w:afterAutospacing="0"/>
        <w:jc w:val="center"/>
        <w:divId w:val="90975521"/>
        <w:rPr>
          <w:sz w:val="20"/>
          <w:szCs w:val="20"/>
        </w:rPr>
      </w:pPr>
      <w:r>
        <w:rPr>
          <w:sz w:val="20"/>
          <w:szCs w:val="20"/>
        </w:rPr>
        <w:t>1</w:t>
      </w:r>
      <w:r>
        <w:rPr>
          <w:sz w:val="20"/>
          <w:szCs w:val="20"/>
        </w:rPr>
        <w:t>7</w:t>
      </w:r>
    </w:p>
    <w:p w:rsidR="00000000" w:rsidRDefault="00F55F16">
      <w:pPr>
        <w:divId w:val="90975521"/>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F55F16">
      <w:pPr>
        <w:pStyle w:val="a3"/>
        <w:spacing w:before="0" w:beforeAutospacing="0" w:after="0" w:afterAutospacing="0"/>
        <w:divId w:val="90975521"/>
        <w:rPr>
          <w:sz w:val="20"/>
          <w:szCs w:val="20"/>
        </w:rPr>
      </w:pPr>
      <w:r>
        <w:rPr>
          <w:sz w:val="20"/>
          <w:szCs w:val="20"/>
        </w:rPr>
        <w:t> </w:t>
      </w:r>
    </w:p>
    <w:p w:rsidR="00000000" w:rsidRDefault="00F55F16">
      <w:pPr>
        <w:pStyle w:val="a3"/>
        <w:spacing w:before="240" w:beforeAutospacing="0" w:after="0" w:afterAutospacing="0"/>
        <w:ind w:firstLine="555"/>
        <w:divId w:val="1236551218"/>
        <w:rPr>
          <w:sz w:val="20"/>
          <w:szCs w:val="20"/>
        </w:rPr>
      </w:pPr>
      <w:r>
        <w:rPr>
          <w:sz w:val="20"/>
          <w:szCs w:val="20"/>
        </w:rPr>
        <w:t>The following is a schedule of the aggregate annual matu</w:t>
      </w:r>
      <w:r>
        <w:rPr>
          <w:sz w:val="20"/>
          <w:szCs w:val="20"/>
        </w:rPr>
        <w:t>rities of long-term debt presented on the unaudited condensed consolidated statement of financial position, based on the terms of the 2021 Credit Facility</w:t>
      </w:r>
      <w:r>
        <w:rPr>
          <w:sz w:val="20"/>
          <w:szCs w:val="20"/>
        </w:rPr>
        <w:t>:</w:t>
      </w:r>
    </w:p>
    <w:p w:rsidR="00000000" w:rsidRDefault="00F55F16">
      <w:pPr>
        <w:pStyle w:val="a3"/>
        <w:spacing w:before="0" w:beforeAutospacing="0" w:after="0" w:afterAutospacing="0"/>
        <w:ind w:firstLine="555"/>
        <w:divId w:val="1236551218"/>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5179"/>
        <w:gridCol w:w="131"/>
        <w:gridCol w:w="150"/>
        <w:gridCol w:w="1065"/>
        <w:gridCol w:w="120"/>
      </w:tblGrid>
      <w:tr w:rsidR="00000000">
        <w:trPr>
          <w:divId w:val="1236551218"/>
          <w:tblCellSpacing w:w="15" w:type="dxa"/>
        </w:trPr>
        <w:tc>
          <w:tcPr>
            <w:tcW w:w="3987" w:type="pct"/>
            <w:vAlign w:val="center"/>
            <w:hideMark/>
          </w:tcPr>
          <w:p w:rsidR="00000000" w:rsidRDefault="00F55F16">
            <w:pPr>
              <w:rPr>
                <w:sz w:val="20"/>
                <w:szCs w:val="20"/>
              </w:rPr>
            </w:pPr>
          </w:p>
        </w:tc>
        <w:tc>
          <w:tcPr>
            <w:tcW w:w="9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1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236551218"/>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23655121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w:t>
            </w:r>
            <w:r>
              <w:rPr>
                <w:sz w:val="18"/>
                <w:szCs w:val="18"/>
              </w:rPr>
              <w:t>3</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3655121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w:t>
            </w:r>
            <w:r>
              <w:rPr>
                <w:sz w:val="18"/>
                <w:szCs w:val="18"/>
              </w:rPr>
              <w:t>4</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12,03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3655121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w:t>
            </w:r>
            <w:r>
              <w:rPr>
                <w:sz w:val="18"/>
                <w:szCs w:val="18"/>
              </w:rPr>
              <w:t>5</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13,12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3655121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202</w:t>
            </w:r>
            <w:r>
              <w:rPr>
                <w:sz w:val="18"/>
                <w:szCs w:val="18"/>
              </w:rPr>
              <w:t>6</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134,53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36551218"/>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168,43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ind w:firstLine="555"/>
        <w:rPr>
          <w:sz w:val="20"/>
          <w:szCs w:val="20"/>
        </w:rPr>
      </w:pPr>
      <w:r>
        <w:rPr>
          <w:sz w:val="20"/>
          <w:szCs w:val="20"/>
        </w:rPr>
        <w:t> </w:t>
      </w:r>
    </w:p>
    <w:p w:rsidR="00000000" w:rsidRDefault="00F55F16">
      <w:pPr>
        <w:pStyle w:val="a3"/>
        <w:spacing w:before="360" w:beforeAutospacing="0" w:after="0" w:afterAutospacing="0"/>
        <w:divId w:val="185683814"/>
        <w:rPr>
          <w:sz w:val="20"/>
          <w:szCs w:val="20"/>
        </w:rPr>
      </w:pPr>
      <w:r>
        <w:rPr>
          <w:b/>
          <w:bCs/>
          <w:sz w:val="20"/>
          <w:szCs w:val="20"/>
        </w:rPr>
        <w:t>13. FAIR VALUE OF FINANCIAL INSTRUMENT</w:t>
      </w:r>
      <w:r>
        <w:rPr>
          <w:b/>
          <w:bCs/>
          <w:sz w:val="20"/>
          <w:szCs w:val="20"/>
        </w:rPr>
        <w:t>S</w:t>
      </w:r>
    </w:p>
    <w:p w:rsidR="00000000" w:rsidRDefault="00F55F16">
      <w:pPr>
        <w:pStyle w:val="a3"/>
        <w:spacing w:before="240" w:beforeAutospacing="0" w:after="0" w:afterAutospacing="0"/>
        <w:ind w:firstLine="555"/>
        <w:divId w:val="1037856979"/>
        <w:rPr>
          <w:sz w:val="20"/>
          <w:szCs w:val="20"/>
        </w:rPr>
      </w:pPr>
      <w:r>
        <w:rPr>
          <w:sz w:val="20"/>
          <w:szCs w:val="20"/>
        </w:rPr>
        <w:t>The following financial instruments are measured at fair value on a recurring basis using significant unobservable inputs (Level 3)</w:t>
      </w:r>
      <w:r>
        <w:rPr>
          <w:sz w:val="20"/>
          <w:szCs w:val="20"/>
        </w:rPr>
        <w:t>:</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131"/>
        <w:gridCol w:w="105"/>
        <w:gridCol w:w="150"/>
        <w:gridCol w:w="952"/>
        <w:gridCol w:w="105"/>
        <w:gridCol w:w="105"/>
        <w:gridCol w:w="151"/>
        <w:gridCol w:w="995"/>
        <w:gridCol w:w="120"/>
      </w:tblGrid>
      <w:tr w:rsidR="00000000">
        <w:trPr>
          <w:divId w:val="1037856979"/>
          <w:tblCellSpacing w:w="15" w:type="dxa"/>
        </w:trPr>
        <w:tc>
          <w:tcPr>
            <w:tcW w:w="2827" w:type="pct"/>
            <w:vAlign w:val="center"/>
            <w:hideMark/>
          </w:tcPr>
          <w:p w:rsidR="00000000" w:rsidRDefault="00F55F16">
            <w:pPr>
              <w:rPr>
                <w:sz w:val="20"/>
                <w:szCs w:val="20"/>
              </w:rPr>
            </w:pPr>
          </w:p>
        </w:tc>
        <w:tc>
          <w:tcPr>
            <w:tcW w:w="8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7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1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037856979"/>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037856979"/>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03785697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Interest rate swa</w:t>
            </w:r>
            <w:r>
              <w:rPr>
                <w:sz w:val="18"/>
                <w:szCs w:val="18"/>
              </w:rPr>
              <w:t>p</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3785697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Total asset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37856979"/>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03785697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Business acquisitions contingent consideration, </w:t>
            </w:r>
            <w:r>
              <w:rPr>
                <w:sz w:val="18"/>
                <w:szCs w:val="18"/>
              </w:rPr>
              <w:br/>
              <w:t>   curren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31,45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3785697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Business acquisitions contingent consideration, </w:t>
            </w:r>
            <w:r>
              <w:rPr>
                <w:sz w:val="18"/>
                <w:szCs w:val="18"/>
              </w:rPr>
              <w:br/>
              <w:t>   long-ter</w:t>
            </w:r>
            <w:r>
              <w:rPr>
                <w:sz w:val="18"/>
                <w:szCs w:val="18"/>
              </w:rPr>
              <w:t>m</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3,56</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4,35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3785697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Conversion optio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24,20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23,08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37856979"/>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Total liabilitie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30,58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58,88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85683814"/>
        <w:rPr>
          <w:sz w:val="20"/>
          <w:szCs w:val="20"/>
        </w:rPr>
      </w:pPr>
      <w:r>
        <w:rPr>
          <w:sz w:val="20"/>
          <w:szCs w:val="20"/>
        </w:rPr>
        <w:t>The estimated fair value amounts shown above are not necessarily indicative of the amounts that the Company would realize upon disposition, nor do they indicate the Company’s intent or ability to dispose of the financial instrument</w:t>
      </w:r>
      <w:r>
        <w:rPr>
          <w:sz w:val="20"/>
          <w:szCs w:val="20"/>
        </w:rPr>
        <w:t>.</w:t>
      </w:r>
    </w:p>
    <w:p w:rsidR="00000000" w:rsidRDefault="00F55F16">
      <w:pPr>
        <w:pStyle w:val="a3"/>
        <w:spacing w:before="240" w:beforeAutospacing="0" w:after="0" w:afterAutospacing="0"/>
        <w:ind w:firstLine="555"/>
        <w:divId w:val="1201086663"/>
        <w:rPr>
          <w:sz w:val="20"/>
          <w:szCs w:val="20"/>
        </w:rPr>
      </w:pPr>
      <w:r>
        <w:rPr>
          <w:sz w:val="20"/>
          <w:szCs w:val="20"/>
        </w:rPr>
        <w:t>The following table set</w:t>
      </w:r>
      <w:r>
        <w:rPr>
          <w:sz w:val="20"/>
          <w:szCs w:val="20"/>
        </w:rPr>
        <w:t>s forth the Company’s financial instruments that were measured at fair value on a recurring basis</w:t>
      </w:r>
      <w:r>
        <w:rPr>
          <w:sz w:val="20"/>
          <w:szCs w:val="20"/>
        </w:rPr>
        <w:t>:</w:t>
      </w:r>
    </w:p>
    <w:p w:rsidR="00000000" w:rsidRDefault="00F55F16">
      <w:pPr>
        <w:pStyle w:val="a3"/>
        <w:spacing w:before="0" w:beforeAutospacing="0" w:after="0" w:afterAutospacing="0"/>
        <w:ind w:firstLine="555"/>
        <w:divId w:val="1201086663"/>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01"/>
        <w:gridCol w:w="151"/>
        <w:gridCol w:w="535"/>
        <w:gridCol w:w="105"/>
        <w:gridCol w:w="105"/>
        <w:gridCol w:w="150"/>
        <w:gridCol w:w="465"/>
        <w:gridCol w:w="105"/>
        <w:gridCol w:w="105"/>
        <w:gridCol w:w="151"/>
        <w:gridCol w:w="1067"/>
        <w:gridCol w:w="120"/>
        <w:gridCol w:w="105"/>
        <w:gridCol w:w="151"/>
        <w:gridCol w:w="1067"/>
        <w:gridCol w:w="120"/>
        <w:gridCol w:w="105"/>
        <w:gridCol w:w="151"/>
        <w:gridCol w:w="836"/>
        <w:gridCol w:w="105"/>
        <w:gridCol w:w="105"/>
        <w:gridCol w:w="151"/>
        <w:gridCol w:w="715"/>
        <w:gridCol w:w="135"/>
      </w:tblGrid>
      <w:tr w:rsidR="00000000">
        <w:trPr>
          <w:divId w:val="1201086663"/>
          <w:tblCellSpacing w:w="15" w:type="dxa"/>
        </w:trPr>
        <w:tc>
          <w:tcPr>
            <w:tcW w:w="1543" w:type="pct"/>
            <w:vAlign w:val="center"/>
            <w:hideMark/>
          </w:tcPr>
          <w:p w:rsidR="00000000" w:rsidRDefault="00F55F16">
            <w:pPr>
              <w:rPr>
                <w:sz w:val="20"/>
                <w:szCs w:val="20"/>
              </w:rPr>
            </w:pPr>
          </w:p>
        </w:tc>
        <w:tc>
          <w:tcPr>
            <w:tcW w:w="50" w:type="pct"/>
            <w:vAlign w:val="center"/>
            <w:hideMark/>
          </w:tcPr>
          <w:p w:rsidR="00000000" w:rsidRDefault="00F55F16">
            <w:pPr>
              <w:rPr>
                <w:rFonts w:eastAsia="Times New Roman"/>
                <w:sz w:val="20"/>
                <w:szCs w:val="20"/>
              </w:rPr>
            </w:pPr>
          </w:p>
        </w:tc>
        <w:tc>
          <w:tcPr>
            <w:tcW w:w="26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8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2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2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3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0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20108666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Interest </w:t>
            </w:r>
            <w:r>
              <w:rPr>
                <w:b/>
                <w:bCs/>
                <w:sz w:val="18"/>
                <w:szCs w:val="18"/>
              </w:rPr>
              <w:br/>
              <w:t xml:space="preserve">Rate </w:t>
            </w:r>
            <w:r>
              <w:rPr>
                <w:b/>
                <w:bCs/>
                <w:sz w:val="18"/>
                <w:szCs w:val="18"/>
              </w:rPr>
              <w:br/>
              <w:t>Swa</w:t>
            </w:r>
            <w:r>
              <w:rPr>
                <w:b/>
                <w:bCs/>
                <w:sz w:val="18"/>
                <w:szCs w:val="18"/>
              </w:rPr>
              <w:t>p</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Total </w:t>
            </w:r>
            <w:r>
              <w:rPr>
                <w:b/>
                <w:bCs/>
                <w:sz w:val="18"/>
                <w:szCs w:val="18"/>
              </w:rPr>
              <w:br/>
              <w:t>Asset</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Business </w:t>
            </w:r>
            <w:r>
              <w:rPr>
                <w:b/>
                <w:bCs/>
                <w:sz w:val="18"/>
                <w:szCs w:val="18"/>
              </w:rPr>
              <w:br/>
              <w:t>Acquisitions</w:t>
            </w:r>
            <w:r>
              <w:rPr>
                <w:b/>
                <w:bCs/>
                <w:sz w:val="18"/>
                <w:szCs w:val="18"/>
              </w:rPr>
              <w:br/>
              <w:t>Contingent</w:t>
            </w:r>
            <w:r>
              <w:rPr>
                <w:b/>
                <w:bCs/>
                <w:sz w:val="18"/>
                <w:szCs w:val="18"/>
              </w:rPr>
              <w:br/>
              <w:t>Consideration,</w:t>
            </w:r>
            <w:r>
              <w:rPr>
                <w:b/>
                <w:bCs/>
                <w:sz w:val="18"/>
                <w:szCs w:val="18"/>
              </w:rPr>
              <w:br/>
              <w:t>Curren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Business</w:t>
            </w:r>
            <w:r>
              <w:rPr>
                <w:b/>
                <w:bCs/>
                <w:sz w:val="18"/>
                <w:szCs w:val="18"/>
              </w:rPr>
              <w:br/>
            </w:r>
            <w:r>
              <w:rPr>
                <w:b/>
                <w:bCs/>
                <w:sz w:val="18"/>
                <w:szCs w:val="18"/>
              </w:rPr>
              <w:t>Acquisitions</w:t>
            </w:r>
            <w:r>
              <w:rPr>
                <w:b/>
                <w:bCs/>
                <w:sz w:val="18"/>
                <w:szCs w:val="18"/>
              </w:rPr>
              <w:br/>
              <w:t>Contingent</w:t>
            </w:r>
            <w:r>
              <w:rPr>
                <w:b/>
                <w:bCs/>
                <w:sz w:val="18"/>
                <w:szCs w:val="18"/>
              </w:rPr>
              <w:br/>
              <w:t>Consideration,</w:t>
            </w:r>
            <w:r>
              <w:rPr>
                <w:b/>
                <w:bCs/>
                <w:sz w:val="18"/>
                <w:szCs w:val="18"/>
              </w:rPr>
              <w:br/>
              <w:t>Long-ter</w:t>
            </w:r>
            <w:r>
              <w:rPr>
                <w:b/>
                <w:bCs/>
                <w:sz w:val="18"/>
                <w:szCs w:val="18"/>
              </w:rPr>
              <w:t>m</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Conversion</w:t>
            </w:r>
            <w:r>
              <w:rPr>
                <w:b/>
                <w:bCs/>
                <w:sz w:val="18"/>
                <w:szCs w:val="18"/>
              </w:rPr>
              <w:br/>
              <w:t>   Optio</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Total </w:t>
            </w:r>
            <w:r>
              <w:rPr>
                <w:b/>
                <w:bCs/>
                <w:sz w:val="18"/>
                <w:szCs w:val="18"/>
              </w:rPr>
              <w:br/>
              <w:t>Liabilitie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Balance—at January 1, 202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49,90</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4,56</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20,88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75,35</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Acquisition</w:t>
            </w:r>
            <w:r>
              <w:rPr>
                <w:sz w:val="18"/>
                <w:szCs w:val="18"/>
              </w:rPr>
              <w:t>s</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2,80</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2,80</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Changes in fair value included in earning</w:t>
            </w:r>
            <w:r>
              <w:rPr>
                <w:sz w:val="18"/>
                <w:szCs w:val="18"/>
              </w:rPr>
              <w:t>s</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13,77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10,26</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25,15</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Payment of contingent consideration</w:t>
            </w:r>
            <w:r>
              <w:rPr>
                <w:sz w:val="18"/>
                <w:szCs w:val="18"/>
              </w:rPr>
              <w:br/>
              <w:t>       payabl</w:t>
            </w:r>
            <w:r>
              <w:rPr>
                <w:sz w:val="18"/>
                <w:szCs w:val="18"/>
              </w:rPr>
              <w:t>e</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50,15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50,15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r>
              <w:rPr>
                <w:sz w:val="18"/>
                <w:szCs w:val="18"/>
              </w:rPr>
              <w:t>Reclass of long term to short term</w:t>
            </w:r>
            <w:r>
              <w:rPr>
                <w:sz w:val="18"/>
                <w:szCs w:val="18"/>
              </w:rPr>
              <w:br/>
              <w:t>      contingent liabilitie</w:t>
            </w:r>
            <w:r>
              <w:rPr>
                <w:sz w:val="18"/>
                <w:szCs w:val="18"/>
              </w:rPr>
              <w:t>s</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16,63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16,63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Balance—at June 30, 202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30,15</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22,00</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53,15</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Balance—at January 1, 202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31,45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4,35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23,08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58,88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Acquisition</w:t>
            </w:r>
            <w:r>
              <w:rPr>
                <w:sz w:val="18"/>
                <w:szCs w:val="18"/>
              </w:rPr>
              <w:t>s</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1,21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Changes in fair value included in earning</w:t>
            </w:r>
            <w:r>
              <w:rPr>
                <w:sz w:val="18"/>
                <w:szCs w:val="18"/>
              </w:rPr>
              <w:t>s</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1,12</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Payment of contingent consideration</w:t>
            </w:r>
            <w:r>
              <w:rPr>
                <w:sz w:val="18"/>
                <w:szCs w:val="18"/>
              </w:rPr>
              <w:br/>
              <w:t>       payabl</w:t>
            </w:r>
            <w:r>
              <w:rPr>
                <w:sz w:val="18"/>
                <w:szCs w:val="18"/>
              </w:rPr>
              <w:t>e</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30,17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30,17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Reclass of long term to short term</w:t>
            </w:r>
            <w:r>
              <w:rPr>
                <w:sz w:val="18"/>
                <w:szCs w:val="18"/>
              </w:rPr>
              <w:br/>
              <w:t>      contingent liabilitie</w:t>
            </w:r>
            <w:r>
              <w:rPr>
                <w:sz w:val="18"/>
                <w:szCs w:val="18"/>
              </w:rPr>
              <w:t>s</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1,61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108666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Balance—at June 30, 202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3,56</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24,20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30,58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85683814"/>
        <w:rPr>
          <w:sz w:val="20"/>
          <w:szCs w:val="20"/>
        </w:rPr>
      </w:pPr>
      <w:r>
        <w:rPr>
          <w:b/>
          <w:bCs/>
          <w:sz w:val="20"/>
          <w:szCs w:val="20"/>
        </w:rPr>
        <w:t>Quantitative Information about Assets and Liabilities Measured at Fair Value on a Recurring Basis Using Significant Unobservable Inputs (Level 3)</w:t>
      </w:r>
      <w:r>
        <w:rPr>
          <w:b/>
          <w:bCs/>
          <w:sz w:val="20"/>
          <w:szCs w:val="20"/>
        </w:rPr>
        <w:t>:</w:t>
      </w:r>
    </w:p>
    <w:p w:rsidR="00000000" w:rsidRDefault="00F55F16">
      <w:pPr>
        <w:pStyle w:val="a3"/>
        <w:spacing w:before="240" w:beforeAutospacing="0" w:after="0" w:afterAutospacing="0"/>
        <w:ind w:firstLine="555"/>
        <w:divId w:val="185683814"/>
        <w:rPr>
          <w:sz w:val="20"/>
          <w:szCs w:val="20"/>
        </w:rPr>
      </w:pPr>
      <w:r>
        <w:rPr>
          <w:b/>
          <w:bCs/>
          <w:i/>
          <w:iCs/>
          <w:sz w:val="20"/>
          <w:szCs w:val="20"/>
        </w:rPr>
        <w:t>Interest Rate Swa</w:t>
      </w:r>
      <w:r>
        <w:rPr>
          <w:b/>
          <w:bCs/>
          <w:i/>
          <w:iCs/>
          <w:sz w:val="20"/>
          <w:szCs w:val="20"/>
        </w:rPr>
        <w:t>p</w:t>
      </w:r>
      <w:r>
        <w:rPr>
          <w:sz w:val="20"/>
          <w:szCs w:val="20"/>
        </w:rPr>
        <w:t>—The interest rate swap fair value is estimated based on a mid-market price for the swap as</w:t>
      </w:r>
      <w:r>
        <w:rPr>
          <w:sz w:val="20"/>
          <w:szCs w:val="20"/>
        </w:rPr>
        <w:t xml:space="preserve"> of the close of business of the reporting period. The fair value is prepared by discounting future cash flows of the swap to arrive at a current value of the swap. Forward curves and volatility levels inputs are determined on the basis of observable marke</w:t>
      </w:r>
      <w:r>
        <w:rPr>
          <w:sz w:val="20"/>
          <w:szCs w:val="20"/>
        </w:rPr>
        <w:t>t inputs when available and o</w:t>
      </w:r>
      <w:r>
        <w:rPr>
          <w:sz w:val="20"/>
          <w:szCs w:val="20"/>
        </w:rPr>
        <w:t>n</w:t>
      </w:r>
      <w:r>
        <w:rPr>
          <w:sz w:val="20"/>
          <w:szCs w:val="20"/>
        </w:rPr>
        <w:t xml:space="preserve"> </w:t>
      </w:r>
    </w:p>
    <w:p w:rsidR="00000000" w:rsidRDefault="00F55F16">
      <w:pPr>
        <w:pStyle w:val="a3"/>
        <w:spacing w:before="240" w:beforeAutospacing="0" w:after="0" w:afterAutospacing="0"/>
        <w:jc w:val="center"/>
        <w:divId w:val="185683814"/>
        <w:rPr>
          <w:sz w:val="20"/>
          <w:szCs w:val="20"/>
        </w:rPr>
      </w:pPr>
      <w:r>
        <w:rPr>
          <w:sz w:val="20"/>
          <w:szCs w:val="20"/>
        </w:rPr>
        <w:t>1</w:t>
      </w:r>
      <w:r>
        <w:rPr>
          <w:sz w:val="20"/>
          <w:szCs w:val="20"/>
        </w:rPr>
        <w:t>8</w:t>
      </w:r>
    </w:p>
    <w:p w:rsidR="00000000" w:rsidRDefault="00F55F16">
      <w:pPr>
        <w:divId w:val="185683814"/>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F55F16">
      <w:pPr>
        <w:pStyle w:val="a3"/>
        <w:spacing w:before="0" w:beforeAutospacing="0" w:after="0" w:afterAutospacing="0"/>
        <w:divId w:val="185683814"/>
        <w:rPr>
          <w:sz w:val="20"/>
          <w:szCs w:val="20"/>
        </w:rPr>
      </w:pPr>
      <w:r>
        <w:rPr>
          <w:sz w:val="20"/>
          <w:szCs w:val="20"/>
        </w:rPr>
        <w:t> </w:t>
      </w:r>
    </w:p>
    <w:p w:rsidR="00000000" w:rsidRDefault="00F55F16">
      <w:pPr>
        <w:pStyle w:val="a3"/>
        <w:spacing w:before="240" w:beforeAutospacing="0" w:after="0" w:afterAutospacing="0"/>
        <w:divId w:val="185683814"/>
        <w:rPr>
          <w:sz w:val="20"/>
          <w:szCs w:val="20"/>
        </w:rPr>
      </w:pPr>
      <w:r>
        <w:rPr>
          <w:sz w:val="20"/>
          <w:szCs w:val="20"/>
        </w:rPr>
        <w:t xml:space="preserve">the basis of estimates when observable market inputs are not available. The Company does not apply hedge accounting but instead recognizes the instrument at fair value on the unaudited condensed consolidated statement </w:t>
      </w:r>
      <w:r>
        <w:rPr>
          <w:sz w:val="20"/>
          <w:szCs w:val="20"/>
        </w:rPr>
        <w:t xml:space="preserve">of financial position within other assets, with changes in fair value recognized in earnings in each reporting period. The change in fair value of </w:t>
      </w:r>
      <w:r>
        <w:rPr>
          <w:sz w:val="20"/>
          <w:szCs w:val="20"/>
        </w:rPr>
        <w:t>$</w:t>
      </w:r>
      <w:r>
        <w:rPr>
          <w:sz w:val="20"/>
          <w:szCs w:val="20"/>
        </w:rPr>
        <w:t>1.</w:t>
      </w:r>
      <w:r>
        <w:rPr>
          <w:sz w:val="20"/>
          <w:szCs w:val="20"/>
        </w:rPr>
        <w:t>0</w:t>
      </w:r>
      <w:r>
        <w:rPr>
          <w:sz w:val="20"/>
          <w:szCs w:val="20"/>
        </w:rPr>
        <w:t xml:space="preserve"> million and </w:t>
      </w:r>
      <w:r>
        <w:rPr>
          <w:sz w:val="20"/>
          <w:szCs w:val="20"/>
        </w:rPr>
        <w:t>$</w:t>
      </w:r>
      <w:r>
        <w:rPr>
          <w:sz w:val="20"/>
          <w:szCs w:val="20"/>
        </w:rPr>
        <w:t>4.</w:t>
      </w:r>
      <w:r>
        <w:rPr>
          <w:sz w:val="20"/>
          <w:szCs w:val="20"/>
        </w:rPr>
        <w:t>0</w:t>
      </w:r>
      <w:r>
        <w:rPr>
          <w:sz w:val="20"/>
          <w:szCs w:val="20"/>
        </w:rPr>
        <w:t xml:space="preserve"> for the three and six months ended June 30, 202</w:t>
      </w:r>
      <w:r>
        <w:rPr>
          <w:sz w:val="20"/>
          <w:szCs w:val="20"/>
        </w:rPr>
        <w:t>2</w:t>
      </w:r>
      <w:r>
        <w:rPr>
          <w:sz w:val="20"/>
          <w:szCs w:val="20"/>
        </w:rPr>
        <w:t>, respectively was recognized as a comp</w:t>
      </w:r>
      <w:r>
        <w:rPr>
          <w:sz w:val="20"/>
          <w:szCs w:val="20"/>
        </w:rPr>
        <w:t>onent of</w:t>
      </w:r>
      <w:r>
        <w:rPr>
          <w:sz w:val="20"/>
          <w:szCs w:val="20"/>
        </w:rPr>
        <w:t xml:space="preserve"> </w:t>
      </w:r>
      <w:r>
        <w:rPr>
          <w:sz w:val="20"/>
          <w:szCs w:val="20"/>
        </w:rPr>
        <w:t>other expens</w:t>
      </w:r>
      <w:r>
        <w:rPr>
          <w:sz w:val="20"/>
          <w:szCs w:val="20"/>
        </w:rPr>
        <w:t>e</w:t>
      </w:r>
      <w:r>
        <w:rPr>
          <w:sz w:val="20"/>
          <w:szCs w:val="20"/>
        </w:rPr>
        <w:t xml:space="preserve"> on the Company's unaudited condensed consolidated statements of operations</w:t>
      </w:r>
      <w:r>
        <w:rPr>
          <w:sz w:val="20"/>
          <w:szCs w:val="20"/>
        </w:rPr>
        <w:t>.</w:t>
      </w:r>
    </w:p>
    <w:p w:rsidR="00000000" w:rsidRDefault="00F55F16">
      <w:pPr>
        <w:pStyle w:val="a3"/>
        <w:spacing w:before="240" w:beforeAutospacing="0" w:after="0" w:afterAutospacing="0"/>
        <w:ind w:firstLine="555"/>
        <w:divId w:val="185683814"/>
        <w:rPr>
          <w:sz w:val="20"/>
          <w:szCs w:val="20"/>
        </w:rPr>
      </w:pPr>
      <w:r>
        <w:rPr>
          <w:b/>
          <w:bCs/>
          <w:i/>
          <w:iCs/>
          <w:sz w:val="20"/>
          <w:szCs w:val="20"/>
        </w:rPr>
        <w:t>Business Acquisitions Contingent Consideratio</w:t>
      </w:r>
      <w:r>
        <w:rPr>
          <w:b/>
          <w:bCs/>
          <w:i/>
          <w:iCs/>
          <w:sz w:val="20"/>
          <w:szCs w:val="20"/>
        </w:rPr>
        <w:t>n</w:t>
      </w:r>
      <w:r>
        <w:rPr>
          <w:sz w:val="20"/>
          <w:szCs w:val="20"/>
        </w:rPr>
        <w:t>—The fair value of the contingent consideration payable associated with the acquisition of CTEH, MSE and Sensib</w:t>
      </w:r>
      <w:r>
        <w:rPr>
          <w:sz w:val="20"/>
          <w:szCs w:val="20"/>
        </w:rPr>
        <w:t>le was determined using a Monte Carlo simulation of earnings in a risk-neutral Geometric Brownian Motion framework. The fair value of the contingent consideration payable associated with the acquisition of EnvStd was determined using a Probabilistic (Scena</w:t>
      </w:r>
      <w:r>
        <w:rPr>
          <w:sz w:val="20"/>
          <w:szCs w:val="20"/>
        </w:rPr>
        <w:t>rio Based) method. The fair values of the contingent consideration payables for the other acquisitions were calculated based on expected target achievement amounts, which are measured quarterly and then subsequently adjusted to actuals at the target measur</w:t>
      </w:r>
      <w:r>
        <w:rPr>
          <w:sz w:val="20"/>
          <w:szCs w:val="20"/>
        </w:rPr>
        <w:t>ement date. The method used to price these liabilities is considered level 3 due to the subjective nature of the unobservable inputs used to determine the fair value. The input is the expected achievement of earn-out thresholds</w:t>
      </w:r>
      <w:r>
        <w:rPr>
          <w:sz w:val="20"/>
          <w:szCs w:val="20"/>
        </w:rPr>
        <w:t>.</w:t>
      </w:r>
    </w:p>
    <w:p w:rsidR="00000000" w:rsidRDefault="00F55F16">
      <w:pPr>
        <w:pStyle w:val="a3"/>
        <w:spacing w:before="240" w:beforeAutospacing="0" w:after="0" w:afterAutospacing="0"/>
        <w:ind w:firstLine="555"/>
        <w:divId w:val="185683814"/>
        <w:rPr>
          <w:sz w:val="20"/>
          <w:szCs w:val="20"/>
        </w:rPr>
      </w:pPr>
      <w:r>
        <w:rPr>
          <w:b/>
          <w:bCs/>
          <w:i/>
          <w:iCs/>
          <w:sz w:val="20"/>
          <w:szCs w:val="20"/>
        </w:rPr>
        <w:t>Conversion Optio</w:t>
      </w:r>
      <w:r>
        <w:rPr>
          <w:b/>
          <w:bCs/>
          <w:i/>
          <w:iCs/>
          <w:sz w:val="20"/>
          <w:szCs w:val="20"/>
        </w:rPr>
        <w:t>n</w:t>
      </w:r>
      <w:r>
        <w:rPr>
          <w:sz w:val="20"/>
          <w:szCs w:val="20"/>
        </w:rPr>
        <w:t xml:space="preserve">—Upon the </w:t>
      </w:r>
      <w:r>
        <w:rPr>
          <w:sz w:val="20"/>
          <w:szCs w:val="20"/>
        </w:rPr>
        <w:t>Company’s initial public offering ("IPO"), the fair value of the conversion option associated with the issuance of the Convertible and Redeemable Series A-2 Preferred Stock (Note 15) was estimated using a “with-and-without” method. The “with-and-without” m</w:t>
      </w:r>
      <w:r>
        <w:rPr>
          <w:sz w:val="20"/>
          <w:szCs w:val="20"/>
        </w:rPr>
        <w:t>ethodology considers the value of the security on an as-is basis and then without the embedded conversion premium. The difference between the two scenarios is the implied fair value of the embedded derivative. The unobservable input is the required rate of</w:t>
      </w:r>
      <w:r>
        <w:rPr>
          <w:sz w:val="20"/>
          <w:szCs w:val="20"/>
        </w:rPr>
        <w:t xml:space="preserve"> return on the Series A-2. The considerable quantifiable inputs in the valuation relate to the timing of conversions or redemptions</w:t>
      </w:r>
      <w:r>
        <w:rPr>
          <w:sz w:val="20"/>
          <w:szCs w:val="20"/>
        </w:rPr>
        <w:t>.</w:t>
      </w:r>
    </w:p>
    <w:p w:rsidR="00000000" w:rsidRDefault="00F55F16">
      <w:pPr>
        <w:pStyle w:val="a3"/>
        <w:spacing w:before="360" w:beforeAutospacing="0" w:after="0" w:afterAutospacing="0"/>
        <w:divId w:val="236938678"/>
        <w:rPr>
          <w:sz w:val="20"/>
          <w:szCs w:val="20"/>
        </w:rPr>
      </w:pPr>
      <w:r>
        <w:rPr>
          <w:b/>
          <w:bCs/>
          <w:sz w:val="20"/>
          <w:szCs w:val="20"/>
        </w:rPr>
        <w:t>14. COMMITMENTS AND CONTINGENCIE</w:t>
      </w:r>
      <w:r>
        <w:rPr>
          <w:b/>
          <w:bCs/>
          <w:sz w:val="20"/>
          <w:szCs w:val="20"/>
        </w:rPr>
        <w:t>S</w:t>
      </w:r>
    </w:p>
    <w:p w:rsidR="00000000" w:rsidRDefault="00F55F16">
      <w:pPr>
        <w:pStyle w:val="a3"/>
        <w:spacing w:before="240" w:beforeAutospacing="0" w:after="0" w:afterAutospacing="0"/>
        <w:ind w:firstLine="555"/>
        <w:divId w:val="236938678"/>
        <w:rPr>
          <w:sz w:val="20"/>
          <w:szCs w:val="20"/>
        </w:rPr>
      </w:pPr>
      <w:r>
        <w:rPr>
          <w:b/>
          <w:bCs/>
          <w:sz w:val="20"/>
          <w:szCs w:val="20"/>
        </w:rPr>
        <w:t>Lease</w:t>
      </w:r>
      <w:r>
        <w:rPr>
          <w:b/>
          <w:bCs/>
          <w:sz w:val="20"/>
          <w:szCs w:val="20"/>
        </w:rPr>
        <w:t>s</w:t>
      </w:r>
      <w:r>
        <w:rPr>
          <w:sz w:val="20"/>
          <w:szCs w:val="20"/>
        </w:rPr>
        <w:t>—The Company leases office facilities over various terms expiring thr</w:t>
      </w:r>
      <w:r>
        <w:rPr>
          <w:sz w:val="20"/>
          <w:szCs w:val="20"/>
        </w:rPr>
        <w:t>o</w:t>
      </w:r>
      <w:r>
        <w:rPr>
          <w:sz w:val="20"/>
          <w:szCs w:val="20"/>
        </w:rPr>
        <w:t>ugh</w:t>
      </w:r>
      <w:r>
        <w:rPr>
          <w:sz w:val="20"/>
          <w:szCs w:val="20"/>
        </w:rPr>
        <w:t xml:space="preserve"> </w:t>
      </w:r>
      <w:r>
        <w:rPr>
          <w:sz w:val="20"/>
          <w:szCs w:val="20"/>
        </w:rPr>
        <w:t>203</w:t>
      </w:r>
      <w:r>
        <w:rPr>
          <w:sz w:val="20"/>
          <w:szCs w:val="20"/>
        </w:rPr>
        <w:t>0</w:t>
      </w:r>
      <w:r>
        <w:rPr>
          <w:sz w:val="20"/>
          <w:szCs w:val="20"/>
        </w:rPr>
        <w:t>. Cer</w:t>
      </w:r>
      <w:r>
        <w:rPr>
          <w:sz w:val="20"/>
          <w:szCs w:val="20"/>
        </w:rPr>
        <w:t>tain of these operating leases contain rent escalation clauses. The Company also has office equipment leases that expire through</w:t>
      </w:r>
      <w:r>
        <w:rPr>
          <w:sz w:val="20"/>
          <w:szCs w:val="20"/>
        </w:rPr>
        <w:t xml:space="preserve"> </w:t>
      </w:r>
      <w:r>
        <w:rPr>
          <w:sz w:val="20"/>
          <w:szCs w:val="20"/>
        </w:rPr>
        <w:t>202</w:t>
      </w:r>
      <w:r>
        <w:rPr>
          <w:sz w:val="20"/>
          <w:szCs w:val="20"/>
        </w:rPr>
        <w:t>7</w:t>
      </w:r>
      <w:r>
        <w:rPr>
          <w:sz w:val="20"/>
          <w:szCs w:val="20"/>
        </w:rPr>
        <w:t xml:space="preserve"> (</w:t>
      </w:r>
      <w:r>
        <w:rPr>
          <w:sz w:val="20"/>
          <w:szCs w:val="20"/>
        </w:rPr>
        <w:t>N</w:t>
      </w:r>
      <w:r>
        <w:rPr>
          <w:sz w:val="20"/>
          <w:szCs w:val="20"/>
        </w:rPr>
        <w:t>ote 6 and 12)</w:t>
      </w:r>
      <w:r>
        <w:rPr>
          <w:sz w:val="20"/>
          <w:szCs w:val="20"/>
        </w:rPr>
        <w:t>.</w:t>
      </w:r>
      <w:r>
        <w:rPr>
          <w:sz w:val="20"/>
          <w:szCs w:val="20"/>
        </w:rPr>
        <w:t xml:space="preserve"> </w:t>
      </w:r>
    </w:p>
    <w:p w:rsidR="00000000" w:rsidRDefault="00F55F16">
      <w:pPr>
        <w:pStyle w:val="a3"/>
        <w:spacing w:before="240" w:beforeAutospacing="0" w:after="0" w:afterAutospacing="0"/>
        <w:ind w:firstLine="555"/>
        <w:divId w:val="236938678"/>
        <w:rPr>
          <w:sz w:val="20"/>
          <w:szCs w:val="20"/>
        </w:rPr>
      </w:pPr>
      <w:r>
        <w:rPr>
          <w:b/>
          <w:bCs/>
          <w:sz w:val="20"/>
          <w:szCs w:val="20"/>
        </w:rPr>
        <w:t>Other Commitment</w:t>
      </w:r>
      <w:r>
        <w:rPr>
          <w:b/>
          <w:bCs/>
          <w:sz w:val="20"/>
          <w:szCs w:val="20"/>
        </w:rPr>
        <w:t>s</w:t>
      </w:r>
      <w:r>
        <w:rPr>
          <w:sz w:val="20"/>
          <w:szCs w:val="20"/>
        </w:rPr>
        <w:t>—The Company has commitments under the 2021 Credit Facility, its equipment line of cred</w:t>
      </w:r>
      <w:r>
        <w:rPr>
          <w:sz w:val="20"/>
          <w:szCs w:val="20"/>
        </w:rPr>
        <w:t>it and its lease obligations (Note 6 and 12)</w:t>
      </w:r>
      <w:r>
        <w:rPr>
          <w:sz w:val="20"/>
          <w:szCs w:val="20"/>
        </w:rPr>
        <w:t>.</w:t>
      </w:r>
    </w:p>
    <w:p w:rsidR="00000000" w:rsidRDefault="00F55F16">
      <w:pPr>
        <w:pStyle w:val="a3"/>
        <w:spacing w:before="240" w:beforeAutospacing="0" w:after="0" w:afterAutospacing="0"/>
        <w:ind w:firstLine="555"/>
        <w:divId w:val="236938678"/>
        <w:rPr>
          <w:sz w:val="20"/>
          <w:szCs w:val="20"/>
        </w:rPr>
      </w:pPr>
      <w:r>
        <w:rPr>
          <w:b/>
          <w:bCs/>
          <w:sz w:val="20"/>
          <w:szCs w:val="20"/>
        </w:rPr>
        <w:t>Contingencie</w:t>
      </w:r>
      <w:r>
        <w:rPr>
          <w:b/>
          <w:bCs/>
          <w:sz w:val="20"/>
          <w:szCs w:val="20"/>
        </w:rPr>
        <w:t>s</w:t>
      </w:r>
      <w:r>
        <w:rPr>
          <w:sz w:val="20"/>
          <w:szCs w:val="20"/>
        </w:rPr>
        <w:t>—The Company is subject to purchase price contingencies related to earn-outs associated with certain acquisitions (Note 7 and 13)</w:t>
      </w:r>
      <w:r>
        <w:rPr>
          <w:sz w:val="20"/>
          <w:szCs w:val="20"/>
        </w:rPr>
        <w:t>.</w:t>
      </w:r>
    </w:p>
    <w:p w:rsidR="00000000" w:rsidRDefault="00F55F16">
      <w:pPr>
        <w:pStyle w:val="a3"/>
        <w:spacing w:before="240" w:beforeAutospacing="0" w:after="0" w:afterAutospacing="0"/>
        <w:ind w:firstLine="555"/>
        <w:divId w:val="236938678"/>
        <w:rPr>
          <w:sz w:val="20"/>
          <w:szCs w:val="20"/>
        </w:rPr>
      </w:pPr>
      <w:r>
        <w:rPr>
          <w:b/>
          <w:bCs/>
          <w:sz w:val="20"/>
          <w:szCs w:val="20"/>
        </w:rPr>
        <w:t>Lega</w:t>
      </w:r>
      <w:r>
        <w:rPr>
          <w:b/>
          <w:bCs/>
          <w:sz w:val="20"/>
          <w:szCs w:val="20"/>
        </w:rPr>
        <w:t>l</w:t>
      </w:r>
      <w:r>
        <w:rPr>
          <w:sz w:val="20"/>
          <w:szCs w:val="20"/>
        </w:rPr>
        <w:t>—In the normal course of business, the Company is at times su</w:t>
      </w:r>
      <w:r>
        <w:rPr>
          <w:sz w:val="20"/>
          <w:szCs w:val="20"/>
        </w:rPr>
        <w:t>bject to pending and threatened legal actions. In management’s opinion, any potential loss resulting from the resolution of these matters is not expected to have a material effect on the unaudited condensed consolidated results of operations, financial pos</w:t>
      </w:r>
      <w:r>
        <w:rPr>
          <w:sz w:val="20"/>
          <w:szCs w:val="20"/>
        </w:rPr>
        <w:t>ition or cash flows of the Company</w:t>
      </w:r>
      <w:r>
        <w:rPr>
          <w:sz w:val="20"/>
          <w:szCs w:val="20"/>
        </w:rPr>
        <w:t>.</w:t>
      </w:r>
    </w:p>
    <w:p w:rsidR="00000000" w:rsidRDefault="00F55F16">
      <w:pPr>
        <w:pStyle w:val="a3"/>
        <w:spacing w:before="360" w:beforeAutospacing="0" w:after="0" w:afterAutospacing="0"/>
        <w:divId w:val="1272473397"/>
        <w:rPr>
          <w:sz w:val="20"/>
          <w:szCs w:val="20"/>
        </w:rPr>
      </w:pPr>
      <w:r>
        <w:rPr>
          <w:b/>
          <w:bCs/>
          <w:sz w:val="20"/>
          <w:szCs w:val="20"/>
        </w:rPr>
        <w:t>15. CONVERTIBLE AND REDEEMABLE SERIES A-2 PREFERRED STOC</w:t>
      </w:r>
      <w:r>
        <w:rPr>
          <w:b/>
          <w:bCs/>
          <w:sz w:val="20"/>
          <w:szCs w:val="20"/>
        </w:rPr>
        <w:t>K</w:t>
      </w:r>
    </w:p>
    <w:p w:rsidR="00000000" w:rsidRDefault="00F55F16">
      <w:pPr>
        <w:pStyle w:val="a3"/>
        <w:spacing w:before="240" w:beforeAutospacing="0" w:after="0" w:afterAutospacing="0"/>
        <w:ind w:firstLine="555"/>
        <w:divId w:val="1272473397"/>
        <w:rPr>
          <w:sz w:val="20"/>
          <w:szCs w:val="20"/>
        </w:rPr>
      </w:pPr>
      <w:r>
        <w:rPr>
          <w:sz w:val="20"/>
          <w:szCs w:val="20"/>
        </w:rPr>
        <w:t>On April 13, 2020, the Company entered into an agreement to issue</w:t>
      </w:r>
      <w:r>
        <w:rPr>
          <w:sz w:val="20"/>
          <w:szCs w:val="20"/>
        </w:rPr>
        <w:t xml:space="preserve"> </w:t>
      </w:r>
      <w:r>
        <w:rPr>
          <w:sz w:val="20"/>
          <w:szCs w:val="20"/>
        </w:rPr>
        <w:t>17,50</w:t>
      </w:r>
      <w:r>
        <w:rPr>
          <w:sz w:val="20"/>
          <w:szCs w:val="20"/>
        </w:rPr>
        <w:t>0</w:t>
      </w:r>
      <w:r>
        <w:rPr>
          <w:sz w:val="20"/>
          <w:szCs w:val="20"/>
        </w:rPr>
        <w:t xml:space="preserve"> shares of the Convertible and Redeemable Series A-2 Preferred Stock with a par value of </w:t>
      </w:r>
      <w:r>
        <w:rPr>
          <w:sz w:val="20"/>
          <w:szCs w:val="20"/>
        </w:rPr>
        <w:t>$</w:t>
      </w:r>
      <w:r>
        <w:rPr>
          <w:sz w:val="20"/>
          <w:szCs w:val="20"/>
        </w:rPr>
        <w:t>0.000</w:t>
      </w:r>
      <w:r>
        <w:rPr>
          <w:sz w:val="20"/>
          <w:szCs w:val="20"/>
        </w:rPr>
        <w:t>1</w:t>
      </w:r>
      <w:r>
        <w:rPr>
          <w:sz w:val="20"/>
          <w:szCs w:val="20"/>
        </w:rPr>
        <w:t xml:space="preserve"> per share and a detachable warrant to purchase shares of the Company’s common stock with a</w:t>
      </w:r>
      <w:r>
        <w:rPr>
          <w:sz w:val="20"/>
          <w:szCs w:val="20"/>
        </w:rPr>
        <w:t xml:space="preserve"> </w:t>
      </w:r>
      <w:r>
        <w:rPr>
          <w:sz w:val="20"/>
          <w:szCs w:val="20"/>
        </w:rPr>
        <w:t>10-yea</w:t>
      </w:r>
      <w:r>
        <w:rPr>
          <w:sz w:val="20"/>
          <w:szCs w:val="20"/>
        </w:rPr>
        <w:t>r</w:t>
      </w:r>
      <w:r>
        <w:rPr>
          <w:sz w:val="20"/>
          <w:szCs w:val="20"/>
        </w:rPr>
        <w:t xml:space="preserve"> life, in exchange for gross proceeds of </w:t>
      </w:r>
      <w:r>
        <w:rPr>
          <w:sz w:val="20"/>
          <w:szCs w:val="20"/>
        </w:rPr>
        <w:t>$</w:t>
      </w:r>
      <w:r>
        <w:rPr>
          <w:sz w:val="20"/>
          <w:szCs w:val="20"/>
        </w:rPr>
        <w:t>175.</w:t>
      </w:r>
      <w:r>
        <w:rPr>
          <w:sz w:val="20"/>
          <w:szCs w:val="20"/>
        </w:rPr>
        <w:t>0</w:t>
      </w:r>
      <w:r>
        <w:rPr>
          <w:sz w:val="20"/>
          <w:szCs w:val="20"/>
        </w:rPr>
        <w:t xml:space="preserve"> million, net of </w:t>
      </w:r>
      <w:r>
        <w:rPr>
          <w:sz w:val="20"/>
          <w:szCs w:val="20"/>
        </w:rPr>
        <w:t>$</w:t>
      </w:r>
      <w:r>
        <w:rPr>
          <w:sz w:val="20"/>
          <w:szCs w:val="20"/>
        </w:rPr>
        <w:t>1.</w:t>
      </w:r>
      <w:r>
        <w:rPr>
          <w:sz w:val="20"/>
          <w:szCs w:val="20"/>
        </w:rPr>
        <w:t>3</w:t>
      </w:r>
      <w:r>
        <w:rPr>
          <w:sz w:val="20"/>
          <w:szCs w:val="20"/>
        </w:rPr>
        <w:t xml:space="preserve"> million debt issuance costs. Before the Company’s IPO, each share of Convertible a</w:t>
      </w:r>
      <w:r>
        <w:rPr>
          <w:sz w:val="20"/>
          <w:szCs w:val="20"/>
        </w:rPr>
        <w:t>nd Redeemable Series A-2 Preferred Stock accrued dividends at the rate of</w:t>
      </w:r>
      <w:r>
        <w:rPr>
          <w:sz w:val="20"/>
          <w:szCs w:val="20"/>
        </w:rPr>
        <w:t xml:space="preserve"> </w:t>
      </w:r>
      <w:r>
        <w:rPr>
          <w:sz w:val="20"/>
          <w:szCs w:val="20"/>
        </w:rPr>
        <w:t>15.</w:t>
      </w:r>
      <w:r>
        <w:rPr>
          <w:sz w:val="20"/>
          <w:szCs w:val="20"/>
        </w:rPr>
        <w:t>0</w:t>
      </w:r>
      <w:r>
        <w:rPr>
          <w:sz w:val="20"/>
          <w:szCs w:val="20"/>
        </w:rPr>
        <w:t>% per annum, with respect to dividends that were paid in cash, and</w:t>
      </w:r>
      <w:r>
        <w:rPr>
          <w:sz w:val="20"/>
          <w:szCs w:val="20"/>
        </w:rPr>
        <w:t xml:space="preserve"> </w:t>
      </w:r>
      <w:r>
        <w:rPr>
          <w:sz w:val="20"/>
          <w:szCs w:val="20"/>
        </w:rPr>
        <w:t>14.</w:t>
      </w:r>
      <w:r>
        <w:rPr>
          <w:sz w:val="20"/>
          <w:szCs w:val="20"/>
        </w:rPr>
        <w:t>2</w:t>
      </w:r>
      <w:r>
        <w:rPr>
          <w:sz w:val="20"/>
          <w:szCs w:val="20"/>
        </w:rPr>
        <w:t>% per annum, with respect to dividends that were accrued. The Company paid dividends on shares of the Conve</w:t>
      </w:r>
      <w:r>
        <w:rPr>
          <w:sz w:val="20"/>
          <w:szCs w:val="20"/>
        </w:rPr>
        <w:t xml:space="preserve">rtible and Redeemable Series A-2 Preferred Stock of </w:t>
      </w:r>
      <w:r>
        <w:rPr>
          <w:sz w:val="20"/>
          <w:szCs w:val="20"/>
        </w:rPr>
        <w:t>$</w:t>
      </w:r>
      <w:r>
        <w:rPr>
          <w:sz w:val="20"/>
          <w:szCs w:val="20"/>
        </w:rPr>
        <w:t>4.</w:t>
      </w:r>
      <w:r>
        <w:rPr>
          <w:sz w:val="20"/>
          <w:szCs w:val="20"/>
        </w:rPr>
        <w:t>1</w:t>
      </w:r>
      <w:r>
        <w:rPr>
          <w:sz w:val="20"/>
          <w:szCs w:val="20"/>
        </w:rPr>
        <w:t xml:space="preserve"> million during both the three months ended June 30, 2022 and June 30, 2021, and </w:t>
      </w:r>
      <w:r>
        <w:rPr>
          <w:sz w:val="20"/>
          <w:szCs w:val="20"/>
        </w:rPr>
        <w:t>$</w:t>
      </w:r>
      <w:r>
        <w:rPr>
          <w:sz w:val="20"/>
          <w:szCs w:val="20"/>
        </w:rPr>
        <w:t>8.</w:t>
      </w:r>
      <w:r>
        <w:rPr>
          <w:sz w:val="20"/>
          <w:szCs w:val="20"/>
        </w:rPr>
        <w:t>2</w:t>
      </w:r>
      <w:r>
        <w:rPr>
          <w:sz w:val="20"/>
          <w:szCs w:val="20"/>
        </w:rPr>
        <w:t xml:space="preserve"> million during both the six months ended June 30, 2022 and June 30, 2021</w:t>
      </w:r>
      <w:r>
        <w:rPr>
          <w:sz w:val="20"/>
          <w:szCs w:val="20"/>
        </w:rPr>
        <w:t>.</w:t>
      </w:r>
    </w:p>
    <w:p w:rsidR="00000000" w:rsidRDefault="00F55F16">
      <w:pPr>
        <w:pStyle w:val="a3"/>
        <w:spacing w:before="240" w:beforeAutospacing="0" w:after="0" w:afterAutospacing="0"/>
        <w:ind w:firstLine="555"/>
        <w:divId w:val="1272473397"/>
        <w:rPr>
          <w:sz w:val="20"/>
          <w:szCs w:val="20"/>
        </w:rPr>
      </w:pPr>
      <w:r>
        <w:rPr>
          <w:sz w:val="20"/>
          <w:szCs w:val="20"/>
        </w:rPr>
        <w:t>At issuance, the Company determined that</w:t>
      </w:r>
      <w:r>
        <w:rPr>
          <w:sz w:val="20"/>
          <w:szCs w:val="20"/>
        </w:rPr>
        <w:t xml:space="preserve"> the Convertible and Redeemable Series A-2 Preferred Stock and the detachable warrant, were required to be accounted for separately</w:t>
      </w:r>
      <w:r>
        <w:rPr>
          <w:sz w:val="20"/>
          <w:szCs w:val="20"/>
        </w:rPr>
        <w:t>.</w:t>
      </w:r>
    </w:p>
    <w:p w:rsidR="00000000" w:rsidRDefault="00F55F16">
      <w:pPr>
        <w:pStyle w:val="a3"/>
        <w:spacing w:before="240" w:beforeAutospacing="0" w:after="0" w:afterAutospacing="0"/>
        <w:ind w:firstLine="555"/>
        <w:divId w:val="1272473397"/>
        <w:rPr>
          <w:sz w:val="20"/>
          <w:szCs w:val="20"/>
        </w:rPr>
      </w:pPr>
      <w:r>
        <w:rPr>
          <w:sz w:val="20"/>
          <w:szCs w:val="20"/>
        </w:rPr>
        <w:t>Upon the Company’s IPO, the Convertible and Redeemable Series A-2 Preferred Stock terms automatically updated to the follow</w:t>
      </w:r>
      <w:r>
        <w:rPr>
          <w:sz w:val="20"/>
          <w:szCs w:val="20"/>
        </w:rPr>
        <w:t>ing: (i) no mandatory redemption, (ii) no stated value cash repayment obligation other than in the event of certain defined liquidation events, (iii) only redeemable at the Company’s option, (iv) the instrument became convertible into common stock beginnin</w:t>
      </w:r>
      <w:r>
        <w:rPr>
          <w:sz w:val="20"/>
          <w:szCs w:val="20"/>
        </w:rPr>
        <w:t>g on the four year anniversary of issuance at a</w:t>
      </w:r>
      <w:r>
        <w:rPr>
          <w:sz w:val="20"/>
          <w:szCs w:val="20"/>
        </w:rPr>
        <w:t xml:space="preserve"> </w:t>
      </w:r>
      <w:r>
        <w:rPr>
          <w:sz w:val="20"/>
          <w:szCs w:val="20"/>
        </w:rPr>
        <w:t>15.</w:t>
      </w:r>
      <w:r>
        <w:rPr>
          <w:sz w:val="20"/>
          <w:szCs w:val="20"/>
        </w:rPr>
        <w:t>0</w:t>
      </w:r>
      <w:r>
        <w:rPr>
          <w:sz w:val="20"/>
          <w:szCs w:val="20"/>
        </w:rPr>
        <w:t xml:space="preserve">% discount to the common stock market price (with a limit of </w:t>
      </w:r>
      <w:r>
        <w:rPr>
          <w:sz w:val="20"/>
          <w:szCs w:val="20"/>
        </w:rPr>
        <w:t>$</w:t>
      </w:r>
      <w:r>
        <w:rPr>
          <w:sz w:val="20"/>
          <w:szCs w:val="20"/>
        </w:rPr>
        <w:t>60.</w:t>
      </w:r>
      <w:r>
        <w:rPr>
          <w:sz w:val="20"/>
          <w:szCs w:val="20"/>
        </w:rPr>
        <w:t>0</w:t>
      </w:r>
      <w:r>
        <w:rPr>
          <w:sz w:val="20"/>
          <w:szCs w:val="20"/>
        </w:rPr>
        <w:t xml:space="preserve"> million in stated value of Convertible and Redeemable Series A-2 Preferred Stock eligible to be converted in any 60-day period prior to t</w:t>
      </w:r>
      <w:r>
        <w:rPr>
          <w:sz w:val="20"/>
          <w:szCs w:val="20"/>
        </w:rPr>
        <w:t xml:space="preserve">he seventh anniversary of issuance and the amount of stated value of the Convertible and Redeemable Series A-2 Preferred Stock eligible for conversion limited to </w:t>
      </w:r>
      <w:r>
        <w:rPr>
          <w:sz w:val="20"/>
          <w:szCs w:val="20"/>
        </w:rPr>
        <w:t>$</w:t>
      </w:r>
      <w:r>
        <w:rPr>
          <w:sz w:val="20"/>
          <w:szCs w:val="20"/>
        </w:rPr>
        <w:t>60.</w:t>
      </w:r>
      <w:r>
        <w:rPr>
          <w:sz w:val="20"/>
          <w:szCs w:val="20"/>
        </w:rPr>
        <w:t>0</w:t>
      </w:r>
      <w:r>
        <w:rPr>
          <w:sz w:val="20"/>
          <w:szCs w:val="20"/>
        </w:rPr>
        <w:t xml:space="preserve"> million during year 5 and </w:t>
      </w:r>
      <w:r>
        <w:rPr>
          <w:sz w:val="20"/>
          <w:szCs w:val="20"/>
        </w:rPr>
        <w:t>$</w:t>
      </w:r>
      <w:r>
        <w:rPr>
          <w:sz w:val="20"/>
          <w:szCs w:val="20"/>
        </w:rPr>
        <w:t>120.</w:t>
      </w:r>
      <w:r>
        <w:rPr>
          <w:sz w:val="20"/>
          <w:szCs w:val="20"/>
        </w:rPr>
        <w:t>0</w:t>
      </w:r>
      <w:r>
        <w:rPr>
          <w:sz w:val="20"/>
          <w:szCs w:val="20"/>
        </w:rPr>
        <w:t xml:space="preserve"> million</w:t>
      </w:r>
      <w:r>
        <w:rPr>
          <w:sz w:val="20"/>
          <w:szCs w:val="20"/>
        </w:rPr>
        <w:t xml:space="preserve"> </w:t>
      </w:r>
      <w:r>
        <w:rPr>
          <w:sz w:val="20"/>
          <w:szCs w:val="20"/>
        </w:rPr>
        <w:t>(which includes the aggregate amount of the sta</w:t>
      </w:r>
      <w:r>
        <w:rPr>
          <w:sz w:val="20"/>
          <w:szCs w:val="20"/>
        </w:rPr>
        <w:t>ted value of the Convertible and Redeemable Series A-2 Preferred Stock and any accrued but unpaid dividends added to such stated value of any shares of Convertible and Redeemable Series A-2 Preferred Stock converted in year 5) during year 6), (v) the divid</w:t>
      </w:r>
      <w:r>
        <w:rPr>
          <w:sz w:val="20"/>
          <w:szCs w:val="20"/>
        </w:rPr>
        <w:t>end rat</w:t>
      </w:r>
      <w:r>
        <w:rPr>
          <w:sz w:val="20"/>
          <w:szCs w:val="20"/>
        </w:rPr>
        <w:t>e</w:t>
      </w:r>
      <w:r>
        <w:rPr>
          <w:sz w:val="20"/>
          <w:szCs w:val="20"/>
        </w:rPr>
        <w:t xml:space="preserve"> </w:t>
      </w:r>
    </w:p>
    <w:p w:rsidR="00000000" w:rsidRDefault="00F55F16">
      <w:pPr>
        <w:pStyle w:val="a3"/>
        <w:spacing w:before="240" w:beforeAutospacing="0" w:after="0" w:afterAutospacing="0"/>
        <w:jc w:val="center"/>
        <w:divId w:val="1272473397"/>
        <w:rPr>
          <w:sz w:val="20"/>
          <w:szCs w:val="20"/>
        </w:rPr>
      </w:pPr>
      <w:r>
        <w:rPr>
          <w:sz w:val="20"/>
          <w:szCs w:val="20"/>
        </w:rPr>
        <w:t>1</w:t>
      </w:r>
      <w:r>
        <w:rPr>
          <w:sz w:val="20"/>
          <w:szCs w:val="20"/>
        </w:rPr>
        <w:t>9</w:t>
      </w:r>
    </w:p>
    <w:p w:rsidR="00000000" w:rsidRDefault="00F55F16">
      <w:pPr>
        <w:divId w:val="1272473397"/>
        <w:rPr>
          <w:rFonts w:eastAsia="Times New Roman"/>
        </w:rPr>
      </w:pPr>
      <w:r>
        <w:rPr>
          <w:rFonts w:eastAsia="Times New Roman"/>
        </w:rPr>
        <w:pict>
          <v:rect id="_x0000_i1045" style="width:0;height:1.5pt" o:hralign="center" o:hrstd="t" o:hr="t" fillcolor="#a0a0a0" stroked="f"/>
        </w:pict>
      </w:r>
    </w:p>
    <w:p w:rsidR="00000000" w:rsidRDefault="00F55F16">
      <w:pPr>
        <w:pStyle w:val="a3"/>
        <w:spacing w:before="0" w:beforeAutospacing="0" w:after="0" w:afterAutospacing="0"/>
        <w:divId w:val="1272473397"/>
        <w:rPr>
          <w:sz w:val="20"/>
          <w:szCs w:val="20"/>
        </w:rPr>
      </w:pPr>
      <w:r>
        <w:rPr>
          <w:sz w:val="20"/>
          <w:szCs w:val="20"/>
        </w:rPr>
        <w:t> </w:t>
      </w:r>
    </w:p>
    <w:p w:rsidR="00000000" w:rsidRDefault="00F55F16">
      <w:pPr>
        <w:pStyle w:val="a3"/>
        <w:spacing w:before="240" w:beforeAutospacing="0" w:after="0" w:afterAutospacing="0"/>
        <w:divId w:val="1272473397"/>
        <w:rPr>
          <w:sz w:val="20"/>
          <w:szCs w:val="20"/>
        </w:rPr>
      </w:pPr>
      <w:r>
        <w:rPr>
          <w:sz w:val="20"/>
          <w:szCs w:val="20"/>
        </w:rPr>
        <w:t>stepped</w:t>
      </w:r>
      <w:r>
        <w:rPr>
          <w:sz w:val="20"/>
          <w:szCs w:val="20"/>
        </w:rPr>
        <w:t xml:space="preserve"> </w:t>
      </w:r>
      <w:r>
        <w:rPr>
          <w:sz w:val="20"/>
          <w:szCs w:val="20"/>
        </w:rPr>
        <w:t>down to</w:t>
      </w:r>
      <w:r>
        <w:rPr>
          <w:sz w:val="20"/>
          <w:szCs w:val="20"/>
        </w:rPr>
        <w:t xml:space="preserve"> </w:t>
      </w:r>
      <w:r>
        <w:rPr>
          <w:sz w:val="20"/>
          <w:szCs w:val="20"/>
        </w:rPr>
        <w:t>9.</w:t>
      </w:r>
      <w:r>
        <w:rPr>
          <w:sz w:val="20"/>
          <w:szCs w:val="20"/>
        </w:rPr>
        <w:t>0</w:t>
      </w:r>
      <w:r>
        <w:rPr>
          <w:sz w:val="20"/>
          <w:szCs w:val="20"/>
        </w:rPr>
        <w:t>% per year with required quarterly cash payments, (vi) in an event of noncompliance, the dividend rate shall increase to</w:t>
      </w:r>
      <w:r>
        <w:rPr>
          <w:sz w:val="20"/>
          <w:szCs w:val="20"/>
        </w:rPr>
        <w:t xml:space="preserve"> </w:t>
      </w:r>
      <w:r>
        <w:rPr>
          <w:sz w:val="20"/>
          <w:szCs w:val="20"/>
        </w:rPr>
        <w:t>12.</w:t>
      </w:r>
      <w:r>
        <w:rPr>
          <w:sz w:val="20"/>
          <w:szCs w:val="20"/>
        </w:rPr>
        <w:t>0</w:t>
      </w:r>
      <w:r>
        <w:rPr>
          <w:sz w:val="20"/>
          <w:szCs w:val="20"/>
        </w:rPr>
        <w:t>% per annum for the first</w:t>
      </w:r>
      <w:r>
        <w:rPr>
          <w:sz w:val="20"/>
          <w:szCs w:val="20"/>
        </w:rPr>
        <w:t xml:space="preserve"> </w:t>
      </w:r>
      <w:r>
        <w:rPr>
          <w:sz w:val="20"/>
          <w:szCs w:val="20"/>
        </w:rPr>
        <w:t>90-da</w:t>
      </w:r>
      <w:r>
        <w:rPr>
          <w:sz w:val="20"/>
          <w:szCs w:val="20"/>
        </w:rPr>
        <w:t>y</w:t>
      </w:r>
      <w:r>
        <w:rPr>
          <w:sz w:val="20"/>
          <w:szCs w:val="20"/>
        </w:rPr>
        <w:t xml:space="preserve"> period from and including t</w:t>
      </w:r>
      <w:r>
        <w:rPr>
          <w:sz w:val="20"/>
          <w:szCs w:val="20"/>
        </w:rPr>
        <w:t>he date the noncompliance event occurred, and thereafter shall increase to</w:t>
      </w:r>
      <w:r>
        <w:rPr>
          <w:sz w:val="20"/>
          <w:szCs w:val="20"/>
        </w:rPr>
        <w:t xml:space="preserve"> </w:t>
      </w:r>
      <w:r>
        <w:rPr>
          <w:sz w:val="20"/>
          <w:szCs w:val="20"/>
        </w:rPr>
        <w:t>14.</w:t>
      </w:r>
      <w:r>
        <w:rPr>
          <w:sz w:val="20"/>
          <w:szCs w:val="20"/>
        </w:rPr>
        <w:t>0</w:t>
      </w:r>
      <w:r>
        <w:rPr>
          <w:sz w:val="20"/>
          <w:szCs w:val="20"/>
        </w:rPr>
        <w:t>% per annum, (vii) the debt incurrence test ratio increased to</w:t>
      </w:r>
      <w:r>
        <w:rPr>
          <w:sz w:val="20"/>
          <w:szCs w:val="20"/>
        </w:rPr>
        <w:t xml:space="preserve"> </w:t>
      </w:r>
      <w:r>
        <w:rPr>
          <w:sz w:val="20"/>
          <w:szCs w:val="20"/>
        </w:rPr>
        <w:t>4.</w:t>
      </w:r>
      <w:r>
        <w:rPr>
          <w:sz w:val="20"/>
          <w:szCs w:val="20"/>
        </w:rPr>
        <w:t>5</w:t>
      </w:r>
      <w:r>
        <w:rPr>
          <w:sz w:val="20"/>
          <w:szCs w:val="20"/>
        </w:rPr>
        <w:t xml:space="preserve"> times, (viii) the total leverage cap covenant was removed, and (ix) minimum repayment amount dropped down from</w:t>
      </w:r>
      <w:r>
        <w:rPr>
          <w:sz w:val="20"/>
          <w:szCs w:val="20"/>
        </w:rPr>
        <w:t xml:space="preserve"> </w:t>
      </w:r>
      <w:r>
        <w:rPr>
          <w:sz w:val="20"/>
          <w:szCs w:val="20"/>
        </w:rPr>
        <w:t>$</w:t>
      </w:r>
      <w:r>
        <w:rPr>
          <w:sz w:val="20"/>
          <w:szCs w:val="20"/>
        </w:rPr>
        <w:t>50.</w:t>
      </w:r>
      <w:r>
        <w:rPr>
          <w:sz w:val="20"/>
          <w:szCs w:val="20"/>
        </w:rPr>
        <w:t>0</w:t>
      </w:r>
      <w:r>
        <w:rPr>
          <w:sz w:val="20"/>
          <w:szCs w:val="20"/>
        </w:rPr>
        <w:t xml:space="preserve"> million to </w:t>
      </w:r>
      <w:r>
        <w:rPr>
          <w:sz w:val="20"/>
          <w:szCs w:val="20"/>
        </w:rPr>
        <w:t>$</w:t>
      </w:r>
      <w:r>
        <w:rPr>
          <w:sz w:val="20"/>
          <w:szCs w:val="20"/>
        </w:rPr>
        <w:t>25.</w:t>
      </w:r>
      <w:r>
        <w:rPr>
          <w:sz w:val="20"/>
          <w:szCs w:val="20"/>
        </w:rPr>
        <w:t>0</w:t>
      </w:r>
      <w:r>
        <w:rPr>
          <w:sz w:val="20"/>
          <w:szCs w:val="20"/>
        </w:rPr>
        <w:t xml:space="preserve"> million</w:t>
      </w:r>
      <w:r>
        <w:rPr>
          <w:sz w:val="20"/>
          <w:szCs w:val="20"/>
        </w:rPr>
        <w:t>.</w:t>
      </w:r>
    </w:p>
    <w:p w:rsidR="00000000" w:rsidRDefault="00F55F16">
      <w:pPr>
        <w:pStyle w:val="a3"/>
        <w:spacing w:before="240" w:beforeAutospacing="0" w:after="0" w:afterAutospacing="0"/>
        <w:ind w:firstLine="555"/>
        <w:divId w:val="1272473397"/>
        <w:rPr>
          <w:sz w:val="20"/>
          <w:szCs w:val="20"/>
        </w:rPr>
      </w:pPr>
      <w:r>
        <w:rPr>
          <w:sz w:val="20"/>
          <w:szCs w:val="20"/>
        </w:rPr>
        <w:t xml:space="preserve">The Company may, at its option on any one or more dates, redeem all or a minimum portion (the lesser of (i) </w:t>
      </w:r>
      <w:r>
        <w:rPr>
          <w:sz w:val="20"/>
          <w:szCs w:val="20"/>
        </w:rPr>
        <w:t>$</w:t>
      </w:r>
      <w:r>
        <w:rPr>
          <w:sz w:val="20"/>
          <w:szCs w:val="20"/>
        </w:rPr>
        <w:t>25.</w:t>
      </w:r>
      <w:r>
        <w:rPr>
          <w:sz w:val="20"/>
          <w:szCs w:val="20"/>
        </w:rPr>
        <w:t>0</w:t>
      </w:r>
      <w:r>
        <w:rPr>
          <w:sz w:val="20"/>
          <w:szCs w:val="20"/>
        </w:rPr>
        <w:t xml:space="preserve"> million in aggregate stated value of the Convertible and Redeemable Series A-2 Preferred Stock and (ii) all o</w:t>
      </w:r>
      <w:r>
        <w:rPr>
          <w:sz w:val="20"/>
          <w:szCs w:val="20"/>
        </w:rPr>
        <w:t>f the Convertible and Redeemable Series A-2 Preferred Stock then outstanding) of the outstanding Convertible and Redeemable Series A-2 Preferred Stock in cash</w:t>
      </w:r>
      <w:r>
        <w:rPr>
          <w:sz w:val="20"/>
          <w:szCs w:val="20"/>
        </w:rPr>
        <w:t>.</w:t>
      </w:r>
    </w:p>
    <w:p w:rsidR="00000000" w:rsidRDefault="00F55F16">
      <w:pPr>
        <w:pStyle w:val="a3"/>
        <w:spacing w:before="240" w:beforeAutospacing="0" w:after="0" w:afterAutospacing="0"/>
        <w:ind w:firstLine="555"/>
        <w:divId w:val="439492228"/>
        <w:rPr>
          <w:sz w:val="20"/>
          <w:szCs w:val="20"/>
        </w:rPr>
      </w:pPr>
      <w:r>
        <w:rPr>
          <w:sz w:val="20"/>
          <w:szCs w:val="20"/>
        </w:rPr>
        <w:t>With respect to any redemption of any share of the Convertible and Redeemable Series A-2 Preferr</w:t>
      </w:r>
      <w:r>
        <w:rPr>
          <w:sz w:val="20"/>
          <w:szCs w:val="20"/>
        </w:rPr>
        <w:t>ed Stock prior to the third-year anniversary, the Company is subject to a make whole penalty in which the holders of the Convertible and Redeemable Series A-2 Preferred Stock are guaranteed a minimum repayment equal to outstanding redeemed stated value plu</w:t>
      </w:r>
      <w:r>
        <w:rPr>
          <w:sz w:val="20"/>
          <w:szCs w:val="20"/>
        </w:rPr>
        <w:t>s three years of dividends accrued or accruable thereon</w:t>
      </w:r>
      <w:r>
        <w:rPr>
          <w:sz w:val="20"/>
          <w:szCs w:val="20"/>
        </w:rPr>
        <w:t>.</w:t>
      </w:r>
    </w:p>
    <w:p w:rsidR="00000000" w:rsidRDefault="00F55F16">
      <w:pPr>
        <w:pStyle w:val="a3"/>
        <w:spacing w:before="240" w:beforeAutospacing="0" w:after="0" w:afterAutospacing="0"/>
        <w:ind w:firstLine="555"/>
        <w:divId w:val="1272473397"/>
        <w:rPr>
          <w:sz w:val="20"/>
          <w:szCs w:val="20"/>
        </w:rPr>
      </w:pPr>
      <w:r>
        <w:rPr>
          <w:sz w:val="20"/>
          <w:szCs w:val="20"/>
        </w:rPr>
        <w:t xml:space="preserve">The Convertible and Redeemable Series A-2 Preferred Stock does not meet the definition of a liability pursuant to “ASC 480- Distinguishing Liabilities from Equity.” However, as (i) the instrument is </w:t>
      </w:r>
      <w:r>
        <w:rPr>
          <w:sz w:val="20"/>
          <w:szCs w:val="20"/>
        </w:rPr>
        <w:t>redeemable upon a change of control as defined in the certificate of designations governing the terms of the Convertible and Redeemable Series A-2 Preferred Stock, and (ii) the Company cannot assert it would have sufficient authorized and unissued shares o</w:t>
      </w:r>
      <w:r>
        <w:rPr>
          <w:sz w:val="20"/>
          <w:szCs w:val="20"/>
        </w:rPr>
        <w:t>f common stock to settle all future conversion requests due to the variable conversion terms, the instrument is redeemable upon the occurrence of events that are not solely within the control of the Company, and therefore the Company classifies the Convert</w:t>
      </w:r>
      <w:r>
        <w:rPr>
          <w:sz w:val="20"/>
          <w:szCs w:val="20"/>
        </w:rPr>
        <w:t>ible and Redeemable Series A-2 Preferred Stock as mezzanine equity. Subsequent adjustment of the carrying value of the instrument is required if the instrument is probable of becoming redeemable. As of June 30, 2022, the Company has determined that a chang</w:t>
      </w:r>
      <w:r>
        <w:rPr>
          <w:sz w:val="20"/>
          <w:szCs w:val="20"/>
        </w:rPr>
        <w:t>e of control is not probable. Additionally, as of June 30, 2022, the Company has determined that it is not probable that there will be a future conversion request that the Company is unable to settle with authorized and issued shares based on the Company’s</w:t>
      </w:r>
      <w:r>
        <w:rPr>
          <w:sz w:val="20"/>
          <w:szCs w:val="20"/>
        </w:rPr>
        <w:t xml:space="preserve"> current stock price and available shares as well as the Company’s monitoring efforts to ensure there are a sufficient number of shares available to settle any conversion request. Therefore, as of June 30, 202</w:t>
      </w:r>
      <w:r>
        <w:rPr>
          <w:sz w:val="20"/>
          <w:szCs w:val="20"/>
        </w:rPr>
        <w:t>2</w:t>
      </w:r>
      <w:r>
        <w:rPr>
          <w:sz w:val="20"/>
          <w:szCs w:val="20"/>
        </w:rPr>
        <w:t>, the Company has determined that the instrume</w:t>
      </w:r>
      <w:r>
        <w:rPr>
          <w:sz w:val="20"/>
          <w:szCs w:val="20"/>
        </w:rPr>
        <w:t xml:space="preserve">nt is not probable of becoming redeemable, and does not believe subsequent adjustment of the carrying value of the instrument will be necessary. The Convertible and Redeemable Series A-2 Preferred Stock had an aggregate liquidation preference of </w:t>
      </w:r>
      <w:r>
        <w:rPr>
          <w:sz w:val="20"/>
          <w:szCs w:val="20"/>
        </w:rPr>
        <w:t>$</w:t>
      </w:r>
      <w:r>
        <w:rPr>
          <w:sz w:val="20"/>
          <w:szCs w:val="20"/>
        </w:rPr>
        <w:t>182.</w:t>
      </w:r>
      <w:r>
        <w:rPr>
          <w:sz w:val="20"/>
          <w:szCs w:val="20"/>
        </w:rPr>
        <w:t>2</w:t>
      </w:r>
      <w:r>
        <w:rPr>
          <w:sz w:val="20"/>
          <w:szCs w:val="20"/>
        </w:rPr>
        <w:t xml:space="preserve"> mil</w:t>
      </w:r>
      <w:r>
        <w:rPr>
          <w:sz w:val="20"/>
          <w:szCs w:val="20"/>
        </w:rPr>
        <w:t>lion as of</w:t>
      </w:r>
      <w:r>
        <w:rPr>
          <w:sz w:val="20"/>
          <w:szCs w:val="20"/>
        </w:rPr>
        <w:t xml:space="preserve"> </w:t>
      </w:r>
      <w:r>
        <w:rPr>
          <w:sz w:val="20"/>
          <w:szCs w:val="20"/>
        </w:rPr>
        <w:t>June 30, 2022 and December 31, 2021</w:t>
      </w:r>
      <w:r>
        <w:rPr>
          <w:sz w:val="20"/>
          <w:szCs w:val="20"/>
        </w:rPr>
        <w:t>.</w:t>
      </w:r>
    </w:p>
    <w:p w:rsidR="00000000" w:rsidRDefault="00F55F16">
      <w:pPr>
        <w:pStyle w:val="a3"/>
        <w:spacing w:before="240" w:beforeAutospacing="0" w:after="0" w:afterAutospacing="0"/>
        <w:ind w:firstLine="555"/>
        <w:divId w:val="1272473397"/>
        <w:rPr>
          <w:sz w:val="20"/>
          <w:szCs w:val="20"/>
        </w:rPr>
      </w:pPr>
      <w:r>
        <w:rPr>
          <w:sz w:val="20"/>
          <w:szCs w:val="20"/>
        </w:rPr>
        <w:t>The Convertible and Redeemable Series A-2 Preferred Stock contains embedded features that are required to be bifurcated and are subject to separate accounting treatment from the instrument itself. At issuance</w:t>
      </w:r>
      <w:r>
        <w:rPr>
          <w:sz w:val="20"/>
          <w:szCs w:val="20"/>
        </w:rPr>
        <w:t>, these embedded features consisted of (i) a contingent dividend feature associated with the decrease in the dividend rate upon an IPO and (ii) a conversion option of the preferred shares to shares of common stock beginning on the fourth-year anniversary o</w:t>
      </w:r>
      <w:r>
        <w:rPr>
          <w:sz w:val="20"/>
          <w:szCs w:val="20"/>
        </w:rPr>
        <w:t xml:space="preserve">f the issuance date. Upon the Company’s IPO, the embedded derivative only consisted of the conversion option. As of June 30, 2022 and December 31, 2021, this conversion embedded feature had a net fair value of </w:t>
      </w:r>
      <w:r>
        <w:rPr>
          <w:sz w:val="20"/>
          <w:szCs w:val="20"/>
        </w:rPr>
        <w:t>$</w:t>
      </w:r>
      <w:r>
        <w:rPr>
          <w:sz w:val="20"/>
          <w:szCs w:val="20"/>
        </w:rPr>
        <w:t>24.</w:t>
      </w:r>
      <w:r>
        <w:rPr>
          <w:sz w:val="20"/>
          <w:szCs w:val="20"/>
        </w:rPr>
        <w:t>2</w:t>
      </w:r>
      <w:r>
        <w:rPr>
          <w:sz w:val="20"/>
          <w:szCs w:val="20"/>
        </w:rPr>
        <w:t xml:space="preserve"> million and </w:t>
      </w:r>
      <w:r>
        <w:rPr>
          <w:sz w:val="20"/>
          <w:szCs w:val="20"/>
        </w:rPr>
        <w:t>$</w:t>
      </w:r>
      <w:r>
        <w:rPr>
          <w:sz w:val="20"/>
          <w:szCs w:val="20"/>
        </w:rPr>
        <w:t>23.</w:t>
      </w:r>
      <w:r>
        <w:rPr>
          <w:sz w:val="20"/>
          <w:szCs w:val="20"/>
        </w:rPr>
        <w:t>1</w:t>
      </w:r>
      <w:r>
        <w:rPr>
          <w:sz w:val="20"/>
          <w:szCs w:val="20"/>
        </w:rPr>
        <w:t xml:space="preserve"> million, respectively.</w:t>
      </w:r>
      <w:r>
        <w:rPr>
          <w:sz w:val="20"/>
          <w:szCs w:val="20"/>
        </w:rPr>
        <w:t xml:space="preserve"> The change in value of </w:t>
      </w:r>
      <w:r>
        <w:rPr>
          <w:sz w:val="20"/>
          <w:szCs w:val="20"/>
        </w:rPr>
        <w:t>$</w:t>
      </w:r>
      <w:r>
        <w:rPr>
          <w:sz w:val="20"/>
          <w:szCs w:val="20"/>
        </w:rPr>
        <w:t>0.</w:t>
      </w:r>
      <w:r>
        <w:rPr>
          <w:sz w:val="20"/>
          <w:szCs w:val="20"/>
        </w:rPr>
        <w:t>6</w:t>
      </w:r>
      <w:r>
        <w:rPr>
          <w:sz w:val="20"/>
          <w:szCs w:val="20"/>
        </w:rPr>
        <w:t xml:space="preserve"> million and </w:t>
      </w:r>
      <w:r>
        <w:rPr>
          <w:sz w:val="20"/>
          <w:szCs w:val="20"/>
        </w:rPr>
        <w:t>$</w:t>
      </w:r>
      <w:r>
        <w:rPr>
          <w:sz w:val="20"/>
          <w:szCs w:val="20"/>
        </w:rPr>
        <w:t>1.</w:t>
      </w:r>
      <w:r>
        <w:rPr>
          <w:sz w:val="20"/>
          <w:szCs w:val="20"/>
        </w:rPr>
        <w:t>1</w:t>
      </w:r>
      <w:r>
        <w:rPr>
          <w:sz w:val="20"/>
          <w:szCs w:val="20"/>
        </w:rPr>
        <w:t xml:space="preserve"> million for the</w:t>
      </w:r>
      <w:r>
        <w:rPr>
          <w:sz w:val="20"/>
          <w:szCs w:val="20"/>
        </w:rPr>
        <w:t xml:space="preserve"> </w:t>
      </w:r>
      <w:r>
        <w:rPr>
          <w:sz w:val="20"/>
          <w:szCs w:val="20"/>
        </w:rPr>
        <w:t>three and six months ended June 30, 202</w:t>
      </w:r>
      <w:r>
        <w:rPr>
          <w:sz w:val="20"/>
          <w:szCs w:val="20"/>
        </w:rPr>
        <w:t>2</w:t>
      </w:r>
      <w:r>
        <w:rPr>
          <w:sz w:val="20"/>
          <w:szCs w:val="20"/>
        </w:rPr>
        <w:t xml:space="preserve">, respectively, and </w:t>
      </w:r>
      <w:r>
        <w:rPr>
          <w:sz w:val="20"/>
          <w:szCs w:val="20"/>
        </w:rPr>
        <w:t>$</w:t>
      </w:r>
      <w:r>
        <w:rPr>
          <w:sz w:val="20"/>
          <w:szCs w:val="20"/>
        </w:rPr>
        <w:t>0.</w:t>
      </w:r>
      <w:r>
        <w:rPr>
          <w:sz w:val="20"/>
          <w:szCs w:val="20"/>
        </w:rPr>
        <w:t>5</w:t>
      </w:r>
      <w:r>
        <w:rPr>
          <w:sz w:val="20"/>
          <w:szCs w:val="20"/>
        </w:rPr>
        <w:t xml:space="preserve"> million and </w:t>
      </w:r>
      <w:r>
        <w:rPr>
          <w:sz w:val="20"/>
          <w:szCs w:val="20"/>
        </w:rPr>
        <w:t>$</w:t>
      </w:r>
      <w:r>
        <w:rPr>
          <w:sz w:val="20"/>
          <w:szCs w:val="20"/>
        </w:rPr>
        <w:t>1.</w:t>
      </w:r>
      <w:r>
        <w:rPr>
          <w:sz w:val="20"/>
          <w:szCs w:val="20"/>
        </w:rPr>
        <w:t>1</w:t>
      </w:r>
      <w:r>
        <w:rPr>
          <w:sz w:val="20"/>
          <w:szCs w:val="20"/>
        </w:rPr>
        <w:t xml:space="preserve"> million for the</w:t>
      </w:r>
      <w:r>
        <w:rPr>
          <w:sz w:val="20"/>
          <w:szCs w:val="20"/>
        </w:rPr>
        <w:t xml:space="preserve"> </w:t>
      </w:r>
      <w:r>
        <w:rPr>
          <w:sz w:val="20"/>
          <w:szCs w:val="20"/>
        </w:rPr>
        <w:t>three and six months ended June 30, 202</w:t>
      </w:r>
      <w:r>
        <w:rPr>
          <w:sz w:val="20"/>
          <w:szCs w:val="20"/>
        </w:rPr>
        <w:t>1</w:t>
      </w:r>
      <w:r>
        <w:rPr>
          <w:sz w:val="20"/>
          <w:szCs w:val="20"/>
        </w:rPr>
        <w:t>, respectively, was recorded to other expense</w:t>
      </w:r>
      <w:r>
        <w:rPr>
          <w:sz w:val="20"/>
          <w:szCs w:val="20"/>
        </w:rPr>
        <w:t>.</w:t>
      </w:r>
      <w:r>
        <w:rPr>
          <w:sz w:val="20"/>
          <w:szCs w:val="20"/>
        </w:rPr>
        <w:t xml:space="preserve"> </w:t>
      </w:r>
    </w:p>
    <w:p w:rsidR="00000000" w:rsidRDefault="00F55F16">
      <w:pPr>
        <w:pStyle w:val="a3"/>
        <w:spacing w:before="0" w:beforeAutospacing="0" w:after="0" w:afterAutospacing="0"/>
        <w:ind w:firstLine="555"/>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2</w:t>
      </w:r>
      <w:r>
        <w:rPr>
          <w:sz w:val="20"/>
          <w:szCs w:val="20"/>
        </w:rPr>
        <w:t>0</w:t>
      </w:r>
    </w:p>
    <w:p w:rsidR="00000000" w:rsidRDefault="00F55F16">
      <w:pPr>
        <w:rPr>
          <w:rFonts w:eastAsia="Times New Roman"/>
        </w:rPr>
      </w:pPr>
      <w:r>
        <w:rPr>
          <w:rFonts w:eastAsia="Times New Roman"/>
        </w:rPr>
        <w:pict>
          <v:rect id="_x0000_i1046"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divId w:val="1176067456"/>
        <w:rPr>
          <w:sz w:val="20"/>
          <w:szCs w:val="20"/>
        </w:rPr>
      </w:pPr>
      <w:r>
        <w:rPr>
          <w:b/>
          <w:bCs/>
          <w:sz w:val="20"/>
          <w:szCs w:val="20"/>
        </w:rPr>
        <w:t>16. STOCKHOLDERS’ EQUIT</w:t>
      </w:r>
      <w:r>
        <w:rPr>
          <w:b/>
          <w:bCs/>
          <w:sz w:val="20"/>
          <w:szCs w:val="20"/>
        </w:rPr>
        <w:t>Y</w:t>
      </w:r>
    </w:p>
    <w:p w:rsidR="00000000" w:rsidRDefault="00F55F16">
      <w:pPr>
        <w:pStyle w:val="a3"/>
        <w:spacing w:before="240" w:beforeAutospacing="0" w:after="0" w:afterAutospacing="0"/>
        <w:ind w:firstLine="555"/>
        <w:divId w:val="1176067456"/>
        <w:rPr>
          <w:sz w:val="20"/>
          <w:szCs w:val="20"/>
        </w:rPr>
      </w:pPr>
      <w:r>
        <w:rPr>
          <w:b/>
          <w:bCs/>
          <w:sz w:val="20"/>
          <w:szCs w:val="20"/>
        </w:rPr>
        <w:t>Authorized Capital Stock</w:t>
      </w:r>
      <w:r>
        <w:rPr>
          <w:b/>
          <w:bCs/>
          <w:sz w:val="20"/>
          <w:szCs w:val="20"/>
        </w:rPr>
        <w:t>—</w:t>
      </w:r>
      <w:r>
        <w:rPr>
          <w:sz w:val="20"/>
          <w:szCs w:val="20"/>
        </w:rPr>
        <w:t>The Company was authorized to issue</w:t>
      </w:r>
      <w:r>
        <w:rPr>
          <w:sz w:val="20"/>
          <w:szCs w:val="20"/>
        </w:rPr>
        <w:t xml:space="preserve"> </w:t>
      </w:r>
      <w:r>
        <w:rPr>
          <w:sz w:val="20"/>
          <w:szCs w:val="20"/>
        </w:rPr>
        <w:t>190,000,00</w:t>
      </w:r>
      <w:r>
        <w:rPr>
          <w:sz w:val="20"/>
          <w:szCs w:val="20"/>
        </w:rPr>
        <w:t>0</w:t>
      </w:r>
      <w:r>
        <w:rPr>
          <w:sz w:val="20"/>
          <w:szCs w:val="20"/>
        </w:rPr>
        <w:t xml:space="preserve"> shares of common stock, with a par value of </w:t>
      </w:r>
      <w:r>
        <w:rPr>
          <w:sz w:val="20"/>
          <w:szCs w:val="20"/>
        </w:rPr>
        <w:t>$</w:t>
      </w:r>
      <w:r>
        <w:rPr>
          <w:sz w:val="20"/>
          <w:szCs w:val="20"/>
        </w:rPr>
        <w:t>0.00000</w:t>
      </w:r>
      <w:r>
        <w:rPr>
          <w:sz w:val="20"/>
          <w:szCs w:val="20"/>
        </w:rPr>
        <w:t>4</w:t>
      </w:r>
      <w:r>
        <w:rPr>
          <w:sz w:val="20"/>
          <w:szCs w:val="20"/>
        </w:rPr>
        <w:t xml:space="preserve"> per share as of</w:t>
      </w:r>
      <w:r>
        <w:rPr>
          <w:sz w:val="20"/>
          <w:szCs w:val="20"/>
        </w:rPr>
        <w:t xml:space="preserve"> </w:t>
      </w:r>
      <w:r>
        <w:rPr>
          <w:sz w:val="20"/>
          <w:szCs w:val="20"/>
        </w:rPr>
        <w:t>June 30, 2022 and December 31, 2021</w:t>
      </w:r>
      <w:r>
        <w:rPr>
          <w:sz w:val="20"/>
          <w:szCs w:val="20"/>
        </w:rPr>
        <w:t>.</w:t>
      </w:r>
    </w:p>
    <w:p w:rsidR="00000000" w:rsidRDefault="00F55F16">
      <w:pPr>
        <w:pStyle w:val="a3"/>
        <w:spacing w:before="240" w:beforeAutospacing="0" w:after="0" w:afterAutospacing="0"/>
        <w:ind w:firstLine="555"/>
        <w:divId w:val="1176067456"/>
        <w:rPr>
          <w:sz w:val="20"/>
          <w:szCs w:val="20"/>
        </w:rPr>
      </w:pPr>
      <w:r>
        <w:rPr>
          <w:b/>
          <w:bCs/>
          <w:sz w:val="20"/>
          <w:szCs w:val="20"/>
        </w:rPr>
        <w:t>Warrants</w:t>
      </w:r>
      <w:r>
        <w:rPr>
          <w:b/>
          <w:bCs/>
          <w:sz w:val="20"/>
          <w:szCs w:val="20"/>
        </w:rPr>
        <w:t>—</w:t>
      </w:r>
      <w:r>
        <w:rPr>
          <w:sz w:val="20"/>
          <w:szCs w:val="20"/>
        </w:rPr>
        <w:t>In M</w:t>
      </w:r>
      <w:r>
        <w:rPr>
          <w:sz w:val="20"/>
          <w:szCs w:val="20"/>
        </w:rPr>
        <w:t>ay 2015, the Company issued warrants to acquire</w:t>
      </w:r>
      <w:r>
        <w:rPr>
          <w:sz w:val="20"/>
          <w:szCs w:val="20"/>
        </w:rPr>
        <w:t xml:space="preserve"> </w:t>
      </w:r>
      <w:r>
        <w:rPr>
          <w:sz w:val="20"/>
          <w:szCs w:val="20"/>
        </w:rPr>
        <w:t>116,35</w:t>
      </w:r>
      <w:r>
        <w:rPr>
          <w:sz w:val="20"/>
          <w:szCs w:val="20"/>
        </w:rPr>
        <w:t>0</w:t>
      </w:r>
      <w:r>
        <w:rPr>
          <w:sz w:val="20"/>
          <w:szCs w:val="20"/>
        </w:rPr>
        <w:t xml:space="preserve"> shares of Common Stock at a price of approximately </w:t>
      </w:r>
      <w:r>
        <w:rPr>
          <w:sz w:val="20"/>
          <w:szCs w:val="20"/>
        </w:rPr>
        <w:t>$</w:t>
      </w:r>
      <w:r>
        <w:rPr>
          <w:sz w:val="20"/>
          <w:szCs w:val="20"/>
        </w:rPr>
        <w:t>17.1</w:t>
      </w:r>
      <w:r>
        <w:rPr>
          <w:sz w:val="20"/>
          <w:szCs w:val="20"/>
        </w:rPr>
        <w:t>9</w:t>
      </w:r>
      <w:r>
        <w:rPr>
          <w:sz w:val="20"/>
          <w:szCs w:val="20"/>
        </w:rPr>
        <w:t xml:space="preserve"> per share to the placement agent as consideration for backstopping the financing completed in May 2015. These warrants were exercised in full </w:t>
      </w:r>
      <w:r>
        <w:rPr>
          <w:sz w:val="20"/>
          <w:szCs w:val="20"/>
        </w:rPr>
        <w:t>as a cashless transaction during the first quarter of 2021. As a result of this cashless transaction, the resulting number of shares issued was</w:t>
      </w:r>
      <w:r>
        <w:rPr>
          <w:sz w:val="20"/>
          <w:szCs w:val="20"/>
        </w:rPr>
        <w:t xml:space="preserve"> </w:t>
      </w:r>
      <w:r>
        <w:rPr>
          <w:sz w:val="20"/>
          <w:szCs w:val="20"/>
        </w:rPr>
        <w:t>67,71</w:t>
      </w:r>
      <w:r>
        <w:rPr>
          <w:sz w:val="20"/>
          <w:szCs w:val="20"/>
        </w:rPr>
        <w:t>3</w:t>
      </w:r>
      <w:r>
        <w:rPr>
          <w:sz w:val="20"/>
          <w:szCs w:val="20"/>
        </w:rPr>
        <w:t xml:space="preserve"> shares</w:t>
      </w:r>
      <w:r>
        <w:rPr>
          <w:sz w:val="20"/>
          <w:szCs w:val="20"/>
        </w:rPr>
        <w:t>.</w:t>
      </w:r>
    </w:p>
    <w:p w:rsidR="00000000" w:rsidRDefault="00F55F16">
      <w:pPr>
        <w:pStyle w:val="a3"/>
        <w:spacing w:before="240" w:beforeAutospacing="0" w:after="0" w:afterAutospacing="0"/>
        <w:ind w:firstLine="555"/>
        <w:divId w:val="1176067456"/>
        <w:rPr>
          <w:sz w:val="20"/>
          <w:szCs w:val="20"/>
        </w:rPr>
      </w:pPr>
      <w:r>
        <w:rPr>
          <w:b/>
          <w:bCs/>
          <w:sz w:val="20"/>
          <w:szCs w:val="20"/>
        </w:rPr>
        <w:t>Common Stock Issuance</w:t>
      </w:r>
      <w:r>
        <w:rPr>
          <w:b/>
          <w:bCs/>
          <w:sz w:val="20"/>
          <w:szCs w:val="20"/>
        </w:rPr>
        <w:t>s</w:t>
      </w:r>
      <w:r>
        <w:rPr>
          <w:sz w:val="20"/>
          <w:szCs w:val="20"/>
        </w:rPr>
        <w:t>—</w:t>
      </w:r>
      <w:r>
        <w:rPr>
          <w:sz w:val="20"/>
          <w:szCs w:val="20"/>
        </w:rPr>
        <w:t>The Company issued the following shares of common stock</w:t>
      </w:r>
      <w:r>
        <w:rPr>
          <w:sz w:val="20"/>
          <w:szCs w:val="20"/>
        </w:rPr>
        <w:t>:</w:t>
      </w:r>
    </w:p>
    <w:p w:rsidR="00000000" w:rsidRDefault="00F55F16">
      <w:pPr>
        <w:pStyle w:val="a3"/>
        <w:spacing w:before="0" w:beforeAutospacing="0" w:after="0" w:afterAutospacing="0"/>
        <w:divId w:val="163756346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21"/>
        <w:gridCol w:w="105"/>
        <w:gridCol w:w="555"/>
        <w:gridCol w:w="105"/>
        <w:gridCol w:w="105"/>
        <w:gridCol w:w="151"/>
        <w:gridCol w:w="610"/>
        <w:gridCol w:w="105"/>
        <w:gridCol w:w="105"/>
        <w:gridCol w:w="151"/>
        <w:gridCol w:w="805"/>
        <w:gridCol w:w="105"/>
        <w:gridCol w:w="105"/>
        <w:gridCol w:w="105"/>
        <w:gridCol w:w="780"/>
        <w:gridCol w:w="105"/>
        <w:gridCol w:w="105"/>
        <w:gridCol w:w="151"/>
        <w:gridCol w:w="613"/>
        <w:gridCol w:w="105"/>
        <w:gridCol w:w="105"/>
        <w:gridCol w:w="151"/>
        <w:gridCol w:w="802"/>
        <w:gridCol w:w="105"/>
        <w:gridCol w:w="120"/>
      </w:tblGrid>
      <w:tr w:rsidR="00000000">
        <w:trPr>
          <w:divId w:val="1637563465"/>
          <w:tblCellSpacing w:w="15" w:type="dxa"/>
        </w:trPr>
        <w:tc>
          <w:tcPr>
            <w:tcW w:w="1043" w:type="pct"/>
            <w:vAlign w:val="center"/>
            <w:hideMark/>
          </w:tcPr>
          <w:p w:rsidR="00000000" w:rsidRDefault="00F55F16">
            <w:pPr>
              <w:rPr>
                <w:sz w:val="20"/>
                <w:szCs w:val="20"/>
              </w:rPr>
            </w:pPr>
          </w:p>
        </w:tc>
        <w:tc>
          <w:tcPr>
            <w:tcW w:w="50" w:type="pct"/>
            <w:vAlign w:val="center"/>
            <w:hideMark/>
          </w:tcPr>
          <w:p w:rsidR="00000000" w:rsidRDefault="00F55F16">
            <w:pPr>
              <w:rPr>
                <w:rFonts w:eastAsia="Times New Roman"/>
                <w:sz w:val="20"/>
                <w:szCs w:val="20"/>
              </w:rPr>
            </w:pPr>
          </w:p>
        </w:tc>
        <w:tc>
          <w:tcPr>
            <w:tcW w:w="40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9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 w:type="pct"/>
            <w:vAlign w:val="center"/>
            <w:hideMark/>
          </w:tcPr>
          <w:p w:rsidR="00000000" w:rsidRDefault="00F55F16">
            <w:pPr>
              <w:rPr>
                <w:rFonts w:eastAsia="Times New Roman"/>
                <w:sz w:val="20"/>
                <w:szCs w:val="20"/>
              </w:rPr>
            </w:pPr>
          </w:p>
        </w:tc>
      </w:tr>
      <w:tr w:rsidR="00000000">
        <w:trPr>
          <w:divId w:val="163756346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F55F16">
            <w:pPr>
              <w:pStyle w:val="a3"/>
              <w:spacing w:before="0" w:beforeAutospacing="0" w:after="0" w:afterAutospacing="0"/>
              <w:jc w:val="center"/>
              <w:rPr>
                <w:sz w:val="18"/>
                <w:szCs w:val="18"/>
              </w:rPr>
            </w:pPr>
            <w:r>
              <w:rPr>
                <w:b/>
                <w:bCs/>
                <w:sz w:val="18"/>
                <w:szCs w:val="18"/>
              </w:rPr>
              <w:t>Three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63756346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63756346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Acquisition</w:t>
            </w:r>
            <w:r>
              <w:rPr>
                <w:sz w:val="18"/>
                <w:szCs w:val="18"/>
              </w:rPr>
              <w:t>s</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9,32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50.9</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Exercise of option</w:t>
            </w:r>
            <w:r>
              <w:rPr>
                <w:sz w:val="18"/>
                <w:szCs w:val="18"/>
              </w:rPr>
              <w:t>s</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3,57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94,09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9.5</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90</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Restricted shares, net</w:t>
            </w:r>
            <w:r>
              <w:rPr>
                <w:sz w:val="18"/>
                <w:szCs w:val="18"/>
              </w:rPr>
              <w:t xml:space="preserve"> </w:t>
            </w:r>
            <w:r>
              <w:rPr>
                <w:sz w:val="12"/>
                <w:szCs w:val="12"/>
              </w:rPr>
              <w:t>(1</w:t>
            </w:r>
            <w:r>
              <w:rPr>
                <w:sz w:val="12"/>
                <w:szCs w:val="12"/>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2,11</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56.3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Payment of earn-out liabilit</w:t>
            </w:r>
            <w:r>
              <w:rPr>
                <w:sz w:val="18"/>
                <w:szCs w:val="18"/>
              </w:rPr>
              <w:t>y</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539,60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46.3</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Payment of purchase price true u</w:t>
            </w:r>
            <w:r>
              <w:rPr>
                <w:sz w:val="18"/>
                <w:szCs w:val="18"/>
              </w:rPr>
              <w:t>p</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44.8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1,08</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Tota</w:t>
            </w:r>
            <w:r>
              <w:rPr>
                <w:b/>
                <w:bCs/>
                <w:sz w:val="18"/>
                <w:szCs w:val="18"/>
              </w:rPr>
              <w:t>l</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3,57</w:t>
            </w:r>
            <w:r>
              <w:rPr>
                <w:b/>
                <w:bCs/>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15.1</w:t>
            </w:r>
            <w:r>
              <w:rPr>
                <w:b/>
                <w:bCs/>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5</w:t>
            </w:r>
            <w:r>
              <w:rPr>
                <w:b/>
                <w:bCs/>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669,33</w:t>
            </w:r>
            <w:r>
              <w:rPr>
                <w:b/>
                <w:bCs/>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41.2</w:t>
            </w:r>
            <w:r>
              <w:rPr>
                <w:b/>
                <w:bCs/>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27,46</w:t>
            </w:r>
            <w:r>
              <w:rPr>
                <w:b/>
                <w:bCs/>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63756346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63756346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Total</w:t>
            </w:r>
            <w:r>
              <w:rPr>
                <w:b/>
                <w:bCs/>
                <w:sz w:val="18"/>
                <w:szCs w:val="18"/>
              </w:rPr>
              <w:b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Total </w:t>
            </w:r>
            <w:r>
              <w:rPr>
                <w:b/>
                <w:bCs/>
                <w:sz w:val="18"/>
                <w:szCs w:val="18"/>
              </w:rPr>
              <w:b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Acquisition</w:t>
            </w:r>
            <w:r>
              <w:rPr>
                <w:sz w:val="18"/>
                <w:szCs w:val="18"/>
              </w:rPr>
              <w:t>s</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81,06</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33.8</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Exercise of warrants</w:t>
            </w:r>
            <w:r>
              <w:rPr>
                <w:sz w:val="18"/>
                <w:szCs w:val="18"/>
              </w:rPr>
              <w:t xml:space="preserve"> </w:t>
            </w:r>
            <w:r>
              <w:rPr>
                <w:sz w:val="12"/>
                <w:szCs w:val="12"/>
              </w:rPr>
              <w:t>(1</w:t>
            </w:r>
            <w:r>
              <w:rPr>
                <w:sz w:val="12"/>
                <w:szCs w:val="12"/>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67,71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17.1</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Exercise of option</w:t>
            </w:r>
            <w:r>
              <w:rPr>
                <w:sz w:val="18"/>
                <w:szCs w:val="18"/>
              </w:rPr>
              <w:t>s</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34,18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48</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424,15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7.2</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Restricted shares, net</w:t>
            </w:r>
            <w:r>
              <w:rPr>
                <w:sz w:val="18"/>
                <w:szCs w:val="18"/>
              </w:rPr>
              <w:t xml:space="preserve"> </w:t>
            </w:r>
            <w:r>
              <w:rPr>
                <w:sz w:val="12"/>
                <w:szCs w:val="12"/>
              </w:rPr>
              <w:t>(1</w:t>
            </w:r>
            <w:r>
              <w:rPr>
                <w:sz w:val="12"/>
                <w:szCs w:val="12"/>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25,28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66.5</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38,92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31.3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Payment of earn-out liabilit</w:t>
            </w:r>
            <w:r>
              <w:rPr>
                <w:sz w:val="18"/>
                <w:szCs w:val="18"/>
              </w:rPr>
              <w:t>y</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539,60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46.3</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Payment of purchase price</w:t>
            </w:r>
            <w:r>
              <w:rPr>
                <w:sz w:val="18"/>
                <w:szCs w:val="18"/>
              </w:rPr>
              <w:br/>
              <w:t>   true u</w:t>
            </w:r>
            <w:r>
              <w:rPr>
                <w:sz w:val="18"/>
                <w:szCs w:val="18"/>
              </w:rPr>
              <w:t>p</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44.8</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1,08</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Tota</w:t>
            </w:r>
            <w:r>
              <w:rPr>
                <w:b/>
                <w:bCs/>
                <w:sz w:val="18"/>
                <w:szCs w:val="18"/>
              </w:rPr>
              <w:t>l</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59,47</w:t>
            </w:r>
            <w:r>
              <w:rPr>
                <w:b/>
                <w:bCs/>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36.4</w:t>
            </w:r>
            <w:r>
              <w:rPr>
                <w:b/>
                <w:bCs/>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48</w:t>
            </w:r>
            <w:r>
              <w:rPr>
                <w:b/>
                <w:bCs/>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1,175,66</w:t>
            </w:r>
            <w:r>
              <w:rPr>
                <w:b/>
                <w:bCs/>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29.1</w:t>
            </w:r>
            <w:r>
              <w:rPr>
                <w:b/>
                <w:bCs/>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b/>
                <w:bCs/>
                <w:sz w:val="18"/>
                <w:szCs w:val="18"/>
              </w:rPr>
              <w:t>31,91</w:t>
            </w:r>
            <w:r>
              <w:rPr>
                <w:b/>
                <w:bCs/>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637563465"/>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pBdr>
          <w:bottom w:val="single" w:sz="4" w:space="1" w:color="auto"/>
        </w:pBdr>
        <w:spacing w:before="0" w:beforeAutospacing="0" w:after="0" w:afterAutospacing="0"/>
        <w:ind w:right="9167"/>
        <w:divId w:val="1637563465"/>
        <w:rPr>
          <w:sz w:val="20"/>
          <w:szCs w:val="20"/>
        </w:rPr>
      </w:pPr>
      <w:r>
        <w:rPr>
          <w:sz w:val="20"/>
          <w:szCs w:val="20"/>
        </w:rPr>
        <w:t> </w:t>
      </w:r>
    </w:p>
    <w:p w:rsidR="00000000" w:rsidRDefault="00F55F16">
      <w:pPr>
        <w:pStyle w:val="a3"/>
        <w:spacing w:before="40" w:beforeAutospacing="0" w:after="0" w:afterAutospacing="0"/>
        <w:ind w:firstLine="555"/>
        <w:divId w:val="1637563465"/>
        <w:rPr>
          <w:sz w:val="20"/>
          <w:szCs w:val="20"/>
        </w:rPr>
      </w:pPr>
      <w:r>
        <w:rPr>
          <w:sz w:val="16"/>
          <w:szCs w:val="16"/>
        </w:rPr>
        <w:t>(1)</w:t>
      </w:r>
      <w:r>
        <w:rPr>
          <w:sz w:val="16"/>
          <w:szCs w:val="16"/>
        </w:rPr>
        <w:t xml:space="preserve"> </w:t>
      </w:r>
      <w:r>
        <w:rPr>
          <w:sz w:val="16"/>
          <w:szCs w:val="16"/>
        </w:rPr>
        <w:t>Represents the non-cash release of common shares due to the exercise of warrants and the vesting of restricted stock</w:t>
      </w:r>
      <w:r>
        <w:rPr>
          <w:sz w:val="16"/>
          <w:szCs w:val="16"/>
        </w:rPr>
        <w:t>.</w:t>
      </w:r>
    </w:p>
    <w:p w:rsidR="00000000" w:rsidRDefault="00F55F16">
      <w:pPr>
        <w:pStyle w:val="a3"/>
        <w:spacing w:before="240" w:beforeAutospacing="0" w:after="0" w:afterAutospacing="0"/>
        <w:ind w:firstLine="555"/>
        <w:divId w:val="1176067456"/>
        <w:rPr>
          <w:sz w:val="20"/>
          <w:szCs w:val="20"/>
        </w:rPr>
      </w:pPr>
      <w:r>
        <w:rPr>
          <w:b/>
          <w:bCs/>
          <w:sz w:val="20"/>
          <w:szCs w:val="20"/>
        </w:rPr>
        <w:t>Employee Equity Incentive Plan</w:t>
      </w:r>
      <w:r>
        <w:rPr>
          <w:b/>
          <w:bCs/>
          <w:sz w:val="20"/>
          <w:szCs w:val="20"/>
        </w:rPr>
        <w:t>s</w:t>
      </w:r>
      <w:r>
        <w:rPr>
          <w:sz w:val="20"/>
          <w:szCs w:val="20"/>
        </w:rPr>
        <w:t>—</w:t>
      </w:r>
      <w:r>
        <w:rPr>
          <w:sz w:val="20"/>
          <w:szCs w:val="20"/>
        </w:rPr>
        <w:t>The Company has two plans under which stock-based awards have been issued: (i) the Montrose Amended &amp; Restated 2017 Stock Incentive Plan (“2017 Plan”) and (ii) the Montrose Amended &amp; Restated 2013 Stock Option Plan (“2013 Plan”) (collectively the “Plans”)</w:t>
      </w:r>
      <w:r>
        <w:rPr>
          <w:sz w:val="20"/>
          <w:szCs w:val="20"/>
        </w:rPr>
        <w:t>.</w:t>
      </w:r>
    </w:p>
    <w:p w:rsidR="00000000" w:rsidRDefault="00F55F16">
      <w:pPr>
        <w:pStyle w:val="a3"/>
        <w:spacing w:before="240" w:beforeAutospacing="0" w:after="0" w:afterAutospacing="0"/>
        <w:jc w:val="center"/>
        <w:divId w:val="1176067456"/>
        <w:rPr>
          <w:sz w:val="20"/>
          <w:szCs w:val="20"/>
        </w:rPr>
      </w:pPr>
      <w:r>
        <w:rPr>
          <w:sz w:val="20"/>
          <w:szCs w:val="20"/>
        </w:rPr>
        <w:t>2</w:t>
      </w:r>
      <w:r>
        <w:rPr>
          <w:sz w:val="20"/>
          <w:szCs w:val="20"/>
        </w:rPr>
        <w:t>1</w:t>
      </w:r>
    </w:p>
    <w:p w:rsidR="00000000" w:rsidRDefault="00F55F16">
      <w:pPr>
        <w:divId w:val="1176067456"/>
        <w:rPr>
          <w:rFonts w:eastAsia="Times New Roman"/>
        </w:rPr>
      </w:pPr>
      <w:r>
        <w:rPr>
          <w:rFonts w:eastAsia="Times New Roman"/>
        </w:rPr>
        <w:pict>
          <v:rect id="_x0000_i1047" style="width:0;height:1.5pt" o:hralign="center" o:hrstd="t" o:hr="t" fillcolor="#a0a0a0" stroked="f"/>
        </w:pict>
      </w:r>
    </w:p>
    <w:p w:rsidR="00000000" w:rsidRDefault="00F55F16">
      <w:pPr>
        <w:pStyle w:val="a3"/>
        <w:spacing w:before="0" w:beforeAutospacing="0" w:after="0" w:afterAutospacing="0"/>
        <w:divId w:val="1176067456"/>
        <w:rPr>
          <w:sz w:val="20"/>
          <w:szCs w:val="20"/>
        </w:rPr>
      </w:pPr>
      <w:r>
        <w:rPr>
          <w:sz w:val="20"/>
          <w:szCs w:val="20"/>
        </w:rPr>
        <w:t> </w:t>
      </w:r>
    </w:p>
    <w:p w:rsidR="00000000" w:rsidRDefault="00F55F16">
      <w:pPr>
        <w:pStyle w:val="a3"/>
        <w:spacing w:before="240" w:beforeAutospacing="0" w:after="0" w:afterAutospacing="0"/>
        <w:ind w:firstLine="555"/>
        <w:divId w:val="1176067456"/>
        <w:rPr>
          <w:sz w:val="20"/>
          <w:szCs w:val="20"/>
        </w:rPr>
      </w:pPr>
      <w:r>
        <w:rPr>
          <w:sz w:val="20"/>
          <w:szCs w:val="20"/>
        </w:rPr>
        <w:t xml:space="preserve">As of June 30, 2022, and June 30, 2021, there was </w:t>
      </w:r>
      <w:r>
        <w:rPr>
          <w:sz w:val="20"/>
          <w:szCs w:val="20"/>
        </w:rPr>
        <w:t>$</w:t>
      </w:r>
      <w:r>
        <w:rPr>
          <w:sz w:val="20"/>
          <w:szCs w:val="20"/>
        </w:rPr>
        <w:t>162.</w:t>
      </w:r>
      <w:r>
        <w:rPr>
          <w:sz w:val="20"/>
          <w:szCs w:val="20"/>
        </w:rPr>
        <w:t>1</w:t>
      </w:r>
      <w:r>
        <w:rPr>
          <w:sz w:val="20"/>
          <w:szCs w:val="20"/>
        </w:rPr>
        <w:t xml:space="preserve"> million and </w:t>
      </w:r>
      <w:r>
        <w:rPr>
          <w:sz w:val="20"/>
          <w:szCs w:val="20"/>
        </w:rPr>
        <w:t>$</w:t>
      </w:r>
      <w:r>
        <w:rPr>
          <w:sz w:val="20"/>
          <w:szCs w:val="20"/>
        </w:rPr>
        <w:t>16.</w:t>
      </w:r>
      <w:r>
        <w:rPr>
          <w:sz w:val="20"/>
          <w:szCs w:val="20"/>
        </w:rPr>
        <w:t>4</w:t>
      </w:r>
      <w:r>
        <w:rPr>
          <w:sz w:val="20"/>
          <w:szCs w:val="20"/>
        </w:rPr>
        <w:t xml:space="preserve"> million, respectively, of total unrecognized stock compensation expense related to unvested options, restricted stock and stock appreciatio</w:t>
      </w:r>
      <w:r>
        <w:rPr>
          <w:sz w:val="20"/>
          <w:szCs w:val="20"/>
        </w:rPr>
        <w:t>n rights granted under the Plans. Such unrecognized expense is expected to be recognized over a weighted-average</w:t>
      </w:r>
      <w:r>
        <w:rPr>
          <w:sz w:val="20"/>
          <w:szCs w:val="20"/>
        </w:rPr>
        <w:t xml:space="preserve"> </w:t>
      </w:r>
      <w:r>
        <w:rPr>
          <w:sz w:val="20"/>
          <w:szCs w:val="20"/>
        </w:rPr>
        <w:t>four yea</w:t>
      </w:r>
      <w:r>
        <w:rPr>
          <w:sz w:val="20"/>
          <w:szCs w:val="20"/>
        </w:rPr>
        <w:t>r</w:t>
      </w:r>
      <w:r>
        <w:rPr>
          <w:sz w:val="20"/>
          <w:szCs w:val="20"/>
        </w:rPr>
        <w:t xml:space="preserve"> period.</w:t>
      </w:r>
      <w:r>
        <w:rPr>
          <w:sz w:val="20"/>
          <w:szCs w:val="20"/>
        </w:rPr>
        <w:t xml:space="preserve"> </w:t>
      </w:r>
      <w:r>
        <w:rPr>
          <w:sz w:val="20"/>
          <w:szCs w:val="20"/>
        </w:rPr>
        <w:t>The following number of shares were authorized to be issued and available for grant</w:t>
      </w:r>
      <w:r>
        <w:rPr>
          <w:sz w:val="20"/>
          <w:szCs w:val="20"/>
        </w:rPr>
        <w:t>:</w:t>
      </w:r>
    </w:p>
    <w:p w:rsidR="00000000" w:rsidRDefault="00F55F16">
      <w:pPr>
        <w:pStyle w:val="a3"/>
        <w:spacing w:before="0" w:beforeAutospacing="0" w:after="0" w:afterAutospacing="0"/>
        <w:divId w:val="141971696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20"/>
        <w:gridCol w:w="176"/>
        <w:gridCol w:w="105"/>
        <w:gridCol w:w="1293"/>
        <w:gridCol w:w="105"/>
        <w:gridCol w:w="176"/>
        <w:gridCol w:w="105"/>
        <w:gridCol w:w="1293"/>
        <w:gridCol w:w="105"/>
        <w:gridCol w:w="176"/>
        <w:gridCol w:w="105"/>
        <w:gridCol w:w="1296"/>
        <w:gridCol w:w="120"/>
      </w:tblGrid>
      <w:tr w:rsidR="00000000">
        <w:trPr>
          <w:divId w:val="1419716960"/>
          <w:tblCellSpacing w:w="15" w:type="dxa"/>
        </w:trPr>
        <w:tc>
          <w:tcPr>
            <w:tcW w:w="1685" w:type="pct"/>
            <w:vAlign w:val="center"/>
            <w:hideMark/>
          </w:tcPr>
          <w:p w:rsidR="00000000" w:rsidRDefault="00F55F16">
            <w:pPr>
              <w:rPr>
                <w:sz w:val="20"/>
                <w:szCs w:val="20"/>
              </w:rPr>
            </w:pPr>
          </w:p>
        </w:tc>
        <w:tc>
          <w:tcPr>
            <w:tcW w:w="10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9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0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9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0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9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419716960"/>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June 30, 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19716960"/>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2013 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1971696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Shares authorized to be issue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8,139,98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2,037,14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10,177,13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1971696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Shares available for gran</w:t>
            </w:r>
            <w:r>
              <w:rPr>
                <w:sz w:val="18"/>
                <w:szCs w:val="18"/>
              </w:rPr>
              <w:t>t</w:t>
            </w:r>
            <w:r>
              <w:rPr>
                <w:sz w:val="12"/>
                <w:szCs w:val="12"/>
              </w:rPr>
              <w:t>(1</w:t>
            </w:r>
            <w:r>
              <w:rPr>
                <w:sz w:val="12"/>
                <w:szCs w:val="12"/>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445,24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445,24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1971696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41971696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June 30, 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1971696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2013 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1971696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Shares authorized to be issue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3,944,75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2,047,26</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5,992,01</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1971696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Shares available for gran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1,609,68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1,609,68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pBdr>
          <w:bottom w:val="single" w:sz="4" w:space="1" w:color="auto"/>
        </w:pBdr>
        <w:spacing w:before="0" w:beforeAutospacing="0" w:after="0" w:afterAutospacing="0"/>
        <w:ind w:right="9167"/>
        <w:divId w:val="1419716960"/>
        <w:rPr>
          <w:sz w:val="20"/>
          <w:szCs w:val="20"/>
        </w:rPr>
      </w:pPr>
      <w:r>
        <w:rPr>
          <w:sz w:val="20"/>
          <w:szCs w:val="20"/>
        </w:rPr>
        <w:t> </w:t>
      </w:r>
    </w:p>
    <w:p w:rsidR="00000000" w:rsidRDefault="00F55F16">
      <w:pPr>
        <w:pStyle w:val="a3"/>
        <w:spacing w:before="0" w:beforeAutospacing="0" w:after="0" w:afterAutospacing="0"/>
        <w:ind w:left="476"/>
        <w:divId w:val="1419716960"/>
        <w:rPr>
          <w:sz w:val="20"/>
          <w:szCs w:val="20"/>
        </w:rPr>
      </w:pPr>
      <w:r>
        <w:rPr>
          <w:sz w:val="16"/>
          <w:szCs w:val="16"/>
        </w:rPr>
        <w:t>(1)</w:t>
      </w:r>
      <w:r>
        <w:rPr>
          <w:sz w:val="16"/>
          <w:szCs w:val="16"/>
        </w:rPr>
        <w:t xml:space="preserve"> </w:t>
      </w:r>
      <w:r>
        <w:rPr>
          <w:sz w:val="16"/>
          <w:szCs w:val="16"/>
        </w:rPr>
        <w:t>In January 2022 the Board of Directors ratified the addition of</w:t>
      </w:r>
      <w:r>
        <w:rPr>
          <w:sz w:val="16"/>
          <w:szCs w:val="16"/>
        </w:rPr>
        <w:t xml:space="preserve"> </w:t>
      </w:r>
      <w:r>
        <w:rPr>
          <w:sz w:val="16"/>
          <w:szCs w:val="16"/>
        </w:rPr>
        <w:t>1,185,11</w:t>
      </w:r>
      <w:r>
        <w:rPr>
          <w:sz w:val="16"/>
          <w:szCs w:val="16"/>
        </w:rPr>
        <w:t>2</w:t>
      </w:r>
      <w:r>
        <w:rPr>
          <w:sz w:val="16"/>
          <w:szCs w:val="16"/>
        </w:rPr>
        <w:t xml:space="preserve"> shares of common stock to the number of shares available for issuance under the 2017 Plan pursuant to the annual increase provision of such plan. Unless the Board of Directors determ</w:t>
      </w:r>
      <w:r>
        <w:rPr>
          <w:sz w:val="16"/>
          <w:szCs w:val="16"/>
        </w:rPr>
        <w:t xml:space="preserve">ines otherwise, additional annual increases will be effective on each January 1, through January 1, 2027. The 2017 Plan permits the company to settle awards, if and when vested, in cash at its discretion. Pursuant to the terms of the 2017 Plan, the number </w:t>
      </w:r>
      <w:r>
        <w:rPr>
          <w:sz w:val="16"/>
          <w:szCs w:val="16"/>
        </w:rPr>
        <w:t>of shares authorized for issuance thereunder will only be reduced with respect to shares of common stock actually issued upon exercise or settlement of an award. Shares of common stock subject to awards that have been canceled, expired, forfeited or otherw</w:t>
      </w:r>
      <w:r>
        <w:rPr>
          <w:sz w:val="16"/>
          <w:szCs w:val="16"/>
        </w:rPr>
        <w:t>ise not issued under an award and shares of common stock subject to awards settled in cash do not count as shares of common stock issued under the 2017 Plan. Shares available for grant exclude awards of stock appreciation rights approved in December 2021 t</w:t>
      </w:r>
      <w:r>
        <w:rPr>
          <w:sz w:val="16"/>
          <w:szCs w:val="16"/>
        </w:rPr>
        <w:t>hat are subject to vesting based on the achievement of certain market conditions, which have not yet been, and may not be, achieved. At maximum level of achievement these awards would represent the right to receive an aggregate of</w:t>
      </w:r>
      <w:r>
        <w:rPr>
          <w:sz w:val="16"/>
          <w:szCs w:val="16"/>
        </w:rPr>
        <w:t xml:space="preserve"> </w:t>
      </w:r>
      <w:r>
        <w:rPr>
          <w:sz w:val="16"/>
          <w:szCs w:val="16"/>
        </w:rPr>
        <w:t>3,000,00</w:t>
      </w:r>
      <w:r>
        <w:rPr>
          <w:sz w:val="16"/>
          <w:szCs w:val="16"/>
        </w:rPr>
        <w:t>0</w:t>
      </w:r>
      <w:r>
        <w:rPr>
          <w:sz w:val="16"/>
          <w:szCs w:val="16"/>
        </w:rPr>
        <w:t xml:space="preserve"> shares of commo</w:t>
      </w:r>
      <w:r>
        <w:rPr>
          <w:sz w:val="16"/>
          <w:szCs w:val="16"/>
        </w:rPr>
        <w:t>n stock</w:t>
      </w:r>
      <w:r>
        <w:rPr>
          <w:sz w:val="16"/>
          <w:szCs w:val="16"/>
        </w:rPr>
        <w:t>.</w:t>
      </w:r>
    </w:p>
    <w:p w:rsidR="00000000" w:rsidRDefault="00F55F16">
      <w:pPr>
        <w:pStyle w:val="a3"/>
        <w:spacing w:before="240" w:beforeAutospacing="0" w:after="0" w:afterAutospacing="0"/>
        <w:ind w:firstLine="555"/>
        <w:divId w:val="1471481602"/>
        <w:rPr>
          <w:sz w:val="20"/>
          <w:szCs w:val="20"/>
        </w:rPr>
      </w:pPr>
      <w:r>
        <w:rPr>
          <w:sz w:val="20"/>
          <w:szCs w:val="20"/>
        </w:rPr>
        <w:t>Total stock compensation expense for the Plans was as follows</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0"/>
        <w:gridCol w:w="105"/>
        <w:gridCol w:w="151"/>
        <w:gridCol w:w="525"/>
        <w:gridCol w:w="105"/>
        <w:gridCol w:w="105"/>
        <w:gridCol w:w="151"/>
        <w:gridCol w:w="744"/>
        <w:gridCol w:w="105"/>
        <w:gridCol w:w="105"/>
        <w:gridCol w:w="150"/>
        <w:gridCol w:w="465"/>
        <w:gridCol w:w="105"/>
        <w:gridCol w:w="105"/>
        <w:gridCol w:w="152"/>
        <w:gridCol w:w="555"/>
        <w:gridCol w:w="105"/>
        <w:gridCol w:w="105"/>
        <w:gridCol w:w="150"/>
        <w:gridCol w:w="555"/>
        <w:gridCol w:w="105"/>
        <w:gridCol w:w="105"/>
        <w:gridCol w:w="151"/>
        <w:gridCol w:w="550"/>
        <w:gridCol w:w="105"/>
        <w:gridCol w:w="105"/>
        <w:gridCol w:w="151"/>
        <w:gridCol w:w="753"/>
        <w:gridCol w:w="105"/>
        <w:gridCol w:w="105"/>
        <w:gridCol w:w="152"/>
        <w:gridCol w:w="564"/>
        <w:gridCol w:w="105"/>
        <w:gridCol w:w="105"/>
        <w:gridCol w:w="150"/>
        <w:gridCol w:w="465"/>
        <w:gridCol w:w="120"/>
      </w:tblGrid>
      <w:tr w:rsidR="00000000">
        <w:trPr>
          <w:divId w:val="1471481602"/>
          <w:tblCellSpacing w:w="15" w:type="dxa"/>
        </w:trPr>
        <w:tc>
          <w:tcPr>
            <w:tcW w:w="846" w:type="pct"/>
            <w:vAlign w:val="center"/>
            <w:hideMark/>
          </w:tcPr>
          <w:p w:rsidR="00000000" w:rsidRDefault="00F55F16">
            <w:pPr>
              <w:rPr>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1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9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0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0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8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4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4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34"/>
            <w:vAlign w:val="bottom"/>
            <w:hideMark/>
          </w:tcPr>
          <w:p w:rsidR="00000000" w:rsidRDefault="00F55F16">
            <w:pPr>
              <w:pStyle w:val="a3"/>
              <w:spacing w:before="0" w:beforeAutospacing="0" w:after="0" w:afterAutospacing="0"/>
              <w:jc w:val="center"/>
              <w:rPr>
                <w:sz w:val="18"/>
                <w:szCs w:val="18"/>
              </w:rPr>
            </w:pPr>
            <w:r>
              <w:rPr>
                <w:b/>
                <w:bCs/>
                <w:sz w:val="18"/>
                <w:szCs w:val="18"/>
              </w:rPr>
              <w:t>Three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8"/>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4"/>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2013</w:t>
            </w:r>
            <w:r>
              <w:rPr>
                <w:b/>
                <w:bCs/>
                <w:sz w:val="18"/>
                <w:szCs w:val="18"/>
              </w:rPr>
              <w:br/>
              <w:t>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2013</w:t>
            </w:r>
            <w:r>
              <w:rPr>
                <w:b/>
                <w:bCs/>
                <w:sz w:val="18"/>
                <w:szCs w:val="18"/>
              </w:rPr>
              <w:br/>
              <w:t>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Restricted </w:t>
            </w:r>
            <w:r>
              <w:rPr>
                <w:b/>
                <w:bCs/>
                <w:sz w:val="18"/>
                <w:szCs w:val="18"/>
              </w:rPr>
              <w:br/>
              <w:t>Stoc</w:t>
            </w:r>
            <w:r>
              <w:rPr>
                <w:b/>
                <w:bCs/>
                <w:sz w:val="18"/>
                <w:szCs w:val="18"/>
              </w:rPr>
              <w:t>k</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SAR</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Restricted </w:t>
            </w:r>
            <w:r>
              <w:rPr>
                <w:b/>
                <w:bCs/>
                <w:sz w:val="18"/>
                <w:szCs w:val="18"/>
              </w:rPr>
              <w:br/>
              <w:t>Stoc</w:t>
            </w:r>
            <w:r>
              <w:rPr>
                <w:b/>
                <w:bCs/>
                <w:sz w:val="18"/>
                <w:szCs w:val="18"/>
              </w:rPr>
              <w:t>k</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Cost of revenu</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Selling, general and </w:t>
            </w:r>
            <w:r>
              <w:rPr>
                <w:sz w:val="18"/>
                <w:szCs w:val="18"/>
              </w:rPr>
              <w:br/>
              <w:t>   administrative expens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6,01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10,56</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2,12</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2,62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6,01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2,29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10,93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2,08</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71481602"/>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34"/>
            <w:vAlign w:val="bottom"/>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8"/>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4"/>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2013</w:t>
            </w:r>
            <w:r>
              <w:rPr>
                <w:b/>
                <w:bCs/>
                <w:sz w:val="18"/>
                <w:szCs w:val="18"/>
              </w:rPr>
              <w:br/>
              <w:t>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2017 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2013</w:t>
            </w:r>
            <w:r>
              <w:rPr>
                <w:b/>
                <w:bCs/>
                <w:sz w:val="18"/>
                <w:szCs w:val="18"/>
              </w:rPr>
              <w:br/>
              <w:t>pla</w:t>
            </w:r>
            <w:r>
              <w:rPr>
                <w:b/>
                <w:bCs/>
                <w:sz w:val="18"/>
                <w:szCs w:val="18"/>
              </w:rPr>
              <w:t>n</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Restricted </w:t>
            </w:r>
            <w:r>
              <w:rPr>
                <w:b/>
                <w:bCs/>
                <w:sz w:val="18"/>
                <w:szCs w:val="18"/>
              </w:rPr>
              <w:br/>
              <w:t>Stoc</w:t>
            </w:r>
            <w:r>
              <w:rPr>
                <w:b/>
                <w:bCs/>
                <w:sz w:val="18"/>
                <w:szCs w:val="18"/>
              </w:rPr>
              <w:t>k</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SAR</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Restricted </w:t>
            </w:r>
            <w:r>
              <w:rPr>
                <w:b/>
                <w:bCs/>
                <w:sz w:val="18"/>
                <w:szCs w:val="18"/>
              </w:rPr>
              <w:br/>
              <w:t>Stoc</w:t>
            </w:r>
            <w:r>
              <w:rPr>
                <w:b/>
                <w:bCs/>
                <w:sz w:val="18"/>
                <w:szCs w:val="18"/>
              </w:rPr>
              <w:t>k</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Cost of revenu</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66</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66</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90</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Selling, general and </w:t>
            </w:r>
            <w:r>
              <w:rPr>
                <w:sz w:val="18"/>
                <w:szCs w:val="18"/>
              </w:rPr>
              <w:br/>
              <w:t>   administrative expens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4,23</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11,80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4,65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20,69</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2,79</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3,31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7148160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4,89</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11,80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4,65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21,35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3,69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4,22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71481602"/>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divId w:val="1176067456"/>
        <w:rPr>
          <w:sz w:val="20"/>
          <w:szCs w:val="20"/>
        </w:rPr>
      </w:pPr>
      <w:r>
        <w:rPr>
          <w:b/>
          <w:bCs/>
          <w:i/>
          <w:iCs/>
          <w:sz w:val="20"/>
          <w:szCs w:val="20"/>
        </w:rPr>
        <w:t>Montrose Amended &amp; Restated 2017 Stock Incentive Pla</w:t>
      </w:r>
      <w:r>
        <w:rPr>
          <w:b/>
          <w:bCs/>
          <w:i/>
          <w:iCs/>
          <w:sz w:val="20"/>
          <w:szCs w:val="20"/>
        </w:rPr>
        <w:t>n</w:t>
      </w:r>
    </w:p>
    <w:p w:rsidR="00000000" w:rsidRDefault="00F55F16">
      <w:pPr>
        <w:pStyle w:val="a3"/>
        <w:spacing w:before="240" w:beforeAutospacing="0" w:after="0" w:afterAutospacing="0"/>
        <w:ind w:firstLine="555"/>
        <w:divId w:val="1176067456"/>
        <w:rPr>
          <w:sz w:val="20"/>
          <w:szCs w:val="20"/>
        </w:rPr>
      </w:pPr>
      <w:r>
        <w:rPr>
          <w:b/>
          <w:bCs/>
          <w:i/>
          <w:iCs/>
          <w:sz w:val="20"/>
          <w:szCs w:val="20"/>
        </w:rPr>
        <w:t>Restricted Stock Awards and Restricted Stock Units</w:t>
      </w:r>
      <w:r>
        <w:rPr>
          <w:b/>
          <w:bCs/>
          <w:i/>
          <w:iCs/>
          <w:sz w:val="20"/>
          <w:szCs w:val="20"/>
        </w:rPr>
        <w:t>—</w:t>
      </w:r>
      <w:r>
        <w:rPr>
          <w:sz w:val="20"/>
          <w:szCs w:val="20"/>
        </w:rPr>
        <w:t>The Company issues restricted stock awards ("RSAs") to certain 2017 Plan participants as Director’s compensation. There were</w:t>
      </w:r>
      <w:r>
        <w:rPr>
          <w:sz w:val="20"/>
          <w:szCs w:val="20"/>
        </w:rPr>
        <w:t xml:space="preserve"> </w:t>
      </w:r>
      <w:r>
        <w:rPr>
          <w:sz w:val="20"/>
          <w:szCs w:val="20"/>
        </w:rPr>
        <w:t>zer</w:t>
      </w:r>
      <w:r>
        <w:rPr>
          <w:sz w:val="20"/>
          <w:szCs w:val="20"/>
        </w:rPr>
        <w:t>o</w:t>
      </w:r>
      <w:r>
        <w:rPr>
          <w:sz w:val="20"/>
          <w:szCs w:val="20"/>
        </w:rPr>
        <w:t xml:space="preserve"> and</w:t>
      </w:r>
      <w:r>
        <w:rPr>
          <w:sz w:val="20"/>
          <w:szCs w:val="20"/>
        </w:rPr>
        <w:t xml:space="preserve"> </w:t>
      </w:r>
      <w:r>
        <w:rPr>
          <w:sz w:val="20"/>
          <w:szCs w:val="20"/>
        </w:rPr>
        <w:t>4,53</w:t>
      </w:r>
      <w:r>
        <w:rPr>
          <w:sz w:val="20"/>
          <w:szCs w:val="20"/>
        </w:rPr>
        <w:t>4</w:t>
      </w:r>
      <w:r>
        <w:rPr>
          <w:sz w:val="20"/>
          <w:szCs w:val="20"/>
        </w:rPr>
        <w:t xml:space="preserve"> RSAs granted during the</w:t>
      </w:r>
      <w:r>
        <w:rPr>
          <w:sz w:val="20"/>
          <w:szCs w:val="20"/>
        </w:rPr>
        <w:t xml:space="preserve"> </w:t>
      </w:r>
      <w:r>
        <w:rPr>
          <w:sz w:val="20"/>
          <w:szCs w:val="20"/>
        </w:rPr>
        <w:t>three months ended June 30, 2022 and June</w:t>
      </w:r>
      <w:r>
        <w:rPr>
          <w:sz w:val="20"/>
          <w:szCs w:val="20"/>
        </w:rPr>
        <w:t xml:space="preserve"> 30, 202</w:t>
      </w:r>
      <w:r>
        <w:rPr>
          <w:sz w:val="20"/>
          <w:szCs w:val="20"/>
        </w:rPr>
        <w:t>1</w:t>
      </w:r>
      <w:r>
        <w:rPr>
          <w:sz w:val="20"/>
          <w:szCs w:val="20"/>
        </w:rPr>
        <w:t>, respectively. There were</w:t>
      </w:r>
      <w:r>
        <w:rPr>
          <w:sz w:val="20"/>
          <w:szCs w:val="20"/>
        </w:rPr>
        <w:t xml:space="preserve"> </w:t>
      </w:r>
      <w:r>
        <w:rPr>
          <w:sz w:val="20"/>
          <w:szCs w:val="20"/>
        </w:rPr>
        <w:t>10,92</w:t>
      </w:r>
      <w:r>
        <w:rPr>
          <w:sz w:val="20"/>
          <w:szCs w:val="20"/>
        </w:rPr>
        <w:t>0</w:t>
      </w:r>
      <w:r>
        <w:rPr>
          <w:sz w:val="20"/>
          <w:szCs w:val="20"/>
        </w:rPr>
        <w:t xml:space="preserve"> and</w:t>
      </w:r>
      <w:r>
        <w:rPr>
          <w:sz w:val="20"/>
          <w:szCs w:val="20"/>
        </w:rPr>
        <w:t xml:space="preserve"> </w:t>
      </w:r>
      <w:r>
        <w:rPr>
          <w:sz w:val="20"/>
          <w:szCs w:val="20"/>
        </w:rPr>
        <w:t>19,06</w:t>
      </w:r>
      <w:r>
        <w:rPr>
          <w:sz w:val="20"/>
          <w:szCs w:val="20"/>
        </w:rPr>
        <w:t>6</w:t>
      </w:r>
      <w:r>
        <w:rPr>
          <w:sz w:val="20"/>
          <w:szCs w:val="20"/>
        </w:rPr>
        <w:t xml:space="preserve"> RSAs granted during the</w:t>
      </w:r>
      <w:r>
        <w:rPr>
          <w:sz w:val="20"/>
          <w:szCs w:val="20"/>
        </w:rPr>
        <w:t xml:space="preserve"> </w:t>
      </w:r>
      <w:r>
        <w:rPr>
          <w:sz w:val="20"/>
          <w:szCs w:val="20"/>
        </w:rPr>
        <w:t>six months ended June 30, 2022 and June 30, 202</w:t>
      </w:r>
      <w:r>
        <w:rPr>
          <w:sz w:val="20"/>
          <w:szCs w:val="20"/>
        </w:rPr>
        <w:t>1</w:t>
      </w:r>
      <w:r>
        <w:rPr>
          <w:sz w:val="20"/>
          <w:szCs w:val="20"/>
        </w:rPr>
        <w:t>, respectively. These RSAs vest</w:t>
      </w:r>
      <w:r>
        <w:rPr>
          <w:sz w:val="20"/>
          <w:szCs w:val="20"/>
        </w:rPr>
        <w:t xml:space="preserve"> </w:t>
      </w:r>
      <w:r>
        <w:rPr>
          <w:sz w:val="20"/>
          <w:szCs w:val="20"/>
        </w:rPr>
        <w:t>one yea</w:t>
      </w:r>
      <w:r>
        <w:rPr>
          <w:sz w:val="20"/>
          <w:szCs w:val="20"/>
        </w:rPr>
        <w:t>r</w:t>
      </w:r>
      <w:r>
        <w:rPr>
          <w:sz w:val="20"/>
          <w:szCs w:val="20"/>
        </w:rPr>
        <w:t xml:space="preserve"> from the date of grant, or, in each case, in full upon a change in control, subject to th</w:t>
      </w:r>
      <w:r>
        <w:rPr>
          <w:sz w:val="20"/>
          <w:szCs w:val="20"/>
        </w:rPr>
        <w:t>e participant’s continued service as a Director throughout such date, or upon retirement. Members of the Board of Directors that receive stock-based compensation are treated as employees for accounting purposes</w:t>
      </w:r>
      <w:r>
        <w:rPr>
          <w:sz w:val="20"/>
          <w:szCs w:val="20"/>
        </w:rPr>
        <w:t>.</w:t>
      </w:r>
      <w:r>
        <w:rPr>
          <w:sz w:val="20"/>
          <w:szCs w:val="20"/>
        </w:rPr>
        <w:t xml:space="preserve"> </w:t>
      </w:r>
    </w:p>
    <w:p w:rsidR="00000000" w:rsidRDefault="00F55F16">
      <w:pPr>
        <w:pStyle w:val="a3"/>
        <w:spacing w:before="240" w:beforeAutospacing="0" w:after="0" w:afterAutospacing="0"/>
        <w:ind w:firstLine="555"/>
        <w:divId w:val="1176067456"/>
        <w:rPr>
          <w:sz w:val="20"/>
          <w:szCs w:val="20"/>
        </w:rPr>
      </w:pPr>
      <w:r>
        <w:rPr>
          <w:sz w:val="20"/>
          <w:szCs w:val="20"/>
        </w:rPr>
        <w:t>During the year ended December 31, 2021, the Board of Directors approved the grant of</w:t>
      </w:r>
      <w:r>
        <w:rPr>
          <w:sz w:val="20"/>
          <w:szCs w:val="20"/>
        </w:rPr>
        <w:t xml:space="preserve"> </w:t>
      </w:r>
      <w:r>
        <w:rPr>
          <w:sz w:val="20"/>
          <w:szCs w:val="20"/>
        </w:rPr>
        <w:t>1,671,39</w:t>
      </w:r>
      <w:r>
        <w:rPr>
          <w:sz w:val="20"/>
          <w:szCs w:val="20"/>
        </w:rPr>
        <w:t>1</w:t>
      </w:r>
      <w:r>
        <w:rPr>
          <w:sz w:val="20"/>
          <w:szCs w:val="20"/>
        </w:rPr>
        <w:t xml:space="preserve"> restricted stock units (“RSUs”) to certain executives and selected employees of the Company under the 2017 Plan.</w:t>
      </w:r>
      <w:r>
        <w:rPr>
          <w:sz w:val="20"/>
          <w:szCs w:val="20"/>
        </w:rPr>
        <w:t xml:space="preserve"> </w:t>
      </w:r>
      <w:r>
        <w:rPr>
          <w:sz w:val="20"/>
          <w:szCs w:val="20"/>
        </w:rPr>
        <w:t>These RSUs represent the right to receive one s</w:t>
      </w:r>
      <w:r>
        <w:rPr>
          <w:sz w:val="20"/>
          <w:szCs w:val="20"/>
        </w:rPr>
        <w:t>hare of the Company’s common stock upon vesting. These incentives were designed by the Board, in coordination with the Company’s compensation advisors, to (i) retain selected employees of the Company for a minimum of</w:t>
      </w:r>
      <w:r>
        <w:rPr>
          <w:sz w:val="20"/>
          <w:szCs w:val="20"/>
        </w:rPr>
        <w:t xml:space="preserve"> </w:t>
      </w:r>
      <w:r>
        <w:rPr>
          <w:sz w:val="20"/>
          <w:szCs w:val="20"/>
        </w:rPr>
        <w:t>5 year</w:t>
      </w:r>
      <w:r>
        <w:rPr>
          <w:sz w:val="20"/>
          <w:szCs w:val="20"/>
        </w:rPr>
        <w:t>s</w:t>
      </w:r>
      <w:r>
        <w:rPr>
          <w:sz w:val="20"/>
          <w:szCs w:val="20"/>
        </w:rPr>
        <w:t>,</w:t>
      </w:r>
      <w:r>
        <w:rPr>
          <w:sz w:val="20"/>
          <w:szCs w:val="20"/>
        </w:rPr>
        <w:t xml:space="preserve"> </w:t>
      </w:r>
      <w:r>
        <w:rPr>
          <w:sz w:val="20"/>
          <w:szCs w:val="20"/>
        </w:rPr>
        <w:t>(ii) reward selected employees</w:t>
      </w:r>
      <w:r>
        <w:rPr>
          <w:sz w:val="20"/>
          <w:szCs w:val="20"/>
        </w:rPr>
        <w:t xml:space="preserve"> for the Company’s significant outperformance and stockholder value creation in 2021, and (iii) provide incentives to</w:t>
      </w:r>
      <w:r>
        <w:rPr>
          <w:sz w:val="20"/>
          <w:szCs w:val="20"/>
        </w:rPr>
        <w:t xml:space="preserve"> </w:t>
      </w:r>
    </w:p>
    <w:p w:rsidR="00000000" w:rsidRDefault="00F55F16">
      <w:pPr>
        <w:pStyle w:val="a3"/>
        <w:spacing w:before="240" w:beforeAutospacing="0" w:after="0" w:afterAutospacing="0"/>
        <w:jc w:val="center"/>
        <w:divId w:val="1176067456"/>
        <w:rPr>
          <w:sz w:val="20"/>
          <w:szCs w:val="20"/>
        </w:rPr>
      </w:pPr>
      <w:r>
        <w:rPr>
          <w:sz w:val="20"/>
          <w:szCs w:val="20"/>
        </w:rPr>
        <w:t>2</w:t>
      </w:r>
      <w:r>
        <w:rPr>
          <w:sz w:val="20"/>
          <w:szCs w:val="20"/>
        </w:rPr>
        <w:t>2</w:t>
      </w:r>
    </w:p>
    <w:p w:rsidR="00000000" w:rsidRDefault="00F55F16">
      <w:pPr>
        <w:divId w:val="1176067456"/>
        <w:rPr>
          <w:rFonts w:eastAsia="Times New Roman"/>
        </w:rPr>
      </w:pPr>
      <w:r>
        <w:rPr>
          <w:rFonts w:eastAsia="Times New Roman"/>
        </w:rPr>
        <w:pict>
          <v:rect id="_x0000_i1048" style="width:0;height:1.5pt" o:hralign="center" o:hrstd="t" o:hr="t" fillcolor="#a0a0a0" stroked="f"/>
        </w:pict>
      </w:r>
    </w:p>
    <w:p w:rsidR="00000000" w:rsidRDefault="00F55F16">
      <w:pPr>
        <w:pStyle w:val="a3"/>
        <w:spacing w:before="0" w:beforeAutospacing="0" w:after="0" w:afterAutospacing="0"/>
        <w:divId w:val="1176067456"/>
        <w:rPr>
          <w:sz w:val="20"/>
          <w:szCs w:val="20"/>
        </w:rPr>
      </w:pPr>
      <w:r>
        <w:rPr>
          <w:sz w:val="20"/>
          <w:szCs w:val="20"/>
        </w:rPr>
        <w:t> </w:t>
      </w:r>
    </w:p>
    <w:p w:rsidR="00000000" w:rsidRDefault="00F55F16">
      <w:pPr>
        <w:pStyle w:val="a3"/>
        <w:spacing w:before="240" w:beforeAutospacing="0" w:after="0" w:afterAutospacing="0"/>
        <w:divId w:val="1176067456"/>
        <w:rPr>
          <w:sz w:val="20"/>
          <w:szCs w:val="20"/>
        </w:rPr>
      </w:pPr>
      <w:r>
        <w:rPr>
          <w:sz w:val="20"/>
          <w:szCs w:val="20"/>
        </w:rPr>
        <w:t>selected</w:t>
      </w:r>
      <w:r>
        <w:rPr>
          <w:sz w:val="20"/>
          <w:szCs w:val="20"/>
        </w:rPr>
        <w:t xml:space="preserve"> </w:t>
      </w:r>
      <w:r>
        <w:rPr>
          <w:sz w:val="20"/>
          <w:szCs w:val="20"/>
        </w:rPr>
        <w:t>employees of the Company to accelerate value creation for stockholders and other stakeh</w:t>
      </w:r>
      <w:r>
        <w:rPr>
          <w:sz w:val="20"/>
          <w:szCs w:val="20"/>
        </w:rPr>
        <w:t>olders over the next five-year perio</w:t>
      </w:r>
      <w:r>
        <w:rPr>
          <w:sz w:val="20"/>
          <w:szCs w:val="20"/>
        </w:rPr>
        <w:t>d</w:t>
      </w:r>
      <w:r>
        <w:rPr>
          <w:sz w:val="20"/>
          <w:szCs w:val="20"/>
        </w:rPr>
        <w:t>. With respect to</w:t>
      </w:r>
      <w:r>
        <w:rPr>
          <w:sz w:val="20"/>
          <w:szCs w:val="20"/>
        </w:rPr>
        <w:t xml:space="preserve"> </w:t>
      </w:r>
      <w:r>
        <w:rPr>
          <w:sz w:val="20"/>
          <w:szCs w:val="20"/>
        </w:rPr>
        <w:t>1,355,18</w:t>
      </w:r>
      <w:r>
        <w:rPr>
          <w:sz w:val="20"/>
          <w:szCs w:val="20"/>
        </w:rPr>
        <w:t>2</w:t>
      </w:r>
      <w:r>
        <w:rPr>
          <w:sz w:val="20"/>
          <w:szCs w:val="20"/>
        </w:rPr>
        <w:t xml:space="preserve"> RSUs,</w:t>
      </w:r>
      <w:r>
        <w:rPr>
          <w:sz w:val="20"/>
          <w:szCs w:val="20"/>
        </w:rPr>
        <w:t xml:space="preserve"> </w:t>
      </w:r>
      <w:r>
        <w:rPr>
          <w:sz w:val="20"/>
          <w:szCs w:val="20"/>
        </w:rPr>
        <w:t>50.</w:t>
      </w:r>
      <w:r>
        <w:rPr>
          <w:sz w:val="20"/>
          <w:szCs w:val="20"/>
        </w:rPr>
        <w:t>0</w:t>
      </w:r>
      <w:r>
        <w:rPr>
          <w:sz w:val="20"/>
          <w:szCs w:val="20"/>
        </w:rPr>
        <w:t>% will vest on each of the 4th and 5th anniversaries of the date of grant, subject to continued service through each such date. With respect to the remaining</w:t>
      </w:r>
      <w:r>
        <w:rPr>
          <w:sz w:val="20"/>
          <w:szCs w:val="20"/>
        </w:rPr>
        <w:t xml:space="preserve"> </w:t>
      </w:r>
      <w:r>
        <w:rPr>
          <w:sz w:val="20"/>
          <w:szCs w:val="20"/>
        </w:rPr>
        <w:t>316,20</w:t>
      </w:r>
      <w:r>
        <w:rPr>
          <w:sz w:val="20"/>
          <w:szCs w:val="20"/>
        </w:rPr>
        <w:t>9</w:t>
      </w:r>
      <w:r>
        <w:rPr>
          <w:sz w:val="20"/>
          <w:szCs w:val="20"/>
        </w:rPr>
        <w:t xml:space="preserve"> RSUs (“The Perf</w:t>
      </w:r>
      <w:r>
        <w:rPr>
          <w:sz w:val="20"/>
          <w:szCs w:val="20"/>
        </w:rPr>
        <w:t>ormance-Vested RSUs”),</w:t>
      </w:r>
      <w:r>
        <w:rPr>
          <w:sz w:val="20"/>
          <w:szCs w:val="20"/>
        </w:rPr>
        <w:t xml:space="preserve"> </w:t>
      </w:r>
      <w:r>
        <w:rPr>
          <w:sz w:val="20"/>
          <w:szCs w:val="20"/>
        </w:rPr>
        <w:t>50.</w:t>
      </w:r>
      <w:r>
        <w:rPr>
          <w:sz w:val="20"/>
          <w:szCs w:val="20"/>
        </w:rPr>
        <w:t>0</w:t>
      </w:r>
      <w:r>
        <w:rPr>
          <w:sz w:val="20"/>
          <w:szCs w:val="20"/>
        </w:rPr>
        <w:t xml:space="preserve">% will vest on each of the 4th and 5th anniversaries of the date of grant, subject to continued service through each such date and further subject to Company achieving </w:t>
      </w:r>
      <w:r>
        <w:rPr>
          <w:sz w:val="20"/>
          <w:szCs w:val="20"/>
        </w:rPr>
        <w:t>$</w:t>
      </w:r>
      <w:r>
        <w:rPr>
          <w:sz w:val="20"/>
          <w:szCs w:val="20"/>
        </w:rPr>
        <w:t>90.</w:t>
      </w:r>
      <w:r>
        <w:rPr>
          <w:sz w:val="20"/>
          <w:szCs w:val="20"/>
        </w:rPr>
        <w:t>0</w:t>
      </w:r>
      <w:r>
        <w:rPr>
          <w:sz w:val="20"/>
          <w:szCs w:val="20"/>
        </w:rPr>
        <w:t xml:space="preserve"> million in adjusted EBITDA (as reported) for any traili</w:t>
      </w:r>
      <w:r>
        <w:rPr>
          <w:sz w:val="20"/>
          <w:szCs w:val="20"/>
        </w:rPr>
        <w:t>ng twelve-month period from and after December 31, 2022. If the Performance Criteria is not met prior to the 4th anniversary of the date of grant, none of the Performance-Vested RSUs will vest at such time, and if the Performance Criteria is subsequently m</w:t>
      </w:r>
      <w:r>
        <w:rPr>
          <w:sz w:val="20"/>
          <w:szCs w:val="20"/>
        </w:rPr>
        <w:t xml:space="preserve">et prior to the 5th anniversary of the date of grant, all of the Performance-Vested RSUs will vest at such time, subject to continued service through such date. If the Performance Criteria is not met by the 5th anniversary of the date of grant, all of the </w:t>
      </w:r>
      <w:r>
        <w:rPr>
          <w:sz w:val="20"/>
          <w:szCs w:val="20"/>
        </w:rPr>
        <w:t>Performance-Vested RSUs will be forfeited</w:t>
      </w:r>
      <w:r>
        <w:rPr>
          <w:sz w:val="20"/>
          <w:szCs w:val="20"/>
        </w:rPr>
        <w:t>.</w:t>
      </w:r>
    </w:p>
    <w:p w:rsidR="00000000" w:rsidRDefault="00F55F16">
      <w:pPr>
        <w:pStyle w:val="a3"/>
        <w:spacing w:before="240" w:beforeAutospacing="0" w:after="0" w:afterAutospacing="0"/>
        <w:ind w:firstLine="555"/>
        <w:divId w:val="1176067456"/>
        <w:rPr>
          <w:sz w:val="20"/>
          <w:szCs w:val="20"/>
        </w:rPr>
      </w:pPr>
      <w:r>
        <w:rPr>
          <w:sz w:val="20"/>
          <w:szCs w:val="20"/>
        </w:rPr>
        <w:t>During 2021 and 2022, the Board of Directors approved the creation of certain supplemental incentive plans (“SI Plans”) for selected employees to reward exceptional performance. These SI Plans provide supplemental</w:t>
      </w:r>
      <w:r>
        <w:rPr>
          <w:sz w:val="20"/>
          <w:szCs w:val="20"/>
        </w:rPr>
        <w:t xml:space="preserve"> bonus opportunities payable in RSUs under the 2017 Plan upon meeting certain financial performance targets. There were</w:t>
      </w:r>
      <w:r>
        <w:rPr>
          <w:sz w:val="20"/>
          <w:szCs w:val="20"/>
        </w:rPr>
        <w:t xml:space="preserve"> </w:t>
      </w:r>
      <w:r>
        <w:rPr>
          <w:sz w:val="20"/>
          <w:szCs w:val="20"/>
        </w:rPr>
        <w:t>95,40</w:t>
      </w:r>
      <w:r>
        <w:rPr>
          <w:sz w:val="20"/>
          <w:szCs w:val="20"/>
        </w:rPr>
        <w:t>4</w:t>
      </w:r>
      <w:r>
        <w:rPr>
          <w:sz w:val="20"/>
          <w:szCs w:val="20"/>
        </w:rPr>
        <w:t xml:space="preserve"> RSUs issued under these SI Plans during the six months ended June 30, 2022 and</w:t>
      </w:r>
      <w:r>
        <w:rPr>
          <w:sz w:val="20"/>
          <w:szCs w:val="20"/>
        </w:rPr>
        <w:t xml:space="preserve"> </w:t>
      </w:r>
      <w:r>
        <w:rPr>
          <w:sz w:val="20"/>
          <w:szCs w:val="20"/>
        </w:rPr>
        <w:t>zer</w:t>
      </w:r>
      <w:r>
        <w:rPr>
          <w:sz w:val="20"/>
          <w:szCs w:val="20"/>
        </w:rPr>
        <w:t>o</w:t>
      </w:r>
      <w:r>
        <w:rPr>
          <w:sz w:val="20"/>
          <w:szCs w:val="20"/>
        </w:rPr>
        <w:t xml:space="preserve"> RSUs issued under these SI plans during the s</w:t>
      </w:r>
      <w:r>
        <w:rPr>
          <w:sz w:val="20"/>
          <w:szCs w:val="20"/>
        </w:rPr>
        <w:t>ix months ended June 30, 2021. These RSUs vest four years from the date of grant, subject to continued service through such date</w:t>
      </w:r>
      <w:r>
        <w:rPr>
          <w:sz w:val="20"/>
          <w:szCs w:val="20"/>
        </w:rPr>
        <w:t>.</w:t>
      </w:r>
      <w:r>
        <w:rPr>
          <w:sz w:val="20"/>
          <w:szCs w:val="20"/>
        </w:rPr>
        <w:t xml:space="preserve"> </w:t>
      </w:r>
    </w:p>
    <w:p w:rsidR="00000000" w:rsidRDefault="00F55F16">
      <w:pPr>
        <w:pStyle w:val="a3"/>
        <w:spacing w:before="240" w:beforeAutospacing="0" w:after="0" w:afterAutospacing="0"/>
        <w:ind w:firstLine="555"/>
        <w:divId w:val="1176067456"/>
        <w:rPr>
          <w:sz w:val="20"/>
          <w:szCs w:val="20"/>
        </w:rPr>
      </w:pPr>
      <w:r>
        <w:rPr>
          <w:sz w:val="20"/>
          <w:szCs w:val="20"/>
        </w:rPr>
        <w:t>During 2021, the Board approved and reserved for future issuance an aggregate of</w:t>
      </w:r>
      <w:r>
        <w:rPr>
          <w:sz w:val="20"/>
          <w:szCs w:val="20"/>
        </w:rPr>
        <w:t xml:space="preserve"> </w:t>
      </w:r>
      <w:r>
        <w:rPr>
          <w:sz w:val="20"/>
          <w:szCs w:val="20"/>
        </w:rPr>
        <w:t>135,51</w:t>
      </w:r>
      <w:r>
        <w:rPr>
          <w:sz w:val="20"/>
          <w:szCs w:val="20"/>
        </w:rPr>
        <w:t>7</w:t>
      </w:r>
      <w:r>
        <w:rPr>
          <w:sz w:val="20"/>
          <w:szCs w:val="20"/>
        </w:rPr>
        <w:t xml:space="preserve"> RSUs (the “Future RSU Pool”) to be g</w:t>
      </w:r>
      <w:r>
        <w:rPr>
          <w:sz w:val="20"/>
          <w:szCs w:val="20"/>
        </w:rPr>
        <w:t>ranted under the 2017 Plan to certain of its executives and selected employees. Final determination and allocation of the awards under the Future RSU Pool will be determined on December 16, 2025 based on individual performance and continued service through</w:t>
      </w:r>
      <w:r>
        <w:rPr>
          <w:sz w:val="20"/>
          <w:szCs w:val="20"/>
        </w:rPr>
        <w:t xml:space="preserve"> such date. Any RSUs granted under the Future RSU Pool will vest on December 16, 2026, subject to continued service through such date</w:t>
      </w:r>
      <w:r>
        <w:rPr>
          <w:sz w:val="20"/>
          <w:szCs w:val="20"/>
        </w:rPr>
        <w:t>.</w:t>
      </w:r>
    </w:p>
    <w:p w:rsidR="00000000" w:rsidRDefault="00F55F16">
      <w:pPr>
        <w:pStyle w:val="a3"/>
        <w:spacing w:before="240" w:beforeAutospacing="0" w:after="0" w:afterAutospacing="0"/>
        <w:jc w:val="center"/>
        <w:divId w:val="1176067456"/>
        <w:rPr>
          <w:sz w:val="20"/>
          <w:szCs w:val="20"/>
        </w:rPr>
      </w:pPr>
      <w:r>
        <w:rPr>
          <w:sz w:val="20"/>
          <w:szCs w:val="20"/>
        </w:rPr>
        <w:t>2</w:t>
      </w:r>
      <w:r>
        <w:rPr>
          <w:sz w:val="20"/>
          <w:szCs w:val="20"/>
        </w:rPr>
        <w:t>3</w:t>
      </w:r>
    </w:p>
    <w:p w:rsidR="00000000" w:rsidRDefault="00F55F16">
      <w:pPr>
        <w:divId w:val="1176067456"/>
        <w:rPr>
          <w:rFonts w:eastAsia="Times New Roman"/>
        </w:rPr>
      </w:pPr>
      <w:r>
        <w:rPr>
          <w:rFonts w:eastAsia="Times New Roman"/>
        </w:rPr>
        <w:pict>
          <v:rect id="_x0000_i1049" style="width:0;height:1.5pt" o:hralign="center" o:hrstd="t" o:hr="t" fillcolor="#a0a0a0" stroked="f"/>
        </w:pict>
      </w:r>
    </w:p>
    <w:p w:rsidR="00000000" w:rsidRDefault="00F55F16">
      <w:pPr>
        <w:pStyle w:val="a3"/>
        <w:spacing w:before="0" w:beforeAutospacing="0" w:after="0" w:afterAutospacing="0"/>
        <w:divId w:val="1176067456"/>
        <w:rPr>
          <w:sz w:val="20"/>
          <w:szCs w:val="20"/>
        </w:rPr>
      </w:pPr>
      <w:r>
        <w:rPr>
          <w:sz w:val="20"/>
          <w:szCs w:val="20"/>
        </w:rPr>
        <w:t> </w:t>
      </w:r>
    </w:p>
    <w:p w:rsidR="00000000" w:rsidRDefault="00F55F16">
      <w:pPr>
        <w:pStyle w:val="a3"/>
        <w:spacing w:before="240" w:beforeAutospacing="0" w:after="0" w:afterAutospacing="0"/>
        <w:ind w:firstLine="555"/>
        <w:divId w:val="1863545726"/>
        <w:rPr>
          <w:sz w:val="20"/>
          <w:szCs w:val="20"/>
        </w:rPr>
      </w:pPr>
      <w:r>
        <w:rPr>
          <w:sz w:val="20"/>
          <w:szCs w:val="20"/>
        </w:rPr>
        <w:t>RSA and RSU activity was as follows</w:t>
      </w:r>
      <w:r>
        <w:rPr>
          <w:sz w:val="20"/>
          <w:szCs w:val="20"/>
        </w:rPr>
        <w:t>:</w:t>
      </w:r>
      <w:r>
        <w:rPr>
          <w:sz w:val="20"/>
          <w:szCs w:val="20"/>
        </w:rPr>
        <w:t xml:space="preserve"> </w:t>
      </w:r>
    </w:p>
    <w:p w:rsidR="00000000" w:rsidRDefault="00F55F16">
      <w:pPr>
        <w:pStyle w:val="a3"/>
        <w:spacing w:before="0" w:beforeAutospacing="0" w:after="0" w:afterAutospacing="0"/>
        <w:ind w:firstLine="555"/>
        <w:divId w:val="186354572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08"/>
        <w:gridCol w:w="105"/>
        <w:gridCol w:w="645"/>
        <w:gridCol w:w="105"/>
        <w:gridCol w:w="105"/>
        <w:gridCol w:w="151"/>
        <w:gridCol w:w="667"/>
        <w:gridCol w:w="105"/>
        <w:gridCol w:w="105"/>
        <w:gridCol w:w="151"/>
        <w:gridCol w:w="913"/>
        <w:gridCol w:w="105"/>
        <w:gridCol w:w="105"/>
        <w:gridCol w:w="105"/>
        <w:gridCol w:w="739"/>
        <w:gridCol w:w="105"/>
        <w:gridCol w:w="105"/>
        <w:gridCol w:w="151"/>
        <w:gridCol w:w="791"/>
        <w:gridCol w:w="105"/>
        <w:gridCol w:w="105"/>
        <w:gridCol w:w="151"/>
        <w:gridCol w:w="959"/>
        <w:gridCol w:w="120"/>
      </w:tblGrid>
      <w:tr w:rsidR="00000000">
        <w:trPr>
          <w:divId w:val="1863545726"/>
          <w:tblCellSpacing w:w="15" w:type="dxa"/>
        </w:trPr>
        <w:tc>
          <w:tcPr>
            <w:tcW w:w="1040" w:type="pct"/>
            <w:vAlign w:val="center"/>
            <w:hideMark/>
          </w:tcPr>
          <w:p w:rsidR="00000000" w:rsidRDefault="00F55F16">
            <w:pPr>
              <w:rPr>
                <w:sz w:val="20"/>
                <w:szCs w:val="20"/>
              </w:rPr>
            </w:pPr>
          </w:p>
        </w:tc>
        <w:tc>
          <w:tcPr>
            <w:tcW w:w="50" w:type="pct"/>
            <w:vAlign w:val="center"/>
            <w:hideMark/>
          </w:tcPr>
          <w:p w:rsidR="00000000" w:rsidRDefault="00F55F16">
            <w:pPr>
              <w:rPr>
                <w:rFonts w:eastAsia="Times New Roman"/>
                <w:sz w:val="20"/>
                <w:szCs w:val="20"/>
              </w:rPr>
            </w:pPr>
          </w:p>
        </w:tc>
        <w:tc>
          <w:tcPr>
            <w:tcW w:w="40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4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9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86354572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F55F16">
            <w:pPr>
              <w:pStyle w:val="a3"/>
              <w:spacing w:before="0" w:beforeAutospacing="0" w:after="0" w:afterAutospacing="0"/>
              <w:jc w:val="center"/>
              <w:rPr>
                <w:sz w:val="18"/>
                <w:szCs w:val="18"/>
              </w:rPr>
            </w:pPr>
            <w:r>
              <w:rPr>
                <w:b/>
                <w:bCs/>
                <w:sz w:val="18"/>
                <w:szCs w:val="18"/>
              </w:rPr>
              <w:t>Three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6354572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6354572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Fair Value</w:t>
            </w:r>
            <w:r>
              <w:rPr>
                <w:b/>
                <w:bCs/>
                <w:sz w:val="18"/>
                <w:szCs w:val="18"/>
              </w:rPr>
              <w:b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Fair Value</w:t>
            </w:r>
            <w:r>
              <w:rPr>
                <w:b/>
                <w:bCs/>
                <w:sz w:val="18"/>
                <w:szCs w:val="18"/>
              </w:rPr>
              <w:b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6354572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Awards grante</w:t>
            </w:r>
            <w:r>
              <w:rPr>
                <w:sz w:val="18"/>
                <w:szCs w:val="18"/>
              </w:rPr>
              <w:t>d</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4,53</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56.3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63545726"/>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863545726"/>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86354572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2"/>
            <w:vAlign w:val="bottom"/>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6354572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6354572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Fair Value</w:t>
            </w:r>
            <w:r>
              <w:rPr>
                <w:b/>
                <w:bCs/>
                <w:sz w:val="18"/>
                <w:szCs w:val="18"/>
              </w:rPr>
              <w:b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Average Price 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Fair Value</w:t>
            </w:r>
            <w:r>
              <w:rPr>
                <w:b/>
                <w:bCs/>
                <w:sz w:val="18"/>
                <w:szCs w:val="18"/>
              </w:rPr>
              <w:b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6354572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Awards grante</w:t>
            </w:r>
            <w:r>
              <w:rPr>
                <w:sz w:val="18"/>
                <w:szCs w:val="18"/>
              </w:rPr>
              <w:t>d</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106,32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46.8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4,97</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19,06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36.9</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176067456"/>
        <w:rPr>
          <w:sz w:val="20"/>
          <w:szCs w:val="20"/>
        </w:rPr>
      </w:pPr>
      <w:r>
        <w:rPr>
          <w:sz w:val="20"/>
          <w:szCs w:val="20"/>
        </w:rPr>
        <w:t>There were an aggregate of</w:t>
      </w:r>
      <w:r>
        <w:rPr>
          <w:sz w:val="20"/>
          <w:szCs w:val="20"/>
        </w:rPr>
        <w:t xml:space="preserve"> </w:t>
      </w:r>
      <w:r>
        <w:rPr>
          <w:sz w:val="20"/>
          <w:szCs w:val="20"/>
        </w:rPr>
        <w:t>zer</w:t>
      </w:r>
      <w:r>
        <w:rPr>
          <w:sz w:val="20"/>
          <w:szCs w:val="20"/>
        </w:rPr>
        <w:t>o</w:t>
      </w:r>
      <w:r>
        <w:rPr>
          <w:sz w:val="20"/>
          <w:szCs w:val="20"/>
        </w:rPr>
        <w:t xml:space="preserve"> and</w:t>
      </w:r>
      <w:r>
        <w:rPr>
          <w:sz w:val="20"/>
          <w:szCs w:val="20"/>
        </w:rPr>
        <w:t xml:space="preserve"> </w:t>
      </w:r>
      <w:r>
        <w:rPr>
          <w:sz w:val="20"/>
          <w:szCs w:val="20"/>
        </w:rPr>
        <w:t>25,28</w:t>
      </w:r>
      <w:r>
        <w:rPr>
          <w:sz w:val="20"/>
          <w:szCs w:val="20"/>
        </w:rPr>
        <w:t>9</w:t>
      </w:r>
      <w:r>
        <w:rPr>
          <w:sz w:val="20"/>
          <w:szCs w:val="20"/>
        </w:rPr>
        <w:t xml:space="preserve"> shares underlying RSAs and RSU</w:t>
      </w:r>
      <w:r>
        <w:rPr>
          <w:sz w:val="20"/>
          <w:szCs w:val="20"/>
        </w:rPr>
        <w:t>s</w:t>
      </w:r>
      <w:r>
        <w:rPr>
          <w:sz w:val="20"/>
          <w:szCs w:val="20"/>
        </w:rPr>
        <w:t xml:space="preserve"> that became fully vested and were released as unrestricted shares of common stock during the three and six months ended June 30, 2022, respectively. During the three and six months </w:t>
      </w:r>
      <w:r>
        <w:rPr>
          <w:sz w:val="20"/>
          <w:szCs w:val="20"/>
        </w:rPr>
        <w:t>ended June 30, 202</w:t>
      </w:r>
      <w:r>
        <w:rPr>
          <w:sz w:val="20"/>
          <w:szCs w:val="20"/>
        </w:rPr>
        <w:t>1</w:t>
      </w:r>
      <w:r>
        <w:rPr>
          <w:sz w:val="20"/>
          <w:szCs w:val="20"/>
        </w:rPr>
        <w:t>, there were an aggregate of</w:t>
      </w:r>
      <w:r>
        <w:rPr>
          <w:sz w:val="20"/>
          <w:szCs w:val="20"/>
        </w:rPr>
        <w:t xml:space="preserve"> </w:t>
      </w:r>
      <w:r>
        <w:rPr>
          <w:sz w:val="20"/>
          <w:szCs w:val="20"/>
        </w:rPr>
        <w:t>2,11</w:t>
      </w:r>
      <w:r>
        <w:rPr>
          <w:sz w:val="20"/>
          <w:szCs w:val="20"/>
        </w:rPr>
        <w:t>2</w:t>
      </w:r>
      <w:r>
        <w:rPr>
          <w:sz w:val="20"/>
          <w:szCs w:val="20"/>
        </w:rPr>
        <w:t xml:space="preserve"> and</w:t>
      </w:r>
      <w:r>
        <w:rPr>
          <w:sz w:val="20"/>
          <w:szCs w:val="20"/>
        </w:rPr>
        <w:t xml:space="preserve"> </w:t>
      </w:r>
      <w:r>
        <w:rPr>
          <w:sz w:val="20"/>
          <w:szCs w:val="20"/>
        </w:rPr>
        <w:t>38,92</w:t>
      </w:r>
      <w:r>
        <w:rPr>
          <w:sz w:val="20"/>
          <w:szCs w:val="20"/>
        </w:rPr>
        <w:t>9</w:t>
      </w:r>
      <w:r>
        <w:rPr>
          <w:sz w:val="20"/>
          <w:szCs w:val="20"/>
        </w:rPr>
        <w:t xml:space="preserve"> shares underlying RSAs and RSUs that became fully vested and were released as unrestricted shares of common stock, respectively. There was an aggregate o</w:t>
      </w:r>
      <w:r>
        <w:rPr>
          <w:sz w:val="20"/>
          <w:szCs w:val="20"/>
        </w:rPr>
        <w:t>f</w:t>
      </w:r>
      <w:r>
        <w:rPr>
          <w:sz w:val="20"/>
          <w:szCs w:val="20"/>
        </w:rPr>
        <w:t xml:space="preserve"> </w:t>
      </w:r>
      <w:r>
        <w:rPr>
          <w:sz w:val="20"/>
          <w:szCs w:val="20"/>
        </w:rPr>
        <w:t>2,064,19</w:t>
      </w:r>
      <w:r>
        <w:rPr>
          <w:sz w:val="20"/>
          <w:szCs w:val="20"/>
        </w:rPr>
        <w:t>7</w:t>
      </w:r>
      <w:r>
        <w:rPr>
          <w:sz w:val="20"/>
          <w:szCs w:val="20"/>
        </w:rPr>
        <w:t xml:space="preserve"> </w:t>
      </w:r>
      <w:r>
        <w:rPr>
          <w:sz w:val="20"/>
          <w:szCs w:val="20"/>
        </w:rPr>
        <w:t>and</w:t>
      </w:r>
      <w:r>
        <w:rPr>
          <w:sz w:val="20"/>
          <w:szCs w:val="20"/>
        </w:rPr>
        <w:t xml:space="preserve"> </w:t>
      </w:r>
      <w:r>
        <w:rPr>
          <w:sz w:val="20"/>
          <w:szCs w:val="20"/>
        </w:rPr>
        <w:t>286,23</w:t>
      </w:r>
      <w:r>
        <w:rPr>
          <w:sz w:val="20"/>
          <w:szCs w:val="20"/>
        </w:rPr>
        <w:t>9</w:t>
      </w:r>
      <w:r>
        <w:rPr>
          <w:sz w:val="20"/>
          <w:szCs w:val="20"/>
        </w:rPr>
        <w:t xml:space="preserve"> shares underly</w:t>
      </w:r>
      <w:r>
        <w:rPr>
          <w:sz w:val="20"/>
          <w:szCs w:val="20"/>
        </w:rPr>
        <w:t>ing outstanding RSA and RSU awards as of</w:t>
      </w:r>
      <w:r>
        <w:rPr>
          <w:sz w:val="20"/>
          <w:szCs w:val="20"/>
        </w:rPr>
        <w:t xml:space="preserve"> </w:t>
      </w:r>
      <w:r>
        <w:rPr>
          <w:sz w:val="20"/>
          <w:szCs w:val="20"/>
        </w:rPr>
        <w:t>June 30, 2022 and June 30, 2021, respectively. There were</w:t>
      </w:r>
      <w:r>
        <w:rPr>
          <w:sz w:val="20"/>
          <w:szCs w:val="20"/>
        </w:rPr>
        <w:t xml:space="preserve"> </w:t>
      </w:r>
      <w:r>
        <w:rPr>
          <w:sz w:val="20"/>
          <w:szCs w:val="20"/>
        </w:rPr>
        <w:t>n</w:t>
      </w:r>
      <w:r>
        <w:rPr>
          <w:sz w:val="20"/>
          <w:szCs w:val="20"/>
        </w:rPr>
        <w:t>o</w:t>
      </w:r>
      <w:r>
        <w:rPr>
          <w:sz w:val="20"/>
          <w:szCs w:val="20"/>
        </w:rPr>
        <w:t xml:space="preserve"> forfeitures of RSAs or RSUs</w:t>
      </w:r>
      <w:r>
        <w:rPr>
          <w:sz w:val="20"/>
          <w:szCs w:val="20"/>
        </w:rPr>
        <w:t xml:space="preserve"> </w:t>
      </w:r>
      <w:r>
        <w:rPr>
          <w:sz w:val="20"/>
          <w:szCs w:val="20"/>
        </w:rPr>
        <w:t>during the three and six months ended June 30, 2022 and June 30, 2021</w:t>
      </w:r>
      <w:r>
        <w:rPr>
          <w:sz w:val="20"/>
          <w:szCs w:val="20"/>
        </w:rPr>
        <w:t>.</w:t>
      </w:r>
      <w:r>
        <w:rPr>
          <w:sz w:val="20"/>
          <w:szCs w:val="20"/>
        </w:rPr>
        <w:t xml:space="preserve"> </w:t>
      </w:r>
    </w:p>
    <w:p w:rsidR="00000000" w:rsidRDefault="00F55F16">
      <w:pPr>
        <w:pStyle w:val="a3"/>
        <w:spacing w:before="240" w:beforeAutospacing="0" w:after="0" w:afterAutospacing="0"/>
        <w:ind w:firstLine="555"/>
        <w:divId w:val="1176067456"/>
        <w:rPr>
          <w:sz w:val="20"/>
          <w:szCs w:val="20"/>
        </w:rPr>
      </w:pPr>
      <w:r>
        <w:rPr>
          <w:b/>
          <w:bCs/>
          <w:i/>
          <w:iCs/>
          <w:sz w:val="20"/>
          <w:szCs w:val="20"/>
        </w:rPr>
        <w:t>Stock Appreciation Rights</w:t>
      </w:r>
      <w:r>
        <w:rPr>
          <w:b/>
          <w:bCs/>
          <w:i/>
          <w:iCs/>
          <w:sz w:val="20"/>
          <w:szCs w:val="20"/>
        </w:rPr>
        <w:t>—</w:t>
      </w:r>
      <w:r>
        <w:rPr>
          <w:sz w:val="20"/>
          <w:szCs w:val="20"/>
        </w:rPr>
        <w:t xml:space="preserve"> </w:t>
      </w:r>
      <w:r>
        <w:rPr>
          <w:sz w:val="20"/>
          <w:szCs w:val="20"/>
        </w:rPr>
        <w:t>During the year ended December 31, 2021, the Board of Directors approved the grant of</w:t>
      </w:r>
      <w:r>
        <w:rPr>
          <w:sz w:val="20"/>
          <w:szCs w:val="20"/>
        </w:rPr>
        <w:t xml:space="preserve"> </w:t>
      </w:r>
      <w:r>
        <w:rPr>
          <w:sz w:val="20"/>
          <w:szCs w:val="20"/>
        </w:rPr>
        <w:t>3,000,00</w:t>
      </w:r>
      <w:r>
        <w:rPr>
          <w:sz w:val="20"/>
          <w:szCs w:val="20"/>
        </w:rPr>
        <w:t>0</w:t>
      </w:r>
      <w:r>
        <w:rPr>
          <w:sz w:val="20"/>
          <w:szCs w:val="20"/>
        </w:rPr>
        <w:t xml:space="preserve"> units of stock appreciation rights (“SARs”) to certain executives and selected employees under the 2017 Plan. These SARs represent the right to receive, upon ex</w:t>
      </w:r>
      <w:r>
        <w:rPr>
          <w:sz w:val="20"/>
          <w:szCs w:val="20"/>
        </w:rPr>
        <w:t xml:space="preserve">ercise, a payment equal to the excess of (a) the fair market value of one share of the Company’s common stock, over (b) an exercise price of </w:t>
      </w:r>
      <w:r>
        <w:rPr>
          <w:sz w:val="20"/>
          <w:szCs w:val="20"/>
        </w:rPr>
        <w:t>$</w:t>
      </w:r>
      <w:r>
        <w:rPr>
          <w:sz w:val="20"/>
          <w:szCs w:val="20"/>
        </w:rPr>
        <w:t>66.7</w:t>
      </w:r>
      <w:r>
        <w:rPr>
          <w:sz w:val="20"/>
          <w:szCs w:val="20"/>
        </w:rPr>
        <w:t>9</w:t>
      </w:r>
      <w:r>
        <w:rPr>
          <w:sz w:val="20"/>
          <w:szCs w:val="20"/>
        </w:rPr>
        <w:t>, payable, at the Company’s election, in cash or shares of common stock. These SARs vest on the 5th anniversa</w:t>
      </w:r>
      <w:r>
        <w:rPr>
          <w:sz w:val="20"/>
          <w:szCs w:val="20"/>
        </w:rPr>
        <w:t xml:space="preserve">ry of the date of grant based on achievement of performance hurdles over </w:t>
      </w:r>
      <w:r>
        <w:rPr>
          <w:sz w:val="20"/>
          <w:szCs w:val="20"/>
        </w:rPr>
        <w:t>a</w:t>
      </w:r>
      <w:r>
        <w:rPr>
          <w:sz w:val="20"/>
          <w:szCs w:val="20"/>
        </w:rPr>
        <w:t xml:space="preserve"> five yea</w:t>
      </w:r>
      <w:r>
        <w:rPr>
          <w:sz w:val="20"/>
          <w:szCs w:val="20"/>
        </w:rPr>
        <w:t>r</w:t>
      </w:r>
      <w:r>
        <w:rPr>
          <w:sz w:val="20"/>
          <w:szCs w:val="20"/>
        </w:rPr>
        <w:t xml:space="preserve"> period, subject to continued service on the vesting date.</w:t>
      </w:r>
      <w:r>
        <w:rPr>
          <w:sz w:val="20"/>
          <w:szCs w:val="20"/>
        </w:rPr>
        <w:t xml:space="preserve"> </w:t>
      </w:r>
      <w:r>
        <w:rPr>
          <w:sz w:val="20"/>
          <w:szCs w:val="20"/>
        </w:rPr>
        <w:t>The performance hurdles shall be deemed achieved if the average trading price per share of the Company’s common s</w:t>
      </w:r>
      <w:r>
        <w:rPr>
          <w:sz w:val="20"/>
          <w:szCs w:val="20"/>
        </w:rPr>
        <w:t>tock equals or exceeds the following stock prices</w:t>
      </w:r>
      <w:r>
        <w:rPr>
          <w:sz w:val="20"/>
          <w:szCs w:val="20"/>
        </w:rPr>
        <w:t>:</w:t>
      </w:r>
    </w:p>
    <w:p w:rsidR="00000000" w:rsidRDefault="00F55F16">
      <w:pPr>
        <w:pStyle w:val="a3"/>
        <w:spacing w:before="0" w:beforeAutospacing="0" w:after="0" w:afterAutospacing="0"/>
        <w:ind w:firstLine="555"/>
        <w:divId w:val="1874808861"/>
        <w:rPr>
          <w:sz w:val="20"/>
          <w:szCs w:val="20"/>
        </w:rPr>
      </w:pPr>
      <w:r>
        <w:rPr>
          <w:sz w:val="20"/>
          <w:szCs w:val="20"/>
        </w:rPr>
        <w:t> </w:t>
      </w:r>
    </w:p>
    <w:tbl>
      <w:tblPr>
        <w:tblW w:w="2600" w:type="pct"/>
        <w:tblCellSpacing w:w="15" w:type="dxa"/>
        <w:tblCellMar>
          <w:top w:w="15" w:type="dxa"/>
          <w:left w:w="15" w:type="dxa"/>
          <w:bottom w:w="15" w:type="dxa"/>
          <w:right w:w="15" w:type="dxa"/>
        </w:tblCellMar>
        <w:tblLook w:val="04A0" w:firstRow="1" w:lastRow="0" w:firstColumn="1" w:lastColumn="0" w:noHBand="0" w:noVBand="1"/>
      </w:tblPr>
      <w:tblGrid>
        <w:gridCol w:w="166"/>
        <w:gridCol w:w="2067"/>
        <w:gridCol w:w="105"/>
        <w:gridCol w:w="1981"/>
      </w:tblGrid>
      <w:tr w:rsidR="00000000">
        <w:trPr>
          <w:divId w:val="1874808861"/>
          <w:tblCellSpacing w:w="15" w:type="dxa"/>
        </w:trPr>
        <w:tc>
          <w:tcPr>
            <w:tcW w:w="50" w:type="pct"/>
            <w:vAlign w:val="center"/>
            <w:hideMark/>
          </w:tcPr>
          <w:p w:rsidR="00000000" w:rsidRDefault="00F55F16">
            <w:pPr>
              <w:rPr>
                <w:sz w:val="20"/>
                <w:szCs w:val="20"/>
              </w:rPr>
            </w:pPr>
          </w:p>
        </w:tc>
        <w:tc>
          <w:tcPr>
            <w:tcW w:w="251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389" w:type="pct"/>
            <w:vAlign w:val="center"/>
            <w:hideMark/>
          </w:tcPr>
          <w:p w:rsidR="00000000" w:rsidRDefault="00F55F16">
            <w:pPr>
              <w:rPr>
                <w:rFonts w:eastAsia="Times New Roman"/>
                <w:sz w:val="20"/>
                <w:szCs w:val="20"/>
              </w:rPr>
            </w:pPr>
          </w:p>
        </w:tc>
      </w:tr>
      <w:tr w:rsidR="00000000">
        <w:trPr>
          <w:divId w:val="1874808861"/>
          <w:trHeight w:val="180"/>
          <w:tblCellSpacing w:w="15" w:type="dxa"/>
        </w:trPr>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SARs Stock Price Performance Hurdl</w:t>
            </w:r>
            <w:r>
              <w:rPr>
                <w:b/>
                <w:bCs/>
                <w:sz w:val="18"/>
                <w:szCs w:val="18"/>
              </w:rPr>
              <w:t>e</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b/>
                <w:bCs/>
                <w:sz w:val="18"/>
                <w:szCs w:val="18"/>
              </w:rPr>
              <w:t>Portion of SARs Subject to Performance Hurdl</w:t>
            </w:r>
            <w:r>
              <w:rPr>
                <w:b/>
                <w:bCs/>
                <w:sz w:val="18"/>
                <w:szCs w:val="18"/>
              </w:rPr>
              <w:t>e</w:t>
            </w:r>
          </w:p>
        </w:tc>
      </w:tr>
      <w:tr w:rsidR="00000000">
        <w:trPr>
          <w:divId w:val="1874808861"/>
          <w:trHeight w:val="180"/>
          <w:tblCellSpacing w:w="15" w:type="dxa"/>
        </w:trPr>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133.5</w:t>
            </w:r>
            <w:r>
              <w:rPr>
                <w:sz w:val="18"/>
                <w:szCs w:val="18"/>
              </w:rPr>
              <w:t>8</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3</w:t>
            </w:r>
          </w:p>
        </w:tc>
      </w:tr>
      <w:tr w:rsidR="00000000">
        <w:trPr>
          <w:divId w:val="1874808861"/>
          <w:trHeight w:val="180"/>
          <w:tblCellSpacing w:w="15" w:type="dxa"/>
        </w:trPr>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166.9</w:t>
            </w:r>
            <w:r>
              <w:rPr>
                <w:sz w:val="18"/>
                <w:szCs w:val="18"/>
              </w:rPr>
              <w:t>8</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3</w:t>
            </w:r>
          </w:p>
        </w:tc>
      </w:tr>
      <w:tr w:rsidR="00000000">
        <w:trPr>
          <w:divId w:val="1874808861"/>
          <w:trHeight w:val="180"/>
          <w:tblCellSpacing w:w="15" w:type="dxa"/>
        </w:trPr>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200.3</w:t>
            </w:r>
            <w:r>
              <w:rPr>
                <w:sz w:val="18"/>
                <w:szCs w:val="18"/>
              </w:rPr>
              <w:t>7</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20"/>
                <w:szCs w:val="20"/>
              </w:rPr>
            </w:pPr>
            <w:r>
              <w:rPr>
                <w:sz w:val="18"/>
                <w:szCs w:val="18"/>
              </w:rPr>
              <w:t>1/</w:t>
            </w:r>
            <w:r>
              <w:rPr>
                <w:sz w:val="18"/>
                <w:szCs w:val="18"/>
              </w:rPr>
              <w:t>3</w:t>
            </w:r>
          </w:p>
        </w:tc>
      </w:tr>
    </w:tbl>
    <w:p w:rsidR="00000000" w:rsidRDefault="00F55F16">
      <w:pPr>
        <w:pStyle w:val="a3"/>
        <w:spacing w:before="240" w:beforeAutospacing="0" w:after="0" w:afterAutospacing="0"/>
        <w:ind w:firstLine="555"/>
        <w:divId w:val="1176067456"/>
        <w:rPr>
          <w:sz w:val="20"/>
          <w:szCs w:val="20"/>
        </w:rPr>
      </w:pPr>
      <w:r>
        <w:rPr>
          <w:sz w:val="20"/>
          <w:szCs w:val="20"/>
        </w:rPr>
        <w:t>The performance hurdles shall be deemed achieved if the average trading price per share of the Company’s common stock equals or exceeds the applicable stock price performance hurdle set forth above for the trading days falling in a consecutive 20-day perio</w:t>
      </w:r>
      <w:r>
        <w:rPr>
          <w:sz w:val="20"/>
          <w:szCs w:val="20"/>
        </w:rPr>
        <w:t>d prior to the vesting date. The SARs expire</w:t>
      </w:r>
      <w:r>
        <w:rPr>
          <w:sz w:val="20"/>
          <w:szCs w:val="20"/>
        </w:rPr>
        <w:t xml:space="preserve"> </w:t>
      </w:r>
      <w:r>
        <w:rPr>
          <w:sz w:val="20"/>
          <w:szCs w:val="20"/>
        </w:rPr>
        <w:t>10 year</w:t>
      </w:r>
      <w:r>
        <w:rPr>
          <w:sz w:val="20"/>
          <w:szCs w:val="20"/>
        </w:rPr>
        <w:t>s</w:t>
      </w:r>
      <w:r>
        <w:rPr>
          <w:sz w:val="20"/>
          <w:szCs w:val="20"/>
        </w:rPr>
        <w:t xml:space="preserve"> after the grant date. The fair value of these SARs at the grant date was </w:t>
      </w:r>
      <w:r>
        <w:rPr>
          <w:sz w:val="20"/>
          <w:szCs w:val="20"/>
        </w:rPr>
        <w:t>$</w:t>
      </w:r>
      <w:r>
        <w:rPr>
          <w:sz w:val="20"/>
          <w:szCs w:val="20"/>
        </w:rPr>
        <w:t>46.</w:t>
      </w:r>
      <w:r>
        <w:rPr>
          <w:sz w:val="20"/>
          <w:szCs w:val="20"/>
        </w:rPr>
        <w:t>0</w:t>
      </w:r>
      <w:r>
        <w:rPr>
          <w:sz w:val="20"/>
          <w:szCs w:val="20"/>
        </w:rPr>
        <w:t xml:space="preserve"> million. The weighted average remaining contract life of these SARs as of</w:t>
      </w:r>
      <w:r>
        <w:rPr>
          <w:sz w:val="20"/>
          <w:szCs w:val="20"/>
        </w:rPr>
        <w:t xml:space="preserve"> </w:t>
      </w:r>
      <w:r>
        <w:rPr>
          <w:sz w:val="20"/>
          <w:szCs w:val="20"/>
        </w:rPr>
        <w:t>June 30, 2022 was</w:t>
      </w:r>
      <w:r>
        <w:rPr>
          <w:sz w:val="20"/>
          <w:szCs w:val="20"/>
        </w:rPr>
        <w:t xml:space="preserve"> </w:t>
      </w:r>
      <w:r>
        <w:rPr>
          <w:sz w:val="20"/>
          <w:szCs w:val="20"/>
        </w:rPr>
        <w:t>9.4</w:t>
      </w:r>
      <w:r>
        <w:rPr>
          <w:sz w:val="20"/>
          <w:szCs w:val="20"/>
        </w:rPr>
        <w:t>6</w:t>
      </w:r>
      <w:r>
        <w:rPr>
          <w:sz w:val="20"/>
          <w:szCs w:val="20"/>
        </w:rPr>
        <w:t xml:space="preserve"> years</w:t>
      </w:r>
      <w:r>
        <w:rPr>
          <w:sz w:val="20"/>
          <w:szCs w:val="20"/>
        </w:rPr>
        <w:t>.</w:t>
      </w:r>
    </w:p>
    <w:p w:rsidR="00000000" w:rsidRDefault="00F55F16">
      <w:pPr>
        <w:pStyle w:val="a3"/>
        <w:spacing w:before="240" w:beforeAutospacing="0" w:after="0" w:afterAutospacing="0"/>
        <w:ind w:firstLine="555"/>
        <w:divId w:val="1176067456"/>
        <w:rPr>
          <w:sz w:val="20"/>
          <w:szCs w:val="20"/>
        </w:rPr>
      </w:pPr>
      <w:r>
        <w:rPr>
          <w:b/>
          <w:bCs/>
          <w:i/>
          <w:iCs/>
          <w:sz w:val="20"/>
          <w:szCs w:val="20"/>
        </w:rPr>
        <w:t>Option</w:t>
      </w:r>
      <w:r>
        <w:rPr>
          <w:b/>
          <w:bCs/>
          <w:i/>
          <w:iCs/>
          <w:sz w:val="20"/>
          <w:szCs w:val="20"/>
        </w:rPr>
        <w:t>s</w:t>
      </w:r>
      <w:r>
        <w:rPr>
          <w:sz w:val="20"/>
          <w:szCs w:val="20"/>
        </w:rPr>
        <w:t>—Options iss</w:t>
      </w:r>
      <w:r>
        <w:rPr>
          <w:sz w:val="20"/>
          <w:szCs w:val="20"/>
        </w:rPr>
        <w:t>ued to all optionees under the 2017 Plan vest over</w:t>
      </w:r>
      <w:r>
        <w:rPr>
          <w:sz w:val="20"/>
          <w:szCs w:val="20"/>
        </w:rPr>
        <w:t xml:space="preserve"> </w:t>
      </w:r>
      <w:r>
        <w:rPr>
          <w:sz w:val="20"/>
          <w:szCs w:val="20"/>
        </w:rPr>
        <w:t>four year</w:t>
      </w:r>
      <w:r>
        <w:rPr>
          <w:sz w:val="20"/>
          <w:szCs w:val="20"/>
        </w:rPr>
        <w:t>s</w:t>
      </w:r>
      <w:r>
        <w:rPr>
          <w:sz w:val="20"/>
          <w:szCs w:val="20"/>
        </w:rPr>
        <w:t xml:space="preserve"> from the date of issuance (or earlier vesting start date, as determined by the Board of Directors) as follows: one</w:t>
      </w:r>
      <w:r>
        <w:rPr>
          <w:sz w:val="20"/>
          <w:szCs w:val="20"/>
        </w:rPr>
        <w:t xml:space="preserve"> </w:t>
      </w:r>
      <w:r>
        <w:rPr>
          <w:sz w:val="20"/>
          <w:szCs w:val="20"/>
        </w:rPr>
        <w:t>hal</w:t>
      </w:r>
      <w:r>
        <w:rPr>
          <w:sz w:val="20"/>
          <w:szCs w:val="20"/>
        </w:rPr>
        <w:t>f</w:t>
      </w:r>
      <w:r>
        <w:rPr>
          <w:sz w:val="20"/>
          <w:szCs w:val="20"/>
        </w:rPr>
        <w:t xml:space="preserve"> on the second anniversary of date of grant and the remainin</w:t>
      </w:r>
      <w:r>
        <w:rPr>
          <w:sz w:val="20"/>
          <w:szCs w:val="20"/>
        </w:rPr>
        <w:t>g</w:t>
      </w:r>
      <w:r>
        <w:rPr>
          <w:sz w:val="20"/>
          <w:szCs w:val="20"/>
        </w:rPr>
        <w:t xml:space="preserve"> </w:t>
      </w:r>
    </w:p>
    <w:p w:rsidR="00000000" w:rsidRDefault="00F55F16">
      <w:pPr>
        <w:pStyle w:val="a3"/>
        <w:spacing w:before="240" w:beforeAutospacing="0" w:after="0" w:afterAutospacing="0"/>
        <w:jc w:val="center"/>
        <w:divId w:val="1176067456"/>
        <w:rPr>
          <w:sz w:val="20"/>
          <w:szCs w:val="20"/>
        </w:rPr>
      </w:pPr>
      <w:r>
        <w:rPr>
          <w:sz w:val="20"/>
          <w:szCs w:val="20"/>
        </w:rPr>
        <w:t>2</w:t>
      </w:r>
      <w:r>
        <w:rPr>
          <w:sz w:val="20"/>
          <w:szCs w:val="20"/>
        </w:rPr>
        <w:t>4</w:t>
      </w:r>
    </w:p>
    <w:p w:rsidR="00000000" w:rsidRDefault="00F55F16">
      <w:pPr>
        <w:divId w:val="1176067456"/>
        <w:rPr>
          <w:rFonts w:eastAsia="Times New Roman"/>
        </w:rPr>
      </w:pPr>
      <w:r>
        <w:rPr>
          <w:rFonts w:eastAsia="Times New Roman"/>
        </w:rPr>
        <w:pict>
          <v:rect id="_x0000_i1050" style="width:0;height:1.5pt" o:hralign="center" o:hrstd="t" o:hr="t" fillcolor="#a0a0a0" stroked="f"/>
        </w:pict>
      </w:r>
    </w:p>
    <w:p w:rsidR="00000000" w:rsidRDefault="00F55F16">
      <w:pPr>
        <w:pStyle w:val="a3"/>
        <w:spacing w:before="0" w:beforeAutospacing="0" w:after="0" w:afterAutospacing="0"/>
        <w:divId w:val="1176067456"/>
        <w:rPr>
          <w:sz w:val="20"/>
          <w:szCs w:val="20"/>
        </w:rPr>
      </w:pPr>
      <w:r>
        <w:rPr>
          <w:sz w:val="20"/>
          <w:szCs w:val="20"/>
        </w:rPr>
        <w:t> </w:t>
      </w:r>
    </w:p>
    <w:p w:rsidR="00000000" w:rsidRDefault="00F55F16">
      <w:pPr>
        <w:pStyle w:val="a3"/>
        <w:spacing w:before="240" w:beforeAutospacing="0" w:after="0" w:afterAutospacing="0"/>
        <w:divId w:val="1176067456"/>
        <w:rPr>
          <w:sz w:val="20"/>
          <w:szCs w:val="20"/>
        </w:rPr>
      </w:pPr>
      <w:r>
        <w:rPr>
          <w:sz w:val="20"/>
          <w:szCs w:val="20"/>
        </w:rPr>
        <w:t>hal</w:t>
      </w:r>
      <w:r>
        <w:rPr>
          <w:sz w:val="20"/>
          <w:szCs w:val="20"/>
        </w:rPr>
        <w:t>f</w:t>
      </w:r>
      <w:r>
        <w:rPr>
          <w:sz w:val="20"/>
          <w:szCs w:val="20"/>
        </w:rPr>
        <w:t xml:space="preserve"> on the fourth anniversary of the date of grant, with the exception of certain annual grants to certain executive officers, which vest annually over a</w:t>
      </w:r>
      <w:r>
        <w:rPr>
          <w:sz w:val="20"/>
          <w:szCs w:val="20"/>
        </w:rPr>
        <w:t xml:space="preserve"> </w:t>
      </w:r>
      <w:r>
        <w:rPr>
          <w:sz w:val="20"/>
          <w:szCs w:val="20"/>
        </w:rPr>
        <w:t>3-yea</w:t>
      </w:r>
      <w:r>
        <w:rPr>
          <w:sz w:val="20"/>
          <w:szCs w:val="20"/>
        </w:rPr>
        <w:t>r</w:t>
      </w:r>
      <w:r>
        <w:rPr>
          <w:sz w:val="20"/>
          <w:szCs w:val="20"/>
        </w:rPr>
        <w:t xml:space="preserve"> and</w:t>
      </w:r>
      <w:r>
        <w:rPr>
          <w:sz w:val="20"/>
          <w:szCs w:val="20"/>
        </w:rPr>
        <w:t xml:space="preserve"> </w:t>
      </w:r>
      <w:r>
        <w:rPr>
          <w:sz w:val="20"/>
          <w:szCs w:val="20"/>
        </w:rPr>
        <w:t>1-yea</w:t>
      </w:r>
      <w:r>
        <w:rPr>
          <w:sz w:val="20"/>
          <w:szCs w:val="20"/>
        </w:rPr>
        <w:t>r</w:t>
      </w:r>
      <w:r>
        <w:rPr>
          <w:sz w:val="20"/>
          <w:szCs w:val="20"/>
        </w:rPr>
        <w:t xml:space="preserve"> period.</w:t>
      </w:r>
      <w:r>
        <w:rPr>
          <w:sz w:val="20"/>
          <w:szCs w:val="20"/>
        </w:rPr>
        <w:t xml:space="preserve"> </w:t>
      </w:r>
      <w:r>
        <w:rPr>
          <w:sz w:val="20"/>
          <w:szCs w:val="20"/>
        </w:rPr>
        <w:t>The following summarizes the options activity</w:t>
      </w:r>
      <w:r>
        <w:rPr>
          <w:sz w:val="20"/>
          <w:szCs w:val="20"/>
        </w:rPr>
        <w:t xml:space="preserve"> of the 2017 Plan</w:t>
      </w:r>
      <w:r>
        <w:rPr>
          <w:sz w:val="20"/>
          <w:szCs w:val="20"/>
        </w:rPr>
        <w:t>:</w:t>
      </w:r>
    </w:p>
    <w:p w:rsidR="00000000" w:rsidRDefault="00F55F16">
      <w:pPr>
        <w:pStyle w:val="a3"/>
        <w:spacing w:before="0" w:beforeAutospacing="0" w:after="0" w:afterAutospacing="0"/>
        <w:divId w:val="1874725520"/>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848"/>
        <w:gridCol w:w="105"/>
        <w:gridCol w:w="105"/>
        <w:gridCol w:w="780"/>
        <w:gridCol w:w="120"/>
        <w:gridCol w:w="105"/>
        <w:gridCol w:w="151"/>
        <w:gridCol w:w="752"/>
        <w:gridCol w:w="105"/>
        <w:gridCol w:w="105"/>
        <w:gridCol w:w="151"/>
        <w:gridCol w:w="698"/>
        <w:gridCol w:w="105"/>
        <w:gridCol w:w="105"/>
        <w:gridCol w:w="107"/>
        <w:gridCol w:w="794"/>
        <w:gridCol w:w="105"/>
        <w:gridCol w:w="105"/>
        <w:gridCol w:w="151"/>
        <w:gridCol w:w="858"/>
        <w:gridCol w:w="120"/>
      </w:tblGrid>
      <w:tr w:rsidR="00000000">
        <w:trPr>
          <w:divId w:val="1874725520"/>
          <w:tblCellSpacing w:w="15" w:type="dxa"/>
        </w:trPr>
        <w:tc>
          <w:tcPr>
            <w:tcW w:w="1909" w:type="pct"/>
            <w:vAlign w:val="center"/>
            <w:hideMark/>
          </w:tcPr>
          <w:p w:rsidR="00000000" w:rsidRDefault="00F55F16">
            <w:pPr>
              <w:rPr>
                <w:sz w:val="20"/>
                <w:szCs w:val="20"/>
              </w:rPr>
            </w:pPr>
          </w:p>
        </w:tc>
        <w:tc>
          <w:tcPr>
            <w:tcW w:w="4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9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7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874725520"/>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Options to</w:t>
            </w:r>
            <w:r>
              <w:rPr>
                <w:b/>
                <w:bCs/>
                <w:sz w:val="18"/>
                <w:szCs w:val="18"/>
              </w:rPr>
              <w:br/>
              <w:t>Purchase</w:t>
            </w:r>
            <w:r>
              <w:rPr>
                <w:b/>
                <w:bCs/>
                <w:sz w:val="18"/>
                <w:szCs w:val="18"/>
              </w:rPr>
              <w:br/>
              <w:t>Common</w:t>
            </w:r>
            <w:r>
              <w:rPr>
                <w:b/>
                <w:bCs/>
                <w:sz w:val="18"/>
                <w:szCs w:val="18"/>
              </w:rPr>
              <w:br/>
              <w:t>Stoc</w:t>
            </w:r>
            <w:r>
              <w:rPr>
                <w:b/>
                <w:bCs/>
                <w:sz w:val="18"/>
                <w:szCs w:val="18"/>
              </w:rPr>
              <w:t>k</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Exercise</w:t>
            </w:r>
            <w:r>
              <w:rPr>
                <w:b/>
                <w:bCs/>
                <w:sz w:val="18"/>
                <w:szCs w:val="18"/>
              </w:rPr>
              <w:br/>
              <w:t>Price per</w:t>
            </w:r>
            <w:r>
              <w:rPr>
                <w:b/>
                <w:bCs/>
                <w:sz w:val="18"/>
                <w:szCs w:val="18"/>
              </w:rPr>
              <w:br/>
              <w:t>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Grant Date</w:t>
            </w:r>
            <w:r>
              <w:rPr>
                <w:b/>
                <w:bCs/>
                <w:sz w:val="18"/>
                <w:szCs w:val="18"/>
              </w:rPr>
              <w:br/>
              <w:t>Fair Value</w:t>
            </w:r>
            <w:r>
              <w:rPr>
                <w:b/>
                <w:bCs/>
                <w:sz w:val="18"/>
                <w:szCs w:val="18"/>
              </w:rPr>
              <w:br/>
              <w:t>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Remaining</w:t>
            </w:r>
            <w:r>
              <w:rPr>
                <w:b/>
                <w:bCs/>
                <w:sz w:val="18"/>
                <w:szCs w:val="18"/>
              </w:rPr>
              <w:br/>
              <w:t>Contract Life</w:t>
            </w:r>
            <w:r>
              <w:rPr>
                <w:b/>
                <w:bCs/>
                <w:sz w:val="18"/>
                <w:szCs w:val="18"/>
              </w:rPr>
              <w:br/>
              <w:t>(in Years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Aggregate</w:t>
            </w:r>
            <w:r>
              <w:rPr>
                <w:b/>
                <w:bCs/>
                <w:sz w:val="18"/>
                <w:szCs w:val="18"/>
              </w:rPr>
              <w:br/>
              <w:t>Intrinsic</w:t>
            </w:r>
            <w:r>
              <w:rPr>
                <w:b/>
                <w:bCs/>
                <w:sz w:val="18"/>
                <w:szCs w:val="18"/>
              </w:rPr>
              <w:br/>
              <w:t>Value</w:t>
            </w:r>
            <w:r>
              <w:rPr>
                <w:b/>
                <w:bCs/>
                <w:sz w:val="18"/>
                <w:szCs w:val="18"/>
              </w:rPr>
              <w:br/>
              <w:t>of In-The-</w:t>
            </w:r>
            <w:r>
              <w:rPr>
                <w:b/>
                <w:bCs/>
                <w:sz w:val="18"/>
                <w:szCs w:val="18"/>
              </w:rPr>
              <w:br/>
              <w:t>Money</w:t>
            </w:r>
            <w:r>
              <w:rPr>
                <w:b/>
                <w:bCs/>
                <w:sz w:val="18"/>
                <w:szCs w:val="18"/>
              </w:rPr>
              <w:br/>
              <w:t>Options (in</w:t>
            </w:r>
            <w:r>
              <w:rPr>
                <w:b/>
                <w:bCs/>
                <w:sz w:val="18"/>
                <w:szCs w:val="18"/>
              </w:rPr>
              <w:br/>
              <w:t>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Outstanding as of January 1, 202</w:t>
            </w:r>
            <w:r>
              <w:rPr>
                <w:sz w:val="18"/>
                <w:szCs w:val="18"/>
              </w:rPr>
              <w:t>1</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1,840,22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15,59</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Grante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232,47</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Forfeited/ cancelle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13,42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Expire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1,25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33,91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Outstanding as of June 30, 202</w:t>
            </w:r>
            <w:r>
              <w:rPr>
                <w:sz w:val="18"/>
                <w:szCs w:val="18"/>
              </w:rPr>
              <w:t>1</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2,024,10</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58,78</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Outstanding as of January 1, 202</w:t>
            </w:r>
            <w:r>
              <w:rPr>
                <w:sz w:val="18"/>
                <w:szCs w:val="18"/>
              </w:rPr>
              <w:t>2</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2,036,72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91,03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Grante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563,08</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Forfeited/ cancelle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38,88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14,19</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Outstanding as of June 30, 202</w:t>
            </w:r>
            <w:r>
              <w:rPr>
                <w:sz w:val="18"/>
                <w:szCs w:val="18"/>
              </w:rPr>
              <w:t>2</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2,546,72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19,19</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874725520"/>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Exercisable at June 30, 202</w:t>
            </w:r>
            <w:r>
              <w:rPr>
                <w:sz w:val="18"/>
                <w:szCs w:val="18"/>
              </w:rPr>
              <w:t>2</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559,54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56312941"/>
        <w:rPr>
          <w:sz w:val="20"/>
          <w:szCs w:val="20"/>
        </w:rPr>
      </w:pPr>
      <w:r>
        <w:rPr>
          <w:sz w:val="20"/>
          <w:szCs w:val="20"/>
        </w:rPr>
        <w:t>The following weighted-average assumptions were used in the Black-Sholes option-pricing model calculation</w:t>
      </w:r>
      <w:r>
        <w:rPr>
          <w:sz w:val="20"/>
          <w:szCs w:val="20"/>
        </w:rPr>
        <w:t>:</w:t>
      </w:r>
    </w:p>
    <w:p w:rsidR="00000000" w:rsidRDefault="00F55F16">
      <w:pPr>
        <w:pStyle w:val="a3"/>
        <w:spacing w:before="0" w:beforeAutospacing="0" w:after="0" w:afterAutospacing="0"/>
        <w:divId w:val="156312941"/>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2473"/>
        <w:gridCol w:w="143"/>
        <w:gridCol w:w="150"/>
        <w:gridCol w:w="1145"/>
        <w:gridCol w:w="210"/>
        <w:gridCol w:w="172"/>
        <w:gridCol w:w="150"/>
        <w:gridCol w:w="1146"/>
        <w:gridCol w:w="225"/>
      </w:tblGrid>
      <w:tr w:rsidR="00000000">
        <w:trPr>
          <w:divId w:val="156312941"/>
          <w:tblCellSpacing w:w="15" w:type="dxa"/>
        </w:trPr>
        <w:tc>
          <w:tcPr>
            <w:tcW w:w="2270" w:type="pct"/>
            <w:vAlign w:val="center"/>
            <w:hideMark/>
          </w:tcPr>
          <w:p w:rsidR="00000000" w:rsidRDefault="00F55F16">
            <w:pPr>
              <w:rPr>
                <w:sz w:val="20"/>
                <w:szCs w:val="20"/>
              </w:rPr>
            </w:pPr>
          </w:p>
        </w:tc>
        <w:tc>
          <w:tcPr>
            <w:tcW w:w="17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07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9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07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56312941"/>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56312941"/>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5631294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Common stock value (per share</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44.0</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38.2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5631294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Expected volatilit</w:t>
            </w:r>
            <w:r>
              <w:rPr>
                <w:sz w:val="18"/>
                <w:szCs w:val="18"/>
              </w:rPr>
              <w:t>y</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33.4</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58.2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5631294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Risk-free interest rat</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0.7</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5631294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Expected life (years</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6.3</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5631294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Forfeiture rat</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56312941"/>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Dividend rat</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20"/>
                <w:szCs w:val="20"/>
              </w:rPr>
            </w:pPr>
            <w:r>
              <w:rPr>
                <w:sz w:val="18"/>
                <w:szCs w:val="18"/>
              </w:rPr>
              <w:t>Non</w:t>
            </w:r>
            <w:r>
              <w:rPr>
                <w:sz w:val="18"/>
                <w:szCs w:val="18"/>
              </w:rPr>
              <w:t>e</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bl>
    <w:p w:rsidR="00000000" w:rsidRDefault="00F55F16">
      <w:pPr>
        <w:pStyle w:val="a3"/>
        <w:spacing w:before="240" w:beforeAutospacing="0" w:after="0" w:afterAutospacing="0"/>
        <w:ind w:firstLine="555"/>
        <w:divId w:val="1176067456"/>
        <w:rPr>
          <w:sz w:val="20"/>
          <w:szCs w:val="20"/>
        </w:rPr>
      </w:pPr>
      <w:r>
        <w:rPr>
          <w:b/>
          <w:bCs/>
          <w:i/>
          <w:iCs/>
          <w:sz w:val="20"/>
          <w:szCs w:val="20"/>
        </w:rPr>
        <w:t xml:space="preserve">Montrose Amended &amp; </w:t>
      </w:r>
      <w:r>
        <w:rPr>
          <w:b/>
          <w:bCs/>
          <w:i/>
          <w:iCs/>
          <w:sz w:val="20"/>
          <w:szCs w:val="20"/>
        </w:rPr>
        <w:t>Restated 2013 Stock Option Pla</w:t>
      </w:r>
      <w:r>
        <w:rPr>
          <w:b/>
          <w:bCs/>
          <w:i/>
          <w:iCs/>
          <w:sz w:val="20"/>
          <w:szCs w:val="20"/>
        </w:rPr>
        <w:t>n</w:t>
      </w:r>
      <w:r>
        <w:rPr>
          <w:sz w:val="20"/>
          <w:szCs w:val="20"/>
        </w:rPr>
        <w:t>—</w:t>
      </w:r>
      <w:r>
        <w:rPr>
          <w:sz w:val="20"/>
          <w:szCs w:val="20"/>
        </w:rPr>
        <w:t>The following summarizes the activity of the 2013 Plan</w:t>
      </w:r>
      <w:r>
        <w:rPr>
          <w:sz w:val="20"/>
          <w:szCs w:val="20"/>
        </w:rPr>
        <w:t>:</w:t>
      </w:r>
    </w:p>
    <w:p w:rsidR="00000000" w:rsidRDefault="00F55F16">
      <w:pPr>
        <w:pStyle w:val="a3"/>
        <w:spacing w:before="0" w:beforeAutospacing="0" w:after="0" w:afterAutospacing="0"/>
        <w:divId w:val="1483619466"/>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91"/>
        <w:gridCol w:w="105"/>
        <w:gridCol w:w="105"/>
        <w:gridCol w:w="780"/>
        <w:gridCol w:w="120"/>
        <w:gridCol w:w="105"/>
        <w:gridCol w:w="151"/>
        <w:gridCol w:w="760"/>
        <w:gridCol w:w="105"/>
        <w:gridCol w:w="105"/>
        <w:gridCol w:w="151"/>
        <w:gridCol w:w="699"/>
        <w:gridCol w:w="105"/>
        <w:gridCol w:w="105"/>
        <w:gridCol w:w="118"/>
        <w:gridCol w:w="783"/>
        <w:gridCol w:w="105"/>
        <w:gridCol w:w="105"/>
        <w:gridCol w:w="151"/>
        <w:gridCol w:w="837"/>
        <w:gridCol w:w="120"/>
      </w:tblGrid>
      <w:tr w:rsidR="00000000">
        <w:trPr>
          <w:divId w:val="1483619466"/>
          <w:tblCellSpacing w:w="15" w:type="dxa"/>
        </w:trPr>
        <w:tc>
          <w:tcPr>
            <w:tcW w:w="2015" w:type="pct"/>
            <w:vAlign w:val="center"/>
            <w:hideMark/>
          </w:tcPr>
          <w:p w:rsidR="00000000" w:rsidRDefault="00F55F16">
            <w:pPr>
              <w:rPr>
                <w:sz w:val="20"/>
                <w:szCs w:val="20"/>
              </w:rPr>
            </w:pPr>
          </w:p>
        </w:tc>
        <w:tc>
          <w:tcPr>
            <w:tcW w:w="4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7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2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3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483619466"/>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Options to</w:t>
            </w:r>
            <w:r>
              <w:rPr>
                <w:b/>
                <w:bCs/>
                <w:sz w:val="18"/>
                <w:szCs w:val="18"/>
              </w:rPr>
              <w:br/>
              <w:t>Purchase</w:t>
            </w:r>
            <w:r>
              <w:rPr>
                <w:b/>
                <w:bCs/>
                <w:sz w:val="18"/>
                <w:szCs w:val="18"/>
              </w:rPr>
              <w:br/>
              <w:t>Common</w:t>
            </w:r>
            <w:r>
              <w:rPr>
                <w:b/>
                <w:bCs/>
                <w:sz w:val="18"/>
                <w:szCs w:val="18"/>
              </w:rPr>
              <w:br/>
              <w:t>Stoc</w:t>
            </w:r>
            <w:r>
              <w:rPr>
                <w:b/>
                <w:bCs/>
                <w:sz w:val="18"/>
                <w:szCs w:val="18"/>
              </w:rPr>
              <w:t>k</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Exercise</w:t>
            </w:r>
            <w:r>
              <w:rPr>
                <w:b/>
                <w:bCs/>
                <w:sz w:val="18"/>
                <w:szCs w:val="18"/>
              </w:rPr>
              <w:br/>
              <w:t>Price per</w:t>
            </w:r>
            <w:r>
              <w:rPr>
                <w:b/>
                <w:bCs/>
                <w:sz w:val="18"/>
                <w:szCs w:val="18"/>
              </w:rPr>
              <w:br/>
              <w:t>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Grant Date</w:t>
            </w:r>
            <w:r>
              <w:rPr>
                <w:b/>
                <w:bCs/>
                <w:sz w:val="18"/>
                <w:szCs w:val="18"/>
              </w:rPr>
              <w:br/>
              <w:t>Fair Value</w:t>
            </w:r>
            <w:r>
              <w:rPr>
                <w:b/>
                <w:bCs/>
                <w:sz w:val="18"/>
                <w:szCs w:val="18"/>
              </w:rPr>
              <w:br/>
            </w:r>
            <w:r>
              <w:rPr>
                <w:b/>
                <w:bCs/>
                <w:sz w:val="18"/>
                <w:szCs w:val="18"/>
              </w:rPr>
              <w:t>per Shar</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Weighted</w:t>
            </w:r>
            <w:r>
              <w:rPr>
                <w:b/>
                <w:bCs/>
                <w:sz w:val="18"/>
                <w:szCs w:val="18"/>
              </w:rPr>
              <w:br/>
              <w:t>Average</w:t>
            </w:r>
            <w:r>
              <w:rPr>
                <w:b/>
                <w:bCs/>
                <w:sz w:val="18"/>
                <w:szCs w:val="18"/>
              </w:rPr>
              <w:br/>
              <w:t>Remaining</w:t>
            </w:r>
            <w:r>
              <w:rPr>
                <w:b/>
                <w:bCs/>
                <w:sz w:val="18"/>
                <w:szCs w:val="18"/>
              </w:rPr>
              <w:br/>
              <w:t>Contract Life</w:t>
            </w:r>
            <w:r>
              <w:rPr>
                <w:b/>
                <w:bCs/>
                <w:sz w:val="18"/>
                <w:szCs w:val="18"/>
              </w:rPr>
              <w:br/>
              <w:t>(in Years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Aggregate</w:t>
            </w:r>
            <w:r>
              <w:rPr>
                <w:b/>
                <w:bCs/>
                <w:sz w:val="18"/>
                <w:szCs w:val="18"/>
              </w:rPr>
              <w:br/>
              <w:t>Intrinsic</w:t>
            </w:r>
            <w:r>
              <w:rPr>
                <w:b/>
                <w:bCs/>
                <w:sz w:val="18"/>
                <w:szCs w:val="18"/>
              </w:rPr>
              <w:br/>
              <w:t>Value</w:t>
            </w:r>
            <w:r>
              <w:rPr>
                <w:b/>
                <w:bCs/>
                <w:sz w:val="18"/>
                <w:szCs w:val="18"/>
              </w:rPr>
              <w:br/>
              <w:t>of In-The-</w:t>
            </w:r>
            <w:r>
              <w:rPr>
                <w:b/>
                <w:bCs/>
                <w:sz w:val="18"/>
                <w:szCs w:val="18"/>
              </w:rPr>
              <w:br/>
              <w:t>Money</w:t>
            </w:r>
            <w:r>
              <w:rPr>
                <w:b/>
                <w:bCs/>
                <w:sz w:val="18"/>
                <w:szCs w:val="18"/>
              </w:rPr>
              <w:br/>
              <w:t>Options (in</w:t>
            </w:r>
            <w:r>
              <w:rPr>
                <w:b/>
                <w:bCs/>
                <w:sz w:val="18"/>
                <w:szCs w:val="18"/>
              </w:rPr>
              <w:br/>
              <w:t>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48361946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Outstanding as of January 1, 202</w:t>
            </w:r>
            <w:r>
              <w:rPr>
                <w:sz w:val="18"/>
                <w:szCs w:val="18"/>
              </w:rPr>
              <w:t>1</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1,787,86</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5.4</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43,86</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83619466"/>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389,23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15,92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8361946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Outstanding as of June 30, 202</w:t>
            </w:r>
            <w:r>
              <w:rPr>
                <w:sz w:val="18"/>
                <w:szCs w:val="18"/>
              </w:rPr>
              <w:t>1</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1,398,63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4.8</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65,98</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8361946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8361946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Outstanding as of January 1, 202</w:t>
            </w:r>
            <w:r>
              <w:rPr>
                <w:sz w:val="18"/>
                <w:szCs w:val="18"/>
              </w:rPr>
              <w:t>2</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897,67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57,52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83619466"/>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Exercise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19,98</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85</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8361946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Outstanding as of June 30, 202</w:t>
            </w:r>
            <w:r>
              <w:rPr>
                <w:sz w:val="18"/>
                <w:szCs w:val="18"/>
              </w:rPr>
              <w:t>2</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877,68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3.8</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23,99</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483619466"/>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Exercisable at June 30, 202</w:t>
            </w:r>
            <w:r>
              <w:rPr>
                <w:sz w:val="18"/>
                <w:szCs w:val="18"/>
              </w:rPr>
              <w:t>2</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877,68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3.8</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23,99</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divId w:val="1176067456"/>
        <w:rPr>
          <w:sz w:val="20"/>
          <w:szCs w:val="20"/>
        </w:rPr>
      </w:pPr>
      <w:r>
        <w:rPr>
          <w:sz w:val="20"/>
          <w:szCs w:val="20"/>
        </w:rPr>
        <w:t>Total shares outstanding from exercised options were</w:t>
      </w:r>
      <w:r>
        <w:rPr>
          <w:sz w:val="20"/>
          <w:szCs w:val="20"/>
        </w:rPr>
        <w:t xml:space="preserve"> </w:t>
      </w:r>
      <w:r>
        <w:rPr>
          <w:sz w:val="20"/>
          <w:szCs w:val="20"/>
        </w:rPr>
        <w:t>1,243,27</w:t>
      </w:r>
      <w:r>
        <w:rPr>
          <w:sz w:val="20"/>
          <w:szCs w:val="20"/>
        </w:rPr>
        <w:t>2</w:t>
      </w:r>
      <w:r>
        <w:rPr>
          <w:sz w:val="20"/>
          <w:szCs w:val="20"/>
        </w:rPr>
        <w:t xml:space="preserve"> shares </w:t>
      </w:r>
      <w:r>
        <w:rPr>
          <w:sz w:val="20"/>
          <w:szCs w:val="20"/>
        </w:rPr>
        <w:t>a</w:t>
      </w:r>
      <w:r>
        <w:rPr>
          <w:sz w:val="20"/>
          <w:szCs w:val="20"/>
        </w:rPr>
        <w:t>nd</w:t>
      </w:r>
      <w:r>
        <w:rPr>
          <w:sz w:val="20"/>
          <w:szCs w:val="20"/>
        </w:rPr>
        <w:t xml:space="preserve"> </w:t>
      </w:r>
      <w:r>
        <w:rPr>
          <w:sz w:val="20"/>
          <w:szCs w:val="20"/>
        </w:rPr>
        <w:t>673,35</w:t>
      </w:r>
      <w:r>
        <w:rPr>
          <w:sz w:val="20"/>
          <w:szCs w:val="20"/>
        </w:rPr>
        <w:t>0</w:t>
      </w:r>
      <w:r>
        <w:rPr>
          <w:sz w:val="20"/>
          <w:szCs w:val="20"/>
        </w:rPr>
        <w:t xml:space="preserve"> shares as of</w:t>
      </w:r>
      <w:r>
        <w:rPr>
          <w:sz w:val="20"/>
          <w:szCs w:val="20"/>
        </w:rPr>
        <w:t xml:space="preserve"> </w:t>
      </w:r>
      <w:r>
        <w:rPr>
          <w:sz w:val="20"/>
          <w:szCs w:val="20"/>
        </w:rPr>
        <w:t>June 30, 2022 and June 30, 2021, respectively</w:t>
      </w:r>
      <w:r>
        <w:rPr>
          <w:sz w:val="20"/>
          <w:szCs w:val="20"/>
        </w:rPr>
        <w:t>.</w:t>
      </w:r>
    </w:p>
    <w:p w:rsidR="00000000" w:rsidRDefault="00F55F16">
      <w:pPr>
        <w:pStyle w:val="a3"/>
        <w:spacing w:before="240" w:beforeAutospacing="0" w:after="0" w:afterAutospacing="0"/>
        <w:jc w:val="center"/>
        <w:divId w:val="1176067456"/>
        <w:rPr>
          <w:sz w:val="20"/>
          <w:szCs w:val="20"/>
        </w:rPr>
      </w:pPr>
      <w:r>
        <w:rPr>
          <w:sz w:val="20"/>
          <w:szCs w:val="20"/>
        </w:rPr>
        <w:t>2</w:t>
      </w:r>
      <w:r>
        <w:rPr>
          <w:sz w:val="20"/>
          <w:szCs w:val="20"/>
        </w:rPr>
        <w:t>5</w:t>
      </w:r>
    </w:p>
    <w:p w:rsidR="00000000" w:rsidRDefault="00F55F16">
      <w:pPr>
        <w:divId w:val="1176067456"/>
        <w:rPr>
          <w:rFonts w:eastAsia="Times New Roman"/>
        </w:rPr>
      </w:pPr>
      <w:r>
        <w:rPr>
          <w:rFonts w:eastAsia="Times New Roman"/>
        </w:rPr>
        <w:pict>
          <v:rect id="_x0000_i1051" style="width:0;height:1.5pt" o:hralign="center" o:hrstd="t" o:hr="t" fillcolor="#a0a0a0" stroked="f"/>
        </w:pict>
      </w:r>
    </w:p>
    <w:p w:rsidR="00000000" w:rsidRDefault="00F55F16">
      <w:pPr>
        <w:pStyle w:val="a3"/>
        <w:spacing w:before="0" w:beforeAutospacing="0" w:after="0" w:afterAutospacing="0"/>
        <w:divId w:val="1176067456"/>
        <w:rPr>
          <w:sz w:val="20"/>
          <w:szCs w:val="20"/>
        </w:rPr>
      </w:pPr>
      <w:r>
        <w:rPr>
          <w:sz w:val="20"/>
          <w:szCs w:val="20"/>
        </w:rPr>
        <w:t> </w:t>
      </w:r>
    </w:p>
    <w:p w:rsidR="00000000" w:rsidRDefault="00F55F16">
      <w:pPr>
        <w:pStyle w:val="a3"/>
        <w:spacing w:before="240" w:beforeAutospacing="0" w:after="0" w:afterAutospacing="0"/>
        <w:ind w:firstLine="555"/>
        <w:divId w:val="1176067456"/>
        <w:rPr>
          <w:sz w:val="20"/>
          <w:szCs w:val="20"/>
        </w:rPr>
      </w:pPr>
      <w:r>
        <w:rPr>
          <w:b/>
          <w:bCs/>
          <w:sz w:val="20"/>
          <w:szCs w:val="20"/>
        </w:rPr>
        <w:t>Common Stock Reserved for Future Issuance</w:t>
      </w:r>
      <w:r>
        <w:rPr>
          <w:b/>
          <w:bCs/>
          <w:sz w:val="20"/>
          <w:szCs w:val="20"/>
        </w:rPr>
        <w:t>s</w:t>
      </w:r>
      <w:r>
        <w:rPr>
          <w:sz w:val="20"/>
          <w:szCs w:val="20"/>
        </w:rPr>
        <w:t>—</w:t>
      </w:r>
      <w:r>
        <w:rPr>
          <w:sz w:val="20"/>
          <w:szCs w:val="20"/>
        </w:rPr>
        <w:t>The Company has reserved certain stock of its authorized but unissued common stock for possible future issuance in connection with the following</w:t>
      </w:r>
      <w:r>
        <w:rPr>
          <w:sz w:val="20"/>
          <w:szCs w:val="20"/>
        </w:rPr>
        <w:t>:</w:t>
      </w:r>
    </w:p>
    <w:p w:rsidR="00000000" w:rsidRDefault="00F55F16">
      <w:pPr>
        <w:pStyle w:val="a3"/>
        <w:spacing w:before="0" w:beforeAutospacing="0" w:after="0" w:afterAutospacing="0"/>
        <w:divId w:val="1579748772"/>
        <w:rPr>
          <w:sz w:val="20"/>
          <w:szCs w:val="20"/>
        </w:rPr>
      </w:pPr>
      <w:r>
        <w:rPr>
          <w:sz w:val="20"/>
          <w:szCs w:val="20"/>
        </w:rPr>
        <w:t> </w:t>
      </w:r>
    </w:p>
    <w:tbl>
      <w:tblPr>
        <w:tblW w:w="2900" w:type="pct"/>
        <w:tblCellSpacing w:w="15" w:type="dxa"/>
        <w:tblCellMar>
          <w:top w:w="15" w:type="dxa"/>
          <w:left w:w="15" w:type="dxa"/>
          <w:bottom w:w="15" w:type="dxa"/>
          <w:right w:w="15" w:type="dxa"/>
        </w:tblCellMar>
        <w:tblLook w:val="04A0" w:firstRow="1" w:lastRow="0" w:firstColumn="1" w:lastColumn="0" w:noHBand="0" w:noVBand="1"/>
      </w:tblPr>
      <w:tblGrid>
        <w:gridCol w:w="2167"/>
        <w:gridCol w:w="118"/>
        <w:gridCol w:w="105"/>
        <w:gridCol w:w="987"/>
        <w:gridCol w:w="105"/>
        <w:gridCol w:w="119"/>
        <w:gridCol w:w="105"/>
        <w:gridCol w:w="991"/>
        <w:gridCol w:w="120"/>
      </w:tblGrid>
      <w:tr w:rsidR="00000000">
        <w:trPr>
          <w:divId w:val="1579748772"/>
          <w:tblCellSpacing w:w="15" w:type="dxa"/>
        </w:trPr>
        <w:tc>
          <w:tcPr>
            <w:tcW w:w="2375" w:type="pct"/>
            <w:vAlign w:val="center"/>
            <w:hideMark/>
          </w:tcPr>
          <w:p w:rsidR="00000000" w:rsidRDefault="00F55F16">
            <w:pPr>
              <w:rPr>
                <w:sz w:val="20"/>
                <w:szCs w:val="20"/>
              </w:rPr>
            </w:pPr>
          </w:p>
        </w:tc>
        <w:tc>
          <w:tcPr>
            <w:tcW w:w="12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08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2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08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579748772"/>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579748772"/>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57974877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Montrose 2013 Stock Incentive Pla</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877,68</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2,047,26</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57974877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Montrose 2017 Stock Incentive Pla</w:t>
            </w:r>
            <w:r>
              <w:rPr>
                <w:sz w:val="18"/>
                <w:szCs w:val="18"/>
              </w:rPr>
              <w:t>n</w:t>
            </w:r>
            <w:r>
              <w:rPr>
                <w:sz w:val="12"/>
                <w:szCs w:val="12"/>
              </w:rPr>
              <w:t>(1</w:t>
            </w:r>
            <w:r>
              <w:rPr>
                <w:sz w:val="12"/>
                <w:szCs w:val="12"/>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7,769,93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3,944,75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57974877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8,647,62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5,992,01</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divId w:val="1579748772"/>
        <w:rPr>
          <w:sz w:val="20"/>
          <w:szCs w:val="20"/>
        </w:rPr>
      </w:pPr>
      <w:r>
        <w:rPr>
          <w:sz w:val="20"/>
          <w:szCs w:val="20"/>
        </w:rPr>
        <w:t> </w:t>
      </w:r>
    </w:p>
    <w:p w:rsidR="00000000" w:rsidRDefault="00F55F16">
      <w:pPr>
        <w:pStyle w:val="a3"/>
        <w:pBdr>
          <w:bottom w:val="single" w:sz="4" w:space="1" w:color="auto"/>
        </w:pBdr>
        <w:spacing w:before="0" w:beforeAutospacing="0" w:after="0" w:afterAutospacing="0"/>
        <w:ind w:right="9167"/>
        <w:divId w:val="1579748772"/>
        <w:rPr>
          <w:sz w:val="20"/>
          <w:szCs w:val="20"/>
        </w:rPr>
      </w:pPr>
      <w:r>
        <w:rPr>
          <w:sz w:val="20"/>
          <w:szCs w:val="20"/>
        </w:rPr>
        <w:t> </w:t>
      </w:r>
    </w:p>
    <w:p w:rsidR="00000000" w:rsidRDefault="00F55F16">
      <w:pPr>
        <w:pStyle w:val="a3"/>
        <w:spacing w:before="0" w:beforeAutospacing="0" w:after="0" w:afterAutospacing="0"/>
        <w:ind w:left="476"/>
        <w:divId w:val="1579748772"/>
        <w:rPr>
          <w:sz w:val="20"/>
          <w:szCs w:val="20"/>
        </w:rPr>
      </w:pPr>
      <w:r>
        <w:rPr>
          <w:sz w:val="16"/>
          <w:szCs w:val="16"/>
        </w:rPr>
        <w:t>(1) In January 2022, the Board of Directors ratified the addition of</w:t>
      </w:r>
      <w:r>
        <w:rPr>
          <w:sz w:val="16"/>
          <w:szCs w:val="16"/>
        </w:rPr>
        <w:t xml:space="preserve"> </w:t>
      </w:r>
      <w:r>
        <w:rPr>
          <w:sz w:val="16"/>
          <w:szCs w:val="16"/>
        </w:rPr>
        <w:t>1,185,11</w:t>
      </w:r>
      <w:r>
        <w:rPr>
          <w:sz w:val="16"/>
          <w:szCs w:val="16"/>
        </w:rPr>
        <w:t>2</w:t>
      </w:r>
      <w:r>
        <w:rPr>
          <w:sz w:val="16"/>
          <w:szCs w:val="16"/>
        </w:rPr>
        <w:t xml:space="preserve"> shares of common stock to the number of shares available for issuance under the 2017 Plan pursuant to the annual increase provision of such plan. Unless the Board of Directors d</w:t>
      </w:r>
      <w:r>
        <w:rPr>
          <w:sz w:val="16"/>
          <w:szCs w:val="16"/>
        </w:rPr>
        <w:t>etermines otherwise, additional annual increases will be effective on each January 1, through January 1, 2027. The 2017 Plan permits the company to settle awards, if and when vested, in cash at its discretion. Pursuant to the terms of the 2017 Plan, the nu</w:t>
      </w:r>
      <w:r>
        <w:rPr>
          <w:sz w:val="16"/>
          <w:szCs w:val="16"/>
        </w:rPr>
        <w:t>mber of shares authorized for issuance thereunder will only be reduced with respect to shares of common stock actually issued upon exercise or settlement of an award. Shares of common stock subject to awards that have been canceled, expired, forfeited or o</w:t>
      </w:r>
      <w:r>
        <w:rPr>
          <w:sz w:val="16"/>
          <w:szCs w:val="16"/>
        </w:rPr>
        <w:t>therwise not issued under an award and shares of common stock subject to awards settled in cash do not count as shares of common stock issued under the 2017 Plan. The Company expects to have sufficient shares available under the 2017 Plan to satisfy the fu</w:t>
      </w:r>
      <w:r>
        <w:rPr>
          <w:sz w:val="16"/>
          <w:szCs w:val="16"/>
        </w:rPr>
        <w:t>ture settlement of outstanding awards. Shares reserved for future issuance include an assumed</w:t>
      </w:r>
      <w:r>
        <w:rPr>
          <w:sz w:val="16"/>
          <w:szCs w:val="16"/>
        </w:rPr>
        <w:t xml:space="preserve"> </w:t>
      </w:r>
      <w:r>
        <w:rPr>
          <w:sz w:val="16"/>
          <w:szCs w:val="16"/>
        </w:rPr>
        <w:t>3,000,00</w:t>
      </w:r>
      <w:r>
        <w:rPr>
          <w:sz w:val="16"/>
          <w:szCs w:val="16"/>
        </w:rPr>
        <w:t>0</w:t>
      </w:r>
      <w:r>
        <w:rPr>
          <w:sz w:val="16"/>
          <w:szCs w:val="16"/>
        </w:rPr>
        <w:t xml:space="preserve"> shares with respect to the stock appreciation rights units grant made in December 2021 at maximum level of achievement, but that are subject to vesting </w:t>
      </w:r>
      <w:r>
        <w:rPr>
          <w:sz w:val="16"/>
          <w:szCs w:val="16"/>
        </w:rPr>
        <w:t>based on the achievement of certain market conditions, which have not yet been, and may not be, achieved</w:t>
      </w:r>
      <w:r>
        <w:rPr>
          <w:sz w:val="16"/>
          <w:szCs w:val="16"/>
        </w:rPr>
        <w:t>.</w:t>
      </w:r>
    </w:p>
    <w:p w:rsidR="00000000" w:rsidRDefault="00F55F16">
      <w:pPr>
        <w:pStyle w:val="a3"/>
        <w:spacing w:before="360" w:beforeAutospacing="0" w:after="0" w:afterAutospacing="0"/>
        <w:divId w:val="1628505936"/>
        <w:rPr>
          <w:sz w:val="20"/>
          <w:szCs w:val="20"/>
        </w:rPr>
      </w:pPr>
      <w:r>
        <w:rPr>
          <w:b/>
          <w:bCs/>
          <w:sz w:val="20"/>
          <w:szCs w:val="20"/>
        </w:rPr>
        <w:t>17. NET LOSS PER SHAR</w:t>
      </w:r>
      <w:r>
        <w:rPr>
          <w:b/>
          <w:bCs/>
          <w:sz w:val="20"/>
          <w:szCs w:val="20"/>
        </w:rPr>
        <w:t>E</w:t>
      </w:r>
    </w:p>
    <w:p w:rsidR="00000000" w:rsidRDefault="00F55F16">
      <w:pPr>
        <w:pStyle w:val="a3"/>
        <w:spacing w:before="240" w:beforeAutospacing="0" w:after="0" w:afterAutospacing="0"/>
        <w:ind w:firstLine="555"/>
        <w:divId w:val="1628505936"/>
        <w:rPr>
          <w:sz w:val="20"/>
          <w:szCs w:val="20"/>
        </w:rPr>
      </w:pPr>
      <w:r>
        <w:rPr>
          <w:sz w:val="20"/>
          <w:szCs w:val="20"/>
        </w:rPr>
        <w:t>Basic net loss per share is computed by dividing net loss attributable to common stockholders by the weighted average number of</w:t>
      </w:r>
      <w:r>
        <w:rPr>
          <w:sz w:val="20"/>
          <w:szCs w:val="20"/>
        </w:rPr>
        <w:t xml:space="preserve"> common shares outstanding during each period. The Convertible and Redeemable Series A-2 Preferred Stock is considered a participating security during the applicable period. Net losses are not allocated to the Convertible and Redeemable Series A-2 stockhol</w:t>
      </w:r>
      <w:r>
        <w:rPr>
          <w:sz w:val="20"/>
          <w:szCs w:val="20"/>
        </w:rPr>
        <w:t>ders, as they were not contractually obligated to share in the Company’s losses</w:t>
      </w:r>
      <w:r>
        <w:rPr>
          <w:sz w:val="20"/>
          <w:szCs w:val="20"/>
        </w:rPr>
        <w:t>.</w:t>
      </w:r>
    </w:p>
    <w:p w:rsidR="00000000" w:rsidRDefault="00F55F16">
      <w:pPr>
        <w:pStyle w:val="a3"/>
        <w:spacing w:before="240" w:beforeAutospacing="0" w:after="0" w:afterAutospacing="0"/>
        <w:ind w:firstLine="555"/>
        <w:divId w:val="1628505936"/>
        <w:rPr>
          <w:sz w:val="20"/>
          <w:szCs w:val="20"/>
        </w:rPr>
      </w:pPr>
      <w:r>
        <w:rPr>
          <w:sz w:val="20"/>
          <w:szCs w:val="20"/>
        </w:rPr>
        <w:t xml:space="preserve">Diluted net loss per share is computed by dividing net loss attributable to common stockholders by the weighted average number of common and dilutive common equivalent shares </w:t>
      </w:r>
      <w:r>
        <w:rPr>
          <w:sz w:val="20"/>
          <w:szCs w:val="20"/>
        </w:rPr>
        <w:t>outstanding for the period using the treasury-stock method or the as-converted method. Potentially dilutive shares are comprised of RSAs, RSUs, SARs and shares of common stock underlying stock options outstanding under the Plans to purchase common stock. D</w:t>
      </w:r>
      <w:r>
        <w:rPr>
          <w:sz w:val="20"/>
          <w:szCs w:val="20"/>
        </w:rPr>
        <w:t>uring the three and six months ended June 30, 2022 and June 30, 2021, there is no difference in the number of shares used to calculate basic and diluted shares outstanding due to the Company’s net loss and potentially dilutive shares being anti-dilutive</w:t>
      </w:r>
      <w:r>
        <w:rPr>
          <w:sz w:val="20"/>
          <w:szCs w:val="20"/>
        </w:rPr>
        <w:t>.</w:t>
      </w:r>
    </w:p>
    <w:p w:rsidR="00000000" w:rsidRDefault="00F55F16">
      <w:pPr>
        <w:pStyle w:val="a3"/>
        <w:spacing w:before="240" w:beforeAutospacing="0" w:after="0" w:afterAutospacing="0"/>
        <w:ind w:firstLine="555"/>
        <w:divId w:val="1206210813"/>
        <w:rPr>
          <w:sz w:val="20"/>
          <w:szCs w:val="20"/>
        </w:rPr>
      </w:pPr>
      <w:r>
        <w:rPr>
          <w:sz w:val="20"/>
          <w:szCs w:val="20"/>
        </w:rPr>
        <w:t>T</w:t>
      </w:r>
      <w:r>
        <w:rPr>
          <w:sz w:val="20"/>
          <w:szCs w:val="20"/>
        </w:rPr>
        <w:t>he following table summarizes the computation of basic and diluted net loss per share attributable to common stockholders of the Company</w:t>
      </w:r>
      <w:r>
        <w:rPr>
          <w:sz w:val="20"/>
          <w:szCs w:val="20"/>
        </w:rPr>
        <w:t>:</w:t>
      </w:r>
    </w:p>
    <w:p w:rsidR="00000000" w:rsidRDefault="00F55F16">
      <w:pPr>
        <w:pStyle w:val="a3"/>
        <w:spacing w:before="0" w:beforeAutospacing="0" w:after="0" w:afterAutospacing="0"/>
        <w:divId w:val="1206210813"/>
        <w:rPr>
          <w:sz w:val="20"/>
          <w:szCs w:val="20"/>
        </w:rPr>
      </w:pPr>
      <w:r>
        <w:rPr>
          <w:sz w:val="20"/>
          <w:szCs w:val="20"/>
        </w:rPr>
        <w:t> </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670"/>
        <w:gridCol w:w="105"/>
        <w:gridCol w:w="150"/>
        <w:gridCol w:w="615"/>
        <w:gridCol w:w="120"/>
        <w:gridCol w:w="105"/>
        <w:gridCol w:w="150"/>
        <w:gridCol w:w="615"/>
        <w:gridCol w:w="120"/>
        <w:gridCol w:w="105"/>
        <w:gridCol w:w="150"/>
        <w:gridCol w:w="615"/>
        <w:gridCol w:w="120"/>
        <w:gridCol w:w="105"/>
        <w:gridCol w:w="150"/>
        <w:gridCol w:w="615"/>
        <w:gridCol w:w="135"/>
      </w:tblGrid>
      <w:tr w:rsidR="00000000">
        <w:trPr>
          <w:divId w:val="1206210813"/>
          <w:tblCellSpacing w:w="15" w:type="dxa"/>
        </w:trPr>
        <w:tc>
          <w:tcPr>
            <w:tcW w:w="2511" w:type="pct"/>
            <w:vAlign w:val="center"/>
            <w:hideMark/>
          </w:tcPr>
          <w:p w:rsidR="00000000" w:rsidRDefault="00F55F16">
            <w:pPr>
              <w:rPr>
                <w:sz w:val="20"/>
                <w:szCs w:val="20"/>
              </w:rPr>
            </w:pPr>
          </w:p>
        </w:tc>
        <w:tc>
          <w:tcPr>
            <w:tcW w:w="5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5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6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20621081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Three Months Ende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Six Months Ende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206210813"/>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206210813"/>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(In thousands, except for net loss per share</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20621081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7,75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13,14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15,28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26,07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20621081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Convertible and redeemable series A-2 preferred </w:t>
            </w:r>
            <w:r>
              <w:rPr>
                <w:sz w:val="18"/>
                <w:szCs w:val="18"/>
              </w:rPr>
              <w:br/>
              <w:t>   stock dividen</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20621081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Net loss attributable to common stockholders </w:t>
            </w:r>
            <w:r>
              <w:rPr>
                <w:sz w:val="18"/>
                <w:szCs w:val="18"/>
              </w:rPr>
              <w:br/>
              <w:t>   –basic and dilute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11,85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17,24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23,48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34,27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20621081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Weighted-average common shares outstanding –</w:t>
            </w:r>
            <w:r>
              <w:rPr>
                <w:sz w:val="18"/>
                <w:szCs w:val="18"/>
              </w:rPr>
              <w:br/>
              <w:t>   basic and dilute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29,67</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26,05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29,67</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25,58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206210813"/>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 xml:space="preserve">Net loss per share attributable to common </w:t>
            </w:r>
            <w:r>
              <w:rPr>
                <w:sz w:val="18"/>
                <w:szCs w:val="18"/>
              </w:rPr>
              <w:br/>
              <w:t>   stockholders –basic and dilute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0.4</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0.6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0.7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1.3</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bl>
    <w:p w:rsidR="00000000" w:rsidRDefault="00F55F16">
      <w:pPr>
        <w:pStyle w:val="a3"/>
        <w:spacing w:before="240" w:beforeAutospacing="0" w:after="0" w:afterAutospacing="0"/>
        <w:ind w:firstLine="555"/>
        <w:divId w:val="1053650077"/>
        <w:rPr>
          <w:sz w:val="20"/>
          <w:szCs w:val="20"/>
        </w:rPr>
      </w:pPr>
      <w:r>
        <w:rPr>
          <w:sz w:val="20"/>
          <w:szCs w:val="20"/>
        </w:rPr>
        <w:t>The following equity shares were excluded from the calculation of diluted net loss per share attributable to common stockholders because their effect would have been anti-dilutive</w:t>
      </w:r>
      <w:r>
        <w:rPr>
          <w:sz w:val="20"/>
          <w:szCs w:val="20"/>
        </w:rPr>
        <w:t>:</w:t>
      </w:r>
    </w:p>
    <w:p w:rsidR="00000000" w:rsidRDefault="00F55F16">
      <w:pPr>
        <w:pStyle w:val="a3"/>
        <w:spacing w:before="0" w:beforeAutospacing="0" w:after="0" w:afterAutospacing="0"/>
        <w:divId w:val="1053650077"/>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1952"/>
        <w:gridCol w:w="185"/>
        <w:gridCol w:w="105"/>
        <w:gridCol w:w="1523"/>
        <w:gridCol w:w="105"/>
        <w:gridCol w:w="185"/>
        <w:gridCol w:w="105"/>
        <w:gridCol w:w="1534"/>
        <w:gridCol w:w="120"/>
      </w:tblGrid>
      <w:tr w:rsidR="00000000">
        <w:trPr>
          <w:divId w:val="1053650077"/>
          <w:tblCellSpacing w:w="15" w:type="dxa"/>
        </w:trPr>
        <w:tc>
          <w:tcPr>
            <w:tcW w:w="1744" w:type="pct"/>
            <w:vAlign w:val="center"/>
            <w:hideMark/>
          </w:tcPr>
          <w:p w:rsidR="00000000" w:rsidRDefault="00F55F16">
            <w:pPr>
              <w:rPr>
                <w:sz w:val="20"/>
                <w:szCs w:val="20"/>
              </w:rPr>
            </w:pPr>
          </w:p>
        </w:tc>
        <w:tc>
          <w:tcPr>
            <w:tcW w:w="1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6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5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053650077"/>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053650077"/>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05365007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Stock option</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3,424,41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1,737,30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5365007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Restricted stoc</w:t>
            </w:r>
            <w:r>
              <w:rPr>
                <w:sz w:val="18"/>
                <w:szCs w:val="18"/>
              </w:rPr>
              <w:t>k</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1,777,95</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28,62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053650077"/>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SAR</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3,000,00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2</w:t>
      </w:r>
      <w:r>
        <w:rPr>
          <w:sz w:val="20"/>
          <w:szCs w:val="20"/>
        </w:rPr>
        <w:t>6</w:t>
      </w:r>
    </w:p>
    <w:p w:rsidR="00000000" w:rsidRDefault="00F55F16">
      <w:pPr>
        <w:rPr>
          <w:rFonts w:eastAsia="Times New Roman"/>
        </w:rPr>
      </w:pPr>
      <w:r>
        <w:rPr>
          <w:rFonts w:eastAsia="Times New Roman"/>
        </w:rPr>
        <w:pict>
          <v:rect id="_x0000_i1052"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divId w:val="906842379"/>
        <w:rPr>
          <w:sz w:val="20"/>
          <w:szCs w:val="20"/>
        </w:rPr>
      </w:pPr>
      <w:r>
        <w:rPr>
          <w:b/>
          <w:bCs/>
          <w:sz w:val="20"/>
          <w:szCs w:val="20"/>
        </w:rPr>
        <w:t>18. SEGMENT INFORMATIO</w:t>
      </w:r>
      <w:r>
        <w:rPr>
          <w:b/>
          <w:bCs/>
          <w:sz w:val="20"/>
          <w:szCs w:val="20"/>
        </w:rPr>
        <w:t>N</w:t>
      </w:r>
    </w:p>
    <w:p w:rsidR="00000000" w:rsidRDefault="00F55F16">
      <w:pPr>
        <w:pStyle w:val="a3"/>
        <w:spacing w:before="240" w:beforeAutospacing="0" w:after="0" w:afterAutospacing="0"/>
        <w:ind w:firstLine="555"/>
        <w:divId w:val="906842379"/>
        <w:rPr>
          <w:sz w:val="20"/>
          <w:szCs w:val="20"/>
        </w:rPr>
      </w:pPr>
      <w:r>
        <w:rPr>
          <w:sz w:val="20"/>
          <w:szCs w:val="20"/>
        </w:rPr>
        <w:t>The Company has</w:t>
      </w:r>
      <w:r>
        <w:rPr>
          <w:sz w:val="20"/>
          <w:szCs w:val="20"/>
        </w:rPr>
        <w:t xml:space="preserve"> </w:t>
      </w:r>
      <w:r>
        <w:rPr>
          <w:sz w:val="20"/>
          <w:szCs w:val="20"/>
        </w:rPr>
        <w:t>thre</w:t>
      </w:r>
      <w:r>
        <w:rPr>
          <w:sz w:val="20"/>
          <w:szCs w:val="20"/>
        </w:rPr>
        <w:t>e</w:t>
      </w:r>
      <w:r>
        <w:rPr>
          <w:sz w:val="20"/>
          <w:szCs w:val="20"/>
        </w:rPr>
        <w:t xml:space="preserve"> </w:t>
      </w:r>
      <w:r>
        <w:rPr>
          <w:sz w:val="20"/>
          <w:szCs w:val="20"/>
        </w:rPr>
        <w:t>operating and reportable segments: Assessment, Permitting and Response, Measurement and Analysis and Remediation and Reuse. These segments are monitored separately by management for performance against budget and prior year and are consistent with internal</w:t>
      </w:r>
      <w:r>
        <w:rPr>
          <w:sz w:val="20"/>
          <w:szCs w:val="20"/>
        </w:rPr>
        <w:t xml:space="preserve"> financial reporting. The Company’s operating segments are organized based upon primary services provided, the nature of the production process, their type of customers, methods used to distribute the products and the nature of the regulatory environment</w:t>
      </w:r>
      <w:r>
        <w:rPr>
          <w:sz w:val="20"/>
          <w:szCs w:val="20"/>
        </w:rPr>
        <w:t>.</w:t>
      </w:r>
    </w:p>
    <w:p w:rsidR="00000000" w:rsidRDefault="00F55F16">
      <w:pPr>
        <w:pStyle w:val="a3"/>
        <w:spacing w:before="240" w:beforeAutospacing="0" w:after="0" w:afterAutospacing="0"/>
        <w:ind w:firstLine="555"/>
        <w:divId w:val="906842379"/>
        <w:rPr>
          <w:sz w:val="20"/>
          <w:szCs w:val="20"/>
        </w:rPr>
      </w:pPr>
      <w:r>
        <w:rPr>
          <w:sz w:val="20"/>
          <w:szCs w:val="20"/>
        </w:rPr>
        <w:t>Segment Adjusted EBITDA is the primary measure of operating performance for all</w:t>
      </w:r>
      <w:r>
        <w:rPr>
          <w:sz w:val="20"/>
          <w:szCs w:val="20"/>
        </w:rPr>
        <w:t xml:space="preserve"> </w:t>
      </w:r>
      <w:r>
        <w:rPr>
          <w:sz w:val="20"/>
          <w:szCs w:val="20"/>
        </w:rPr>
        <w:t>thre</w:t>
      </w:r>
      <w:r>
        <w:rPr>
          <w:sz w:val="20"/>
          <w:szCs w:val="20"/>
        </w:rPr>
        <w:t>e</w:t>
      </w:r>
      <w:r>
        <w:rPr>
          <w:sz w:val="20"/>
          <w:szCs w:val="20"/>
        </w:rPr>
        <w:t xml:space="preserve"> operating segments. Segment Adjusted EBITDA is the calculated Company’s Earnings before Interest, Tax, Depreciation and Amortization (“EBITDA”), adjusted to exclude certa</w:t>
      </w:r>
      <w:r>
        <w:rPr>
          <w:sz w:val="20"/>
          <w:szCs w:val="20"/>
        </w:rPr>
        <w:t>in transactions such as stock-based compensation, acquisition costs and fair value changes in financial instruments, amongst others. The Chief Operating Decision Maker (“CODM”) does not review segment assets as a measure of segment performance</w:t>
      </w:r>
      <w:r>
        <w:rPr>
          <w:sz w:val="20"/>
          <w:szCs w:val="20"/>
        </w:rPr>
        <w:t>.</w:t>
      </w:r>
    </w:p>
    <w:p w:rsidR="00000000" w:rsidRDefault="00F55F16">
      <w:pPr>
        <w:pStyle w:val="a3"/>
        <w:spacing w:before="240" w:beforeAutospacing="0" w:after="0" w:afterAutospacing="0"/>
        <w:ind w:firstLine="555"/>
        <w:divId w:val="906842379"/>
        <w:rPr>
          <w:sz w:val="20"/>
          <w:szCs w:val="20"/>
        </w:rPr>
      </w:pPr>
      <w:r>
        <w:rPr>
          <w:sz w:val="20"/>
          <w:szCs w:val="20"/>
        </w:rPr>
        <w:t>Corporate a</w:t>
      </w:r>
      <w:r>
        <w:rPr>
          <w:sz w:val="20"/>
          <w:szCs w:val="20"/>
        </w:rPr>
        <w:t>nd Other includes costs associated with general corporate overhead (including executive, legal, finance, safety, human resources, marketing and IT related costs) that are not directly related to supporting operations. Overhead costs that are directly relat</w:t>
      </w:r>
      <w:r>
        <w:rPr>
          <w:sz w:val="20"/>
          <w:szCs w:val="20"/>
        </w:rPr>
        <w:t>ed to supporting operations (such as insurance, software, licenses, shared services and payroll processing costs) are allocated to the operating segments on a basis that reasonably approximates an estimate of the use of these services</w:t>
      </w:r>
      <w:r>
        <w:rPr>
          <w:sz w:val="20"/>
          <w:szCs w:val="20"/>
        </w:rPr>
        <w:t>.</w:t>
      </w:r>
    </w:p>
    <w:p w:rsidR="00000000" w:rsidRDefault="00F55F16">
      <w:pPr>
        <w:pStyle w:val="a3"/>
        <w:spacing w:before="240" w:beforeAutospacing="0" w:after="0" w:afterAutospacing="0"/>
        <w:ind w:firstLine="555"/>
        <w:divId w:val="1799106615"/>
        <w:rPr>
          <w:sz w:val="20"/>
          <w:szCs w:val="20"/>
        </w:rPr>
      </w:pPr>
      <w:r>
        <w:rPr>
          <w:sz w:val="20"/>
          <w:szCs w:val="20"/>
        </w:rPr>
        <w:t>Segment revenues and</w:t>
      </w:r>
      <w:r>
        <w:rPr>
          <w:sz w:val="20"/>
          <w:szCs w:val="20"/>
        </w:rPr>
        <w:t xml:space="preserve"> Adjusted EBITDA consisted of the following</w:t>
      </w:r>
      <w:r>
        <w:rPr>
          <w:sz w:val="20"/>
          <w:szCs w:val="20"/>
        </w:rPr>
        <w:t>:</w:t>
      </w:r>
    </w:p>
    <w:p w:rsidR="00000000" w:rsidRDefault="00F55F16">
      <w:pPr>
        <w:pStyle w:val="a3"/>
        <w:spacing w:before="0" w:beforeAutospacing="0" w:after="0" w:afterAutospacing="0"/>
        <w:divId w:val="179910661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1"/>
        <w:gridCol w:w="108"/>
        <w:gridCol w:w="150"/>
        <w:gridCol w:w="806"/>
        <w:gridCol w:w="105"/>
        <w:gridCol w:w="105"/>
        <w:gridCol w:w="150"/>
        <w:gridCol w:w="848"/>
        <w:gridCol w:w="120"/>
        <w:gridCol w:w="108"/>
        <w:gridCol w:w="150"/>
        <w:gridCol w:w="872"/>
        <w:gridCol w:w="105"/>
        <w:gridCol w:w="105"/>
        <w:gridCol w:w="150"/>
        <w:gridCol w:w="918"/>
        <w:gridCol w:w="135"/>
      </w:tblGrid>
      <w:tr w:rsidR="00000000">
        <w:trPr>
          <w:divId w:val="1799106615"/>
          <w:tblCellSpacing w:w="15" w:type="dxa"/>
        </w:trPr>
        <w:tc>
          <w:tcPr>
            <w:tcW w:w="2151" w:type="pct"/>
            <w:vAlign w:val="center"/>
            <w:hideMark/>
          </w:tcPr>
          <w:p w:rsidR="00000000" w:rsidRDefault="00F55F16">
            <w:pPr>
              <w:rPr>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1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4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8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4"/>
            <w:vAlign w:val="bottom"/>
            <w:hideMark/>
          </w:tcPr>
          <w:p w:rsidR="00000000" w:rsidRDefault="00F55F16">
            <w:pPr>
              <w:pStyle w:val="a3"/>
              <w:spacing w:before="0" w:beforeAutospacing="0" w:after="0" w:afterAutospacing="0"/>
              <w:jc w:val="center"/>
              <w:rPr>
                <w:sz w:val="18"/>
                <w:szCs w:val="18"/>
              </w:rPr>
            </w:pPr>
            <w:r>
              <w:rPr>
                <w:b/>
                <w:bCs/>
                <w:sz w:val="18"/>
                <w:szCs w:val="18"/>
              </w:rPr>
              <w:t>Three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50,03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10,80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70,70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14,85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42,22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7,04</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39,11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9,49</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47,64</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7,05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26,40</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4,30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Total Operating Segment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139,91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24,91</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136,22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28,65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8,39</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7,69</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139,91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16,51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136,22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20,96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4"/>
            <w:vAlign w:val="bottom"/>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w:t>
            </w:r>
            <w:r>
              <w:rPr>
                <w:b/>
                <w:bCs/>
                <w:sz w:val="18"/>
                <w:szCs w:val="18"/>
              </w:rPr>
              <w:t>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Adjuste</w:t>
            </w:r>
            <w:r>
              <w:rPr>
                <w:b/>
                <w:bCs/>
                <w:sz w:val="18"/>
                <w:szCs w:val="18"/>
              </w:rPr>
              <w:t>d</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Revenue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EBITD</w:t>
            </w:r>
            <w:r>
              <w:rPr>
                <w:b/>
                <w:bCs/>
                <w:sz w:val="18"/>
                <w:szCs w:val="18"/>
              </w:rPr>
              <w:t>A</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95,63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20,43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145,96</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30,66</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81,98</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13,36</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72,55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14,35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96,96</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15,04</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51,51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6,79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Total Operating Segment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274,59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48,85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270,04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51,80</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15,88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14,03</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1799106615"/>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274,59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32,96</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270,04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37,76</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1799106615"/>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divId w:val="1799106615"/>
        <w:rPr>
          <w:sz w:val="20"/>
          <w:szCs w:val="20"/>
        </w:rPr>
      </w:pPr>
      <w:r>
        <w:rPr>
          <w:sz w:val="20"/>
          <w:szCs w:val="20"/>
        </w:rPr>
        <w:t> </w:t>
      </w:r>
    </w:p>
    <w:p w:rsidR="00000000" w:rsidRDefault="00F55F16">
      <w:pPr>
        <w:pStyle w:val="a3"/>
        <w:spacing w:before="240" w:beforeAutospacing="0" w:after="0" w:afterAutospacing="0"/>
        <w:jc w:val="center"/>
        <w:divId w:val="1799106615"/>
        <w:rPr>
          <w:sz w:val="20"/>
          <w:szCs w:val="20"/>
        </w:rPr>
      </w:pPr>
      <w:r>
        <w:rPr>
          <w:sz w:val="20"/>
          <w:szCs w:val="20"/>
        </w:rPr>
        <w:t>2</w:t>
      </w:r>
      <w:r>
        <w:rPr>
          <w:sz w:val="20"/>
          <w:szCs w:val="20"/>
        </w:rPr>
        <w:t>7</w:t>
      </w:r>
    </w:p>
    <w:p w:rsidR="00000000" w:rsidRDefault="00F55F16">
      <w:pPr>
        <w:divId w:val="1799106615"/>
        <w:rPr>
          <w:rFonts w:eastAsia="Times New Roman"/>
        </w:rPr>
      </w:pPr>
      <w:r>
        <w:rPr>
          <w:rFonts w:eastAsia="Times New Roman"/>
        </w:rPr>
        <w:pict>
          <v:rect id="_x0000_i1053" style="width:0;height:1.5pt" o:hralign="center" o:hrstd="t" o:hr="t" fillcolor="#a0a0a0" stroked="f"/>
        </w:pict>
      </w:r>
    </w:p>
    <w:p w:rsidR="00000000" w:rsidRDefault="00F55F16">
      <w:pPr>
        <w:pStyle w:val="a3"/>
        <w:spacing w:before="0" w:beforeAutospacing="0" w:after="0" w:afterAutospacing="0"/>
        <w:divId w:val="1799106615"/>
        <w:rPr>
          <w:sz w:val="20"/>
          <w:szCs w:val="20"/>
        </w:rPr>
      </w:pPr>
      <w:r>
        <w:rPr>
          <w:sz w:val="20"/>
          <w:szCs w:val="20"/>
        </w:rPr>
        <w:t> </w:t>
      </w:r>
    </w:p>
    <w:p w:rsidR="00000000" w:rsidRDefault="00F55F16">
      <w:pPr>
        <w:pStyle w:val="a3"/>
        <w:spacing w:before="240" w:beforeAutospacing="0" w:after="0" w:afterAutospacing="0"/>
        <w:ind w:firstLine="555"/>
        <w:divId w:val="299500722"/>
        <w:rPr>
          <w:sz w:val="20"/>
          <w:szCs w:val="20"/>
        </w:rPr>
      </w:pPr>
      <w:r>
        <w:rPr>
          <w:sz w:val="20"/>
          <w:szCs w:val="20"/>
        </w:rPr>
        <w:t>Presented below is a reconciliation of the Company’s segment measure to net loss</w:t>
      </w:r>
      <w:r>
        <w:rPr>
          <w:sz w:val="20"/>
          <w:szCs w:val="20"/>
        </w:rPr>
        <w:t>:</w:t>
      </w:r>
    </w:p>
    <w:p w:rsidR="00000000" w:rsidRDefault="00F55F16">
      <w:pPr>
        <w:pStyle w:val="a3"/>
        <w:spacing w:before="0" w:beforeAutospacing="0" w:after="0" w:afterAutospacing="0"/>
        <w:divId w:val="299500722"/>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0"/>
        <w:gridCol w:w="105"/>
        <w:gridCol w:w="150"/>
        <w:gridCol w:w="840"/>
        <w:gridCol w:w="120"/>
        <w:gridCol w:w="105"/>
        <w:gridCol w:w="150"/>
        <w:gridCol w:w="865"/>
        <w:gridCol w:w="120"/>
        <w:gridCol w:w="105"/>
        <w:gridCol w:w="150"/>
        <w:gridCol w:w="834"/>
        <w:gridCol w:w="120"/>
        <w:gridCol w:w="105"/>
        <w:gridCol w:w="150"/>
        <w:gridCol w:w="861"/>
        <w:gridCol w:w="135"/>
      </w:tblGrid>
      <w:tr w:rsidR="00000000">
        <w:trPr>
          <w:divId w:val="299500722"/>
          <w:tblCellSpacing w:w="15" w:type="dxa"/>
        </w:trPr>
        <w:tc>
          <w:tcPr>
            <w:tcW w:w="1833" w:type="pct"/>
            <w:vAlign w:val="center"/>
            <w:hideMark/>
          </w:tcPr>
          <w:p w:rsidR="00000000" w:rsidRDefault="00F55F16">
            <w:pPr>
              <w:rPr>
                <w:sz w:val="20"/>
                <w:szCs w:val="20"/>
              </w:rPr>
            </w:pPr>
          </w:p>
        </w:tc>
        <w:tc>
          <w:tcPr>
            <w:tcW w:w="7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0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0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5"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2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299500722"/>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For the Three Months</w:t>
            </w:r>
            <w:r>
              <w:rPr>
                <w:b/>
                <w:bCs/>
                <w:sz w:val="18"/>
                <w:szCs w:val="18"/>
              </w:rPr>
              <w:br/>
              <w:t>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For the Six Months</w:t>
            </w:r>
            <w:r>
              <w:rPr>
                <w:b/>
                <w:bCs/>
                <w:sz w:val="18"/>
                <w:szCs w:val="18"/>
              </w:rPr>
              <w:br/>
              <w:t>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299500722"/>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Tota</w:t>
            </w:r>
            <w:r>
              <w:rPr>
                <w:sz w:val="18"/>
                <w:szCs w:val="18"/>
              </w:rPr>
              <w:t>l</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16,51</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20,96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32,96</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37,76</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Interest expense, 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6,79</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2,61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9,48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Income tax (expense) benefi</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Depreciation and amortizatio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12,28</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9,87</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24,42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21,67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Stock-based compensatio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10,93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2,41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21,35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4,22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Start-up losses and investment in new service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88</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1,12</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1,67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2,09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Acquisition cost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51</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50</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98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Fair value changes in financial instrument</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40</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51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2,85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1,12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 xml:space="preserve">Fair value changes in business acquisition </w:t>
            </w:r>
            <w:r>
              <w:rPr>
                <w:sz w:val="18"/>
                <w:szCs w:val="18"/>
              </w:rPr>
              <w:br/>
              <w:t>   contingencie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3,51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12,97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3,53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24,03</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Expenses related to financing transaction</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Other losses or expense</w:t>
            </w:r>
            <w:r>
              <w:rPr>
                <w:sz w:val="18"/>
                <w:szCs w:val="18"/>
              </w:rPr>
              <w:t>s</w:t>
            </w:r>
            <w:r>
              <w:rPr>
                <w:sz w:val="12"/>
                <w:szCs w:val="12"/>
              </w:rPr>
              <w:t> (1</w:t>
            </w:r>
            <w:r>
              <w:rPr>
                <w:sz w:val="12"/>
                <w:szCs w:val="12"/>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1,21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1,48</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67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7,75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13,14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15,28</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20"/>
                <w:szCs w:val="20"/>
              </w:rPr>
            </w:pPr>
            <w:r>
              <w:rPr>
                <w:sz w:val="18"/>
                <w:szCs w:val="18"/>
              </w:rPr>
              <w:t>(</w:t>
            </w:r>
            <w:r>
              <w:rPr>
                <w:sz w:val="18"/>
                <w:szCs w:val="18"/>
              </w:rPr>
              <w:t>26,07</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divId w:val="299500722"/>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ind w:left="476"/>
        <w:divId w:val="299500722"/>
        <w:rPr>
          <w:sz w:val="20"/>
          <w:szCs w:val="20"/>
        </w:rPr>
      </w:pPr>
      <w:r>
        <w:rPr>
          <w:sz w:val="16"/>
          <w:szCs w:val="16"/>
        </w:rPr>
        <w:t>(1</w:t>
      </w:r>
      <w:r>
        <w:rPr>
          <w:sz w:val="16"/>
          <w:szCs w:val="16"/>
        </w:rPr>
        <w:t>)</w:t>
      </w:r>
      <w:r>
        <w:rPr>
          <w:sz w:val="16"/>
          <w:szCs w:val="16"/>
        </w:rPr>
        <w:t xml:space="preserve"> </w:t>
      </w:r>
      <w:r>
        <w:rPr>
          <w:sz w:val="16"/>
          <w:szCs w:val="16"/>
        </w:rPr>
        <w:t>In 2022, amounts include costs associated with the closing of a lab. In 2021, amounts include non-operational charges incurred due to the remeasurement of finance leases as a result of the adoption of ASC 842 and costs related to the implementation of a ne</w:t>
      </w:r>
      <w:r>
        <w:rPr>
          <w:sz w:val="16"/>
          <w:szCs w:val="16"/>
        </w:rPr>
        <w:t>w ERP</w:t>
      </w:r>
      <w:r>
        <w:rPr>
          <w:sz w:val="16"/>
          <w:szCs w:val="16"/>
        </w:rPr>
        <w:t>.</w:t>
      </w:r>
    </w:p>
    <w:p w:rsidR="00000000" w:rsidRDefault="00F55F16">
      <w:pPr>
        <w:pStyle w:val="a3"/>
        <w:spacing w:before="360" w:beforeAutospacing="0" w:after="0" w:afterAutospacing="0"/>
        <w:divId w:val="694814709"/>
        <w:rPr>
          <w:sz w:val="20"/>
          <w:szCs w:val="20"/>
        </w:rPr>
      </w:pPr>
      <w:r>
        <w:rPr>
          <w:b/>
          <w:bCs/>
          <w:sz w:val="20"/>
          <w:szCs w:val="20"/>
        </w:rPr>
        <w:t>19. RELATED-PARTY TRANSACTION</w:t>
      </w:r>
      <w:r>
        <w:rPr>
          <w:b/>
          <w:bCs/>
          <w:sz w:val="20"/>
          <w:szCs w:val="20"/>
        </w:rPr>
        <w:t>S</w:t>
      </w:r>
    </w:p>
    <w:p w:rsidR="00000000" w:rsidRDefault="00F55F16">
      <w:pPr>
        <w:pStyle w:val="a3"/>
        <w:spacing w:before="240" w:beforeAutospacing="0" w:after="0" w:afterAutospacing="0"/>
        <w:ind w:firstLine="555"/>
        <w:divId w:val="694814709"/>
        <w:rPr>
          <w:sz w:val="20"/>
          <w:szCs w:val="20"/>
        </w:rPr>
      </w:pPr>
      <w:r>
        <w:rPr>
          <w:sz w:val="20"/>
          <w:szCs w:val="20"/>
        </w:rPr>
        <w:t>The Company did</w:t>
      </w:r>
      <w:r>
        <w:rPr>
          <w:sz w:val="20"/>
          <w:szCs w:val="20"/>
        </w:rPr>
        <w:t xml:space="preserve"> </w:t>
      </w:r>
      <w:r>
        <w:rPr>
          <w:sz w:val="20"/>
          <w:szCs w:val="20"/>
        </w:rPr>
        <w:t>n</w:t>
      </w:r>
      <w:r>
        <w:rPr>
          <w:sz w:val="20"/>
          <w:szCs w:val="20"/>
        </w:rPr>
        <w:t>o</w:t>
      </w:r>
      <w:r>
        <w:rPr>
          <w:sz w:val="20"/>
          <w:szCs w:val="20"/>
        </w:rPr>
        <w:t>t have any related party transactions during the</w:t>
      </w:r>
      <w:r>
        <w:rPr>
          <w:sz w:val="20"/>
          <w:szCs w:val="20"/>
        </w:rPr>
        <w:t xml:space="preserve"> </w:t>
      </w:r>
      <w:r>
        <w:rPr>
          <w:sz w:val="20"/>
          <w:szCs w:val="20"/>
        </w:rPr>
        <w:t xml:space="preserve">three and six months ended June 30, 2022 and June </w:t>
      </w:r>
      <w:r>
        <w:rPr>
          <w:sz w:val="20"/>
          <w:szCs w:val="20"/>
        </w:rPr>
        <w:t>3</w:t>
      </w:r>
      <w:r>
        <w:rPr>
          <w:sz w:val="20"/>
          <w:szCs w:val="20"/>
        </w:rPr>
        <w:t>0</w:t>
      </w:r>
      <w:r>
        <w:rPr>
          <w:sz w:val="20"/>
          <w:szCs w:val="20"/>
        </w:rPr>
        <w:t>, 202</w:t>
      </w:r>
      <w:r>
        <w:rPr>
          <w:sz w:val="20"/>
          <w:szCs w:val="20"/>
        </w:rPr>
        <w:t>1</w:t>
      </w:r>
      <w:r>
        <w:rPr>
          <w:sz w:val="20"/>
          <w:szCs w:val="20"/>
        </w:rPr>
        <w:t xml:space="preserve"> or during the year ended December 31, 202</w:t>
      </w:r>
      <w:r>
        <w:rPr>
          <w:sz w:val="20"/>
          <w:szCs w:val="20"/>
        </w:rPr>
        <w:t>1</w:t>
      </w:r>
      <w:r>
        <w:rPr>
          <w:sz w:val="20"/>
          <w:szCs w:val="20"/>
        </w:rPr>
        <w:t>.</w:t>
      </w:r>
    </w:p>
    <w:p w:rsidR="00000000" w:rsidRDefault="00F55F16">
      <w:pPr>
        <w:pStyle w:val="a3"/>
        <w:spacing w:before="360" w:beforeAutospacing="0" w:after="0" w:afterAutospacing="0"/>
        <w:divId w:val="1535851762"/>
        <w:rPr>
          <w:sz w:val="20"/>
          <w:szCs w:val="20"/>
        </w:rPr>
      </w:pPr>
      <w:r>
        <w:rPr>
          <w:b/>
          <w:bCs/>
          <w:sz w:val="20"/>
          <w:szCs w:val="20"/>
        </w:rPr>
        <w:t>20. DEFINED CONTRIBUTION PLA</w:t>
      </w:r>
      <w:r>
        <w:rPr>
          <w:b/>
          <w:bCs/>
          <w:sz w:val="20"/>
          <w:szCs w:val="20"/>
        </w:rPr>
        <w:t>N</w:t>
      </w:r>
    </w:p>
    <w:p w:rsidR="00000000" w:rsidRDefault="00F55F16">
      <w:pPr>
        <w:pStyle w:val="a3"/>
        <w:spacing w:before="240" w:beforeAutospacing="0" w:after="0" w:afterAutospacing="0"/>
        <w:ind w:firstLine="555"/>
        <w:divId w:val="1535851762"/>
        <w:rPr>
          <w:sz w:val="20"/>
          <w:szCs w:val="20"/>
        </w:rPr>
      </w:pPr>
      <w:r>
        <w:rPr>
          <w:sz w:val="20"/>
          <w:szCs w:val="20"/>
        </w:rPr>
        <w:t>On January 1, 2014</w:t>
      </w:r>
      <w:r>
        <w:rPr>
          <w:sz w:val="20"/>
          <w:szCs w:val="20"/>
        </w:rPr>
        <w:t>, the Company established the Montrose Environmental Group</w:t>
      </w:r>
      <w:r>
        <w:rPr>
          <w:sz w:val="20"/>
          <w:szCs w:val="20"/>
        </w:rPr>
        <w:t xml:space="preserve"> </w:t>
      </w:r>
      <w:r>
        <w:rPr>
          <w:sz w:val="20"/>
          <w:szCs w:val="20"/>
        </w:rPr>
        <w:t>401(k) Savings Pla</w:t>
      </w:r>
      <w:r>
        <w:rPr>
          <w:sz w:val="20"/>
          <w:szCs w:val="20"/>
        </w:rPr>
        <w:t>n</w:t>
      </w:r>
      <w:r>
        <w:rPr>
          <w:sz w:val="20"/>
          <w:szCs w:val="20"/>
        </w:rPr>
        <w:t xml:space="preserve"> (the “401(k) Savings Plan”). As of</w:t>
      </w:r>
      <w:r>
        <w:rPr>
          <w:sz w:val="20"/>
          <w:szCs w:val="20"/>
        </w:rPr>
        <w:t xml:space="preserve"> </w:t>
      </w:r>
      <w:r>
        <w:rPr>
          <w:sz w:val="20"/>
          <w:szCs w:val="20"/>
        </w:rPr>
        <w:t>June 30, 2022, and December 31, 202</w:t>
      </w:r>
      <w:r>
        <w:rPr>
          <w:sz w:val="20"/>
          <w:szCs w:val="20"/>
        </w:rPr>
        <w:t>1</w:t>
      </w:r>
      <w:r>
        <w:rPr>
          <w:sz w:val="20"/>
          <w:szCs w:val="20"/>
        </w:rPr>
        <w:t>, plan participants may defer up to</w:t>
      </w:r>
      <w:r>
        <w:rPr>
          <w:sz w:val="20"/>
          <w:szCs w:val="20"/>
        </w:rPr>
        <w:t xml:space="preserve"> </w:t>
      </w:r>
      <w:r>
        <w:rPr>
          <w:sz w:val="20"/>
          <w:szCs w:val="20"/>
        </w:rPr>
        <w:t>85.</w:t>
      </w:r>
      <w:r>
        <w:rPr>
          <w:sz w:val="20"/>
          <w:szCs w:val="20"/>
        </w:rPr>
        <w:t>0</w:t>
      </w:r>
      <w:r>
        <w:rPr>
          <w:sz w:val="20"/>
          <w:szCs w:val="20"/>
        </w:rPr>
        <w:t>% of their eligible wages for the year, up to the Internal Revenue</w:t>
      </w:r>
      <w:r>
        <w:rPr>
          <w:sz w:val="20"/>
          <w:szCs w:val="20"/>
        </w:rPr>
        <w:t xml:space="preserve"> Service dollar limit and catch-up contribution allowed by law. Prior to May 22, 2020, the Company provided employer matching contributions equal to</w:t>
      </w:r>
      <w:r>
        <w:rPr>
          <w:sz w:val="20"/>
          <w:szCs w:val="20"/>
        </w:rPr>
        <w:t xml:space="preserve"> </w:t>
      </w:r>
      <w:r>
        <w:rPr>
          <w:sz w:val="20"/>
          <w:szCs w:val="20"/>
        </w:rPr>
        <w:t>100.</w:t>
      </w:r>
      <w:r>
        <w:rPr>
          <w:sz w:val="20"/>
          <w:szCs w:val="20"/>
        </w:rPr>
        <w:t>0</w:t>
      </w:r>
      <w:r>
        <w:rPr>
          <w:sz w:val="20"/>
          <w:szCs w:val="20"/>
        </w:rPr>
        <w:t>% of the first</w:t>
      </w:r>
      <w:r>
        <w:rPr>
          <w:sz w:val="20"/>
          <w:szCs w:val="20"/>
        </w:rPr>
        <w:t xml:space="preserve"> </w:t>
      </w:r>
      <w:r>
        <w:rPr>
          <w:sz w:val="20"/>
          <w:szCs w:val="20"/>
        </w:rPr>
        <w:t>3.</w:t>
      </w:r>
      <w:r>
        <w:rPr>
          <w:sz w:val="20"/>
          <w:szCs w:val="20"/>
        </w:rPr>
        <w:t>0</w:t>
      </w:r>
      <w:r>
        <w:rPr>
          <w:sz w:val="20"/>
          <w:szCs w:val="20"/>
        </w:rPr>
        <w:t>% of the participant’s compensation and</w:t>
      </w:r>
      <w:r>
        <w:rPr>
          <w:sz w:val="20"/>
          <w:szCs w:val="20"/>
        </w:rPr>
        <w:t xml:space="preserve"> </w:t>
      </w:r>
      <w:r>
        <w:rPr>
          <w:sz w:val="20"/>
          <w:szCs w:val="20"/>
        </w:rPr>
        <w:t>50.</w:t>
      </w:r>
      <w:r>
        <w:rPr>
          <w:sz w:val="20"/>
          <w:szCs w:val="20"/>
        </w:rPr>
        <w:t>0</w:t>
      </w:r>
      <w:r>
        <w:rPr>
          <w:sz w:val="20"/>
          <w:szCs w:val="20"/>
        </w:rPr>
        <w:t>% of the participant’s elective deferral</w:t>
      </w:r>
      <w:r>
        <w:rPr>
          <w:sz w:val="20"/>
          <w:szCs w:val="20"/>
        </w:rPr>
        <w:t>s that exceed</w:t>
      </w:r>
      <w:r>
        <w:rPr>
          <w:sz w:val="20"/>
          <w:szCs w:val="20"/>
        </w:rPr>
        <w:t xml:space="preserve"> </w:t>
      </w:r>
      <w:r>
        <w:rPr>
          <w:sz w:val="20"/>
          <w:szCs w:val="20"/>
        </w:rPr>
        <w:t>3.</w:t>
      </w:r>
      <w:r>
        <w:rPr>
          <w:sz w:val="20"/>
          <w:szCs w:val="20"/>
        </w:rPr>
        <w:t>0</w:t>
      </w:r>
      <w:r>
        <w:rPr>
          <w:sz w:val="20"/>
          <w:szCs w:val="20"/>
        </w:rPr>
        <w:t>% but do not exceed</w:t>
      </w:r>
      <w:r>
        <w:rPr>
          <w:sz w:val="20"/>
          <w:szCs w:val="20"/>
        </w:rPr>
        <w:t xml:space="preserve"> </w:t>
      </w:r>
      <w:r>
        <w:rPr>
          <w:sz w:val="20"/>
          <w:szCs w:val="20"/>
        </w:rPr>
        <w:t>4.</w:t>
      </w:r>
      <w:r>
        <w:rPr>
          <w:sz w:val="20"/>
          <w:szCs w:val="20"/>
        </w:rPr>
        <w:t>0</w:t>
      </w:r>
      <w:r>
        <w:rPr>
          <w:sz w:val="20"/>
          <w:szCs w:val="20"/>
        </w:rPr>
        <w:t>% of the participant’s compensation. Beginning on May 22, 2020, the Company temporarily ceased making employer contributions. Employer contributions were reinstated beginning on April 23, 2021. Employer contributions</w:t>
      </w:r>
      <w:r>
        <w:rPr>
          <w:sz w:val="20"/>
          <w:szCs w:val="20"/>
        </w:rPr>
        <w:t xml:space="preserve"> under the 401(k) Savings Plan we</w:t>
      </w:r>
      <w:r>
        <w:rPr>
          <w:sz w:val="20"/>
          <w:szCs w:val="20"/>
        </w:rPr>
        <w:t>r</w:t>
      </w:r>
      <w:r>
        <w:rPr>
          <w:sz w:val="20"/>
          <w:szCs w:val="20"/>
        </w:rPr>
        <w:t xml:space="preserve">e </w:t>
      </w:r>
      <w:r>
        <w:rPr>
          <w:sz w:val="20"/>
          <w:szCs w:val="20"/>
        </w:rPr>
        <w:t>$</w:t>
      </w:r>
      <w:r>
        <w:rPr>
          <w:sz w:val="20"/>
          <w:szCs w:val="20"/>
        </w:rPr>
        <w:t>1.</w:t>
      </w:r>
      <w:r>
        <w:rPr>
          <w:sz w:val="20"/>
          <w:szCs w:val="20"/>
        </w:rPr>
        <w:t>7</w:t>
      </w:r>
      <w:r>
        <w:rPr>
          <w:sz w:val="20"/>
          <w:szCs w:val="20"/>
        </w:rPr>
        <w:t xml:space="preserve"> million and </w:t>
      </w:r>
      <w:r>
        <w:rPr>
          <w:sz w:val="20"/>
          <w:szCs w:val="20"/>
        </w:rPr>
        <w:t>$</w:t>
      </w:r>
      <w:r>
        <w:rPr>
          <w:sz w:val="20"/>
          <w:szCs w:val="20"/>
        </w:rPr>
        <w:t>3.</w:t>
      </w:r>
      <w:r>
        <w:rPr>
          <w:sz w:val="20"/>
          <w:szCs w:val="20"/>
        </w:rPr>
        <w:t>4</w:t>
      </w:r>
      <w:r>
        <w:rPr>
          <w:sz w:val="20"/>
          <w:szCs w:val="20"/>
        </w:rPr>
        <w:t xml:space="preserve"> million for the three and six months ended June 30, 202</w:t>
      </w:r>
      <w:r>
        <w:rPr>
          <w:sz w:val="20"/>
          <w:szCs w:val="20"/>
        </w:rPr>
        <w:t>2</w:t>
      </w:r>
      <w:r>
        <w:rPr>
          <w:sz w:val="20"/>
          <w:szCs w:val="20"/>
        </w:rPr>
        <w:t xml:space="preserve">, respectively, and </w:t>
      </w:r>
      <w:r>
        <w:rPr>
          <w:sz w:val="20"/>
          <w:szCs w:val="20"/>
        </w:rPr>
        <w:t>$</w:t>
      </w:r>
      <w:r>
        <w:rPr>
          <w:sz w:val="20"/>
          <w:szCs w:val="20"/>
        </w:rPr>
        <w:t>0.</w:t>
      </w:r>
      <w:r>
        <w:rPr>
          <w:sz w:val="20"/>
          <w:szCs w:val="20"/>
        </w:rPr>
        <w:t>7</w:t>
      </w:r>
      <w:r>
        <w:rPr>
          <w:sz w:val="20"/>
          <w:szCs w:val="20"/>
        </w:rPr>
        <w:t xml:space="preserve"> million for both the</w:t>
      </w:r>
      <w:r>
        <w:rPr>
          <w:sz w:val="20"/>
          <w:szCs w:val="20"/>
        </w:rPr>
        <w:t xml:space="preserve"> </w:t>
      </w:r>
      <w:r>
        <w:rPr>
          <w:sz w:val="20"/>
          <w:szCs w:val="20"/>
        </w:rPr>
        <w:t>three and six months ended June 30, 202</w:t>
      </w:r>
      <w:r>
        <w:rPr>
          <w:sz w:val="20"/>
          <w:szCs w:val="20"/>
        </w:rPr>
        <w:t>1</w:t>
      </w:r>
      <w:r>
        <w:rPr>
          <w:sz w:val="20"/>
          <w:szCs w:val="20"/>
        </w:rPr>
        <w:t>, and are included within selling, general, and administ</w:t>
      </w:r>
      <w:r>
        <w:rPr>
          <w:sz w:val="20"/>
          <w:szCs w:val="20"/>
        </w:rPr>
        <w:t>rative expense on the unaudited condensed consolidated statements of operations</w:t>
      </w:r>
      <w:r>
        <w:rPr>
          <w:sz w:val="20"/>
          <w:szCs w:val="20"/>
        </w:rPr>
        <w:t>.</w:t>
      </w:r>
    </w:p>
    <w:p w:rsidR="00000000" w:rsidRDefault="00F55F16">
      <w:pPr>
        <w:pStyle w:val="a3"/>
        <w:spacing w:before="360" w:beforeAutospacing="0" w:after="0" w:afterAutospacing="0"/>
        <w:divId w:val="1768963896"/>
        <w:rPr>
          <w:sz w:val="20"/>
          <w:szCs w:val="20"/>
        </w:rPr>
      </w:pPr>
      <w:r>
        <w:rPr>
          <w:b/>
          <w:bCs/>
          <w:sz w:val="20"/>
          <w:szCs w:val="20"/>
        </w:rPr>
        <w:t>21. SUBSEQUENT EVENT</w:t>
      </w:r>
      <w:r>
        <w:rPr>
          <w:b/>
          <w:bCs/>
          <w:sz w:val="20"/>
          <w:szCs w:val="20"/>
        </w:rPr>
        <w:t>S</w:t>
      </w:r>
    </w:p>
    <w:p w:rsidR="00000000" w:rsidRDefault="00F55F16">
      <w:pPr>
        <w:pStyle w:val="a3"/>
        <w:spacing w:before="0" w:beforeAutospacing="0" w:after="0" w:afterAutospacing="0"/>
        <w:divId w:val="1768963896"/>
        <w:rPr>
          <w:sz w:val="20"/>
          <w:szCs w:val="20"/>
        </w:rPr>
      </w:pPr>
      <w:r>
        <w:rPr>
          <w:sz w:val="20"/>
          <w:szCs w:val="20"/>
        </w:rPr>
        <w:t> </w:t>
      </w:r>
    </w:p>
    <w:p w:rsidR="00000000" w:rsidRDefault="00F55F16">
      <w:pPr>
        <w:pStyle w:val="a3"/>
        <w:spacing w:before="0" w:beforeAutospacing="0" w:after="0" w:afterAutospacing="0"/>
        <w:ind w:firstLine="653"/>
        <w:divId w:val="1768963896"/>
        <w:rPr>
          <w:sz w:val="20"/>
          <w:szCs w:val="20"/>
        </w:rPr>
      </w:pPr>
      <w:r>
        <w:rPr>
          <w:b/>
          <w:bCs/>
          <w:sz w:val="20"/>
          <w:szCs w:val="20"/>
        </w:rPr>
        <w:t>Business Acquisition</w:t>
      </w:r>
      <w:r>
        <w:rPr>
          <w:b/>
          <w:bCs/>
          <w:sz w:val="20"/>
          <w:szCs w:val="20"/>
        </w:rPr>
        <w:t>—</w:t>
      </w:r>
      <w:r>
        <w:rPr>
          <w:sz w:val="20"/>
          <w:szCs w:val="20"/>
        </w:rPr>
        <w:t>On August 1, 2022, the Company completed the business acquisition of TriAD Environmental Consultants, Inc. (“TriAD”) by acquiring</w:t>
      </w:r>
      <w:r>
        <w:rPr>
          <w:sz w:val="20"/>
          <w:szCs w:val="20"/>
        </w:rPr>
        <w:t xml:space="preserve"> </w:t>
      </w:r>
      <w:r>
        <w:rPr>
          <w:sz w:val="20"/>
          <w:szCs w:val="20"/>
        </w:rPr>
        <w:t>100.</w:t>
      </w:r>
      <w:r>
        <w:rPr>
          <w:sz w:val="20"/>
          <w:szCs w:val="20"/>
        </w:rPr>
        <w:t>0</w:t>
      </w:r>
      <w:r>
        <w:rPr>
          <w:sz w:val="20"/>
          <w:szCs w:val="20"/>
        </w:rPr>
        <w:t>% of the company's common stock.</w:t>
      </w:r>
      <w:r>
        <w:rPr>
          <w:sz w:val="20"/>
          <w:szCs w:val="20"/>
        </w:rPr>
        <w:t xml:space="preserve"> </w:t>
      </w:r>
      <w:r>
        <w:rPr>
          <w:sz w:val="20"/>
          <w:szCs w:val="20"/>
        </w:rPr>
        <w:t>This company is an environmental consulting company. TriAD is based in Nashville, TN.</w:t>
      </w:r>
      <w:r>
        <w:rPr>
          <w:sz w:val="20"/>
          <w:szCs w:val="20"/>
        </w:rPr>
        <w:t xml:space="preserve"> </w:t>
      </w:r>
      <w:r>
        <w:rPr>
          <w:sz w:val="20"/>
          <w:szCs w:val="20"/>
        </w:rPr>
        <w:t>TriAD is part of the Company’s Assessment, Permitting &amp; Response segment</w:t>
      </w:r>
      <w:r>
        <w:rPr>
          <w:sz w:val="20"/>
          <w:szCs w:val="20"/>
        </w:rPr>
        <w:t>.</w:t>
      </w:r>
    </w:p>
    <w:p w:rsidR="00000000" w:rsidRDefault="00F55F16">
      <w:pPr>
        <w:pStyle w:val="a3"/>
        <w:spacing w:before="0" w:beforeAutospacing="0" w:after="0" w:afterAutospacing="0"/>
        <w:ind w:firstLine="653"/>
        <w:divId w:val="186215711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5"/>
        <w:gridCol w:w="325"/>
        <w:gridCol w:w="150"/>
        <w:gridCol w:w="2756"/>
        <w:gridCol w:w="105"/>
        <w:gridCol w:w="319"/>
        <w:gridCol w:w="150"/>
        <w:gridCol w:w="2756"/>
        <w:gridCol w:w="120"/>
      </w:tblGrid>
      <w:tr w:rsidR="00000000">
        <w:trPr>
          <w:divId w:val="1862157112"/>
          <w:tblCellSpacing w:w="15" w:type="dxa"/>
        </w:trPr>
        <w:tc>
          <w:tcPr>
            <w:tcW w:w="994" w:type="pct"/>
            <w:vAlign w:val="center"/>
            <w:hideMark/>
          </w:tcPr>
          <w:p w:rsidR="00000000" w:rsidRDefault="00F55F16">
            <w:pPr>
              <w:rPr>
                <w:sz w:val="20"/>
                <w:szCs w:val="20"/>
              </w:rPr>
            </w:pPr>
          </w:p>
        </w:tc>
        <w:tc>
          <w:tcPr>
            <w:tcW w:w="19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70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9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70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divId w:val="1862157112"/>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Tota</w:t>
            </w:r>
            <w:r>
              <w:rPr>
                <w:b/>
                <w:bCs/>
                <w:sz w:val="18"/>
                <w:szCs w:val="18"/>
              </w:rPr>
              <w:t>l</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62157112"/>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Cas</w:t>
            </w:r>
            <w:r>
              <w:rPr>
                <w:b/>
                <w:bCs/>
                <w:sz w:val="18"/>
                <w:szCs w:val="18"/>
              </w:rPr>
              <w:t>h</w:t>
            </w:r>
            <w:r>
              <w:rPr>
                <w:b/>
                <w:bCs/>
                <w:sz w:val="12"/>
                <w:szCs w:val="12"/>
              </w:rPr>
              <w:t> (1</w:t>
            </w:r>
            <w:r>
              <w:rPr>
                <w:b/>
                <w:bCs/>
                <w:sz w:val="12"/>
                <w:szCs w:val="12"/>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Purchase Pric</w:t>
            </w:r>
            <w:r>
              <w:rPr>
                <w:b/>
                <w:bCs/>
                <w:sz w:val="18"/>
                <w:szCs w:val="18"/>
              </w:rPr>
              <w:t>e</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divId w:val="1862157112"/>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TriA</w:t>
            </w:r>
            <w:r>
              <w:rPr>
                <w:sz w:val="18"/>
                <w:szCs w:val="18"/>
              </w:rPr>
              <w:t>D</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3,000,00</w:t>
            </w:r>
            <w:r>
              <w:rPr>
                <w:sz w:val="18"/>
                <w:szCs w:val="18"/>
              </w:rPr>
              <w:t>0</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20"/>
                <w:szCs w:val="20"/>
              </w:rPr>
            </w:pPr>
            <w:r>
              <w:rPr>
                <w:sz w:val="18"/>
                <w:szCs w:val="18"/>
              </w:rPr>
              <w:t>3,000,00</w:t>
            </w:r>
            <w:r>
              <w:rPr>
                <w:sz w:val="18"/>
                <w:szCs w:val="18"/>
              </w:rPr>
              <w:t>0</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ind w:firstLine="653"/>
        <w:divId w:val="1862157112"/>
        <w:rPr>
          <w:sz w:val="20"/>
          <w:szCs w:val="20"/>
        </w:rPr>
      </w:pPr>
      <w:r>
        <w:rPr>
          <w:sz w:val="20"/>
          <w:szCs w:val="20"/>
        </w:rPr>
        <w:t> </w:t>
      </w:r>
    </w:p>
    <w:p w:rsidR="00000000" w:rsidRDefault="00F55F16">
      <w:pPr>
        <w:pStyle w:val="a3"/>
        <w:pBdr>
          <w:bottom w:val="single" w:sz="4" w:space="1" w:color="auto"/>
        </w:pBdr>
        <w:spacing w:before="0" w:beforeAutospacing="0" w:after="0" w:afterAutospacing="0"/>
        <w:ind w:right="9167"/>
        <w:divId w:val="1862157112"/>
        <w:rPr>
          <w:sz w:val="20"/>
          <w:szCs w:val="20"/>
        </w:rPr>
      </w:pPr>
      <w:r>
        <w:rPr>
          <w:sz w:val="20"/>
          <w:szCs w:val="20"/>
        </w:rPr>
        <w:t> </w:t>
      </w:r>
    </w:p>
    <w:p w:rsidR="00000000" w:rsidRDefault="00F55F16">
      <w:pPr>
        <w:pStyle w:val="a3"/>
        <w:spacing w:before="0" w:beforeAutospacing="0" w:after="0" w:afterAutospacing="0"/>
        <w:divId w:val="1862157112"/>
        <w:rPr>
          <w:sz w:val="20"/>
          <w:szCs w:val="20"/>
        </w:rPr>
      </w:pPr>
      <w:r>
        <w:rPr>
          <w:sz w:val="16"/>
          <w:szCs w:val="16"/>
        </w:rPr>
        <w:t>(1) The purchase price of this acquisition was funded</w:t>
      </w:r>
      <w:r>
        <w:rPr>
          <w:sz w:val="16"/>
          <w:szCs w:val="16"/>
        </w:rPr>
        <w:t xml:space="preserve"> </w:t>
      </w:r>
      <w:r>
        <w:rPr>
          <w:sz w:val="16"/>
          <w:szCs w:val="16"/>
        </w:rPr>
        <w:t>100.</w:t>
      </w:r>
      <w:r>
        <w:rPr>
          <w:sz w:val="16"/>
          <w:szCs w:val="16"/>
        </w:rPr>
        <w:t>0</w:t>
      </w:r>
      <w:r>
        <w:rPr>
          <w:sz w:val="16"/>
          <w:szCs w:val="16"/>
        </w:rPr>
        <w:t>% through cash on hand</w:t>
      </w:r>
      <w:r>
        <w:rPr>
          <w:sz w:val="16"/>
          <w:szCs w:val="16"/>
        </w:rPr>
        <w:t>.</w:t>
      </w:r>
      <w:r>
        <w:rPr>
          <w:sz w:val="16"/>
          <w:szCs w:val="16"/>
        </w:rPr>
        <w:br/>
      </w:r>
      <w:r>
        <w:rPr>
          <w:sz w:val="16"/>
          <w:szCs w:val="16"/>
        </w:rPr>
        <w:br/>
      </w:r>
      <w:r>
        <w:rPr>
          <w:sz w:val="16"/>
          <w:szCs w:val="16"/>
        </w:rPr>
        <w:t> </w:t>
      </w:r>
    </w:p>
    <w:p w:rsidR="00000000" w:rsidRDefault="00F55F16">
      <w:pPr>
        <w:pStyle w:val="a3"/>
        <w:spacing w:before="240" w:beforeAutospacing="0" w:after="0" w:afterAutospacing="0"/>
        <w:ind w:firstLine="555"/>
        <w:divId w:val="1768963896"/>
        <w:rPr>
          <w:sz w:val="20"/>
          <w:szCs w:val="20"/>
        </w:rPr>
      </w:pPr>
      <w:r>
        <w:rPr>
          <w:sz w:val="20"/>
          <w:szCs w:val="20"/>
        </w:rPr>
        <w:br/>
      </w:r>
      <w:r>
        <w:rPr>
          <w:sz w:val="20"/>
          <w:szCs w:val="20"/>
        </w:rPr>
        <w:t>Due to the timing of the close of this transaction, the Company has not yet completed the initial purchase price allocation for this acquisition, including obtaining all of the information required to determine the acquired intangible assets, goodwill, ass</w:t>
      </w:r>
      <w:r>
        <w:rPr>
          <w:sz w:val="20"/>
          <w:szCs w:val="20"/>
        </w:rPr>
        <w:t>ets and liabilities assumed</w:t>
      </w:r>
      <w:r>
        <w:rPr>
          <w:sz w:val="20"/>
          <w:szCs w:val="20"/>
        </w:rPr>
        <w:t>.</w:t>
      </w:r>
    </w:p>
    <w:p w:rsidR="00000000" w:rsidRDefault="00F55F16">
      <w:pPr>
        <w:pStyle w:val="a3"/>
        <w:spacing w:before="240" w:beforeAutospacing="0" w:after="0" w:afterAutospacing="0"/>
        <w:jc w:val="center"/>
        <w:rPr>
          <w:sz w:val="20"/>
          <w:szCs w:val="20"/>
        </w:rPr>
      </w:pPr>
      <w:r>
        <w:rPr>
          <w:sz w:val="20"/>
          <w:szCs w:val="20"/>
        </w:rPr>
        <w:t>2</w:t>
      </w:r>
      <w:r>
        <w:rPr>
          <w:sz w:val="20"/>
          <w:szCs w:val="20"/>
        </w:rPr>
        <w:t>8</w:t>
      </w:r>
    </w:p>
    <w:p w:rsidR="00000000" w:rsidRDefault="00F55F16">
      <w:pPr>
        <w:rPr>
          <w:rFonts w:eastAsia="Times New Roman"/>
        </w:rPr>
      </w:pPr>
      <w:r>
        <w:rPr>
          <w:rFonts w:eastAsia="Times New Roman"/>
        </w:rPr>
        <w:pict>
          <v:rect id="_x0000_i1054"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FORWARD-LOOKING STATEMENT</w:t>
      </w:r>
      <w:r>
        <w:rPr>
          <w:b/>
          <w:bCs/>
          <w:sz w:val="20"/>
          <w:szCs w:val="20"/>
        </w:rPr>
        <w:t>S</w:t>
      </w:r>
    </w:p>
    <w:p w:rsidR="00000000" w:rsidRDefault="00F55F16">
      <w:pPr>
        <w:pStyle w:val="a3"/>
        <w:spacing w:before="240" w:beforeAutospacing="0" w:after="0" w:afterAutospacing="0"/>
        <w:ind w:firstLine="555"/>
        <w:rPr>
          <w:sz w:val="20"/>
          <w:szCs w:val="20"/>
        </w:rPr>
      </w:pPr>
      <w:r>
        <w:rPr>
          <w:sz w:val="20"/>
          <w:szCs w:val="20"/>
        </w:rPr>
        <w:t>This Quarterly Report on Form 10-Q contains “forward-looking statements” within the meaning of Section 27A of the Securities Act of 1933, as amended, or the Securities Act, and Section 21E of</w:t>
      </w:r>
      <w:r>
        <w:rPr>
          <w:sz w:val="20"/>
          <w:szCs w:val="20"/>
        </w:rPr>
        <w:t xml:space="preserve"> the Securities Exchange Act of 1934, as amended, or the Exchange Act. These forward-looking statements relate to matters such as our industry, business strategy, goals and expectations concerning our market position, future operations, margins, profitabil</w:t>
      </w:r>
      <w:r>
        <w:rPr>
          <w:sz w:val="20"/>
          <w:szCs w:val="20"/>
        </w:rPr>
        <w:t>ity, capital expenditures, liquidity, capital resources and other financial and operating information. We use words such as “anticipate,” “assume,” “believe,” “contemplate,” “continue,” “could,” “estimate,” “expect,” “future,” “intend,” “may,” “plan,” “pos</w:t>
      </w:r>
      <w:r>
        <w:rPr>
          <w:sz w:val="20"/>
          <w:szCs w:val="20"/>
        </w:rPr>
        <w:t>ition,” “potential,” “predict,” “project,” “seek,” “should,” “target,” “will” and similar terms and phrases to identify forward-looking statements in this filing. All of our forward-looking statements are subject to risks and uncertainties that may cause a</w:t>
      </w:r>
      <w:r>
        <w:rPr>
          <w:sz w:val="20"/>
          <w:szCs w:val="20"/>
        </w:rPr>
        <w:t>ctual results to differ materially from those that we are expecting, including</w:t>
      </w:r>
      <w:r>
        <w:rPr>
          <w:sz w:val="20"/>
          <w:szCs w:val="20"/>
        </w:rPr>
        <w:t>:</w:t>
      </w:r>
    </w:p>
    <w:p w:rsidR="00000000" w:rsidRDefault="00F55F16">
      <w:pPr>
        <w:divId w:val="1428968312"/>
        <w:rPr>
          <w:rFonts w:eastAsia="Times New Roman"/>
        </w:rPr>
      </w:pPr>
      <w:r>
        <w:rPr>
          <w:rFonts w:eastAsia="Times New Roman"/>
          <w:sz w:val="20"/>
          <w:szCs w:val="20"/>
        </w:rPr>
        <w:t>•</w:t>
      </w:r>
    </w:p>
    <w:p w:rsidR="00000000" w:rsidRDefault="00F55F16">
      <w:pPr>
        <w:divId w:val="1608654452"/>
        <w:rPr>
          <w:rFonts w:eastAsia="Times New Roman"/>
        </w:rPr>
      </w:pPr>
      <w:r>
        <w:rPr>
          <w:rFonts w:eastAsia="Times New Roman"/>
          <w:sz w:val="20"/>
          <w:szCs w:val="20"/>
        </w:rPr>
        <w:t>our limited operating history</w:t>
      </w:r>
      <w:r>
        <w:rPr>
          <w:rFonts w:eastAsia="Times New Roman"/>
          <w:sz w:val="20"/>
          <w:szCs w:val="20"/>
        </w:rPr>
        <w:t>;</w:t>
      </w:r>
    </w:p>
    <w:p w:rsidR="00000000" w:rsidRDefault="00F55F16">
      <w:pPr>
        <w:divId w:val="1478721130"/>
        <w:rPr>
          <w:rFonts w:eastAsia="Times New Roman"/>
        </w:rPr>
      </w:pPr>
      <w:r>
        <w:rPr>
          <w:rFonts w:eastAsia="Times New Roman"/>
          <w:sz w:val="20"/>
          <w:szCs w:val="20"/>
        </w:rPr>
        <w:t>•</w:t>
      </w:r>
    </w:p>
    <w:p w:rsidR="00000000" w:rsidRDefault="00F55F16">
      <w:pPr>
        <w:divId w:val="941642677"/>
        <w:rPr>
          <w:rFonts w:eastAsia="Times New Roman"/>
        </w:rPr>
      </w:pPr>
      <w:r>
        <w:rPr>
          <w:rFonts w:eastAsia="Times New Roman"/>
          <w:sz w:val="20"/>
          <w:szCs w:val="20"/>
        </w:rPr>
        <w:t>our history of losses and ability to achieve profitability;</w:t>
      </w:r>
      <w:r>
        <w:rPr>
          <w:rFonts w:eastAsia="Times New Roman"/>
          <w:sz w:val="20"/>
          <w:szCs w:val="20"/>
        </w:rPr>
        <w:t xml:space="preserve"> </w:t>
      </w:r>
    </w:p>
    <w:p w:rsidR="00000000" w:rsidRDefault="00F55F16">
      <w:pPr>
        <w:divId w:val="1915579291"/>
        <w:rPr>
          <w:rFonts w:eastAsia="Times New Roman"/>
        </w:rPr>
      </w:pPr>
      <w:r>
        <w:rPr>
          <w:rFonts w:eastAsia="Times New Roman"/>
          <w:sz w:val="20"/>
          <w:szCs w:val="20"/>
        </w:rPr>
        <w:t>•</w:t>
      </w:r>
    </w:p>
    <w:p w:rsidR="00000000" w:rsidRDefault="00F55F16">
      <w:pPr>
        <w:divId w:val="1418137037"/>
        <w:rPr>
          <w:rFonts w:eastAsia="Times New Roman"/>
        </w:rPr>
      </w:pPr>
      <w:r>
        <w:rPr>
          <w:rFonts w:eastAsia="Times New Roman"/>
          <w:sz w:val="20"/>
          <w:szCs w:val="20"/>
        </w:rPr>
        <w:t>general global economic, business and other conditions, including inflation, t</w:t>
      </w:r>
      <w:r>
        <w:rPr>
          <w:rFonts w:eastAsia="Times New Roman"/>
          <w:sz w:val="20"/>
          <w:szCs w:val="20"/>
        </w:rPr>
        <w:t>he cyclical nature of our industry and the significant fluctuations in events that impact our business</w:t>
      </w:r>
      <w:r>
        <w:rPr>
          <w:rFonts w:eastAsia="Times New Roman"/>
          <w:sz w:val="20"/>
          <w:szCs w:val="20"/>
        </w:rPr>
        <w:t>;</w:t>
      </w:r>
    </w:p>
    <w:p w:rsidR="00000000" w:rsidRDefault="00F55F16">
      <w:pPr>
        <w:divId w:val="1794900234"/>
        <w:rPr>
          <w:rFonts w:eastAsia="Times New Roman"/>
        </w:rPr>
      </w:pPr>
      <w:r>
        <w:rPr>
          <w:rFonts w:eastAsia="Times New Roman"/>
          <w:sz w:val="20"/>
          <w:szCs w:val="20"/>
        </w:rPr>
        <w:t>•</w:t>
      </w:r>
    </w:p>
    <w:p w:rsidR="00000000" w:rsidRDefault="00F55F16">
      <w:pPr>
        <w:divId w:val="1211305954"/>
        <w:rPr>
          <w:rFonts w:eastAsia="Times New Roman"/>
        </w:rPr>
      </w:pPr>
      <w:r>
        <w:rPr>
          <w:rFonts w:eastAsia="Times New Roman"/>
          <w:sz w:val="20"/>
          <w:szCs w:val="20"/>
        </w:rPr>
        <w:t>the impact of the COVID-19 pandemic on our business operations and on local, national and global economies</w:t>
      </w:r>
      <w:r>
        <w:rPr>
          <w:rFonts w:eastAsia="Times New Roman"/>
          <w:sz w:val="20"/>
          <w:szCs w:val="20"/>
        </w:rPr>
        <w:t>;</w:t>
      </w:r>
    </w:p>
    <w:p w:rsidR="00000000" w:rsidRDefault="00F55F16">
      <w:pPr>
        <w:divId w:val="960499428"/>
        <w:rPr>
          <w:rFonts w:eastAsia="Times New Roman"/>
        </w:rPr>
      </w:pPr>
      <w:r>
        <w:rPr>
          <w:rFonts w:eastAsia="Times New Roman"/>
          <w:sz w:val="20"/>
          <w:szCs w:val="20"/>
        </w:rPr>
        <w:t>•</w:t>
      </w:r>
    </w:p>
    <w:p w:rsidR="00000000" w:rsidRDefault="00F55F16">
      <w:pPr>
        <w:divId w:val="1911960724"/>
        <w:rPr>
          <w:rFonts w:eastAsia="Times New Roman"/>
        </w:rPr>
      </w:pPr>
      <w:r>
        <w:rPr>
          <w:rFonts w:eastAsia="Times New Roman"/>
          <w:sz w:val="20"/>
          <w:szCs w:val="20"/>
        </w:rPr>
        <w:t>the parts of our business that depend on</w:t>
      </w:r>
      <w:r>
        <w:rPr>
          <w:rFonts w:eastAsia="Times New Roman"/>
          <w:sz w:val="20"/>
          <w:szCs w:val="20"/>
        </w:rPr>
        <w:t xml:space="preserve"> difficult to predict natural or manmade events and the fluctuations in our revenue and customer concentration as a result thereof</w:t>
      </w:r>
      <w:r>
        <w:rPr>
          <w:rFonts w:eastAsia="Times New Roman"/>
          <w:sz w:val="20"/>
          <w:szCs w:val="20"/>
        </w:rPr>
        <w:t>;</w:t>
      </w:r>
    </w:p>
    <w:p w:rsidR="00000000" w:rsidRDefault="00F55F16">
      <w:pPr>
        <w:divId w:val="1034845039"/>
        <w:rPr>
          <w:rFonts w:eastAsia="Times New Roman"/>
        </w:rPr>
      </w:pPr>
      <w:r>
        <w:rPr>
          <w:rFonts w:eastAsia="Times New Roman"/>
          <w:sz w:val="20"/>
          <w:szCs w:val="20"/>
        </w:rPr>
        <w:t>•</w:t>
      </w:r>
    </w:p>
    <w:p w:rsidR="00000000" w:rsidRDefault="00F55F16">
      <w:pPr>
        <w:divId w:val="1373193606"/>
        <w:rPr>
          <w:rFonts w:eastAsia="Times New Roman"/>
        </w:rPr>
      </w:pPr>
      <w:r>
        <w:rPr>
          <w:rFonts w:eastAsia="Times New Roman"/>
          <w:sz w:val="20"/>
          <w:szCs w:val="20"/>
        </w:rPr>
        <w:t>the highly competitive nature of our business</w:t>
      </w:r>
      <w:r>
        <w:rPr>
          <w:rFonts w:eastAsia="Times New Roman"/>
          <w:sz w:val="20"/>
          <w:szCs w:val="20"/>
        </w:rPr>
        <w:t>;</w:t>
      </w:r>
    </w:p>
    <w:p w:rsidR="00000000" w:rsidRDefault="00F55F16">
      <w:pPr>
        <w:divId w:val="1878158662"/>
        <w:rPr>
          <w:rFonts w:eastAsia="Times New Roman"/>
        </w:rPr>
      </w:pPr>
      <w:r>
        <w:rPr>
          <w:rFonts w:eastAsia="Times New Roman"/>
          <w:sz w:val="20"/>
          <w:szCs w:val="20"/>
        </w:rPr>
        <w:t>•</w:t>
      </w:r>
    </w:p>
    <w:p w:rsidR="00000000" w:rsidRDefault="00F55F16">
      <w:pPr>
        <w:divId w:val="1971204616"/>
        <w:rPr>
          <w:rFonts w:eastAsia="Times New Roman"/>
        </w:rPr>
      </w:pPr>
      <w:r>
        <w:rPr>
          <w:rFonts w:eastAsia="Times New Roman"/>
          <w:sz w:val="20"/>
          <w:szCs w:val="20"/>
        </w:rPr>
        <w:t>our ability to execute on our acquisition strategy and successfully integ</w:t>
      </w:r>
      <w:r>
        <w:rPr>
          <w:rFonts w:eastAsia="Times New Roman"/>
          <w:sz w:val="20"/>
          <w:szCs w:val="20"/>
        </w:rPr>
        <w:t>rate and realize benefits of our acquisitions</w:t>
      </w:r>
      <w:r>
        <w:rPr>
          <w:rFonts w:eastAsia="Times New Roman"/>
          <w:sz w:val="20"/>
          <w:szCs w:val="20"/>
        </w:rPr>
        <w:t>;</w:t>
      </w:r>
    </w:p>
    <w:p w:rsidR="00000000" w:rsidRDefault="00F55F16">
      <w:pPr>
        <w:divId w:val="695816355"/>
        <w:rPr>
          <w:rFonts w:eastAsia="Times New Roman"/>
        </w:rPr>
      </w:pPr>
      <w:r>
        <w:rPr>
          <w:rFonts w:eastAsia="Times New Roman"/>
          <w:sz w:val="20"/>
          <w:szCs w:val="20"/>
        </w:rPr>
        <w:t>•</w:t>
      </w:r>
    </w:p>
    <w:p w:rsidR="00000000" w:rsidRDefault="00F55F16">
      <w:pPr>
        <w:divId w:val="805003045"/>
        <w:rPr>
          <w:rFonts w:eastAsia="Times New Roman"/>
        </w:rPr>
      </w:pPr>
      <w:r>
        <w:rPr>
          <w:rFonts w:eastAsia="Times New Roman"/>
          <w:sz w:val="20"/>
          <w:szCs w:val="20"/>
        </w:rPr>
        <w:t>our ability to promote and develop our brands</w:t>
      </w:r>
      <w:r>
        <w:rPr>
          <w:rFonts w:eastAsia="Times New Roman"/>
          <w:sz w:val="20"/>
          <w:szCs w:val="20"/>
        </w:rPr>
        <w:t>;</w:t>
      </w:r>
    </w:p>
    <w:p w:rsidR="00000000" w:rsidRDefault="00F55F16">
      <w:pPr>
        <w:divId w:val="1462112335"/>
        <w:rPr>
          <w:rFonts w:eastAsia="Times New Roman"/>
        </w:rPr>
      </w:pPr>
      <w:r>
        <w:rPr>
          <w:rFonts w:eastAsia="Times New Roman"/>
          <w:sz w:val="20"/>
          <w:szCs w:val="20"/>
        </w:rPr>
        <w:t>•</w:t>
      </w:r>
    </w:p>
    <w:p w:rsidR="00000000" w:rsidRDefault="00F55F16">
      <w:pPr>
        <w:divId w:val="259068504"/>
        <w:rPr>
          <w:rFonts w:eastAsia="Times New Roman"/>
        </w:rPr>
      </w:pPr>
      <w:r>
        <w:rPr>
          <w:rFonts w:eastAsia="Times New Roman"/>
          <w:sz w:val="20"/>
          <w:szCs w:val="20"/>
        </w:rPr>
        <w:t>our ability to maintain and expand our client base</w:t>
      </w:r>
      <w:r>
        <w:rPr>
          <w:rFonts w:eastAsia="Times New Roman"/>
          <w:sz w:val="20"/>
          <w:szCs w:val="20"/>
        </w:rPr>
        <w:t>;</w:t>
      </w:r>
    </w:p>
    <w:p w:rsidR="00000000" w:rsidRDefault="00F55F16">
      <w:pPr>
        <w:divId w:val="1734504158"/>
        <w:rPr>
          <w:rFonts w:eastAsia="Times New Roman"/>
        </w:rPr>
      </w:pPr>
      <w:r>
        <w:rPr>
          <w:rFonts w:eastAsia="Times New Roman"/>
          <w:sz w:val="20"/>
          <w:szCs w:val="20"/>
        </w:rPr>
        <w:t>•</w:t>
      </w:r>
    </w:p>
    <w:p w:rsidR="00000000" w:rsidRDefault="00F55F16">
      <w:pPr>
        <w:divId w:val="620692076"/>
        <w:rPr>
          <w:rFonts w:eastAsia="Times New Roman"/>
        </w:rPr>
      </w:pPr>
      <w:r>
        <w:rPr>
          <w:rFonts w:eastAsia="Times New Roman"/>
          <w:sz w:val="20"/>
          <w:szCs w:val="20"/>
        </w:rPr>
        <w:t>our ability to maintain necessary accreditations and other authorizations in varying jurisdictions</w:t>
      </w:r>
      <w:r>
        <w:rPr>
          <w:rFonts w:eastAsia="Times New Roman"/>
          <w:sz w:val="20"/>
          <w:szCs w:val="20"/>
        </w:rPr>
        <w:t>;</w:t>
      </w:r>
    </w:p>
    <w:p w:rsidR="00000000" w:rsidRDefault="00F55F16">
      <w:pPr>
        <w:divId w:val="864900690"/>
        <w:rPr>
          <w:rFonts w:eastAsia="Times New Roman"/>
        </w:rPr>
      </w:pPr>
      <w:r>
        <w:rPr>
          <w:rFonts w:eastAsia="Times New Roman"/>
          <w:sz w:val="20"/>
          <w:szCs w:val="20"/>
        </w:rPr>
        <w:t>•</w:t>
      </w:r>
    </w:p>
    <w:p w:rsidR="00000000" w:rsidRDefault="00F55F16">
      <w:pPr>
        <w:divId w:val="1632785101"/>
        <w:rPr>
          <w:rFonts w:eastAsia="Times New Roman"/>
        </w:rPr>
      </w:pPr>
      <w:r>
        <w:rPr>
          <w:rFonts w:eastAsia="Times New Roman"/>
          <w:sz w:val="20"/>
          <w:szCs w:val="20"/>
        </w:rPr>
        <w:t>significant environmental governmental regulation</w:t>
      </w:r>
      <w:r>
        <w:rPr>
          <w:rFonts w:eastAsia="Times New Roman"/>
          <w:sz w:val="20"/>
          <w:szCs w:val="20"/>
        </w:rPr>
        <w:t>;</w:t>
      </w:r>
    </w:p>
    <w:p w:rsidR="00000000" w:rsidRDefault="00F55F16">
      <w:pPr>
        <w:divId w:val="1043824596"/>
        <w:rPr>
          <w:rFonts w:eastAsia="Times New Roman"/>
        </w:rPr>
      </w:pPr>
      <w:r>
        <w:rPr>
          <w:rFonts w:eastAsia="Times New Roman"/>
          <w:sz w:val="20"/>
          <w:szCs w:val="20"/>
        </w:rPr>
        <w:t>•</w:t>
      </w:r>
    </w:p>
    <w:p w:rsidR="00000000" w:rsidRDefault="00F55F16">
      <w:pPr>
        <w:divId w:val="580217988"/>
        <w:rPr>
          <w:rFonts w:eastAsia="Times New Roman"/>
        </w:rPr>
      </w:pPr>
      <w:r>
        <w:rPr>
          <w:rFonts w:eastAsia="Times New Roman"/>
          <w:sz w:val="20"/>
          <w:szCs w:val="20"/>
        </w:rPr>
        <w:t>our ability to attract and retain qualified managerial and skilled technical personnel</w:t>
      </w:r>
      <w:r>
        <w:rPr>
          <w:rFonts w:eastAsia="Times New Roman"/>
          <w:sz w:val="20"/>
          <w:szCs w:val="20"/>
        </w:rPr>
        <w:t>;</w:t>
      </w:r>
    </w:p>
    <w:p w:rsidR="00000000" w:rsidRDefault="00F55F16">
      <w:pPr>
        <w:divId w:val="947933791"/>
        <w:rPr>
          <w:rFonts w:eastAsia="Times New Roman"/>
        </w:rPr>
      </w:pPr>
      <w:r>
        <w:rPr>
          <w:rFonts w:eastAsia="Times New Roman"/>
          <w:sz w:val="20"/>
          <w:szCs w:val="20"/>
        </w:rPr>
        <w:t>•</w:t>
      </w:r>
    </w:p>
    <w:p w:rsidR="00000000" w:rsidRDefault="00F55F16">
      <w:pPr>
        <w:divId w:val="90245752"/>
        <w:rPr>
          <w:rFonts w:eastAsia="Times New Roman"/>
        </w:rPr>
      </w:pPr>
      <w:r>
        <w:rPr>
          <w:rFonts w:eastAsia="Times New Roman"/>
          <w:sz w:val="20"/>
          <w:szCs w:val="20"/>
        </w:rPr>
        <w:t>safety-related issues</w:t>
      </w:r>
      <w:r>
        <w:rPr>
          <w:rFonts w:eastAsia="Times New Roman"/>
          <w:sz w:val="20"/>
          <w:szCs w:val="20"/>
        </w:rPr>
        <w:t>;</w:t>
      </w:r>
    </w:p>
    <w:p w:rsidR="00000000" w:rsidRDefault="00F55F16">
      <w:pPr>
        <w:divId w:val="777482270"/>
        <w:rPr>
          <w:rFonts w:eastAsia="Times New Roman"/>
        </w:rPr>
      </w:pPr>
      <w:r>
        <w:rPr>
          <w:rFonts w:eastAsia="Times New Roman"/>
          <w:sz w:val="20"/>
          <w:szCs w:val="20"/>
        </w:rPr>
        <w:t>•</w:t>
      </w:r>
    </w:p>
    <w:p w:rsidR="00000000" w:rsidRDefault="00F55F16">
      <w:pPr>
        <w:divId w:val="500781259"/>
        <w:rPr>
          <w:rFonts w:eastAsia="Times New Roman"/>
        </w:rPr>
      </w:pPr>
      <w:r>
        <w:rPr>
          <w:rFonts w:eastAsia="Times New Roman"/>
          <w:sz w:val="20"/>
          <w:szCs w:val="20"/>
        </w:rPr>
        <w:t>allegations regarding compliance with professional standards, duties and statutory obligations and our ability to provide accurate results</w:t>
      </w:r>
      <w:r>
        <w:rPr>
          <w:rFonts w:eastAsia="Times New Roman"/>
          <w:sz w:val="20"/>
          <w:szCs w:val="20"/>
        </w:rPr>
        <w:t>;</w:t>
      </w:r>
    </w:p>
    <w:p w:rsidR="00000000" w:rsidRDefault="00F55F16">
      <w:pPr>
        <w:divId w:val="595330551"/>
        <w:rPr>
          <w:rFonts w:eastAsia="Times New Roman"/>
        </w:rPr>
      </w:pPr>
      <w:r>
        <w:rPr>
          <w:rFonts w:eastAsia="Times New Roman"/>
          <w:sz w:val="20"/>
          <w:szCs w:val="20"/>
        </w:rPr>
        <w:t>•</w:t>
      </w:r>
    </w:p>
    <w:p w:rsidR="00000000" w:rsidRDefault="00F55F16">
      <w:pPr>
        <w:divId w:val="1368407799"/>
        <w:rPr>
          <w:rFonts w:eastAsia="Times New Roman"/>
        </w:rPr>
      </w:pPr>
      <w:r>
        <w:rPr>
          <w:rFonts w:eastAsia="Times New Roman"/>
          <w:sz w:val="20"/>
          <w:szCs w:val="20"/>
        </w:rPr>
        <w:t>the lack of formal long-term agreements with many of our clients</w:t>
      </w:r>
      <w:r>
        <w:rPr>
          <w:rFonts w:eastAsia="Times New Roman"/>
          <w:sz w:val="20"/>
          <w:szCs w:val="20"/>
        </w:rPr>
        <w:t>;</w:t>
      </w:r>
    </w:p>
    <w:p w:rsidR="00000000" w:rsidRDefault="00F55F16">
      <w:pPr>
        <w:divId w:val="1869565149"/>
        <w:rPr>
          <w:rFonts w:eastAsia="Times New Roman"/>
        </w:rPr>
      </w:pPr>
      <w:r>
        <w:rPr>
          <w:rFonts w:eastAsia="Times New Roman"/>
          <w:sz w:val="20"/>
          <w:szCs w:val="20"/>
        </w:rPr>
        <w:t>•</w:t>
      </w:r>
    </w:p>
    <w:p w:rsidR="00000000" w:rsidRDefault="00F55F16">
      <w:pPr>
        <w:divId w:val="1797798896"/>
        <w:rPr>
          <w:rFonts w:eastAsia="Times New Roman"/>
        </w:rPr>
      </w:pPr>
      <w:r>
        <w:rPr>
          <w:rFonts w:eastAsia="Times New Roman"/>
          <w:sz w:val="20"/>
          <w:szCs w:val="20"/>
        </w:rPr>
        <w:t>our ability to adapt to changing technology, i</w:t>
      </w:r>
      <w:r>
        <w:rPr>
          <w:rFonts w:eastAsia="Times New Roman"/>
          <w:sz w:val="20"/>
          <w:szCs w:val="20"/>
        </w:rPr>
        <w:t>ndustry standards or regulatory requirements</w:t>
      </w:r>
      <w:r>
        <w:rPr>
          <w:rFonts w:eastAsia="Times New Roman"/>
          <w:sz w:val="20"/>
          <w:szCs w:val="20"/>
        </w:rPr>
        <w:t>;</w:t>
      </w:r>
    </w:p>
    <w:p w:rsidR="00000000" w:rsidRDefault="00F55F16">
      <w:pPr>
        <w:divId w:val="1498426392"/>
        <w:rPr>
          <w:rFonts w:eastAsia="Times New Roman"/>
        </w:rPr>
      </w:pPr>
      <w:r>
        <w:rPr>
          <w:rFonts w:eastAsia="Times New Roman"/>
          <w:sz w:val="20"/>
          <w:szCs w:val="20"/>
        </w:rPr>
        <w:t>•</w:t>
      </w:r>
    </w:p>
    <w:p w:rsidR="00000000" w:rsidRDefault="00F55F16">
      <w:pPr>
        <w:divId w:val="1417556057"/>
        <w:rPr>
          <w:rFonts w:eastAsia="Times New Roman"/>
        </w:rPr>
      </w:pPr>
      <w:r>
        <w:rPr>
          <w:rFonts w:eastAsia="Times New Roman"/>
          <w:sz w:val="20"/>
          <w:szCs w:val="20"/>
        </w:rPr>
        <w:t>government clients and contracts</w:t>
      </w:r>
      <w:r>
        <w:rPr>
          <w:rFonts w:eastAsia="Times New Roman"/>
          <w:sz w:val="20"/>
          <w:szCs w:val="20"/>
        </w:rPr>
        <w:t>;</w:t>
      </w:r>
    </w:p>
    <w:p w:rsidR="00000000" w:rsidRDefault="00F55F16">
      <w:pPr>
        <w:divId w:val="1146043508"/>
        <w:rPr>
          <w:rFonts w:eastAsia="Times New Roman"/>
        </w:rPr>
      </w:pPr>
      <w:r>
        <w:rPr>
          <w:rFonts w:eastAsia="Times New Roman"/>
          <w:sz w:val="20"/>
          <w:szCs w:val="20"/>
        </w:rPr>
        <w:t>•</w:t>
      </w:r>
    </w:p>
    <w:p w:rsidR="00000000" w:rsidRDefault="00F55F16">
      <w:pPr>
        <w:divId w:val="760024183"/>
        <w:rPr>
          <w:rFonts w:eastAsia="Times New Roman"/>
        </w:rPr>
      </w:pPr>
      <w:r>
        <w:rPr>
          <w:rFonts w:eastAsia="Times New Roman"/>
          <w:sz w:val="20"/>
          <w:szCs w:val="20"/>
        </w:rPr>
        <w:t>our ability to maintain our prices and manage costs;</w:t>
      </w:r>
      <w:r>
        <w:rPr>
          <w:rFonts w:eastAsia="Times New Roman"/>
          <w:sz w:val="20"/>
          <w:szCs w:val="20"/>
        </w:rPr>
        <w:t xml:space="preserve"> </w:t>
      </w:r>
    </w:p>
    <w:p w:rsidR="00000000" w:rsidRDefault="00F55F16">
      <w:pPr>
        <w:divId w:val="1065183812"/>
        <w:rPr>
          <w:rFonts w:eastAsia="Times New Roman"/>
        </w:rPr>
      </w:pPr>
      <w:r>
        <w:rPr>
          <w:rFonts w:eastAsia="Times New Roman"/>
          <w:sz w:val="20"/>
          <w:szCs w:val="20"/>
        </w:rPr>
        <w:t>•</w:t>
      </w:r>
    </w:p>
    <w:p w:rsidR="00000000" w:rsidRDefault="00F55F16">
      <w:pPr>
        <w:divId w:val="1290864585"/>
        <w:rPr>
          <w:rFonts w:eastAsia="Times New Roman"/>
        </w:rPr>
      </w:pPr>
      <w:r>
        <w:rPr>
          <w:rFonts w:eastAsia="Times New Roman"/>
          <w:sz w:val="20"/>
          <w:szCs w:val="20"/>
        </w:rPr>
        <w:t>our ability to protect our intellectual property or claims that we infringe on the intellectual property rights of o</w:t>
      </w:r>
      <w:r>
        <w:rPr>
          <w:rFonts w:eastAsia="Times New Roman"/>
          <w:sz w:val="20"/>
          <w:szCs w:val="20"/>
        </w:rPr>
        <w:t>thers</w:t>
      </w:r>
      <w:r>
        <w:rPr>
          <w:rFonts w:eastAsia="Times New Roman"/>
          <w:sz w:val="20"/>
          <w:szCs w:val="20"/>
        </w:rPr>
        <w:t>;</w:t>
      </w:r>
    </w:p>
    <w:p w:rsidR="00000000" w:rsidRDefault="00F55F16">
      <w:pPr>
        <w:divId w:val="1744832813"/>
        <w:rPr>
          <w:rFonts w:eastAsia="Times New Roman"/>
        </w:rPr>
      </w:pPr>
      <w:r>
        <w:rPr>
          <w:rFonts w:eastAsia="Times New Roman"/>
          <w:sz w:val="20"/>
          <w:szCs w:val="20"/>
        </w:rPr>
        <w:t>•</w:t>
      </w:r>
    </w:p>
    <w:p w:rsidR="00000000" w:rsidRDefault="00F55F16">
      <w:pPr>
        <w:divId w:val="1378116908"/>
        <w:rPr>
          <w:rFonts w:eastAsia="Times New Roman"/>
        </w:rPr>
      </w:pPr>
      <w:r>
        <w:rPr>
          <w:rFonts w:eastAsia="Times New Roman"/>
          <w:sz w:val="20"/>
          <w:szCs w:val="20"/>
        </w:rPr>
        <w:t>laws and regulations regarding handling of confidential information</w:t>
      </w:r>
      <w:r>
        <w:rPr>
          <w:rFonts w:eastAsia="Times New Roman"/>
          <w:sz w:val="20"/>
          <w:szCs w:val="20"/>
        </w:rPr>
        <w:t>;</w:t>
      </w:r>
    </w:p>
    <w:p w:rsidR="00000000" w:rsidRDefault="00F55F16">
      <w:pPr>
        <w:divId w:val="1827747328"/>
        <w:rPr>
          <w:rFonts w:eastAsia="Times New Roman"/>
        </w:rPr>
      </w:pPr>
      <w:r>
        <w:rPr>
          <w:rFonts w:eastAsia="Times New Roman"/>
          <w:sz w:val="20"/>
          <w:szCs w:val="20"/>
        </w:rPr>
        <w:t>•</w:t>
      </w:r>
    </w:p>
    <w:p w:rsidR="00000000" w:rsidRDefault="00F55F16">
      <w:pPr>
        <w:divId w:val="357048432"/>
        <w:rPr>
          <w:rFonts w:eastAsia="Times New Roman"/>
        </w:rPr>
      </w:pPr>
      <w:r>
        <w:rPr>
          <w:rFonts w:eastAsia="Times New Roman"/>
          <w:sz w:val="20"/>
          <w:szCs w:val="20"/>
        </w:rPr>
        <w:t>any failure in or breach of our networks and systems or other forms of cyber-attack</w:t>
      </w:r>
      <w:r>
        <w:rPr>
          <w:rFonts w:eastAsia="Times New Roman"/>
          <w:sz w:val="20"/>
          <w:szCs w:val="20"/>
        </w:rPr>
        <w:t>;</w:t>
      </w:r>
    </w:p>
    <w:p w:rsidR="00000000" w:rsidRDefault="00F55F16">
      <w:pPr>
        <w:divId w:val="1060834141"/>
        <w:rPr>
          <w:rFonts w:eastAsia="Times New Roman"/>
        </w:rPr>
      </w:pPr>
      <w:r>
        <w:rPr>
          <w:rFonts w:eastAsia="Times New Roman"/>
          <w:sz w:val="20"/>
          <w:szCs w:val="20"/>
        </w:rPr>
        <w:t>•</w:t>
      </w:r>
    </w:p>
    <w:p w:rsidR="00000000" w:rsidRDefault="00F55F16">
      <w:pPr>
        <w:divId w:val="847215112"/>
        <w:rPr>
          <w:rFonts w:eastAsia="Times New Roman"/>
        </w:rPr>
      </w:pPr>
      <w:r>
        <w:rPr>
          <w:rFonts w:eastAsia="Times New Roman"/>
          <w:sz w:val="20"/>
          <w:szCs w:val="20"/>
        </w:rPr>
        <w:t>our international operations</w:t>
      </w:r>
      <w:r>
        <w:rPr>
          <w:rFonts w:eastAsia="Times New Roman"/>
          <w:sz w:val="20"/>
          <w:szCs w:val="20"/>
        </w:rPr>
        <w:t>;</w:t>
      </w:r>
    </w:p>
    <w:p w:rsidR="00000000" w:rsidRDefault="00F55F16">
      <w:pPr>
        <w:divId w:val="663974827"/>
        <w:rPr>
          <w:rFonts w:eastAsia="Times New Roman"/>
        </w:rPr>
      </w:pPr>
      <w:r>
        <w:rPr>
          <w:rFonts w:eastAsia="Times New Roman"/>
          <w:sz w:val="20"/>
          <w:szCs w:val="20"/>
        </w:rPr>
        <w:t>•</w:t>
      </w:r>
    </w:p>
    <w:p w:rsidR="00000000" w:rsidRDefault="00F55F16">
      <w:pPr>
        <w:divId w:val="2068264284"/>
        <w:rPr>
          <w:rFonts w:eastAsia="Times New Roman"/>
        </w:rPr>
      </w:pPr>
      <w:r>
        <w:rPr>
          <w:rFonts w:eastAsia="Times New Roman"/>
          <w:sz w:val="20"/>
          <w:szCs w:val="20"/>
        </w:rPr>
        <w:t>product related risks</w:t>
      </w:r>
      <w:r>
        <w:rPr>
          <w:rFonts w:eastAsia="Times New Roman"/>
          <w:sz w:val="20"/>
          <w:szCs w:val="20"/>
        </w:rPr>
        <w:t>;</w:t>
      </w:r>
    </w:p>
    <w:p w:rsidR="00000000" w:rsidRDefault="00F55F16">
      <w:pPr>
        <w:divId w:val="1627000729"/>
        <w:rPr>
          <w:rFonts w:eastAsia="Times New Roman"/>
        </w:rPr>
      </w:pPr>
      <w:r>
        <w:rPr>
          <w:rFonts w:eastAsia="Times New Roman"/>
          <w:sz w:val="20"/>
          <w:szCs w:val="20"/>
        </w:rPr>
        <w:t>•</w:t>
      </w:r>
    </w:p>
    <w:p w:rsidR="00000000" w:rsidRDefault="00F55F16">
      <w:pPr>
        <w:divId w:val="556402441"/>
        <w:rPr>
          <w:rFonts w:eastAsia="Times New Roman"/>
        </w:rPr>
      </w:pPr>
      <w:r>
        <w:rPr>
          <w:rFonts w:eastAsia="Times New Roman"/>
          <w:sz w:val="20"/>
          <w:szCs w:val="20"/>
        </w:rPr>
        <w:t>environmental regulations and li</w:t>
      </w:r>
      <w:r>
        <w:rPr>
          <w:rFonts w:eastAsia="Times New Roman"/>
          <w:sz w:val="20"/>
          <w:szCs w:val="20"/>
        </w:rPr>
        <w:t>abilities; an</w:t>
      </w:r>
      <w:r>
        <w:rPr>
          <w:rFonts w:eastAsia="Times New Roman"/>
          <w:sz w:val="20"/>
          <w:szCs w:val="20"/>
        </w:rPr>
        <w:t>d</w:t>
      </w:r>
    </w:p>
    <w:p w:rsidR="00000000" w:rsidRDefault="00F55F16">
      <w:pPr>
        <w:divId w:val="1066417506"/>
        <w:rPr>
          <w:rFonts w:eastAsia="Times New Roman"/>
        </w:rPr>
      </w:pPr>
      <w:r>
        <w:rPr>
          <w:rFonts w:eastAsia="Times New Roman"/>
          <w:sz w:val="20"/>
          <w:szCs w:val="20"/>
        </w:rPr>
        <w:t>•</w:t>
      </w:r>
    </w:p>
    <w:p w:rsidR="00000000" w:rsidRDefault="00F55F16">
      <w:pPr>
        <w:divId w:val="1547765218"/>
        <w:rPr>
          <w:rFonts w:eastAsia="Times New Roman"/>
        </w:rPr>
      </w:pPr>
      <w:r>
        <w:rPr>
          <w:rFonts w:eastAsia="Times New Roman"/>
          <w:sz w:val="20"/>
          <w:szCs w:val="20"/>
        </w:rPr>
        <w:t>additional factors discussed in our filings with the Securities and Exchange Commission, or the SEC</w:t>
      </w:r>
      <w:r>
        <w:rPr>
          <w:rFonts w:eastAsia="Times New Roman"/>
          <w:sz w:val="20"/>
          <w:szCs w:val="20"/>
        </w:rPr>
        <w:t>.</w:t>
      </w:r>
    </w:p>
    <w:p w:rsidR="00000000" w:rsidRDefault="00F55F16">
      <w:pPr>
        <w:pStyle w:val="a3"/>
        <w:spacing w:before="240" w:beforeAutospacing="0" w:after="0" w:afterAutospacing="0"/>
        <w:jc w:val="center"/>
        <w:rPr>
          <w:sz w:val="20"/>
          <w:szCs w:val="20"/>
        </w:rPr>
      </w:pPr>
      <w:r>
        <w:rPr>
          <w:sz w:val="20"/>
          <w:szCs w:val="20"/>
        </w:rPr>
        <w:t>2</w:t>
      </w:r>
      <w:r>
        <w:rPr>
          <w:sz w:val="20"/>
          <w:szCs w:val="20"/>
        </w:rPr>
        <w:t>9</w:t>
      </w:r>
    </w:p>
    <w:p w:rsidR="00000000" w:rsidRDefault="00F55F16">
      <w:pPr>
        <w:rPr>
          <w:rFonts w:eastAsia="Times New Roman"/>
        </w:rPr>
      </w:pPr>
      <w:r>
        <w:rPr>
          <w:rFonts w:eastAsia="Times New Roman"/>
        </w:rPr>
        <w:pict>
          <v:rect id="_x0000_i1055"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ind w:firstLine="555"/>
        <w:rPr>
          <w:sz w:val="20"/>
          <w:szCs w:val="20"/>
        </w:rPr>
      </w:pPr>
      <w:r>
        <w:rPr>
          <w:sz w:val="20"/>
          <w:szCs w:val="20"/>
        </w:rPr>
        <w:t xml:space="preserve">The forward-looking statements in this Quarterly Report on Form 10-Q are based on historical performance and management’s current plans, estimates and expectations in light of information currently available to us and </w:t>
      </w:r>
      <w:r>
        <w:rPr>
          <w:sz w:val="20"/>
          <w:szCs w:val="20"/>
        </w:rPr>
        <w:t>are subject to uncertainty and changes in circumstances. There can be no assurance that future developments affecting us will be those that we have anticipated. Actual results or outcomes may differ materially from these expectations due to changes in glob</w:t>
      </w:r>
      <w:r>
        <w:rPr>
          <w:sz w:val="20"/>
          <w:szCs w:val="20"/>
        </w:rPr>
        <w:t>al, regional or local political, economic, business, competitive, market, regulatory and other factors, many of which are beyond our control, as well as the other factors described in Item 1A. “Risk Factors” in our Annual Report on Form 10-K for the year e</w:t>
      </w:r>
      <w:r>
        <w:rPr>
          <w:sz w:val="20"/>
          <w:szCs w:val="20"/>
        </w:rPr>
        <w:t>nded December 31, 2021 filed with the SEC on March 1, 2022, or the 2021 Form 10-K. Further, many of these factors are, and may continue to be, amplified by the COVID-19 pandemic</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Additional factors or events that could cause our actual results or outcomes</w:t>
      </w:r>
      <w:r>
        <w:rPr>
          <w:sz w:val="20"/>
          <w:szCs w:val="20"/>
        </w:rPr>
        <w:t xml:space="preserve"> to differ may also emerge from time to time, and it is not possible for us to predict all of them. In addition, historical, current and forward-looking sustainability-related statements may be based on standards for measuring progress that are still devel</w:t>
      </w:r>
      <w:r>
        <w:rPr>
          <w:sz w:val="20"/>
          <w:szCs w:val="20"/>
        </w:rPr>
        <w:t>oping, internal controls and processes that continue to evolve, and assumptions that are subject to change in the future. Should one or more of these risks or uncertainties materialize, or should any of our assumptions prove to be incorrect, our actual res</w:t>
      </w:r>
      <w:r>
        <w:rPr>
          <w:sz w:val="20"/>
          <w:szCs w:val="20"/>
        </w:rPr>
        <w:t>ults or outcomes may vary in material respects from what we may have expressed or implied by any forward-looking statement and, therefore, you should not regard any forward-looking statement as a representation or warranty by us or any other person that we</w:t>
      </w:r>
      <w:r>
        <w:rPr>
          <w:sz w:val="20"/>
          <w:szCs w:val="20"/>
        </w:rPr>
        <w:t xml:space="preserve"> will successfully achieve the expectation, plan or objective expressed in such forward-looking statement in any specified time frame, or at all. We caution that you should not place undue reliance on any of our forward-looking statements. Any forward-look</w:t>
      </w:r>
      <w:r>
        <w:rPr>
          <w:sz w:val="20"/>
          <w:szCs w:val="20"/>
        </w:rPr>
        <w:t>ing statement made by us speaks only as of the date on which we make it. We undertake no obligation to publicly update any forward-looking statement, whether as a result of new information, future developments or otherwise, except as may be required by app</w:t>
      </w:r>
      <w:r>
        <w:rPr>
          <w:sz w:val="20"/>
          <w:szCs w:val="20"/>
        </w:rPr>
        <w:t>licable securities laws</w:t>
      </w:r>
      <w:r>
        <w:rPr>
          <w:sz w:val="20"/>
          <w:szCs w:val="20"/>
        </w:rPr>
        <w:t>.</w: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3</w:t>
      </w:r>
      <w:r>
        <w:rPr>
          <w:sz w:val="20"/>
          <w:szCs w:val="20"/>
        </w:rPr>
        <w:t>0</w:t>
      </w:r>
    </w:p>
    <w:p w:rsidR="00000000" w:rsidRDefault="00F55F16">
      <w:pPr>
        <w:rPr>
          <w:rFonts w:eastAsia="Times New Roman"/>
        </w:rPr>
      </w:pPr>
      <w:r>
        <w:rPr>
          <w:rFonts w:eastAsia="Times New Roman"/>
        </w:rPr>
        <w:pict>
          <v:rect id="_x0000_i1056"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rPr>
          <w:sz w:val="20"/>
          <w:szCs w:val="20"/>
        </w:rPr>
      </w:pPr>
      <w:r>
        <w:rPr>
          <w:b/>
          <w:bCs/>
          <w:sz w:val="20"/>
          <w:szCs w:val="20"/>
        </w:rPr>
        <w:t>Item 2. Management’s Discussion and Analysis o</w:t>
      </w:r>
      <w:r>
        <w:rPr>
          <w:b/>
          <w:bCs/>
          <w:sz w:val="20"/>
          <w:szCs w:val="20"/>
        </w:rPr>
        <w:t>f</w:t>
      </w:r>
      <w:r>
        <w:rPr>
          <w:b/>
          <w:bCs/>
          <w:sz w:val="20"/>
          <w:szCs w:val="20"/>
        </w:rPr>
        <w:t xml:space="preserve"> Financial Condition and Results of Operations</w:t>
      </w:r>
      <w:r>
        <w:rPr>
          <w:b/>
          <w:bCs/>
          <w:sz w:val="20"/>
          <w:szCs w:val="20"/>
        </w:rPr>
        <w:t>.</w:t>
      </w:r>
    </w:p>
    <w:p w:rsidR="00000000" w:rsidRDefault="00F55F16">
      <w:pPr>
        <w:pStyle w:val="a3"/>
        <w:spacing w:before="120" w:beforeAutospacing="0" w:after="0" w:afterAutospacing="0"/>
        <w:ind w:firstLine="555"/>
        <w:rPr>
          <w:sz w:val="20"/>
          <w:szCs w:val="20"/>
        </w:rPr>
      </w:pPr>
      <w:r>
        <w:rPr>
          <w:i/>
          <w:iCs/>
          <w:sz w:val="20"/>
          <w:szCs w:val="20"/>
        </w:rPr>
        <w:t>The following discussion and analysis of our financial condition and results of operations sh</w:t>
      </w:r>
      <w:r>
        <w:rPr>
          <w:i/>
          <w:iCs/>
          <w:sz w:val="20"/>
          <w:szCs w:val="20"/>
        </w:rPr>
        <w:t>ould be read in conjunction with our historical audited and unaudited consolidated financial statements and related notes and other information included elsewhere in this filing and our other filings with the SEC, including our unaudited condensed consolid</w:t>
      </w:r>
      <w:r>
        <w:rPr>
          <w:i/>
          <w:iCs/>
          <w:sz w:val="20"/>
          <w:szCs w:val="20"/>
        </w:rPr>
        <w:t>ated financial statements and the accompanying notes as of and for the three and six months ended June 30, 2022 and June 30, 2021 included in Part I, Item 1. “Financial Statements” in this Quarterly Report on Form 10-Q. This discussion contains forward-loo</w:t>
      </w:r>
      <w:r>
        <w:rPr>
          <w:i/>
          <w:iCs/>
          <w:sz w:val="20"/>
          <w:szCs w:val="20"/>
        </w:rPr>
        <w:t>king statements that involve risks and uncertainties. Our actual results could differ materially from such forward-looking statements. Factors that could cause or contribute to those differences include, but are not limited to, those identified below and t</w:t>
      </w:r>
      <w:r>
        <w:rPr>
          <w:i/>
          <w:iCs/>
          <w:sz w:val="20"/>
          <w:szCs w:val="20"/>
        </w:rPr>
        <w:t>hose discussed in the section entitled “Forward-Looking Statements”, and elsewhere in this filing and our other filings with the SEC, including in Item 1A. Risk Factors in the 2021 Form 10-K</w:t>
      </w:r>
      <w:r>
        <w:rPr>
          <w:i/>
          <w:iCs/>
          <w:sz w:val="20"/>
          <w:szCs w:val="20"/>
        </w:rPr>
        <w:t>.</w:t>
      </w:r>
      <w:r>
        <w:rPr>
          <w:i/>
          <w:iCs/>
          <w:sz w:val="20"/>
          <w:szCs w:val="20"/>
        </w:rPr>
        <w:t xml:space="preserve"> </w:t>
      </w:r>
    </w:p>
    <w:p w:rsidR="00000000" w:rsidRDefault="00F55F16">
      <w:pPr>
        <w:pStyle w:val="a3"/>
        <w:spacing w:before="360" w:beforeAutospacing="0" w:after="0" w:afterAutospacing="0"/>
        <w:rPr>
          <w:sz w:val="20"/>
          <w:szCs w:val="20"/>
        </w:rPr>
      </w:pPr>
      <w:r>
        <w:rPr>
          <w:b/>
          <w:bCs/>
          <w:sz w:val="20"/>
          <w:szCs w:val="20"/>
        </w:rPr>
        <w:t>Overvie</w:t>
      </w:r>
      <w:r>
        <w:rPr>
          <w:b/>
          <w:bCs/>
          <w:sz w:val="20"/>
          <w:szCs w:val="20"/>
        </w:rPr>
        <w:t>w</w:t>
      </w:r>
    </w:p>
    <w:p w:rsidR="00000000" w:rsidRDefault="00F55F16">
      <w:pPr>
        <w:pStyle w:val="a3"/>
        <w:spacing w:before="240" w:beforeAutospacing="0" w:after="0" w:afterAutospacing="0"/>
        <w:ind w:firstLine="555"/>
        <w:rPr>
          <w:sz w:val="20"/>
          <w:szCs w:val="20"/>
        </w:rPr>
      </w:pPr>
      <w:r>
        <w:rPr>
          <w:sz w:val="20"/>
          <w:szCs w:val="20"/>
        </w:rPr>
        <w:t>Since our inception in 2012, our mission has been to h</w:t>
      </w:r>
      <w:r>
        <w:rPr>
          <w:sz w:val="20"/>
          <w:szCs w:val="20"/>
        </w:rPr>
        <w:t>elp clients and communities meet their environmental goals and needs. According to data derived from a 2021 Environmental Industry Study prepared by Environmental Business International, Inc., or EBI, which we commissioned, the global environmental industr</w:t>
      </w:r>
      <w:r>
        <w:rPr>
          <w:sz w:val="20"/>
          <w:szCs w:val="20"/>
        </w:rPr>
        <w:t>y is estimated to be approximately $1.3 trillion, with $428.0 billion concentrated in the United States</w:t>
      </w:r>
      <w:r>
        <w:rPr>
          <w:sz w:val="20"/>
          <w:szCs w:val="20"/>
        </w:rPr>
        <w:t>.</w:t>
      </w:r>
    </w:p>
    <w:p w:rsidR="00000000" w:rsidRDefault="00F55F16">
      <w:pPr>
        <w:pStyle w:val="a3"/>
        <w:spacing w:before="360" w:beforeAutospacing="0" w:after="0" w:afterAutospacing="0"/>
        <w:rPr>
          <w:sz w:val="20"/>
          <w:szCs w:val="20"/>
        </w:rPr>
      </w:pPr>
      <w:r>
        <w:rPr>
          <w:b/>
          <w:bCs/>
          <w:i/>
          <w:iCs/>
          <w:sz w:val="20"/>
          <w:szCs w:val="20"/>
        </w:rPr>
        <w:t>Our Segment</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We provide environmental services to our clients through three business segments—Assessment, Permitting and Response, Measurement and Anal</w:t>
      </w:r>
      <w:r>
        <w:rPr>
          <w:sz w:val="20"/>
          <w:szCs w:val="20"/>
        </w:rPr>
        <w:t>ysis and Remediation and Reuse. For more information on each of our operating segments, see Item 1. “Business” in the 2021 Form 10-K</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Assessment, Permitting and Respons</w:t>
      </w:r>
      <w:r>
        <w:rPr>
          <w:b/>
          <w:bCs/>
          <w:i/>
          <w:iCs/>
          <w:sz w:val="20"/>
          <w:szCs w:val="20"/>
        </w:rPr>
        <w:t>e</w:t>
      </w:r>
    </w:p>
    <w:p w:rsidR="00000000" w:rsidRDefault="00F55F16">
      <w:pPr>
        <w:pStyle w:val="a3"/>
        <w:spacing w:before="120" w:beforeAutospacing="0" w:after="0" w:afterAutospacing="0"/>
        <w:ind w:firstLine="555"/>
        <w:rPr>
          <w:sz w:val="20"/>
          <w:szCs w:val="20"/>
        </w:rPr>
      </w:pPr>
      <w:r>
        <w:rPr>
          <w:sz w:val="20"/>
          <w:szCs w:val="20"/>
        </w:rPr>
        <w:t>Through our Assessment, Permitting and Response segment, we provide scientific advisor</w:t>
      </w:r>
      <w:r>
        <w:rPr>
          <w:sz w:val="20"/>
          <w:szCs w:val="20"/>
        </w:rPr>
        <w:t>y and consulting services to support environmental assessments, environmental emergency response, and environmental audits and permits for current operations, facility upgrades, new projects, decommissioning projects and development projects. Our technical</w:t>
      </w:r>
      <w:r>
        <w:rPr>
          <w:sz w:val="20"/>
          <w:szCs w:val="20"/>
        </w:rPr>
        <w:t xml:space="preserve"> advisory and consulting offerings include regulatory compliance support and planning, environmental, ecosystem and toxicological assessments and support during responses to environmental disruption. We help clients navigate regulations at the local, state</w:t>
      </w:r>
      <w:r>
        <w:rPr>
          <w:sz w:val="20"/>
          <w:szCs w:val="20"/>
        </w:rPr>
        <w:t>, provincial and federal levels. In addition to environmental toxicology, and given our expertise in helping businesses plan for and respond to disruptions, our scientists and response teams have helped clients navigate their preparation for and response t</w:t>
      </w:r>
      <w:r>
        <w:rPr>
          <w:sz w:val="20"/>
          <w:szCs w:val="20"/>
        </w:rPr>
        <w:t>o the COVID-19 pandemic</w:t>
      </w:r>
      <w:r>
        <w:rPr>
          <w:sz w:val="20"/>
          <w:szCs w:val="20"/>
        </w:rPr>
        <w:t>.</w:t>
      </w:r>
      <w:r>
        <w:rPr>
          <w:sz w:val="20"/>
          <w:szCs w:val="20"/>
        </w:rPr>
        <w:t xml:space="preserve"> </w:t>
      </w:r>
    </w:p>
    <w:p w:rsidR="00000000" w:rsidRDefault="00F55F16">
      <w:pPr>
        <w:pStyle w:val="a3"/>
        <w:spacing w:before="360" w:beforeAutospacing="0" w:after="0" w:afterAutospacing="0"/>
        <w:ind w:firstLine="555"/>
        <w:rPr>
          <w:sz w:val="20"/>
          <w:szCs w:val="20"/>
        </w:rPr>
      </w:pPr>
      <w:r>
        <w:rPr>
          <w:b/>
          <w:bCs/>
          <w:i/>
          <w:iCs/>
          <w:sz w:val="20"/>
          <w:szCs w:val="20"/>
        </w:rPr>
        <w:t>Measurement and Analysi</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Through our Measurement and Analysis segment, our highly credentialed teams test and analyze air, water and soil to determine concentrations of contaminants, as well as the toxicological impact of contamin</w:t>
      </w:r>
      <w:r>
        <w:rPr>
          <w:sz w:val="20"/>
          <w:szCs w:val="20"/>
        </w:rPr>
        <w:t>ants on flora, fauna and human health. Our offerings include source and ambient air testing and monitoring, leak detection and advanced analytical laboratory services such as air, storm water, wastewater and drinking water analysis</w:t>
      </w:r>
      <w:r>
        <w:rPr>
          <w:sz w:val="20"/>
          <w:szCs w:val="20"/>
        </w:rPr>
        <w:t>.</w:t>
      </w:r>
      <w:r>
        <w:rPr>
          <w:sz w:val="20"/>
          <w:szCs w:val="20"/>
        </w:rPr>
        <w:t xml:space="preserve"> </w:t>
      </w:r>
    </w:p>
    <w:p w:rsidR="00000000" w:rsidRDefault="00F55F16">
      <w:pPr>
        <w:pStyle w:val="a3"/>
        <w:spacing w:before="360" w:beforeAutospacing="0" w:after="0" w:afterAutospacing="0"/>
        <w:ind w:firstLine="555"/>
        <w:rPr>
          <w:sz w:val="20"/>
          <w:szCs w:val="20"/>
        </w:rPr>
      </w:pPr>
      <w:r>
        <w:rPr>
          <w:b/>
          <w:bCs/>
          <w:i/>
          <w:iCs/>
          <w:sz w:val="20"/>
          <w:szCs w:val="20"/>
        </w:rPr>
        <w:t>Remediation and Reus</w:t>
      </w:r>
      <w:r>
        <w:rPr>
          <w:b/>
          <w:bCs/>
          <w:i/>
          <w:iCs/>
          <w:sz w:val="20"/>
          <w:szCs w:val="20"/>
        </w:rPr>
        <w:t>e</w:t>
      </w:r>
    </w:p>
    <w:p w:rsidR="00000000" w:rsidRDefault="00F55F16">
      <w:pPr>
        <w:pStyle w:val="a3"/>
        <w:spacing w:before="120" w:beforeAutospacing="0" w:after="0" w:afterAutospacing="0"/>
        <w:ind w:firstLine="555"/>
        <w:rPr>
          <w:sz w:val="20"/>
          <w:szCs w:val="20"/>
        </w:rPr>
      </w:pPr>
      <w:r>
        <w:rPr>
          <w:sz w:val="20"/>
          <w:szCs w:val="20"/>
        </w:rPr>
        <w:t xml:space="preserve">Through our Remediation and Reuse segment, we provide clients with engineering, design, implementation and operations and maintenance services, primarily to treat contaminated water, remove contaminants from soil or create biogas from waste. We do not own </w:t>
      </w:r>
      <w:r>
        <w:rPr>
          <w:sz w:val="20"/>
          <w:szCs w:val="20"/>
        </w:rPr>
        <w:t>the properties or facilities at which we implement these projects or the underlying liabilities, nor do we own material amounts of the equipment used in projects; instead, we assist our clients in designing solutions, managing projects and mitigating their</w:t>
      </w:r>
      <w:r>
        <w:rPr>
          <w:sz w:val="20"/>
          <w:szCs w:val="20"/>
        </w:rPr>
        <w:t xml:space="preserve"> environmental risks and liabilities</w:t>
      </w:r>
      <w:r>
        <w:rPr>
          <w:sz w:val="20"/>
          <w:szCs w:val="20"/>
        </w:rPr>
        <w:t>.</w:t>
      </w:r>
    </w:p>
    <w:p w:rsidR="00000000" w:rsidRDefault="00F55F16">
      <w:pPr>
        <w:pStyle w:val="a3"/>
        <w:spacing w:before="240" w:beforeAutospacing="0" w:after="0" w:afterAutospacing="0"/>
        <w:ind w:firstLine="555"/>
        <w:rPr>
          <w:sz w:val="20"/>
          <w:szCs w:val="20"/>
        </w:rPr>
      </w:pPr>
      <w:r>
        <w:rPr>
          <w:sz w:val="20"/>
          <w:szCs w:val="20"/>
        </w:rPr>
        <w:t>These operating segments have been structured and organized to align with how we view and manage the business with the full lifecycle of our clients’ targeted environmental concerns and needs in mind. Within each segme</w:t>
      </w:r>
      <w:r>
        <w:rPr>
          <w:sz w:val="20"/>
          <w:szCs w:val="20"/>
        </w:rPr>
        <w:t>nt, we cover similar service offerings, regulatory frameworks, internal operating structures and client types. Corporate activities not directly related to segment performance, including general corporate expenses, interest and taxes, are reported separate</w:t>
      </w:r>
      <w:r>
        <w:rPr>
          <w:sz w:val="20"/>
          <w:szCs w:val="20"/>
        </w:rPr>
        <w:t>ly</w:t>
      </w:r>
      <w:r>
        <w:rPr>
          <w:sz w:val="20"/>
          <w:szCs w:val="20"/>
        </w:rPr>
        <w:t>.</w:t>
      </w:r>
      <w:r>
        <w:rPr>
          <w:sz w:val="20"/>
          <w:szCs w:val="20"/>
        </w:rPr>
        <w:t xml:space="preserve"> </w:t>
      </w:r>
    </w:p>
    <w:p w:rsidR="00000000" w:rsidRDefault="00F55F16">
      <w:pPr>
        <w:pStyle w:val="a3"/>
        <w:spacing w:before="240" w:beforeAutospacing="0" w:after="0" w:afterAutospacing="0"/>
        <w:jc w:val="center"/>
        <w:rPr>
          <w:sz w:val="20"/>
          <w:szCs w:val="20"/>
        </w:rPr>
      </w:pPr>
      <w:r>
        <w:rPr>
          <w:sz w:val="20"/>
          <w:szCs w:val="20"/>
        </w:rPr>
        <w:t>3</w:t>
      </w:r>
      <w:r>
        <w:rPr>
          <w:sz w:val="20"/>
          <w:szCs w:val="20"/>
        </w:rPr>
        <w:t>1</w:t>
      </w:r>
    </w:p>
    <w:p w:rsidR="00000000" w:rsidRDefault="00F55F16">
      <w:pPr>
        <w:rPr>
          <w:rFonts w:eastAsia="Times New Roman"/>
        </w:rPr>
      </w:pPr>
      <w:r>
        <w:rPr>
          <w:rFonts w:eastAsia="Times New Roman"/>
        </w:rPr>
        <w:pict>
          <v:rect id="_x0000_i1057"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rPr>
          <w:sz w:val="20"/>
          <w:szCs w:val="20"/>
        </w:rPr>
      </w:pPr>
      <w:r>
        <w:rPr>
          <w:b/>
          <w:bCs/>
          <w:i/>
          <w:iCs/>
          <w:sz w:val="20"/>
          <w:szCs w:val="20"/>
        </w:rPr>
        <w:t>COVID-1</w:t>
      </w:r>
      <w:r>
        <w:rPr>
          <w:b/>
          <w:bCs/>
          <w:i/>
          <w:iCs/>
          <w:sz w:val="20"/>
          <w:szCs w:val="20"/>
        </w:rPr>
        <w:t>9</w:t>
      </w:r>
    </w:p>
    <w:p w:rsidR="00000000" w:rsidRDefault="00F55F16">
      <w:pPr>
        <w:pStyle w:val="a3"/>
        <w:spacing w:before="120" w:beforeAutospacing="0" w:after="0" w:afterAutospacing="0"/>
        <w:ind w:firstLine="555"/>
        <w:rPr>
          <w:sz w:val="20"/>
          <w:szCs w:val="20"/>
        </w:rPr>
      </w:pPr>
      <w:r>
        <w:rPr>
          <w:sz w:val="20"/>
          <w:szCs w:val="20"/>
        </w:rPr>
        <w:t xml:space="preserve">To date, COVID-19 related adverse impacts such as temporarily delayed project start dates, particularly within our Remediation and Reuse segment, exiting certain service lines and employee quarantines </w:t>
      </w:r>
      <w:r>
        <w:rPr>
          <w:sz w:val="20"/>
          <w:szCs w:val="20"/>
        </w:rPr>
        <w:t>have not had a material adverse effect on our reported results. On the other hand, we have seen benefits from COVID-19 given client demand for CTEH’s toxicology and response services, which represented a meaningful, although declining, revenue stream in th</w:t>
      </w:r>
      <w:r>
        <w:rPr>
          <w:sz w:val="20"/>
          <w:szCs w:val="20"/>
        </w:rPr>
        <w:t>e three and six months ended June 30, 2022 and June 30, 2021, and that, once the pandemic subsides, we may not be able to replace in future periods. Although many parts of our business saw some impact from COVID-19, i</w:t>
      </w:r>
      <w:r>
        <w:rPr>
          <w:sz w:val="20"/>
          <w:szCs w:val="20"/>
        </w:rPr>
        <w:t>n</w:t>
      </w:r>
      <w:r>
        <w:t xml:space="preserve"> </w:t>
      </w:r>
      <w:r>
        <w:rPr>
          <w:sz w:val="20"/>
          <w:szCs w:val="20"/>
        </w:rPr>
        <w:t>the aggregate, our overall busines</w:t>
      </w:r>
      <w:r>
        <w:rPr>
          <w:sz w:val="20"/>
          <w:szCs w:val="20"/>
        </w:rPr>
        <w:t>s</w:t>
      </w:r>
      <w:r>
        <w:rPr>
          <w:sz w:val="16"/>
          <w:szCs w:val="16"/>
        </w:rPr>
        <w:t xml:space="preserve"> </w:t>
      </w:r>
      <w:r>
        <w:rPr>
          <w:sz w:val="20"/>
          <w:szCs w:val="20"/>
        </w:rPr>
        <w:t>benefitted from COVID-1</w:t>
      </w:r>
      <w:r>
        <w:rPr>
          <w:sz w:val="20"/>
          <w:szCs w:val="20"/>
        </w:rPr>
        <w:t>9</w:t>
      </w:r>
      <w:r>
        <w:rPr>
          <w:sz w:val="16"/>
          <w:szCs w:val="16"/>
        </w:rPr>
        <w:t xml:space="preserve"> </w:t>
      </w:r>
      <w:r>
        <w:rPr>
          <w:sz w:val="20"/>
          <w:szCs w:val="20"/>
        </w:rPr>
        <w:t>during the three and six months ended June 30, 2022 and June 30, 2021, primarily as a result of COVID-19 response work performed by CTEH. For additional information regarding the historical impac</w:t>
      </w:r>
      <w:r>
        <w:rPr>
          <w:sz w:val="20"/>
          <w:szCs w:val="20"/>
        </w:rPr>
        <w:t>ts of COVID-19 on our business, see Item 7. Management’s Discussion and Analysis of Financial Condition and Results of Operations in the 2021 Form 10-K</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COVID-19 has had an impact on our historical seasonality trends. We have not experienced a significant</w:t>
      </w:r>
      <w:r>
        <w:rPr>
          <w:sz w:val="20"/>
          <w:szCs w:val="20"/>
        </w:rPr>
        <w:t xml:space="preserve"> slowdown in cash collections, and as a result cash flow from operations has not been materially adversely impacted</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On March 27, 2020, the Coronavirus Aid, Relief, and Economic Security Act, or the CARES Act, was enacted. The CARES Act includes several s</w:t>
      </w:r>
      <w:r>
        <w:rPr>
          <w:sz w:val="20"/>
          <w:szCs w:val="20"/>
        </w:rPr>
        <w:t xml:space="preserve">ignificant provisions for corporations, including those pertaining to net operating losses, interest deductions and payroll tax benefits. We utilized certain of these provisions in 2020, including the deferral of the employer side social security payments </w:t>
      </w:r>
      <w:r>
        <w:rPr>
          <w:sz w:val="20"/>
          <w:szCs w:val="20"/>
        </w:rPr>
        <w:t>for payroll for the eligible portion of the year. In total, we deferred approximately $5.0 million of 2020 payments to 2021 and 2022, of which $2.5 million was repaid in December 2021 and we expect to pay the remaining $2.5 million in the fourth quarter of</w:t>
      </w:r>
      <w:r>
        <w:rPr>
          <w:sz w:val="20"/>
          <w:szCs w:val="20"/>
        </w:rPr>
        <w:t xml:space="preserve"> 2022</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It is difficult to predict the future impact COVID-19 may have on our business, results of operations, financial position, or cash flows. The extent to which we may be impacted will depend largely on future and rapidly evolving developments, includ</w:t>
      </w:r>
      <w:r>
        <w:rPr>
          <w:sz w:val="20"/>
          <w:szCs w:val="20"/>
        </w:rPr>
        <w:t>ing new information on the severity of new strains, the roll-out and long-term efficacy of vaccines, and actions by various government authorities to contain the pandemic and mitigate its impact. We intend to closely monitor the impact of COVID-19 on our b</w:t>
      </w:r>
      <w:r>
        <w:rPr>
          <w:sz w:val="20"/>
          <w:szCs w:val="20"/>
        </w:rPr>
        <w:t>usiness and will respond as we believe is appropriate</w:t>
      </w:r>
      <w:r>
        <w:rPr>
          <w:sz w:val="20"/>
          <w:szCs w:val="20"/>
        </w:rPr>
        <w:t>.</w:t>
      </w:r>
    </w:p>
    <w:p w:rsidR="00000000" w:rsidRDefault="00F55F16">
      <w:pPr>
        <w:pStyle w:val="a3"/>
        <w:spacing w:before="360" w:beforeAutospacing="0" w:after="0" w:afterAutospacing="0"/>
        <w:rPr>
          <w:sz w:val="20"/>
          <w:szCs w:val="20"/>
        </w:rPr>
      </w:pPr>
      <w:r>
        <w:rPr>
          <w:b/>
          <w:bCs/>
          <w:i/>
          <w:iCs/>
          <w:sz w:val="20"/>
          <w:szCs w:val="20"/>
        </w:rPr>
        <w:t>Key Factors that Affect Our Business and Our Result</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Our operating results and financial performance are influenced by a variety of internal and external trends and other factors. Some of the more impo</w:t>
      </w:r>
      <w:r>
        <w:rPr>
          <w:sz w:val="20"/>
          <w:szCs w:val="20"/>
        </w:rPr>
        <w:t>rtant factors are discussed briefly below</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Acquisition</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We have been, and expect to continue to be, an acquisitive company. Acquisitions have expanded our environmental service capabilities across all three segments, our access to technology, as well as ou</w:t>
      </w:r>
      <w:r>
        <w:rPr>
          <w:sz w:val="20"/>
          <w:szCs w:val="20"/>
        </w:rPr>
        <w:t>r geographic reach in the United States, Canada and Australia. The table below sets forth the number of acquisitions completed, revenues generated by and the percentage of total revenues attributable to those acquisitions completed during the three and six</w:t>
      </w:r>
      <w:r>
        <w:rPr>
          <w:sz w:val="20"/>
          <w:szCs w:val="20"/>
        </w:rPr>
        <w:t xml:space="preserve"> months ended June 30, 2022 and June 30, 2021</w:t>
      </w:r>
      <w:r>
        <w:rPr>
          <w:sz w:val="20"/>
          <w:szCs w:val="20"/>
        </w:rPr>
        <w:t>:</w:t>
      </w:r>
    </w:p>
    <w:p w:rsidR="00000000" w:rsidRDefault="00F55F16">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49"/>
        <w:gridCol w:w="120"/>
        <w:gridCol w:w="106"/>
        <w:gridCol w:w="836"/>
        <w:gridCol w:w="210"/>
        <w:gridCol w:w="120"/>
        <w:gridCol w:w="150"/>
        <w:gridCol w:w="919"/>
        <w:gridCol w:w="210"/>
        <w:gridCol w:w="121"/>
        <w:gridCol w:w="150"/>
        <w:gridCol w:w="889"/>
        <w:gridCol w:w="210"/>
        <w:gridCol w:w="121"/>
        <w:gridCol w:w="150"/>
        <w:gridCol w:w="920"/>
        <w:gridCol w:w="225"/>
      </w:tblGrid>
      <w:tr w:rsidR="00000000">
        <w:trPr>
          <w:tblCellSpacing w:w="15" w:type="dxa"/>
        </w:trPr>
        <w:tc>
          <w:tcPr>
            <w:tcW w:w="1838" w:type="pct"/>
            <w:vAlign w:val="center"/>
            <w:hideMark/>
          </w:tcPr>
          <w:p w:rsidR="00000000" w:rsidRDefault="00F55F16">
            <w:pPr>
              <w:rPr>
                <w:sz w:val="20"/>
                <w:szCs w:val="20"/>
              </w:rPr>
            </w:pPr>
          </w:p>
        </w:tc>
        <w:tc>
          <w:tcPr>
            <w:tcW w:w="9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8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0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8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0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Three Months Ended June 30</w:t>
            </w:r>
            <w:r>
              <w:rPr>
                <w:b/>
                <w:bCs/>
                <w:sz w:val="18"/>
                <w:szCs w:val="18"/>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(Revenues in thousands</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Acquisitions complete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1</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2</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xml:space="preserve">Revenues attributable to </w:t>
            </w:r>
            <w:r>
              <w:rPr>
                <w:sz w:val="18"/>
                <w:szCs w:val="18"/>
              </w:rPr>
              <w:br/>
              <w:t>   acquisitions in the perio</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45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7,60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7,83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Percentage of revenue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0.</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bl>
    <w:p w:rsidR="00000000" w:rsidRDefault="00F55F16">
      <w:pPr>
        <w:pStyle w:val="a3"/>
        <w:spacing w:before="240" w:beforeAutospacing="0" w:after="0" w:afterAutospacing="0"/>
        <w:ind w:firstLine="555"/>
        <w:rPr>
          <w:sz w:val="20"/>
          <w:szCs w:val="20"/>
        </w:rPr>
      </w:pPr>
      <w:r>
        <w:rPr>
          <w:sz w:val="20"/>
          <w:szCs w:val="20"/>
        </w:rPr>
        <w:t>Revenues from acquired companies exclude intercompany revenues from revenue synergies realized between business lines within operating segments, as these are eliminated at the consolidated segment and Company level. We expect our revenue growth to continue</w:t>
      </w:r>
      <w:r>
        <w:rPr>
          <w:sz w:val="20"/>
          <w:szCs w:val="20"/>
        </w:rPr>
        <w:t xml:space="preserve"> to be driven in significant part by acquisitions</w:t>
      </w:r>
      <w:r>
        <w:rPr>
          <w:sz w:val="20"/>
          <w:szCs w:val="20"/>
        </w:rPr>
        <w:t>.</w:t>
      </w:r>
    </w:p>
    <w:p w:rsidR="00000000" w:rsidRDefault="00F55F16">
      <w:pPr>
        <w:pStyle w:val="a3"/>
        <w:spacing w:before="240" w:beforeAutospacing="0" w:after="0" w:afterAutospacing="0"/>
        <w:ind w:firstLine="555"/>
        <w:rPr>
          <w:sz w:val="20"/>
          <w:szCs w:val="20"/>
        </w:rPr>
      </w:pPr>
      <w:r>
        <w:rPr>
          <w:sz w:val="20"/>
          <w:szCs w:val="20"/>
        </w:rPr>
        <w:t>As a result of our acquisitions, goodwill and other intangible assets represent a significant proportion of our total assets, and amortization of intangible assets has historically been a significant expen</w:t>
      </w:r>
      <w:r>
        <w:rPr>
          <w:sz w:val="20"/>
          <w:szCs w:val="20"/>
        </w:rPr>
        <w:t>se. Our historical financial statements also include other acquisition-related costs, including costs relating to external legal support, diligence and valuation services and other transaction and integration-related matters. In addition, in any year gains</w:t>
      </w:r>
      <w:r>
        <w:rPr>
          <w:sz w:val="20"/>
          <w:szCs w:val="20"/>
        </w:rPr>
        <w:t xml:space="preserve"> and losses from changes in the fair value of business acquisition contingencies such as earn outs could be significant. The amount of each for the three and six months ended June 30, 2022 and June 30, 2021, was</w:t>
      </w:r>
      <w:r>
        <w:rPr>
          <w:sz w:val="20"/>
          <w:szCs w:val="20"/>
        </w:rPr>
        <w:t>:</w:t>
      </w:r>
    </w:p>
    <w:p w:rsidR="00000000" w:rsidRDefault="00F55F16">
      <w:pPr>
        <w:pStyle w:val="a3"/>
        <w:spacing w:before="0" w:beforeAutospacing="0" w:after="0" w:afterAutospacing="0"/>
        <w:ind w:firstLine="726"/>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3</w:t>
      </w:r>
      <w:r>
        <w:rPr>
          <w:sz w:val="20"/>
          <w:szCs w:val="20"/>
        </w:rPr>
        <w:t>2</w:t>
      </w:r>
    </w:p>
    <w:p w:rsidR="00000000" w:rsidRDefault="00F55F16">
      <w:pPr>
        <w:rPr>
          <w:rFonts w:eastAsia="Times New Roman"/>
        </w:rPr>
      </w:pPr>
      <w:r>
        <w:rPr>
          <w:rFonts w:eastAsia="Times New Roman"/>
        </w:rPr>
        <w:pict>
          <v:rect id="_x0000_i1058"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81"/>
        <w:gridCol w:w="156"/>
        <w:gridCol w:w="150"/>
        <w:gridCol w:w="956"/>
        <w:gridCol w:w="120"/>
        <w:gridCol w:w="156"/>
        <w:gridCol w:w="150"/>
        <w:gridCol w:w="990"/>
        <w:gridCol w:w="105"/>
        <w:gridCol w:w="116"/>
        <w:gridCol w:w="150"/>
        <w:gridCol w:w="935"/>
        <w:gridCol w:w="120"/>
        <w:gridCol w:w="131"/>
        <w:gridCol w:w="150"/>
        <w:gridCol w:w="920"/>
        <w:gridCol w:w="120"/>
      </w:tblGrid>
      <w:tr w:rsidR="00000000">
        <w:trPr>
          <w:tblCellSpacing w:w="15" w:type="dxa"/>
        </w:trPr>
        <w:tc>
          <w:tcPr>
            <w:tcW w:w="1837" w:type="pct"/>
            <w:vAlign w:val="center"/>
            <w:hideMark/>
          </w:tcPr>
          <w:p w:rsidR="00000000" w:rsidRDefault="00F55F16">
            <w:pPr>
              <w:rPr>
                <w:sz w:val="20"/>
                <w:szCs w:val="20"/>
              </w:rPr>
            </w:pPr>
          </w:p>
        </w:tc>
        <w:tc>
          <w:tcPr>
            <w:tcW w:w="9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0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9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3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9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8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Three Months Ended June 30</w:t>
            </w:r>
            <w:r>
              <w:rPr>
                <w:b/>
                <w:bCs/>
                <w:sz w:val="18"/>
                <w:szCs w:val="18"/>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center"/>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center"/>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Amortization expens</w:t>
            </w:r>
            <w:r>
              <w:rPr>
                <w:sz w:val="18"/>
                <w:szCs w:val="18"/>
              </w:rPr>
              <w:t>e</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9,49</w:t>
            </w:r>
            <w:r>
              <w:rPr>
                <w:sz w:val="18"/>
                <w:szCs w:val="18"/>
              </w:rPr>
              <w:t>2</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8,40</w:t>
            </w:r>
            <w:r>
              <w:rPr>
                <w:sz w:val="18"/>
                <w:szCs w:val="18"/>
              </w:rPr>
              <w:t>7</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18,91</w:t>
            </w:r>
            <w:r>
              <w:rPr>
                <w:sz w:val="18"/>
                <w:szCs w:val="18"/>
              </w:rPr>
              <w:t>1</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17,00</w:t>
            </w:r>
            <w:r>
              <w:rPr>
                <w:sz w:val="18"/>
                <w:szCs w:val="18"/>
              </w:rPr>
              <w:t>2</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Acquisition-related cost</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51</w:t>
            </w:r>
            <w:r>
              <w:rPr>
                <w:sz w:val="18"/>
                <w:szCs w:val="18"/>
              </w:rPr>
              <w:t>9</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50</w:t>
            </w:r>
            <w:r>
              <w:rPr>
                <w:sz w:val="18"/>
                <w:szCs w:val="18"/>
              </w:rPr>
              <w:t>6</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98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74</w:t>
            </w:r>
            <w:r>
              <w:rPr>
                <w:sz w:val="18"/>
                <w:szCs w:val="18"/>
              </w:rPr>
              <w:t>3</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F55F16">
            <w:pPr>
              <w:pStyle w:val="a3"/>
              <w:spacing w:before="0" w:beforeAutospacing="0" w:after="0" w:afterAutospacing="0"/>
              <w:rPr>
                <w:sz w:val="18"/>
                <w:szCs w:val="18"/>
              </w:rPr>
            </w:pPr>
            <w:r>
              <w:rPr>
                <w:sz w:val="18"/>
                <w:szCs w:val="18"/>
              </w:rPr>
              <w:t xml:space="preserve">Fair value changes in business </w:t>
            </w:r>
            <w:r>
              <w:rPr>
                <w:sz w:val="18"/>
                <w:szCs w:val="18"/>
              </w:rPr>
              <w:br/>
              <w:t>   acquisition contingencie</w:t>
            </w:r>
            <w:r>
              <w:rPr>
                <w:sz w:val="18"/>
                <w:szCs w:val="18"/>
              </w:rPr>
              <w:t>s</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(3,51</w:t>
            </w:r>
            <w:r>
              <w:rPr>
                <w:sz w:val="18"/>
                <w:szCs w:val="18"/>
              </w:rPr>
              <w:t>0</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12,97</w:t>
            </w:r>
            <w:r>
              <w:rPr>
                <w:sz w:val="18"/>
                <w:szCs w:val="18"/>
              </w:rPr>
              <w:t>1</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(3,53</w:t>
            </w:r>
            <w:r>
              <w:rPr>
                <w:sz w:val="18"/>
                <w:szCs w:val="18"/>
              </w:rPr>
              <w:t>1</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w:t>
            </w:r>
          </w:p>
        </w:tc>
        <w:tc>
          <w:tcPr>
            <w:tcW w:w="0" w:type="auto"/>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c>
          <w:tcPr>
            <w:tcW w:w="0" w:type="auto"/>
            <w:vAlign w:val="center"/>
            <w:hideMark/>
          </w:tcPr>
          <w:p w:rsidR="00000000" w:rsidRDefault="00F55F16">
            <w:pPr>
              <w:pStyle w:val="a3"/>
              <w:spacing w:before="0" w:beforeAutospacing="0" w:after="0" w:afterAutospacing="0"/>
              <w:jc w:val="right"/>
              <w:rPr>
                <w:sz w:val="18"/>
                <w:szCs w:val="18"/>
              </w:rPr>
            </w:pPr>
            <w:r>
              <w:rPr>
                <w:sz w:val="18"/>
                <w:szCs w:val="18"/>
              </w:rPr>
              <w:t>24,03</w:t>
            </w:r>
            <w:r>
              <w:rPr>
                <w:sz w:val="18"/>
                <w:szCs w:val="18"/>
              </w:rPr>
              <w:t>5</w:t>
            </w:r>
          </w:p>
        </w:tc>
        <w:tc>
          <w:tcPr>
            <w:tcW w:w="0" w:type="auto"/>
            <w:noWrap/>
            <w:vAlign w:val="center"/>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240" w:beforeAutospacing="0" w:after="0" w:afterAutospacing="0"/>
        <w:ind w:firstLine="555"/>
        <w:rPr>
          <w:sz w:val="20"/>
          <w:szCs w:val="20"/>
        </w:rPr>
      </w:pPr>
      <w:r>
        <w:rPr>
          <w:sz w:val="20"/>
          <w:szCs w:val="20"/>
        </w:rPr>
        <w:t>We expect that amortization of identifiable intangible assets and other acquisition-related costs, assuming we continue to acquire, will continue to be significant</w:t>
      </w:r>
      <w:r>
        <w:rPr>
          <w:sz w:val="20"/>
          <w:szCs w:val="20"/>
        </w:rPr>
        <w:t>.</w:t>
      </w:r>
    </w:p>
    <w:p w:rsidR="00000000" w:rsidRDefault="00F55F16">
      <w:pPr>
        <w:pStyle w:val="a3"/>
        <w:spacing w:before="240" w:beforeAutospacing="0" w:after="0" w:afterAutospacing="0"/>
        <w:ind w:firstLine="555"/>
        <w:rPr>
          <w:sz w:val="20"/>
          <w:szCs w:val="20"/>
        </w:rPr>
      </w:pPr>
      <w:r>
        <w:rPr>
          <w:sz w:val="20"/>
          <w:szCs w:val="20"/>
        </w:rPr>
        <w:t>Additionally, we made earn-out payments of $30.0 million and $50.0 million in March 2022 an</w:t>
      </w:r>
      <w:r>
        <w:rPr>
          <w:sz w:val="20"/>
          <w:szCs w:val="20"/>
        </w:rPr>
        <w:t xml:space="preserve">d April 2021, respectively, in connection with our CTEH acquisition. $25.0 million of the 2021 CTEH earn-out payment was made in the form of shares of our common stock. In connection with our Vista, Sensible, ECI and EnvStd acquisitions, we may make up to </w:t>
      </w:r>
      <w:r>
        <w:rPr>
          <w:sz w:val="20"/>
          <w:szCs w:val="20"/>
        </w:rPr>
        <w:t>$8.5 million in aggregate earn-out payments between the years 2022 and 2026. See Note 7 to our unaudited condensed consolidated financial statements included in Part I, Item 1. “Financial Statements.</w:t>
      </w:r>
      <w:r>
        <w:rPr>
          <w:sz w:val="20"/>
          <w:szCs w:val="20"/>
        </w:rPr>
        <w:t>”</w:t>
      </w:r>
    </w:p>
    <w:p w:rsidR="00000000" w:rsidRDefault="00F55F16">
      <w:pPr>
        <w:pStyle w:val="a3"/>
        <w:spacing w:before="240" w:beforeAutospacing="0" w:after="0" w:afterAutospacing="0"/>
        <w:ind w:firstLine="555"/>
        <w:rPr>
          <w:sz w:val="20"/>
          <w:szCs w:val="20"/>
        </w:rPr>
      </w:pPr>
      <w:r>
        <w:rPr>
          <w:sz w:val="20"/>
          <w:szCs w:val="20"/>
        </w:rPr>
        <w:t>See Note 21 to our unaudited condensed consolidated fin</w:t>
      </w:r>
      <w:r>
        <w:rPr>
          <w:sz w:val="20"/>
          <w:szCs w:val="20"/>
        </w:rPr>
        <w:t>ancial statements included in Part I, Item 1. “Financial Statements” for information regarding acquisitions completed after June 30, 2022</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Organic Growt</w:t>
      </w:r>
      <w:r>
        <w:rPr>
          <w:b/>
          <w:bCs/>
          <w:i/>
          <w:iCs/>
          <w:sz w:val="20"/>
          <w:szCs w:val="20"/>
        </w:rPr>
        <w:t>h</w:t>
      </w:r>
    </w:p>
    <w:p w:rsidR="00000000" w:rsidRDefault="00F55F16">
      <w:pPr>
        <w:pStyle w:val="a3"/>
        <w:spacing w:before="240" w:beforeAutospacing="0" w:after="0" w:afterAutospacing="0"/>
        <w:ind w:firstLine="555"/>
        <w:rPr>
          <w:sz w:val="20"/>
          <w:szCs w:val="20"/>
        </w:rPr>
      </w:pPr>
      <w:r>
        <w:rPr>
          <w:sz w:val="20"/>
          <w:szCs w:val="20"/>
        </w:rPr>
        <w:t xml:space="preserve">We define organic growth as the change in revenues excluding revenues from acquisitions for the first </w:t>
      </w:r>
      <w:r>
        <w:rPr>
          <w:sz w:val="20"/>
          <w:szCs w:val="20"/>
        </w:rPr>
        <w:t>twelve months following the date of acquisition and excluding revenues from businesses disposed of or discontinued. As a result of the significance of CTEH to Montrose and the potential annual volatility in CTEH’s revenues due to the emergency response asp</w:t>
      </w:r>
      <w:r>
        <w:rPr>
          <w:sz w:val="20"/>
          <w:szCs w:val="20"/>
        </w:rPr>
        <w:t>ect of their business, we also disclose organic growth without the annual organic revenue growth of CTEH. We expect to continue to disclose organic revenue growth with and without CTEH. Management uses organic growth as one of the means by which it assesse</w:t>
      </w:r>
      <w:r>
        <w:rPr>
          <w:sz w:val="20"/>
          <w:szCs w:val="20"/>
        </w:rPr>
        <w:t>s our results of operations. Organic growth is not, however, a measure of revenue growth calculated in accordance with U.S. generally accepted accounting principles, or GAAP, and should be considered in conjunction with revenue growth calculated in accorda</w:t>
      </w:r>
      <w:r>
        <w:rPr>
          <w:sz w:val="20"/>
          <w:szCs w:val="20"/>
        </w:rPr>
        <w:t>nce with GAAP. We have grown organically and expect to continue to do so</w:t>
      </w:r>
      <w:r>
        <w:rPr>
          <w:sz w:val="20"/>
          <w:szCs w:val="20"/>
        </w:rPr>
        <w:t>.</w:t>
      </w:r>
      <w:r>
        <w:rPr>
          <w:sz w:val="20"/>
          <w:szCs w:val="20"/>
        </w:rPr>
        <w:t xml:space="preserve"> </w:t>
      </w:r>
    </w:p>
    <w:p w:rsidR="00000000" w:rsidRDefault="00F55F16">
      <w:pPr>
        <w:pStyle w:val="a3"/>
        <w:spacing w:before="360" w:beforeAutospacing="0" w:after="0" w:afterAutospacing="0"/>
        <w:ind w:left="476"/>
        <w:rPr>
          <w:sz w:val="20"/>
          <w:szCs w:val="20"/>
        </w:rPr>
      </w:pPr>
      <w:r>
        <w:rPr>
          <w:b/>
          <w:bCs/>
          <w:i/>
          <w:iCs/>
          <w:sz w:val="20"/>
          <w:szCs w:val="20"/>
        </w:rPr>
        <w:t>Discontinued Service Line</w:t>
      </w:r>
      <w:r>
        <w:rPr>
          <w:b/>
          <w:bCs/>
          <w:i/>
          <w:iCs/>
          <w:sz w:val="20"/>
          <w:szCs w:val="20"/>
        </w:rPr>
        <w:t>s</w:t>
      </w:r>
      <w:r>
        <w:rPr>
          <w:b/>
          <w:bCs/>
          <w:i/>
          <w:iCs/>
          <w:sz w:val="20"/>
          <w:szCs w:val="20"/>
        </w:rPr>
        <w:t xml:space="preserve"> </w:t>
      </w:r>
    </w:p>
    <w:p w:rsidR="00000000" w:rsidRDefault="00F55F16">
      <w:pPr>
        <w:pStyle w:val="a3"/>
        <w:spacing w:before="120" w:beforeAutospacing="0" w:after="0" w:afterAutospacing="0"/>
        <w:ind w:firstLine="555"/>
        <w:rPr>
          <w:sz w:val="20"/>
          <w:szCs w:val="20"/>
        </w:rPr>
      </w:pPr>
      <w:r>
        <w:rPr>
          <w:sz w:val="20"/>
          <w:szCs w:val="20"/>
        </w:rPr>
        <w:t>Periodically, or when circumstances warrant, we evaluate the performance of our business services to ensure that performance and outlook are consistent w</w:t>
      </w:r>
      <w:r>
        <w:rPr>
          <w:sz w:val="20"/>
          <w:szCs w:val="20"/>
        </w:rPr>
        <w:t>ith expectations. During the second quarter of 2022, as part of this evaluation, we determined to exit all water treatment and biogas operations and maintenance contracts, collectively, the Discontinued O&amp;M Contracts. The decision to exit these contracts w</w:t>
      </w:r>
      <w:r>
        <w:rPr>
          <w:sz w:val="20"/>
          <w:szCs w:val="20"/>
        </w:rPr>
        <w:t>as reached after a careful consideration of the risks and rewards associated with them. The work associated with these contracts is non-specialized and commoditized, and it was determined that the risk of facility failure taken on by the Company as the O&amp;M</w:t>
      </w:r>
      <w:r>
        <w:rPr>
          <w:sz w:val="20"/>
          <w:szCs w:val="20"/>
        </w:rPr>
        <w:t xml:space="preserve"> contractor, no longer justified the low margins in these contracts. As a part of exiting these contracts, a process that is expected to be completed by the end of 2022, we have eliminated the positions associated with the workstreams. Revenue from our wat</w:t>
      </w:r>
      <w:r>
        <w:rPr>
          <w:sz w:val="20"/>
          <w:szCs w:val="20"/>
        </w:rPr>
        <w:t>er treatment and biogas operations and maintenance contracts, which are included in the results of our Remediation and Reuse segment, were $0.9 million and $3.3 million in the three months ended June 30, 2022 and June 30, 2021, respectively, and $2.3 milli</w:t>
      </w:r>
      <w:r>
        <w:rPr>
          <w:sz w:val="20"/>
          <w:szCs w:val="20"/>
        </w:rPr>
        <w:t>on and $6.8 million in the six months ended June 30, 2022 and June 30, 2021, respectively. This decision does not impact the Company’s specialized PFAS water treatment operations and maintenance contracts</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Revenue Mi</w:t>
      </w:r>
      <w:r>
        <w:rPr>
          <w:b/>
          <w:bCs/>
          <w:i/>
          <w:iCs/>
          <w:sz w:val="20"/>
          <w:szCs w:val="20"/>
        </w:rPr>
        <w:t>x</w:t>
      </w:r>
    </w:p>
    <w:p w:rsidR="00000000" w:rsidRDefault="00F55F16">
      <w:pPr>
        <w:pStyle w:val="a3"/>
        <w:spacing w:before="120" w:beforeAutospacing="0" w:after="0" w:afterAutospacing="0"/>
        <w:ind w:firstLine="555"/>
        <w:rPr>
          <w:sz w:val="20"/>
          <w:szCs w:val="20"/>
        </w:rPr>
      </w:pPr>
      <w:r>
        <w:rPr>
          <w:sz w:val="20"/>
          <w:szCs w:val="20"/>
        </w:rPr>
        <w:t>Our segments generate different levels</w:t>
      </w:r>
      <w:r>
        <w:rPr>
          <w:sz w:val="20"/>
          <w:szCs w:val="20"/>
        </w:rPr>
        <w:t xml:space="preserve"> of profitability and, accordingly, shifts in the mix of revenues between segments can impact our consolidated reported net income, net loss margin, Adjusted EBITDA and Adjusted EBITDA margin from quarter to quarter and year to year. Inter-company revenues</w:t>
      </w:r>
      <w:r>
        <w:rPr>
          <w:sz w:val="20"/>
          <w:szCs w:val="20"/>
        </w:rPr>
        <w:t xml:space="preserve"> between business lines within segments have been eliminated. See Note 18 to our unaudited condensed consolidated financial statements included in Part 1, Item 1 “Financial Statements.</w:t>
      </w:r>
      <w:r>
        <w:rPr>
          <w:sz w:val="20"/>
          <w:szCs w:val="20"/>
        </w:rPr>
        <w:t>”</w:t>
      </w:r>
      <w:r>
        <w:rPr>
          <w:sz w:val="20"/>
          <w:szCs w:val="20"/>
        </w:rPr>
        <w:t xml:space="preserve"> </w:t>
      </w:r>
    </w:p>
    <w:p w:rsidR="00000000" w:rsidRDefault="00F55F16">
      <w:pPr>
        <w:pStyle w:val="a3"/>
        <w:spacing w:before="360" w:beforeAutospacing="0" w:after="0" w:afterAutospacing="0"/>
        <w:ind w:firstLine="555"/>
        <w:rPr>
          <w:sz w:val="20"/>
          <w:szCs w:val="20"/>
        </w:rPr>
      </w:pPr>
      <w:r>
        <w:rPr>
          <w:b/>
          <w:bCs/>
          <w:i/>
          <w:iCs/>
          <w:sz w:val="20"/>
          <w:szCs w:val="20"/>
        </w:rPr>
        <w:t>Financing Cost</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Financing costs, relating primarily to interest expen</w:t>
      </w:r>
      <w:r>
        <w:rPr>
          <w:sz w:val="20"/>
          <w:szCs w:val="20"/>
        </w:rPr>
        <w:t>se on our debt, continue to be a significant component of our results of operations. We incurred interest expense of $1.5 million and $2.6 million during the three and six months ended June 30, 2022, respectively, and $6.8 million and $9.5 million during t</w:t>
      </w:r>
      <w:r>
        <w:rPr>
          <w:sz w:val="20"/>
          <w:szCs w:val="20"/>
        </w:rPr>
        <w:t>he three and six months ended June 30, 2021</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On April 27, 2021, we entered into the 2021 Credit Facility and repaid all amounts outstanding under the prior Credit Facility. The 2021 Credit Facility consists of a $175.0 million term loan and a $125.0 milli</w:t>
      </w:r>
      <w:r>
        <w:rPr>
          <w:sz w:val="20"/>
          <w:szCs w:val="20"/>
        </w:rPr>
        <w:t>on revolving credit facility. The interest rate on th</w:t>
      </w:r>
      <w:r>
        <w:rPr>
          <w:sz w:val="20"/>
          <w:szCs w:val="20"/>
        </w:rPr>
        <w:t>e</w:t>
      </w:r>
      <w:r>
        <w:rPr>
          <w:sz w:val="20"/>
          <w:szCs w:val="20"/>
        </w:rPr>
        <w:t xml:space="preserve"> </w:t>
      </w:r>
    </w:p>
    <w:p w:rsidR="00000000" w:rsidRDefault="00F55F16">
      <w:pPr>
        <w:pStyle w:val="a3"/>
        <w:spacing w:before="240" w:beforeAutospacing="0" w:after="0" w:afterAutospacing="0"/>
        <w:jc w:val="center"/>
        <w:rPr>
          <w:sz w:val="20"/>
          <w:szCs w:val="20"/>
        </w:rPr>
      </w:pPr>
      <w:r>
        <w:rPr>
          <w:sz w:val="20"/>
          <w:szCs w:val="20"/>
        </w:rPr>
        <w:t>3</w:t>
      </w:r>
      <w:r>
        <w:rPr>
          <w:sz w:val="20"/>
          <w:szCs w:val="20"/>
        </w:rPr>
        <w:t>3</w:t>
      </w:r>
    </w:p>
    <w:p w:rsidR="00000000" w:rsidRDefault="00F55F16">
      <w:pPr>
        <w:rPr>
          <w:rFonts w:eastAsia="Times New Roman"/>
        </w:rPr>
      </w:pPr>
      <w:r>
        <w:rPr>
          <w:rFonts w:eastAsia="Times New Roman"/>
        </w:rPr>
        <w:pict>
          <v:rect id="_x0000_i1059"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rPr>
          <w:sz w:val="20"/>
          <w:szCs w:val="20"/>
        </w:rPr>
      </w:pPr>
      <w:r>
        <w:rPr>
          <w:sz w:val="20"/>
          <w:szCs w:val="20"/>
        </w:rPr>
        <w:t>2021 Credit Facility varies depending on leverage, with a minimum of LIBOR plus 1.5% and a maximum of LIBOR plus 2.5%. We incurred debt extinguishment costs of $4.1 million in connection with this refinancing</w:t>
      </w:r>
      <w:r>
        <w:rPr>
          <w:sz w:val="20"/>
          <w:szCs w:val="20"/>
        </w:rPr>
        <w:t>.</w:t>
      </w:r>
    </w:p>
    <w:p w:rsidR="00000000" w:rsidRDefault="00F55F16">
      <w:pPr>
        <w:pStyle w:val="a3"/>
        <w:spacing w:before="240" w:beforeAutospacing="0" w:after="0" w:afterAutospacing="0"/>
        <w:ind w:firstLine="555"/>
        <w:rPr>
          <w:sz w:val="20"/>
          <w:szCs w:val="20"/>
        </w:rPr>
      </w:pPr>
      <w:r>
        <w:rPr>
          <w:sz w:val="20"/>
          <w:szCs w:val="20"/>
        </w:rPr>
        <w:t>Furtherm</w:t>
      </w:r>
      <w:r>
        <w:rPr>
          <w:sz w:val="20"/>
          <w:szCs w:val="20"/>
        </w:rPr>
        <w:t>ore, effective January 27, 2022, we entered into an interest rate swap transaction fixing the floating component of the interest rate on $100.0 million of borrowings to 1.39% until January 27, 2025</w:t>
      </w:r>
      <w:r>
        <w:rPr>
          <w:sz w:val="20"/>
          <w:szCs w:val="20"/>
        </w:rPr>
        <w:t>.</w:t>
      </w:r>
    </w:p>
    <w:p w:rsidR="00000000" w:rsidRDefault="00F55F16">
      <w:pPr>
        <w:pStyle w:val="a3"/>
        <w:spacing w:before="240" w:beforeAutospacing="0" w:after="0" w:afterAutospacing="0"/>
        <w:ind w:firstLine="555"/>
        <w:rPr>
          <w:sz w:val="20"/>
          <w:szCs w:val="20"/>
        </w:rPr>
      </w:pPr>
      <w:r>
        <w:rPr>
          <w:sz w:val="20"/>
          <w:szCs w:val="20"/>
        </w:rPr>
        <w:t>We expect interest expense to remain a significant cost a</w:t>
      </w:r>
      <w:r>
        <w:rPr>
          <w:sz w:val="20"/>
          <w:szCs w:val="20"/>
        </w:rPr>
        <w:t>s we continue to leverage our credit facility to support our operations and future acquisitions</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See Note 12 to our unaudited condensed consolidated financial statements included in Part 1, Item 1 “Financial Statements” and “Liquidity and Capital Resource</w:t>
      </w:r>
      <w:r>
        <w:rPr>
          <w:sz w:val="20"/>
          <w:szCs w:val="20"/>
        </w:rPr>
        <w:t>s.</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Corporate and Operational Infrastructure Investment</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Our historical operating results reflect the impact of our ongoing investments in our corporate infrastructure to support our growth. We have made and expect to continue to make investments in our bu</w:t>
      </w:r>
      <w:r>
        <w:rPr>
          <w:sz w:val="20"/>
          <w:szCs w:val="20"/>
        </w:rPr>
        <w:t>siness platform that we believe have laid the foundation for continued growth. Investments in logistics, quality, risk management, sales and marketing, safety, human resources, research and development, finance and information technology and other areas en</w:t>
      </w:r>
      <w:r>
        <w:rPr>
          <w:sz w:val="20"/>
          <w:szCs w:val="20"/>
        </w:rPr>
        <w:t>able us to support continued growth. These investments have allowed us to improve our margins</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Seasonalit</w:t>
      </w:r>
      <w:r>
        <w:rPr>
          <w:b/>
          <w:bCs/>
          <w:i/>
          <w:iCs/>
          <w:sz w:val="20"/>
          <w:szCs w:val="20"/>
        </w:rPr>
        <w:t>y</w:t>
      </w:r>
    </w:p>
    <w:p w:rsidR="00000000" w:rsidRDefault="00F55F16">
      <w:pPr>
        <w:pStyle w:val="a3"/>
        <w:spacing w:before="120" w:beforeAutospacing="0" w:after="0" w:afterAutospacing="0"/>
        <w:ind w:firstLine="555"/>
        <w:rPr>
          <w:sz w:val="20"/>
          <w:szCs w:val="20"/>
        </w:rPr>
      </w:pPr>
      <w:r>
        <w:rPr>
          <w:sz w:val="20"/>
          <w:szCs w:val="20"/>
        </w:rPr>
        <w:t>Due to the field-based nature of certain of our services, weather patterns generally impact our field-based teams’ ability to operate in the winter m</w:t>
      </w:r>
      <w:r>
        <w:rPr>
          <w:sz w:val="20"/>
          <w:szCs w:val="20"/>
        </w:rPr>
        <w:t>onths. As a result, our operating results in our Measurement and Analysis segment experience some quarterly variability with generally lower revenues and lower earnings in the first and fourth quarters and higher overall revenues and earnings in the second</w:t>
      </w:r>
      <w:r>
        <w:rPr>
          <w:sz w:val="20"/>
          <w:szCs w:val="20"/>
        </w:rPr>
        <w:t xml:space="preserve"> and third quarters. As we continue to grow and expand into new geographies and service lines, quarterly variability in our Measurement and Analysis segment may deviate from historical trends</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Earnings Volatilit</w:t>
      </w:r>
      <w:r>
        <w:rPr>
          <w:b/>
          <w:bCs/>
          <w:i/>
          <w:iCs/>
          <w:sz w:val="20"/>
          <w:szCs w:val="20"/>
        </w:rPr>
        <w:t>y</w:t>
      </w:r>
    </w:p>
    <w:p w:rsidR="00000000" w:rsidRDefault="00F55F16">
      <w:pPr>
        <w:pStyle w:val="a3"/>
        <w:spacing w:before="120" w:beforeAutospacing="0" w:after="0" w:afterAutospacing="0"/>
        <w:ind w:firstLine="555"/>
        <w:rPr>
          <w:sz w:val="20"/>
          <w:szCs w:val="20"/>
        </w:rPr>
      </w:pPr>
      <w:r>
        <w:rPr>
          <w:sz w:val="20"/>
          <w:szCs w:val="20"/>
        </w:rPr>
        <w:t>In addition to the impact of seasonality on</w:t>
      </w:r>
      <w:r>
        <w:rPr>
          <w:sz w:val="20"/>
          <w:szCs w:val="20"/>
        </w:rPr>
        <w:t xml:space="preserve"> earnings, the acquisition of CTEH exposes us to potentially significant revenue and earnings fluctuations tied both to the timing of large environmental emergency response projects following an incident or natural disaster, and more recently, the benefit </w:t>
      </w:r>
      <w:r>
        <w:rPr>
          <w:sz w:val="20"/>
          <w:szCs w:val="20"/>
        </w:rPr>
        <w:t xml:space="preserve">from COVID related work. The benefit from COVID related work began in the third quarter of 2020, peaked in the first quarter of 2021 and has declined each subsequent quarter, although demand has continued through June 30, 2022. Demand for COVID-19 related </w:t>
      </w:r>
      <w:r>
        <w:rPr>
          <w:sz w:val="20"/>
          <w:szCs w:val="20"/>
        </w:rPr>
        <w:t>or environmental emergency response services provided by CTEH remains difficult to predict and as a result, we may have experienced revenues and earnings in both the first half of 2022 and 2021 that are not indicative of future results, making those period</w:t>
      </w:r>
      <w:r>
        <w:rPr>
          <w:sz w:val="20"/>
          <w:szCs w:val="20"/>
        </w:rPr>
        <w:t>s particularly difficult comparisons for future periods. We do however expect that a portion of the lost COVID-19 response revenues will be offset by other CTEH service line revenues as internal resources are freed up from the COVID-19 response work. Earni</w:t>
      </w:r>
      <w:r>
        <w:rPr>
          <w:sz w:val="20"/>
          <w:szCs w:val="20"/>
        </w:rPr>
        <w:t>ngs volatility is also driven by the timing of large projects, particularly in our Remediation and Reuse segment, and the impact of acquisitions. As a result of these factors, and because demand for environmental services is not driven by specific or predi</w:t>
      </w:r>
      <w:r>
        <w:rPr>
          <w:sz w:val="20"/>
          <w:szCs w:val="20"/>
        </w:rPr>
        <w:t>ctable patterns in one or more fiscal quarters, our business is better assessed based on yearly results</w:t>
      </w:r>
      <w:r>
        <w:rPr>
          <w:sz w:val="20"/>
          <w:szCs w:val="20"/>
        </w:rPr>
        <w:t>.</w:t>
      </w:r>
      <w:r>
        <w:rPr>
          <w:sz w:val="20"/>
          <w:szCs w:val="20"/>
        </w:rPr>
        <w:t xml:space="preserve"> </w:t>
      </w:r>
    </w:p>
    <w:p w:rsidR="00000000" w:rsidRDefault="00F55F16">
      <w:pPr>
        <w:pStyle w:val="a3"/>
        <w:spacing w:before="360" w:beforeAutospacing="0" w:after="0" w:afterAutospacing="0"/>
        <w:ind w:firstLine="555"/>
        <w:rPr>
          <w:sz w:val="20"/>
          <w:szCs w:val="20"/>
        </w:rPr>
      </w:pPr>
      <w:r>
        <w:rPr>
          <w:b/>
          <w:bCs/>
          <w:i/>
          <w:iCs/>
          <w:sz w:val="20"/>
          <w:szCs w:val="20"/>
        </w:rPr>
        <w:t>Cybersecurity Breac</w:t>
      </w:r>
      <w:r>
        <w:rPr>
          <w:b/>
          <w:bCs/>
          <w:i/>
          <w:iCs/>
          <w:sz w:val="20"/>
          <w:szCs w:val="20"/>
        </w:rPr>
        <w:t>h</w:t>
      </w:r>
    </w:p>
    <w:p w:rsidR="00000000" w:rsidRDefault="00F55F16">
      <w:pPr>
        <w:pStyle w:val="a3"/>
        <w:spacing w:before="120" w:beforeAutospacing="0" w:after="0" w:afterAutospacing="0"/>
        <w:ind w:firstLine="555"/>
        <w:rPr>
          <w:sz w:val="20"/>
          <w:szCs w:val="20"/>
        </w:rPr>
      </w:pPr>
      <w:r>
        <w:rPr>
          <w:sz w:val="20"/>
          <w:szCs w:val="20"/>
        </w:rPr>
        <w:t xml:space="preserve">As previously disclosed, on June 11, 2022 we were the target of an organized ransomware attack on our IT systems that led to the </w:t>
      </w:r>
      <w:r>
        <w:rPr>
          <w:sz w:val="20"/>
          <w:szCs w:val="20"/>
        </w:rPr>
        <w:t xml:space="preserve">temporary disruption of our regular operations. The most affected portion of the business was our Enthalpy lab network. Upon discovery of the attack, we immediately began restoration and remediation efforts. By June 30, 2022, we had substantially restored </w:t>
      </w:r>
      <w:r>
        <w:rPr>
          <w:sz w:val="20"/>
          <w:szCs w:val="20"/>
        </w:rPr>
        <w:t>our operations. The Company's financial systems are cloud based and were not affected. We engaged third party experts, including cyber legal counsel and a cybersecurity firm, to perform a fulsome forensic investigation of this attack and we promptly notifi</w:t>
      </w:r>
      <w:r>
        <w:rPr>
          <w:sz w:val="20"/>
          <w:szCs w:val="20"/>
        </w:rPr>
        <w:t>ed federal law enforcement. Based on the results of the investigation, we do not believe there has been any misuse of confidential or sensitive client data, have made notifications to clients, and have proactively addressed client concerns regarding our se</w:t>
      </w:r>
      <w:r>
        <w:rPr>
          <w:sz w:val="20"/>
          <w:szCs w:val="20"/>
        </w:rPr>
        <w:t>curity environment. Furthermore, we have identified a limited number of individuals whose personally identifiable information may have been accessed from our systems and are in process of making appropriate notifications to such individuals and required re</w:t>
      </w:r>
      <w:r>
        <w:rPr>
          <w:sz w:val="20"/>
          <w:szCs w:val="20"/>
        </w:rPr>
        <w:t>gulators. The Company has insurance coverage, subject to a $0.3 million deductible, against recovery costs and business interruption resulting from cyber-attacks and is in the process of preparing and submitting claims. We believe that the impact on revenu</w:t>
      </w:r>
      <w:r>
        <w:rPr>
          <w:sz w:val="20"/>
          <w:szCs w:val="20"/>
        </w:rPr>
        <w:t>es and income before tax in the quarter ended June 30, 2022 was approximately $1.0 million, with an additional smaller loss in July 2022.</w:t>
      </w:r>
      <w:r>
        <w:rPr>
          <w:sz w:val="20"/>
          <w:szCs w:val="20"/>
        </w:rPr>
        <w:br/>
      </w:r>
      <w:r>
        <w:rPr>
          <w:sz w:val="20"/>
          <w:szCs w:val="20"/>
        </w:rPr>
        <w:br/>
      </w:r>
      <w:r>
        <w:rPr>
          <w:sz w:val="20"/>
          <w:szCs w:val="20"/>
        </w:rPr>
        <w:t> </w:t>
      </w:r>
    </w:p>
    <w:p w:rsidR="00000000" w:rsidRDefault="00F55F16">
      <w:pPr>
        <w:pStyle w:val="a3"/>
        <w:spacing w:before="240" w:beforeAutospacing="0" w:after="0" w:afterAutospacing="0"/>
        <w:jc w:val="center"/>
        <w:rPr>
          <w:sz w:val="20"/>
          <w:szCs w:val="20"/>
        </w:rPr>
      </w:pPr>
      <w:r>
        <w:rPr>
          <w:sz w:val="20"/>
          <w:szCs w:val="20"/>
        </w:rPr>
        <w:t>3</w:t>
      </w:r>
      <w:r>
        <w:rPr>
          <w:sz w:val="20"/>
          <w:szCs w:val="20"/>
        </w:rPr>
        <w:t>4</w:t>
      </w:r>
    </w:p>
    <w:p w:rsidR="00000000" w:rsidRDefault="00F55F16">
      <w:pPr>
        <w:rPr>
          <w:rFonts w:eastAsia="Times New Roman"/>
        </w:rPr>
      </w:pPr>
      <w:r>
        <w:rPr>
          <w:rFonts w:eastAsia="Times New Roman"/>
        </w:rPr>
        <w:pict>
          <v:rect id="_x0000_i1060"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rPr>
          <w:sz w:val="20"/>
          <w:szCs w:val="20"/>
        </w:rPr>
      </w:pPr>
      <w:r>
        <w:rPr>
          <w:b/>
          <w:bCs/>
          <w:sz w:val="20"/>
          <w:szCs w:val="20"/>
        </w:rPr>
        <w:t>Results of Operation</w:t>
      </w:r>
      <w:r>
        <w:rPr>
          <w:b/>
          <w:bCs/>
          <w:sz w:val="20"/>
          <w:szCs w:val="20"/>
        </w:rPr>
        <w:t>s</w:t>
      </w:r>
    </w:p>
    <w:p w:rsidR="00000000" w:rsidRDefault="00F55F16">
      <w:pPr>
        <w:pStyle w:val="a3"/>
        <w:spacing w:before="120" w:beforeAutospacing="0" w:after="0" w:afterAutospacing="0"/>
        <w:rPr>
          <w:sz w:val="20"/>
          <w:szCs w:val="20"/>
        </w:rPr>
      </w:pPr>
      <w:r>
        <w:rPr>
          <w:b/>
          <w:bCs/>
          <w:i/>
          <w:iCs/>
          <w:sz w:val="20"/>
          <w:szCs w:val="20"/>
        </w:rPr>
        <w:t>Three Months Ended June 30, 2022 Compared to the Thr</w:t>
      </w:r>
      <w:r>
        <w:rPr>
          <w:b/>
          <w:bCs/>
          <w:i/>
          <w:iCs/>
          <w:sz w:val="20"/>
          <w:szCs w:val="20"/>
        </w:rPr>
        <w:t>ee Months Ended June 30, 202</w:t>
      </w:r>
      <w:r>
        <w:rPr>
          <w:b/>
          <w:bCs/>
          <w:i/>
          <w:iCs/>
          <w:sz w:val="20"/>
          <w:szCs w:val="20"/>
        </w:rPr>
        <w:t>1</w:t>
      </w:r>
    </w:p>
    <w:p w:rsidR="00000000" w:rsidRDefault="00F55F16">
      <w:pPr>
        <w:pStyle w:val="a3"/>
        <w:spacing w:before="0" w:beforeAutospacing="0" w:after="0" w:afterAutospacing="0"/>
        <w:rPr>
          <w:sz w:val="20"/>
          <w:szCs w:val="20"/>
        </w:rPr>
      </w:pPr>
      <w:r>
        <w:rPr>
          <w:sz w:val="20"/>
          <w:szCs w:val="20"/>
        </w:rPr>
        <w:t> </w:t>
      </w:r>
    </w:p>
    <w:tbl>
      <w:tblPr>
        <w:tblW w:w="3050" w:type="pct"/>
        <w:tblCellSpacing w:w="15" w:type="dxa"/>
        <w:tblCellMar>
          <w:top w:w="15" w:type="dxa"/>
          <w:left w:w="15" w:type="dxa"/>
          <w:bottom w:w="15" w:type="dxa"/>
          <w:right w:w="15" w:type="dxa"/>
        </w:tblCellMar>
        <w:tblLook w:val="04A0" w:firstRow="1" w:lastRow="0" w:firstColumn="1" w:lastColumn="0" w:noHBand="0" w:noVBand="1"/>
      </w:tblPr>
      <w:tblGrid>
        <w:gridCol w:w="3012"/>
        <w:gridCol w:w="105"/>
        <w:gridCol w:w="150"/>
        <w:gridCol w:w="645"/>
        <w:gridCol w:w="120"/>
        <w:gridCol w:w="105"/>
        <w:gridCol w:w="150"/>
        <w:gridCol w:w="645"/>
        <w:gridCol w:w="135"/>
      </w:tblGrid>
      <w:tr w:rsidR="00000000">
        <w:trPr>
          <w:tblCellSpacing w:w="15" w:type="dxa"/>
        </w:trPr>
        <w:tc>
          <w:tcPr>
            <w:tcW w:w="3286" w:type="pct"/>
            <w:vAlign w:val="center"/>
            <w:hideMark/>
          </w:tcPr>
          <w:p w:rsidR="00000000" w:rsidRDefault="00F55F16">
            <w:pPr>
              <w:rPr>
                <w:sz w:val="20"/>
                <w:szCs w:val="20"/>
              </w:rPr>
            </w:pPr>
          </w:p>
        </w:tc>
        <w:tc>
          <w:tcPr>
            <w:tcW w:w="7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7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8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Three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(in thousands, except per share and percentage data</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Statements of operations data</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139,91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136,22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Cost of revenues (exclusive of depreciation and amortization</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90,42</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92,10</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46,45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27,36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Fair value changes in business acquisition contingencie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(3,51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12,97</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12,28</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9,87</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Loss from operation</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(5,74</w:t>
            </w:r>
            <w:r>
              <w:rPr>
                <w:b/>
                <w:bCs/>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(6,09</w:t>
            </w:r>
            <w:r>
              <w:rPr>
                <w:b/>
                <w:bCs/>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Other income (expense</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34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(51</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Interest expense, 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(1,51</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(6,79</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Loss before income taxe</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(6,92</w:t>
            </w:r>
            <w:r>
              <w:rPr>
                <w:b/>
                <w:bCs/>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(13,40</w:t>
            </w:r>
            <w:r>
              <w:rPr>
                <w:b/>
                <w:bCs/>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Income tax expense (benefit</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83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Net los</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(7,75</w:t>
            </w:r>
            <w:r>
              <w:rPr>
                <w:b/>
                <w:bCs/>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(13,14</w:t>
            </w:r>
            <w:r>
              <w:rPr>
                <w:b/>
                <w:bCs/>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Series A-2 dividend paymen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(4,10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(4,10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Net loss attributable to common stockholder</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(11,85</w:t>
            </w:r>
            <w:r>
              <w:rPr>
                <w:b/>
                <w:bCs/>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(17,24</w:t>
            </w:r>
            <w:r>
              <w:rPr>
                <w:b/>
                <w:bCs/>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Weighted average number of shares — basic and dilute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29,67</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26,05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Loss per share — basic and dilute</w:t>
            </w:r>
            <w:r>
              <w:rPr>
                <w:b/>
                <w:bCs/>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(0.4</w:t>
            </w:r>
            <w:r>
              <w:rPr>
                <w:b/>
                <w:bCs/>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(0.6</w:t>
            </w:r>
            <w:r>
              <w:rPr>
                <w:b/>
                <w:bCs/>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bl>
    <w:p w:rsidR="00000000" w:rsidRDefault="00F55F16">
      <w:pPr>
        <w:pStyle w:val="a3"/>
        <w:spacing w:before="0" w:beforeAutospacing="0" w:after="0" w:afterAutospacing="0"/>
        <w:ind w:left="476"/>
        <w:rPr>
          <w:sz w:val="20"/>
          <w:szCs w:val="20"/>
        </w:rPr>
      </w:pPr>
      <w:r>
        <w:rPr>
          <w:sz w:val="20"/>
          <w:szCs w:val="20"/>
        </w:rPr>
        <w:t> </w:t>
      </w:r>
    </w:p>
    <w:p w:rsidR="00000000" w:rsidRDefault="00F55F16">
      <w:pPr>
        <w:pStyle w:val="a3"/>
        <w:spacing w:before="0" w:beforeAutospacing="0" w:after="0" w:afterAutospacing="0"/>
        <w:ind w:left="476"/>
        <w:rPr>
          <w:sz w:val="20"/>
          <w:szCs w:val="20"/>
        </w:rPr>
      </w:pPr>
      <w:r>
        <w:rPr>
          <w:b/>
          <w:bCs/>
          <w:i/>
          <w:iCs/>
          <w:sz w:val="20"/>
          <w:szCs w:val="20"/>
        </w:rPr>
        <w:t>Revenue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For the three months ended June 30, 2022, we had revenues of $139.9 million, an increase of $3.7 million, or 2.7% over the three months ended June 30, 2021. The period over period increase in revenues was driven by organic growth in our Measurement and Ana</w:t>
      </w:r>
      <w:r>
        <w:rPr>
          <w:sz w:val="20"/>
          <w:szCs w:val="20"/>
        </w:rPr>
        <w:t>lysis and Remediation and Reuse segments, and acquisitions completed in and subsequent to the quarter ended June 30, 2021, which contributed revenues of $14.6 million. These increases were partially offset by significantly lower revenue from CTEH driven by</w:t>
      </w:r>
      <w:r>
        <w:rPr>
          <w:sz w:val="20"/>
          <w:szCs w:val="20"/>
        </w:rPr>
        <w:t xml:space="preserve"> lower demand for COVID-19 related services and exiting waste water treatment and biogas O&amp;M contracts. Revenue from CTEH was $32.1 million in the three months ended June 30, 2022 compared to $65.9 million in the three months ended June 30, 2021. Total rev</w:t>
      </w:r>
      <w:r>
        <w:rPr>
          <w:sz w:val="20"/>
          <w:szCs w:val="20"/>
        </w:rPr>
        <w:t>enue from COVID-19 related services was $20.4 million and $55.2 million in the three months ended June 30, 2022 and June 30, 2021, respectively. Revenue from Discontinued O&amp;M Contracts generated revenues of $0.9 million and $3.3 million in the three months</w:t>
      </w:r>
      <w:r>
        <w:rPr>
          <w:sz w:val="20"/>
          <w:szCs w:val="20"/>
        </w:rPr>
        <w:t xml:space="preserve"> ended June 30, 2022 and June 30, 2021, respectively. Revenue by segment and as a percentage of total revenues was as follows</w:t>
      </w:r>
      <w:r>
        <w:rPr>
          <w:sz w:val="20"/>
          <w:szCs w:val="20"/>
        </w:rPr>
        <w:t>:</w:t>
      </w:r>
    </w:p>
    <w:p w:rsidR="00000000" w:rsidRDefault="00F55F16">
      <w:pPr>
        <w:pStyle w:val="a3"/>
        <w:spacing w:before="0" w:beforeAutospacing="0" w:after="0" w:afterAutospacing="0"/>
        <w:ind w:firstLine="555"/>
        <w:rPr>
          <w:sz w:val="20"/>
          <w:szCs w:val="20"/>
        </w:rPr>
      </w:pPr>
      <w:r>
        <w:rPr>
          <w:sz w:val="20"/>
          <w:szCs w:val="20"/>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50"/>
        <w:gridCol w:w="192"/>
        <w:gridCol w:w="192"/>
        <w:gridCol w:w="110"/>
        <w:gridCol w:w="710"/>
        <w:gridCol w:w="110"/>
        <w:gridCol w:w="192"/>
        <w:gridCol w:w="110"/>
        <w:gridCol w:w="750"/>
        <w:gridCol w:w="110"/>
        <w:gridCol w:w="227"/>
        <w:gridCol w:w="193"/>
        <w:gridCol w:w="193"/>
        <w:gridCol w:w="110"/>
        <w:gridCol w:w="710"/>
        <w:gridCol w:w="110"/>
        <w:gridCol w:w="193"/>
        <w:gridCol w:w="110"/>
        <w:gridCol w:w="751"/>
        <w:gridCol w:w="110"/>
        <w:gridCol w:w="242"/>
      </w:tblGrid>
      <w:tr w:rsidR="00000000">
        <w:trPr>
          <w:tblCellSpacing w:w="15" w:type="dxa"/>
        </w:trPr>
        <w:tc>
          <w:tcPr>
            <w:tcW w:w="1485" w:type="pct"/>
            <w:vAlign w:val="center"/>
            <w:hideMark/>
          </w:tcPr>
          <w:p w:rsidR="00000000" w:rsidRDefault="00F55F16">
            <w:pPr>
              <w:rPr>
                <w:sz w:val="20"/>
                <w:szCs w:val="20"/>
              </w:rPr>
            </w:pPr>
          </w:p>
        </w:tc>
        <w:tc>
          <w:tcPr>
            <w:tcW w:w="133"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4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8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4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r>
      <w:tr w:rsidR="00000000">
        <w:trPr>
          <w:trHeight w:val="160"/>
          <w:tblCellSpacing w:w="15" w:type="dxa"/>
        </w:trPr>
        <w:tc>
          <w:tcPr>
            <w:tcW w:w="0" w:type="auto"/>
            <w:vAlign w:val="center"/>
            <w:hideMark/>
          </w:tcPr>
          <w:p w:rsidR="00000000" w:rsidRDefault="00F55F16">
            <w:pPr>
              <w:pStyle w:val="a3"/>
              <w:spacing w:before="0" w:beforeAutospacing="0" w:after="0" w:afterAutospacing="0"/>
              <w:rPr>
                <w:sz w:val="16"/>
                <w:szCs w:val="16"/>
              </w:rPr>
            </w:pPr>
            <w:r>
              <w:rPr>
                <w:sz w:val="16"/>
                <w:szCs w:val="16"/>
              </w:rPr>
              <w:t> </w:t>
            </w:r>
          </w:p>
        </w:tc>
        <w:tc>
          <w:tcPr>
            <w:tcW w:w="0" w:type="auto"/>
            <w:vAlign w:val="center"/>
            <w:hideMark/>
          </w:tcPr>
          <w:p w:rsidR="00000000" w:rsidRDefault="00F55F16">
            <w:pPr>
              <w:pStyle w:val="a3"/>
              <w:spacing w:before="0" w:beforeAutospacing="0" w:after="0" w:afterAutospacing="0"/>
              <w:rPr>
                <w:sz w:val="16"/>
                <w:szCs w:val="16"/>
              </w:rPr>
            </w:pPr>
            <w:r>
              <w:rPr>
                <w:sz w:val="16"/>
                <w:szCs w:val="16"/>
              </w:rPr>
              <w:t> </w:t>
            </w:r>
          </w:p>
        </w:tc>
        <w:tc>
          <w:tcPr>
            <w:tcW w:w="0" w:type="auto"/>
            <w:gridSpan w:val="19"/>
            <w:vAlign w:val="center"/>
            <w:hideMark/>
          </w:tcPr>
          <w:p w:rsidR="00000000" w:rsidRDefault="00F55F16">
            <w:pPr>
              <w:pStyle w:val="a3"/>
              <w:spacing w:before="0" w:beforeAutospacing="0" w:after="0" w:afterAutospacing="0"/>
              <w:jc w:val="center"/>
              <w:rPr>
                <w:sz w:val="16"/>
                <w:szCs w:val="16"/>
              </w:rPr>
            </w:pPr>
            <w:r>
              <w:rPr>
                <w:b/>
                <w:bCs/>
                <w:sz w:val="16"/>
                <w:szCs w:val="16"/>
              </w:rPr>
              <w:t>Three Months Ended June 30</w:t>
            </w:r>
            <w:r>
              <w:rPr>
                <w:b/>
                <w:bCs/>
                <w:sz w:val="16"/>
                <w:szCs w:val="16"/>
              </w:rPr>
              <w:t>,</w:t>
            </w:r>
          </w:p>
        </w:tc>
      </w:tr>
      <w:tr w:rsidR="00000000">
        <w:trPr>
          <w:trHeight w:val="160"/>
          <w:tblCellSpacing w:w="15" w:type="dxa"/>
        </w:trPr>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gridSpan w:val="9"/>
            <w:vAlign w:val="center"/>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gridSpan w:val="9"/>
            <w:vAlign w:val="center"/>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1</w:t>
            </w:r>
          </w:p>
        </w:tc>
      </w:tr>
      <w:tr w:rsidR="00000000">
        <w:trPr>
          <w:trHeight w:val="160"/>
          <w:tblCellSpacing w:w="15" w:type="dxa"/>
        </w:trPr>
        <w:tc>
          <w:tcPr>
            <w:tcW w:w="0" w:type="auto"/>
            <w:vAlign w:val="center"/>
            <w:hideMark/>
          </w:tcPr>
          <w:p w:rsidR="00000000" w:rsidRDefault="00F55F16">
            <w:pPr>
              <w:pStyle w:val="a3"/>
              <w:spacing w:before="0" w:beforeAutospacing="0" w:after="0" w:afterAutospacing="0"/>
              <w:rPr>
                <w:sz w:val="16"/>
                <w:szCs w:val="16"/>
              </w:rPr>
            </w:pPr>
            <w:r>
              <w:rPr>
                <w:b/>
                <w:bCs/>
                <w:sz w:val="16"/>
                <w:szCs w:val="16"/>
              </w:rPr>
              <w:t>(Revenues in thousands</w:t>
            </w:r>
            <w:r>
              <w:rPr>
                <w:b/>
                <w:bCs/>
                <w:sz w:val="16"/>
                <w:szCs w:val="16"/>
              </w:rPr>
              <w:t>)</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gridSpan w:val="3"/>
            <w:vAlign w:val="center"/>
            <w:hideMark/>
          </w:tcPr>
          <w:p w:rsidR="00000000" w:rsidRDefault="00F55F1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F55F16">
            <w:pPr>
              <w:pStyle w:val="a3"/>
              <w:spacing w:before="0" w:beforeAutospacing="0" w:after="0" w:afterAutospacing="0"/>
              <w:rPr>
                <w:sz w:val="16"/>
                <w:szCs w:val="16"/>
              </w:rPr>
            </w:pPr>
            <w:r>
              <w:rPr>
                <w:sz w:val="16"/>
                <w:szCs w:val="16"/>
              </w:rPr>
              <w:t> </w:t>
            </w:r>
          </w:p>
        </w:tc>
        <w:tc>
          <w:tcPr>
            <w:tcW w:w="0" w:type="auto"/>
            <w:gridSpan w:val="4"/>
            <w:vAlign w:val="center"/>
            <w:hideMark/>
          </w:tcPr>
          <w:p w:rsidR="00000000" w:rsidRDefault="00F55F16">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gridSpan w:val="3"/>
            <w:vAlign w:val="center"/>
            <w:hideMark/>
          </w:tcPr>
          <w:p w:rsidR="00000000" w:rsidRDefault="00F55F1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F55F16">
            <w:pPr>
              <w:pStyle w:val="a3"/>
              <w:spacing w:before="0" w:beforeAutospacing="0" w:after="0" w:afterAutospacing="0"/>
              <w:jc w:val="center"/>
              <w:rPr>
                <w:sz w:val="20"/>
                <w:szCs w:val="20"/>
              </w:rPr>
            </w:pPr>
            <w:r>
              <w:rPr>
                <w:sz w:val="20"/>
                <w:szCs w:val="20"/>
              </w:rPr>
              <w:t> </w:t>
            </w:r>
          </w:p>
        </w:tc>
        <w:tc>
          <w:tcPr>
            <w:tcW w:w="0" w:type="auto"/>
            <w:gridSpan w:val="4"/>
            <w:vAlign w:val="center"/>
            <w:hideMark/>
          </w:tcPr>
          <w:p w:rsidR="00000000" w:rsidRDefault="00F55F16">
            <w:pPr>
              <w:pStyle w:val="a3"/>
              <w:spacing w:before="0" w:beforeAutospacing="0" w:after="0" w:afterAutospacing="0"/>
              <w:jc w:val="center"/>
              <w:rPr>
                <w:sz w:val="16"/>
                <w:szCs w:val="16"/>
              </w:rPr>
            </w:pPr>
            <w:r>
              <w:rPr>
                <w:b/>
                <w:bCs/>
                <w:sz w:val="16"/>
                <w:szCs w:val="16"/>
              </w:rPr>
              <w:t>% of Total Revenue</w:t>
            </w:r>
            <w:r>
              <w:rPr>
                <w:b/>
                <w:bCs/>
                <w:sz w:val="16"/>
                <w:szCs w:val="16"/>
              </w:rPr>
              <w:t>s</w:t>
            </w:r>
          </w:p>
        </w:tc>
      </w:tr>
      <w:tr w:rsidR="00000000">
        <w:trPr>
          <w:trHeight w:val="200"/>
          <w:tblCellSpacing w:w="15" w:type="dxa"/>
        </w:trPr>
        <w:tc>
          <w:tcPr>
            <w:tcW w:w="0" w:type="auto"/>
            <w:vAlign w:val="center"/>
            <w:hideMark/>
          </w:tcPr>
          <w:p w:rsidR="00000000" w:rsidRDefault="00F55F16">
            <w:pPr>
              <w:pStyle w:val="a3"/>
              <w:spacing w:before="0" w:beforeAutospacing="0" w:after="0" w:afterAutospacing="0"/>
              <w:rPr>
                <w:sz w:val="20"/>
                <w:szCs w:val="20"/>
              </w:rPr>
            </w:pPr>
            <w:r>
              <w:rPr>
                <w:sz w:val="20"/>
                <w:szCs w:val="20"/>
              </w:rPr>
              <w:t xml:space="preserve">Assessment, Permitting and </w:t>
            </w:r>
            <w:r>
              <w:rPr>
                <w:sz w:val="20"/>
                <w:szCs w:val="20"/>
              </w:rPr>
              <w:br/>
              <w:t>   Respons</w:t>
            </w:r>
            <w:r>
              <w:rPr>
                <w:sz w:val="20"/>
                <w:szCs w:val="20"/>
              </w:rPr>
              <w:t>e</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50,03</w:t>
            </w:r>
            <w:r>
              <w:rPr>
                <w:sz w:val="20"/>
                <w:szCs w:val="20"/>
              </w:rPr>
              <w:t>7</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35.</w:t>
            </w:r>
            <w:r>
              <w:rPr>
                <w:sz w:val="20"/>
                <w:szCs w:val="20"/>
              </w:rPr>
              <w:t>8</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70,70</w:t>
            </w:r>
            <w:r>
              <w:rPr>
                <w:sz w:val="20"/>
                <w:szCs w:val="20"/>
              </w:rPr>
              <w:t>5</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51.</w:t>
            </w:r>
            <w:r>
              <w:rPr>
                <w:sz w:val="20"/>
                <w:szCs w:val="20"/>
              </w:rPr>
              <w:t>9</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F55F1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42,22</w:t>
            </w:r>
            <w:r>
              <w:rPr>
                <w:sz w:val="20"/>
                <w:szCs w:val="20"/>
              </w:rPr>
              <w:t>4</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30.</w:t>
            </w:r>
            <w:r>
              <w:rPr>
                <w:sz w:val="20"/>
                <w:szCs w:val="20"/>
              </w:rPr>
              <w:t>2</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39,11</w:t>
            </w:r>
            <w:r>
              <w:rPr>
                <w:sz w:val="20"/>
                <w:szCs w:val="20"/>
              </w:rPr>
              <w:t>7</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28.</w:t>
            </w:r>
            <w:r>
              <w:rPr>
                <w:sz w:val="20"/>
                <w:szCs w:val="20"/>
              </w:rPr>
              <w:t>7</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F55F1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47,64</w:t>
            </w:r>
            <w:r>
              <w:rPr>
                <w:sz w:val="20"/>
                <w:szCs w:val="20"/>
              </w:rPr>
              <w:t>9</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34.</w:t>
            </w:r>
            <w:r>
              <w:rPr>
                <w:sz w:val="20"/>
                <w:szCs w:val="20"/>
              </w:rPr>
              <w:t>1</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26,40</w:t>
            </w:r>
            <w:r>
              <w:rPr>
                <w:sz w:val="20"/>
                <w:szCs w:val="20"/>
              </w:rPr>
              <w:t>2</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19.</w:t>
            </w:r>
            <w:r>
              <w:rPr>
                <w:sz w:val="20"/>
                <w:szCs w:val="20"/>
              </w:rPr>
              <w:t>4</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
                <w:szCs w:val="2"/>
              </w:rPr>
            </w:pPr>
            <w:r>
              <w:rPr>
                <w:sz w:val="2"/>
                <w:szCs w:val="2"/>
              </w:rPr>
              <w:t> </w:t>
            </w:r>
          </w:p>
        </w:tc>
      </w:tr>
      <w:tr w:rsidR="00000000">
        <w:trPr>
          <w:trHeight w:val="200"/>
          <w:tblCellSpacing w:w="15" w:type="dxa"/>
        </w:trPr>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139,91</w:t>
            </w:r>
            <w:r>
              <w:rPr>
                <w:sz w:val="20"/>
                <w:szCs w:val="20"/>
              </w:rPr>
              <w:t>0</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136,22</w:t>
            </w:r>
            <w:r>
              <w:rPr>
                <w:sz w:val="20"/>
                <w:szCs w:val="20"/>
              </w:rPr>
              <w:t>4</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
                <w:szCs w:val="2"/>
              </w:rPr>
            </w:pPr>
            <w:r>
              <w:rPr>
                <w:sz w:val="2"/>
                <w:szCs w:val="2"/>
              </w:rPr>
              <w:t> </w:t>
            </w:r>
          </w:p>
        </w:tc>
      </w:tr>
    </w:tbl>
    <w:p w:rsidR="00000000" w:rsidRDefault="00F55F16">
      <w:pPr>
        <w:pStyle w:val="a3"/>
        <w:spacing w:before="240" w:beforeAutospacing="0" w:after="0" w:afterAutospacing="0"/>
        <w:ind w:firstLine="555"/>
        <w:rPr>
          <w:sz w:val="20"/>
          <w:szCs w:val="20"/>
        </w:rPr>
      </w:pPr>
      <w:r>
        <w:rPr>
          <w:sz w:val="20"/>
          <w:szCs w:val="20"/>
        </w:rPr>
        <w:t>See “—Segment Results of Operations” below</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Cost of Revenue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Cost of revenues consists of all direct costs required to provide services, including fixed and variable direct labor costs, equipment rental and other outside services, field and lab supplies, vehicle costs and travel-related expenses. Variable costs of r</w:t>
      </w:r>
      <w:r>
        <w:rPr>
          <w:sz w:val="20"/>
          <w:szCs w:val="20"/>
        </w:rPr>
        <w:t>evenues generally follow the same trends as revenue, while fixed costs tend to change primarily as a result of acquisitions</w:t>
      </w:r>
      <w:r>
        <w:rPr>
          <w:sz w:val="20"/>
          <w:szCs w:val="20"/>
        </w:rPr>
        <w:t>.</w:t>
      </w:r>
    </w:p>
    <w:p w:rsidR="00000000" w:rsidRDefault="00F55F16">
      <w:pPr>
        <w:pStyle w:val="a3"/>
        <w:spacing w:before="240" w:beforeAutospacing="0" w:after="0" w:afterAutospacing="0"/>
        <w:ind w:firstLine="555"/>
        <w:rPr>
          <w:sz w:val="20"/>
          <w:szCs w:val="20"/>
        </w:rPr>
      </w:pPr>
      <w:r>
        <w:rPr>
          <w:sz w:val="20"/>
          <w:szCs w:val="20"/>
        </w:rPr>
        <w:t>For the three months ended June 30, 2022, cost of revenues was $90.4 million or 64.6% of revenues, and was comprised of direct labo</w:t>
      </w:r>
      <w:r>
        <w:rPr>
          <w:sz w:val="20"/>
          <w:szCs w:val="20"/>
        </w:rPr>
        <w:t xml:space="preserve">r of $37.2 million, outside services (including contracted labor, laboratory, shipping and freight and other outside services) of $22.7 million, field supplies, testing supplies and equipment costs of $21.3 million, project-related travel expenses of $5.4 </w:t>
      </w:r>
      <w:r>
        <w:rPr>
          <w:sz w:val="20"/>
          <w:szCs w:val="20"/>
        </w:rPr>
        <w:t>million and other direct costs of $3.8 million</w:t>
      </w:r>
      <w:r>
        <w:rPr>
          <w:sz w:val="20"/>
          <w:szCs w:val="20"/>
        </w:rPr>
        <w:t>.</w:t>
      </w:r>
      <w:r>
        <w:rPr>
          <w:sz w:val="20"/>
          <w:szCs w:val="20"/>
        </w:rPr>
        <w:t xml:space="preserve"> </w:t>
      </w:r>
    </w:p>
    <w:p w:rsidR="00000000" w:rsidRDefault="00F55F16">
      <w:pPr>
        <w:pStyle w:val="a3"/>
        <w:spacing w:before="240" w:beforeAutospacing="0" w:after="0" w:afterAutospacing="0"/>
        <w:jc w:val="center"/>
        <w:rPr>
          <w:sz w:val="20"/>
          <w:szCs w:val="20"/>
        </w:rPr>
      </w:pPr>
      <w:r>
        <w:rPr>
          <w:sz w:val="20"/>
          <w:szCs w:val="20"/>
        </w:rPr>
        <w:t>3</w:t>
      </w:r>
      <w:r>
        <w:rPr>
          <w:sz w:val="20"/>
          <w:szCs w:val="20"/>
        </w:rPr>
        <w:t>5</w:t>
      </w:r>
    </w:p>
    <w:p w:rsidR="00000000" w:rsidRDefault="00F55F16">
      <w:pPr>
        <w:rPr>
          <w:rFonts w:eastAsia="Times New Roman"/>
        </w:rPr>
      </w:pPr>
      <w:r>
        <w:rPr>
          <w:rFonts w:eastAsia="Times New Roman"/>
        </w:rPr>
        <w:pict>
          <v:rect id="_x0000_i1061"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ind w:firstLine="555"/>
        <w:rPr>
          <w:sz w:val="20"/>
          <w:szCs w:val="20"/>
        </w:rPr>
      </w:pPr>
      <w:r>
        <w:rPr>
          <w:sz w:val="20"/>
          <w:szCs w:val="20"/>
        </w:rPr>
        <w:t>For the three months ended June 30, 2021, cost of revenues was $92.1 million or 67.6% of revenues, and was comprised of direct labor of $36.2 million, outside service</w:t>
      </w:r>
      <w:r>
        <w:rPr>
          <w:sz w:val="20"/>
          <w:szCs w:val="20"/>
        </w:rPr>
        <w:t>s (including contracted labor, laboratory, shipping and freight and other outside services) of $41.9 million, field supplies, testing supplies and equipment costs of $7.1 million, project-related travel expenses of $3.7 million and other direct costs of $3</w:t>
      </w:r>
      <w:r>
        <w:rPr>
          <w:sz w:val="20"/>
          <w:szCs w:val="20"/>
        </w:rPr>
        <w:t>.2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For the three months ended June 30, 2022, cost of revenues as a percentage of revenue decreased 3.0% from the three months ended June 30, 2021, as a result of significantly lower outside service costs in 2022 when compared to 2021 driven primar</w:t>
      </w:r>
      <w:r>
        <w:rPr>
          <w:sz w:val="20"/>
          <w:szCs w:val="20"/>
        </w:rPr>
        <w:t>ily by a decrease in external lab expenses needed to support CTEH’s COVID-19 response work during 2022, partially offset by higher equipment costs primarily to support higher water treatment and biogas revenues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Selling, General and Administrative Expens</w:t>
      </w:r>
      <w:r>
        <w:rPr>
          <w:b/>
          <w:bCs/>
          <w:i/>
          <w:iCs/>
          <w:sz w:val="20"/>
          <w:szCs w:val="20"/>
        </w:rPr>
        <w:t>e</w:t>
      </w:r>
    </w:p>
    <w:p w:rsidR="00000000" w:rsidRDefault="00F55F16">
      <w:pPr>
        <w:pStyle w:val="a3"/>
        <w:spacing w:before="120" w:beforeAutospacing="0" w:after="0" w:afterAutospacing="0"/>
        <w:ind w:firstLine="555"/>
        <w:rPr>
          <w:sz w:val="20"/>
          <w:szCs w:val="20"/>
        </w:rPr>
      </w:pPr>
      <w:r>
        <w:rPr>
          <w:sz w:val="20"/>
          <w:szCs w:val="20"/>
        </w:rPr>
        <w:t>Selling, general and administrative expense consists of general corporate overhead, including executive, legal, finance, safety, risk management, human resource, marketing and information technology related costs</w:t>
      </w:r>
      <w:r>
        <w:rPr>
          <w:sz w:val="20"/>
          <w:szCs w:val="20"/>
        </w:rPr>
        <w:t>, as well as indirect operational costs of labor, rent, insurance and stock-based compensation</w:t>
      </w:r>
      <w:r>
        <w:rPr>
          <w:sz w:val="20"/>
          <w:szCs w:val="20"/>
        </w:rPr>
        <w:t>.</w:t>
      </w:r>
    </w:p>
    <w:p w:rsidR="00000000" w:rsidRDefault="00F55F16">
      <w:pPr>
        <w:pStyle w:val="a3"/>
        <w:spacing w:before="120" w:beforeAutospacing="0" w:after="0" w:afterAutospacing="0"/>
        <w:ind w:firstLine="555"/>
        <w:rPr>
          <w:sz w:val="20"/>
          <w:szCs w:val="20"/>
        </w:rPr>
      </w:pPr>
      <w:r>
        <w:rPr>
          <w:sz w:val="20"/>
          <w:szCs w:val="20"/>
        </w:rPr>
        <w:t xml:space="preserve">For the three months ended June 30, 2022, selling, general and administrative expense was $46.5 million, an increase of $19.1 million or 69.8% versus the three </w:t>
      </w:r>
      <w:r>
        <w:rPr>
          <w:sz w:val="20"/>
          <w:szCs w:val="20"/>
        </w:rPr>
        <w:t xml:space="preserve">months ended June 30, 2021. This increase was primarily driven by $8.5 million related to an increase in stock compensation expense, $3.0 million from selling, general and administrative expense pertaining to companies we acquired in and subsequent to the </w:t>
      </w:r>
      <w:r>
        <w:rPr>
          <w:sz w:val="20"/>
          <w:szCs w:val="20"/>
        </w:rPr>
        <w:t>second quarter of 2021, $4.4 million related to the higher labor and medical benefit costs, primarily reflecting inflationary increases, an increase in headcount to support growth in our PFAS water treatment business, and investments in corporate infrastru</w:t>
      </w:r>
      <w:r>
        <w:rPr>
          <w:sz w:val="20"/>
          <w:szCs w:val="20"/>
        </w:rPr>
        <w:t xml:space="preserve">cture (primarily administrative, marketing, finance, IT, legal and human resources) and $1.0 million was from an increase in the defined contribution plan employer contributions following the reinstatement of employer matching during the second quarter of </w:t>
      </w:r>
      <w:r>
        <w:rPr>
          <w:sz w:val="20"/>
          <w:szCs w:val="20"/>
        </w:rPr>
        <w:t>2021, as well as higher travel expenses. See Part I, Item 3. “Quantitative and Qualitative Disclosures About Market Risk” for additional information regarding the impact of inflation on our business</w:t>
      </w:r>
      <w:r>
        <w:rPr>
          <w:sz w:val="20"/>
          <w:szCs w:val="20"/>
        </w:rPr>
        <w:t>.</w:t>
      </w:r>
    </w:p>
    <w:p w:rsidR="00000000" w:rsidRDefault="00F55F16">
      <w:pPr>
        <w:pStyle w:val="a3"/>
        <w:spacing w:before="240" w:beforeAutospacing="0" w:after="0" w:afterAutospacing="0"/>
        <w:ind w:firstLine="555"/>
        <w:rPr>
          <w:sz w:val="20"/>
          <w:szCs w:val="20"/>
        </w:rPr>
      </w:pPr>
      <w:r>
        <w:rPr>
          <w:sz w:val="20"/>
          <w:szCs w:val="20"/>
        </w:rPr>
        <w:t>For the three months ended June 30, 2022, selling, gener</w:t>
      </w:r>
      <w:r>
        <w:rPr>
          <w:sz w:val="20"/>
          <w:szCs w:val="20"/>
        </w:rPr>
        <w:t>al and administrative expense was comprised of indirect labor of $21.7 million, stock-based compensation of $10.6 million, facilities costs of $4.3 million, acquisition-related costs of $0.5 million, a bad debt expense of $0.3 million, and other costs (inc</w:t>
      </w:r>
      <w:r>
        <w:rPr>
          <w:sz w:val="20"/>
          <w:szCs w:val="20"/>
        </w:rPr>
        <w:t>luding software, travel, insurance, legal, consulting and audit services) of $9.1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For the three months ended June 30, 2021, selling, general and administrative expense was $27.4 million and was comprised of indirect labor of $13.3 million, facilit</w:t>
      </w:r>
      <w:r>
        <w:rPr>
          <w:sz w:val="20"/>
          <w:szCs w:val="20"/>
        </w:rPr>
        <w:t>ies costs of $3.5 million, stock-based compensation of $2.1 million, bad debt expense of $0.1 million, acquisition-related costs of $0.5 million, and other costs (including software, travel, insurance, legal, consulting and audit services) of $7.9 million</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Fair Value Changes in Business Acquisition Contingencie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For the three months ended June 30, 2022, fair value changes in business acquisition contingencies resulted in a gain of $3.5 million versus an expense of $13.0 million for the three months ended Ju</w:t>
      </w:r>
      <w:r>
        <w:rPr>
          <w:sz w:val="20"/>
          <w:szCs w:val="20"/>
        </w:rPr>
        <w:t>ne 30, 2021. The majority of the change in value in the three months ended June 30, 2022, was attributable to a $3.1 million gain related to acquisitions' 338(h)(10) elections make-whole tax accruals. The majority of the change in value in the three months</w:t>
      </w:r>
      <w:r>
        <w:rPr>
          <w:sz w:val="20"/>
          <w:szCs w:val="20"/>
        </w:rPr>
        <w:t xml:space="preserve"> ended June 30, 2021 was attributable to the CTEH earn-outs. See “—Key Factors that Affect Our Business and Our Results—Acquisitions” and Notes 7 and 13 to our unaudited condensed consolidated financial statements included in Part I, Item 1. “Financial Sta</w:t>
      </w:r>
      <w:r>
        <w:rPr>
          <w:sz w:val="20"/>
          <w:szCs w:val="20"/>
        </w:rPr>
        <w:t>tements.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Depreciation and Amortizatio</w:t>
      </w:r>
      <w:r>
        <w:rPr>
          <w:b/>
          <w:bCs/>
          <w:i/>
          <w:iCs/>
          <w:sz w:val="20"/>
          <w:szCs w:val="20"/>
        </w:rPr>
        <w:t>n</w:t>
      </w:r>
    </w:p>
    <w:p w:rsidR="00000000" w:rsidRDefault="00F55F16">
      <w:pPr>
        <w:pStyle w:val="a3"/>
        <w:spacing w:before="120" w:beforeAutospacing="0" w:after="0" w:afterAutospacing="0"/>
        <w:ind w:firstLine="555"/>
        <w:rPr>
          <w:sz w:val="20"/>
          <w:szCs w:val="20"/>
        </w:rPr>
      </w:pPr>
      <w:r>
        <w:rPr>
          <w:sz w:val="20"/>
          <w:szCs w:val="20"/>
        </w:rPr>
        <w:t xml:space="preserve">Depreciation and amortization expense for the three months ended June 30, 2022, was $12.3 million and was comprised of amortization of finite lived intangibles of $9.5 million, arising as a result of our acquisition </w:t>
      </w:r>
      <w:r>
        <w:rPr>
          <w:sz w:val="20"/>
          <w:szCs w:val="20"/>
        </w:rPr>
        <w:t>activity, depreciation of property and equipment of $1.8 million and finance leases right-of-use asset amortization of $1.0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Depreciation and amortization expense for the three months ended June 30, 2021, was $9.9 million and was comprised of amort</w:t>
      </w:r>
      <w:r>
        <w:rPr>
          <w:sz w:val="20"/>
          <w:szCs w:val="20"/>
        </w:rPr>
        <w:t>ization of finite lived intangibles of $8.4 million, arising as a result of our acquisition activity, depreciation of property and equipment of $0.7 million and finance leases right-of-use asset amortization of $0.8 million</w:t>
      </w:r>
      <w:r>
        <w:rPr>
          <w:sz w:val="20"/>
          <w:szCs w:val="20"/>
        </w:rPr>
        <w:t>.</w:t>
      </w:r>
    </w:p>
    <w:p w:rsidR="00000000" w:rsidRDefault="00F55F16">
      <w:pPr>
        <w:pStyle w:val="a3"/>
        <w:spacing w:before="240" w:beforeAutospacing="0" w:after="0" w:afterAutospacing="0"/>
        <w:jc w:val="center"/>
        <w:rPr>
          <w:sz w:val="20"/>
          <w:szCs w:val="20"/>
        </w:rPr>
      </w:pPr>
      <w:r>
        <w:rPr>
          <w:sz w:val="20"/>
          <w:szCs w:val="20"/>
        </w:rPr>
        <w:t>3</w:t>
      </w:r>
      <w:r>
        <w:rPr>
          <w:sz w:val="20"/>
          <w:szCs w:val="20"/>
        </w:rPr>
        <w:t>6</w:t>
      </w:r>
    </w:p>
    <w:p w:rsidR="00000000" w:rsidRDefault="00F55F16">
      <w:pPr>
        <w:rPr>
          <w:rFonts w:eastAsia="Times New Roman"/>
        </w:rPr>
      </w:pPr>
      <w:r>
        <w:rPr>
          <w:rFonts w:eastAsia="Times New Roman"/>
        </w:rPr>
        <w:pict>
          <v:rect id="_x0000_i1062"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ind w:firstLine="555"/>
        <w:rPr>
          <w:sz w:val="20"/>
          <w:szCs w:val="20"/>
        </w:rPr>
      </w:pPr>
      <w:r>
        <w:rPr>
          <w:sz w:val="20"/>
          <w:szCs w:val="20"/>
        </w:rPr>
        <w:t>The increase in amortization, depreciation of property and equipment and the amortization of finance leases right-of-use asset for the three months ended June 30, 2022 versus the three months ended June 30, 2021, was primarily a result of acquisi</w:t>
      </w:r>
      <w:r>
        <w:rPr>
          <w:sz w:val="20"/>
          <w:szCs w:val="20"/>
        </w:rPr>
        <w:t>tions. See Notes 5 and 6 to our unaudited condensed consolidated financial statements included in Part 1, Item 1. “Financial Statements.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Other Income (Expense</w:t>
      </w:r>
      <w:r>
        <w:rPr>
          <w:b/>
          <w:bCs/>
          <w:i/>
          <w:iCs/>
          <w:sz w:val="20"/>
          <w:szCs w:val="20"/>
        </w:rPr>
        <w:t>)</w:t>
      </w:r>
    </w:p>
    <w:p w:rsidR="00000000" w:rsidRDefault="00F55F16">
      <w:pPr>
        <w:pStyle w:val="a3"/>
        <w:spacing w:before="120" w:beforeAutospacing="0" w:after="0" w:afterAutospacing="0"/>
        <w:ind w:firstLine="555"/>
        <w:rPr>
          <w:sz w:val="20"/>
          <w:szCs w:val="20"/>
        </w:rPr>
      </w:pPr>
      <w:r>
        <w:rPr>
          <w:sz w:val="20"/>
          <w:szCs w:val="20"/>
        </w:rPr>
        <w:t>Other income for the three months ended June 30, 2022 of $0.3 million was driven by the fair va</w:t>
      </w:r>
      <w:r>
        <w:rPr>
          <w:sz w:val="20"/>
          <w:szCs w:val="20"/>
        </w:rPr>
        <w:t xml:space="preserve">lue adjustment on our interest rate swap of $1.0 million, which was partially offset by an expense of $0.6 million related to the fair value adjustment of the Series A-2 preferred stock conversion option. Other expense of $0.5 million for the three months </w:t>
      </w:r>
      <w:r>
        <w:rPr>
          <w:sz w:val="20"/>
          <w:szCs w:val="20"/>
        </w:rPr>
        <w:t>ended June 30, 2021 was driven by fair value adjustments related to the Series A-2 preferred stock conversion option. See Notes 7, 12 and 15 to our unaudited condensed consolidated financial statements included in Part 1, Item 1. “Financial Statements.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In</w:t>
      </w:r>
      <w:r>
        <w:rPr>
          <w:b/>
          <w:bCs/>
          <w:i/>
          <w:iCs/>
          <w:sz w:val="20"/>
          <w:szCs w:val="20"/>
        </w:rPr>
        <w:t>terest Expense, Ne</w:t>
      </w:r>
      <w:r>
        <w:rPr>
          <w:b/>
          <w:bCs/>
          <w:i/>
          <w:iCs/>
          <w:sz w:val="20"/>
          <w:szCs w:val="20"/>
        </w:rPr>
        <w:t>t</w:t>
      </w:r>
    </w:p>
    <w:p w:rsidR="00000000" w:rsidRDefault="00F55F16">
      <w:pPr>
        <w:pStyle w:val="a3"/>
        <w:spacing w:before="120" w:beforeAutospacing="0" w:after="0" w:afterAutospacing="0"/>
        <w:ind w:firstLine="555"/>
        <w:rPr>
          <w:sz w:val="20"/>
          <w:szCs w:val="20"/>
        </w:rPr>
      </w:pPr>
      <w:r>
        <w:rPr>
          <w:sz w:val="20"/>
          <w:szCs w:val="20"/>
        </w:rPr>
        <w:t xml:space="preserve">Interest expense, net incurred in the three months ended June 30, 2022, was $1.5 million, compared to $6.8 million for the three months ended June 30, 2021. The decrease in interest expense was driven by lower outstanding debt balances </w:t>
      </w:r>
      <w:r>
        <w:rPr>
          <w:sz w:val="20"/>
          <w:szCs w:val="20"/>
        </w:rPr>
        <w:t>during the three months ended June 30, 2022 when compared to the three months ended June 30, 2021, as well as the $4.1 million loss on extinguishment of debt realized in the three months ended June 30, 2021 in connection with the repayment in full of the 2</w:t>
      </w:r>
      <w:r>
        <w:rPr>
          <w:sz w:val="20"/>
          <w:szCs w:val="20"/>
        </w:rPr>
        <w:t>020 credit facility. See “—Key Factors that Affect Our Business and Our Results—Financing Costs” and Note 12 to our unaudited condensed consolidated financial statements included in Part I, Item 1. “Financial Statements.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Income Tax Expense (Benefit</w:t>
      </w:r>
      <w:r>
        <w:rPr>
          <w:b/>
          <w:bCs/>
          <w:i/>
          <w:iCs/>
          <w:sz w:val="20"/>
          <w:szCs w:val="20"/>
        </w:rPr>
        <w:t>)</w:t>
      </w:r>
    </w:p>
    <w:p w:rsidR="00000000" w:rsidRDefault="00F55F16">
      <w:pPr>
        <w:pStyle w:val="a3"/>
        <w:spacing w:before="120" w:beforeAutospacing="0" w:after="0" w:afterAutospacing="0"/>
        <w:ind w:firstLine="555"/>
        <w:rPr>
          <w:sz w:val="20"/>
          <w:szCs w:val="20"/>
        </w:rPr>
      </w:pPr>
      <w:r>
        <w:rPr>
          <w:sz w:val="20"/>
          <w:szCs w:val="20"/>
        </w:rPr>
        <w:t>Incom</w:t>
      </w:r>
      <w:r>
        <w:rPr>
          <w:sz w:val="20"/>
          <w:szCs w:val="20"/>
        </w:rPr>
        <w:t>e tax expense was $0.8 million during the three months ended June 30, 2022. Income tax benefit was ($0.3) million for the three months ended June 30, 2021</w:t>
      </w:r>
      <w:r>
        <w:rPr>
          <w:sz w:val="20"/>
          <w:szCs w:val="20"/>
        </w:rPr>
        <w:t>.</w:t>
      </w:r>
      <w:r>
        <w:rPr>
          <w:sz w:val="20"/>
          <w:szCs w:val="20"/>
        </w:rPr>
        <w:t xml:space="preserve"> </w:t>
      </w:r>
    </w:p>
    <w:p w:rsidR="00000000" w:rsidRDefault="00F55F16">
      <w:pPr>
        <w:pStyle w:val="a3"/>
        <w:spacing w:before="120" w:beforeAutospacing="0" w:after="0" w:afterAutospacing="0"/>
        <w:ind w:firstLine="555"/>
        <w:rPr>
          <w:sz w:val="20"/>
          <w:szCs w:val="20"/>
        </w:rPr>
      </w:pPr>
      <w:r>
        <w:rPr>
          <w:sz w:val="20"/>
          <w:szCs w:val="20"/>
        </w:rPr>
        <w:t> </w:t>
      </w:r>
    </w:p>
    <w:p w:rsidR="00000000" w:rsidRDefault="00F55F16">
      <w:pPr>
        <w:pStyle w:val="a3"/>
        <w:spacing w:before="120" w:beforeAutospacing="0" w:after="0" w:afterAutospacing="0"/>
        <w:rPr>
          <w:sz w:val="20"/>
          <w:szCs w:val="20"/>
        </w:rPr>
      </w:pPr>
      <w:r>
        <w:rPr>
          <w:b/>
          <w:bCs/>
          <w:i/>
          <w:iCs/>
          <w:sz w:val="20"/>
          <w:szCs w:val="20"/>
        </w:rPr>
        <w:t>Six Months Ended June 30, 2022 Compared to the Six Months Ended June 30, 202</w:t>
      </w:r>
      <w:r>
        <w:rPr>
          <w:b/>
          <w:bCs/>
          <w:i/>
          <w:iCs/>
          <w:sz w:val="20"/>
          <w:szCs w:val="20"/>
        </w:rPr>
        <w:t>1</w:t>
      </w:r>
    </w:p>
    <w:tbl>
      <w:tblPr>
        <w:tblW w:w="3650" w:type="pct"/>
        <w:tblCellSpacing w:w="15" w:type="dxa"/>
        <w:tblCellMar>
          <w:top w:w="15" w:type="dxa"/>
          <w:left w:w="15" w:type="dxa"/>
          <w:bottom w:w="15" w:type="dxa"/>
          <w:right w:w="15" w:type="dxa"/>
        </w:tblCellMar>
        <w:tblLook w:val="04A0" w:firstRow="1" w:lastRow="0" w:firstColumn="1" w:lastColumn="0" w:noHBand="0" w:noVBand="1"/>
      </w:tblPr>
      <w:tblGrid>
        <w:gridCol w:w="3832"/>
        <w:gridCol w:w="105"/>
        <w:gridCol w:w="150"/>
        <w:gridCol w:w="725"/>
        <w:gridCol w:w="120"/>
        <w:gridCol w:w="105"/>
        <w:gridCol w:w="150"/>
        <w:gridCol w:w="741"/>
        <w:gridCol w:w="135"/>
      </w:tblGrid>
      <w:tr w:rsidR="00000000">
        <w:trPr>
          <w:tblCellSpacing w:w="15" w:type="dxa"/>
        </w:trPr>
        <w:tc>
          <w:tcPr>
            <w:tcW w:w="3318" w:type="pct"/>
            <w:vAlign w:val="center"/>
            <w:hideMark/>
          </w:tcPr>
          <w:p w:rsidR="00000000" w:rsidRDefault="00F55F16">
            <w:pPr>
              <w:rPr>
                <w:sz w:val="20"/>
                <w:szCs w:val="20"/>
              </w:rPr>
            </w:pPr>
          </w:p>
        </w:tc>
        <w:tc>
          <w:tcPr>
            <w:tcW w:w="8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5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6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(in thousands, except per share and percentage data</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Statements of operations data</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Revenue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274,59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270,04</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Cost of revenues (exclusive of depreciation and amortization</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178,81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187,42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Selling, general and administrative expens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88,26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52,36</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Fair value changes in business acquisition contingencie</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(3,53</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24,03</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Depreciation and amortizatio</w:t>
            </w:r>
            <w:r>
              <w:rPr>
                <w:sz w:val="18"/>
                <w:szCs w:val="18"/>
              </w:rPr>
              <w:t>n</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24,42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21,67</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Loss from operation</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(13,38</w:t>
            </w:r>
            <w:r>
              <w:rPr>
                <w:b/>
                <w:bCs/>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(15,45</w:t>
            </w:r>
            <w:r>
              <w:rPr>
                <w:b/>
                <w:bCs/>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Other income (expense</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2,80</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(1,39</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Interest expense, ne</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(2,61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(9,48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Loss before income taxe</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(13,18</w:t>
            </w:r>
            <w:r>
              <w:rPr>
                <w:b/>
                <w:bCs/>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(26,33</w:t>
            </w:r>
            <w:r>
              <w:rPr>
                <w:b/>
                <w:bCs/>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Income tax expense (benefit</w:t>
            </w: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(25</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Net los</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(15,28</w:t>
            </w:r>
            <w:r>
              <w:rPr>
                <w:b/>
                <w:bCs/>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(26,07</w:t>
            </w:r>
            <w:r>
              <w:rPr>
                <w:b/>
                <w:bCs/>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ind w:left="200"/>
              <w:rPr>
                <w:sz w:val="18"/>
                <w:szCs w:val="18"/>
              </w:rPr>
            </w:pPr>
            <w:r>
              <w:rPr>
                <w:sz w:val="18"/>
                <w:szCs w:val="18"/>
              </w:rPr>
              <w:t>Series A-2 dividend paymen</w:t>
            </w:r>
            <w:r>
              <w:rPr>
                <w:sz w:val="18"/>
                <w:szCs w:val="18"/>
              </w:rPr>
              <w:t>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(8,20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(8,20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Net loss attributable to common stockholder</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(23,48</w:t>
            </w:r>
            <w:r>
              <w:rPr>
                <w:b/>
                <w:bCs/>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(34,27</w:t>
            </w:r>
            <w:r>
              <w:rPr>
                <w:b/>
                <w:bCs/>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Weighted average number of shares— basic and dilute</w:t>
            </w:r>
            <w:r>
              <w:rPr>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29,67</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25,58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Loss per share— basic and dilute</w:t>
            </w:r>
            <w:r>
              <w:rPr>
                <w:b/>
                <w:bCs/>
                <w:sz w:val="18"/>
                <w:szCs w:val="18"/>
              </w:rPr>
              <w:t>d</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(0.7</w:t>
            </w:r>
            <w:r>
              <w:rPr>
                <w:b/>
                <w:bCs/>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(1.3</w:t>
            </w:r>
            <w:r>
              <w:rPr>
                <w:b/>
                <w:bCs/>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r>
    </w:tbl>
    <w:p w:rsidR="00000000" w:rsidRDefault="00F55F16">
      <w:pPr>
        <w:pStyle w:val="a3"/>
        <w:spacing w:before="0" w:beforeAutospacing="0" w:after="0" w:afterAutospacing="0"/>
        <w:ind w:left="476"/>
        <w:rPr>
          <w:sz w:val="20"/>
          <w:szCs w:val="20"/>
        </w:rPr>
      </w:pPr>
      <w:r>
        <w:rPr>
          <w:sz w:val="20"/>
          <w:szCs w:val="20"/>
        </w:rPr>
        <w:t> </w:t>
      </w:r>
    </w:p>
    <w:p w:rsidR="00000000" w:rsidRDefault="00F55F16">
      <w:pPr>
        <w:pStyle w:val="a3"/>
        <w:spacing w:before="0" w:beforeAutospacing="0" w:after="0" w:afterAutospacing="0"/>
        <w:ind w:left="476"/>
        <w:rPr>
          <w:sz w:val="20"/>
          <w:szCs w:val="20"/>
        </w:rPr>
      </w:pPr>
      <w:r>
        <w:rPr>
          <w:b/>
          <w:bCs/>
          <w:i/>
          <w:iCs/>
          <w:sz w:val="20"/>
          <w:szCs w:val="20"/>
        </w:rPr>
        <w:t>Revenue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For the six months ended June 30, 2022, we had revenues of $274.6 million, an increase of $4.6 million, or 1.7% over the six months ended June 30, 2021. The period over period increase in revenues was driven by organic growth in our Measurement and Analysi</w:t>
      </w:r>
      <w:r>
        <w:rPr>
          <w:sz w:val="20"/>
          <w:szCs w:val="20"/>
        </w:rPr>
        <w:t>s and Remediation and Reuse segments, and acquisitions completed in and subsequent to the quarter ended June 30, 2021, which contributed revenues of $26.9 million. These increases were partially offset by significantly lower revenues from CTEH, primarily f</w:t>
      </w:r>
      <w:r>
        <w:rPr>
          <w:sz w:val="20"/>
          <w:szCs w:val="20"/>
        </w:rPr>
        <w:t>rom lower COVID-19 related services and the exiting of Discontinued O&amp;M Contracts. Revenue from CTEH was $62.0 million in the six months ended June 30, 2022 compared to $136.5 million in the six months ended June 30, 2021. Total revenue from COVID-19 relat</w:t>
      </w:r>
      <w:r>
        <w:rPr>
          <w:sz w:val="20"/>
          <w:szCs w:val="20"/>
        </w:rPr>
        <w:t>ed services was $41.8 million and $113.9 million in the six months ended June 30, 2022 and June 30, 2021, respectively. Revenue from Discontinued O&amp;M Contracts generated revenues of $2.3 million and $6.8 million in the six months ended June 30, 2022 and Ju</w:t>
      </w:r>
      <w:r>
        <w:rPr>
          <w:sz w:val="20"/>
          <w:szCs w:val="20"/>
        </w:rPr>
        <w:t>ne 30, 2021, respectively. Revenue by segment and as a percentage of total revenues was as follows</w:t>
      </w:r>
      <w:r>
        <w:rPr>
          <w:sz w:val="20"/>
          <w:szCs w:val="20"/>
        </w:rPr>
        <w:t>:</w:t>
      </w:r>
    </w:p>
    <w:p w:rsidR="00000000" w:rsidRDefault="00F55F16">
      <w:pPr>
        <w:pStyle w:val="a3"/>
        <w:spacing w:before="120" w:beforeAutospacing="0" w:after="0" w:afterAutospacing="0"/>
        <w:ind w:firstLine="555"/>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3</w:t>
      </w:r>
      <w:r>
        <w:rPr>
          <w:sz w:val="20"/>
          <w:szCs w:val="20"/>
        </w:rPr>
        <w:t>7</w:t>
      </w:r>
    </w:p>
    <w:p w:rsidR="00000000" w:rsidRDefault="00F55F16">
      <w:pPr>
        <w:rPr>
          <w:rFonts w:eastAsia="Times New Roman"/>
        </w:rPr>
      </w:pPr>
      <w:r>
        <w:rPr>
          <w:rFonts w:eastAsia="Times New Roman"/>
        </w:rPr>
        <w:pict>
          <v:rect id="_x0000_i1063"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230"/>
        <w:gridCol w:w="230"/>
        <w:gridCol w:w="110"/>
        <w:gridCol w:w="755"/>
        <w:gridCol w:w="110"/>
        <w:gridCol w:w="230"/>
        <w:gridCol w:w="110"/>
        <w:gridCol w:w="865"/>
        <w:gridCol w:w="115"/>
        <w:gridCol w:w="231"/>
        <w:gridCol w:w="231"/>
        <w:gridCol w:w="231"/>
        <w:gridCol w:w="110"/>
        <w:gridCol w:w="756"/>
        <w:gridCol w:w="110"/>
        <w:gridCol w:w="231"/>
        <w:gridCol w:w="110"/>
        <w:gridCol w:w="866"/>
        <w:gridCol w:w="115"/>
        <w:gridCol w:w="246"/>
      </w:tblGrid>
      <w:tr w:rsidR="00000000">
        <w:trPr>
          <w:tblCellSpacing w:w="15" w:type="dxa"/>
        </w:trPr>
        <w:tc>
          <w:tcPr>
            <w:tcW w:w="1485" w:type="pct"/>
            <w:vAlign w:val="center"/>
            <w:hideMark/>
          </w:tcPr>
          <w:p w:rsidR="00000000" w:rsidRDefault="00F55F16">
            <w:pPr>
              <w:rPr>
                <w:sz w:val="20"/>
                <w:szCs w:val="20"/>
              </w:rPr>
            </w:pPr>
          </w:p>
        </w:tc>
        <w:tc>
          <w:tcPr>
            <w:tcW w:w="133"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4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48"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133" w:type="pct"/>
            <w:vAlign w:val="center"/>
            <w:hideMark/>
          </w:tcPr>
          <w:p w:rsidR="00000000" w:rsidRDefault="00F55F16">
            <w:pPr>
              <w:rPr>
                <w:rFonts w:eastAsia="Times New Roman"/>
                <w:sz w:val="20"/>
                <w:szCs w:val="20"/>
              </w:rPr>
            </w:pPr>
          </w:p>
        </w:tc>
      </w:tr>
      <w:tr w:rsidR="00000000">
        <w:trPr>
          <w:trHeight w:val="160"/>
          <w:tblCellSpacing w:w="15" w:type="dxa"/>
        </w:trPr>
        <w:tc>
          <w:tcPr>
            <w:tcW w:w="0" w:type="auto"/>
            <w:vAlign w:val="center"/>
            <w:hideMark/>
          </w:tcPr>
          <w:p w:rsidR="00000000" w:rsidRDefault="00F55F16">
            <w:pPr>
              <w:pStyle w:val="a3"/>
              <w:spacing w:before="0" w:beforeAutospacing="0" w:after="0" w:afterAutospacing="0"/>
              <w:rPr>
                <w:sz w:val="16"/>
                <w:szCs w:val="16"/>
              </w:rPr>
            </w:pPr>
            <w:r>
              <w:rPr>
                <w:sz w:val="16"/>
                <w:szCs w:val="16"/>
              </w:rPr>
              <w:t> </w:t>
            </w:r>
          </w:p>
        </w:tc>
        <w:tc>
          <w:tcPr>
            <w:tcW w:w="0" w:type="auto"/>
            <w:vAlign w:val="center"/>
            <w:hideMark/>
          </w:tcPr>
          <w:p w:rsidR="00000000" w:rsidRDefault="00F55F16">
            <w:pPr>
              <w:pStyle w:val="a3"/>
              <w:spacing w:before="0" w:beforeAutospacing="0" w:after="0" w:afterAutospacing="0"/>
              <w:rPr>
                <w:sz w:val="16"/>
                <w:szCs w:val="16"/>
              </w:rPr>
            </w:pPr>
            <w:r>
              <w:rPr>
                <w:sz w:val="16"/>
                <w:szCs w:val="16"/>
              </w:rPr>
              <w:t> </w:t>
            </w:r>
          </w:p>
        </w:tc>
        <w:tc>
          <w:tcPr>
            <w:tcW w:w="0" w:type="auto"/>
            <w:gridSpan w:val="19"/>
            <w:vAlign w:val="center"/>
            <w:hideMark/>
          </w:tcPr>
          <w:p w:rsidR="00000000" w:rsidRDefault="00F55F16">
            <w:pPr>
              <w:pStyle w:val="a3"/>
              <w:spacing w:before="0" w:beforeAutospacing="0" w:after="0" w:afterAutospacing="0"/>
              <w:jc w:val="center"/>
              <w:rPr>
                <w:sz w:val="16"/>
                <w:szCs w:val="16"/>
              </w:rPr>
            </w:pPr>
            <w:r>
              <w:rPr>
                <w:b/>
                <w:bCs/>
                <w:sz w:val="16"/>
                <w:szCs w:val="16"/>
              </w:rPr>
              <w:t>Six Months Ended June 30</w:t>
            </w:r>
            <w:r>
              <w:rPr>
                <w:b/>
                <w:bCs/>
                <w:sz w:val="16"/>
                <w:szCs w:val="16"/>
              </w:rPr>
              <w:t>,</w:t>
            </w:r>
          </w:p>
        </w:tc>
      </w:tr>
      <w:tr w:rsidR="00000000">
        <w:trPr>
          <w:trHeight w:val="160"/>
          <w:tblCellSpacing w:w="15" w:type="dxa"/>
        </w:trPr>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gridSpan w:val="9"/>
            <w:vAlign w:val="center"/>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gridSpan w:val="9"/>
            <w:vAlign w:val="center"/>
            <w:hideMark/>
          </w:tcPr>
          <w:p w:rsidR="00000000" w:rsidRDefault="00F55F16">
            <w:pPr>
              <w:pStyle w:val="a3"/>
              <w:spacing w:before="0" w:beforeAutospacing="0" w:after="0" w:afterAutospacing="0"/>
              <w:jc w:val="center"/>
              <w:rPr>
                <w:sz w:val="16"/>
                <w:szCs w:val="16"/>
              </w:rPr>
            </w:pPr>
            <w:r>
              <w:rPr>
                <w:b/>
                <w:bCs/>
                <w:sz w:val="16"/>
                <w:szCs w:val="16"/>
              </w:rPr>
              <w:t>202</w:t>
            </w:r>
            <w:r>
              <w:rPr>
                <w:b/>
                <w:bCs/>
                <w:sz w:val="16"/>
                <w:szCs w:val="16"/>
              </w:rPr>
              <w:t>1</w:t>
            </w:r>
          </w:p>
        </w:tc>
      </w:tr>
      <w:tr w:rsidR="00000000">
        <w:trPr>
          <w:trHeight w:val="160"/>
          <w:tblCellSpacing w:w="15" w:type="dxa"/>
        </w:trPr>
        <w:tc>
          <w:tcPr>
            <w:tcW w:w="0" w:type="auto"/>
            <w:vAlign w:val="center"/>
            <w:hideMark/>
          </w:tcPr>
          <w:p w:rsidR="00000000" w:rsidRDefault="00F55F16">
            <w:pPr>
              <w:pStyle w:val="a3"/>
              <w:spacing w:before="0" w:beforeAutospacing="0" w:after="0" w:afterAutospacing="0"/>
              <w:rPr>
                <w:sz w:val="16"/>
                <w:szCs w:val="16"/>
              </w:rPr>
            </w:pPr>
            <w:r>
              <w:rPr>
                <w:b/>
                <w:bCs/>
                <w:sz w:val="16"/>
                <w:szCs w:val="16"/>
              </w:rPr>
              <w:t>(revenue in thousands</w:t>
            </w:r>
            <w:r>
              <w:rPr>
                <w:b/>
                <w:bCs/>
                <w:sz w:val="16"/>
                <w:szCs w:val="16"/>
              </w:rPr>
              <w:t>)</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gridSpan w:val="3"/>
            <w:vAlign w:val="center"/>
            <w:hideMark/>
          </w:tcPr>
          <w:p w:rsidR="00000000" w:rsidRDefault="00F55F1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F55F16">
            <w:pPr>
              <w:pStyle w:val="a3"/>
              <w:spacing w:before="0" w:beforeAutospacing="0" w:after="0" w:afterAutospacing="0"/>
              <w:rPr>
                <w:sz w:val="16"/>
                <w:szCs w:val="16"/>
              </w:rPr>
            </w:pPr>
            <w:r>
              <w:rPr>
                <w:sz w:val="16"/>
                <w:szCs w:val="16"/>
              </w:rPr>
              <w:t> </w:t>
            </w:r>
          </w:p>
        </w:tc>
        <w:tc>
          <w:tcPr>
            <w:tcW w:w="0" w:type="auto"/>
            <w:gridSpan w:val="4"/>
            <w:vAlign w:val="center"/>
            <w:hideMark/>
          </w:tcPr>
          <w:p w:rsidR="00000000" w:rsidRDefault="00F55F16">
            <w:pPr>
              <w:pStyle w:val="a3"/>
              <w:spacing w:before="0" w:beforeAutospacing="0" w:after="0" w:afterAutospacing="0"/>
              <w:jc w:val="center"/>
              <w:rPr>
                <w:sz w:val="16"/>
                <w:szCs w:val="16"/>
              </w:rPr>
            </w:pPr>
            <w:r>
              <w:rPr>
                <w:b/>
                <w:bCs/>
                <w:sz w:val="16"/>
                <w:szCs w:val="16"/>
              </w:rPr>
              <w:t>% of Total Revenue</w:t>
            </w:r>
            <w:r>
              <w:rPr>
                <w:b/>
                <w:bCs/>
                <w:sz w:val="16"/>
                <w:szCs w:val="16"/>
              </w:rPr>
              <w:t>s</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gridSpan w:val="3"/>
            <w:vAlign w:val="center"/>
            <w:hideMark/>
          </w:tcPr>
          <w:p w:rsidR="00000000" w:rsidRDefault="00F55F16">
            <w:pPr>
              <w:pStyle w:val="a3"/>
              <w:spacing w:before="0" w:beforeAutospacing="0" w:after="0" w:afterAutospacing="0"/>
              <w:jc w:val="center"/>
              <w:rPr>
                <w:sz w:val="16"/>
                <w:szCs w:val="16"/>
              </w:rPr>
            </w:pPr>
            <w:r>
              <w:rPr>
                <w:b/>
                <w:bCs/>
                <w:sz w:val="16"/>
                <w:szCs w:val="16"/>
              </w:rPr>
              <w:t>Revenue</w:t>
            </w:r>
            <w:r>
              <w:rPr>
                <w:b/>
                <w:bCs/>
                <w:sz w:val="16"/>
                <w:szCs w:val="16"/>
              </w:rPr>
              <w:t>s</w:t>
            </w:r>
          </w:p>
        </w:tc>
        <w:tc>
          <w:tcPr>
            <w:tcW w:w="0" w:type="auto"/>
            <w:vAlign w:val="center"/>
            <w:hideMark/>
          </w:tcPr>
          <w:p w:rsidR="00000000" w:rsidRDefault="00F55F16">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F55F16">
            <w:pPr>
              <w:pStyle w:val="a3"/>
              <w:spacing w:before="0" w:beforeAutospacing="0" w:after="0" w:afterAutospacing="0"/>
              <w:jc w:val="center"/>
              <w:rPr>
                <w:sz w:val="20"/>
                <w:szCs w:val="20"/>
              </w:rPr>
            </w:pPr>
            <w:r>
              <w:rPr>
                <w:sz w:val="20"/>
                <w:szCs w:val="20"/>
              </w:rPr>
              <w:t> </w:t>
            </w:r>
          </w:p>
        </w:tc>
        <w:tc>
          <w:tcPr>
            <w:tcW w:w="0" w:type="auto"/>
            <w:gridSpan w:val="4"/>
            <w:vAlign w:val="center"/>
            <w:hideMark/>
          </w:tcPr>
          <w:p w:rsidR="00000000" w:rsidRDefault="00F55F16">
            <w:pPr>
              <w:pStyle w:val="a3"/>
              <w:spacing w:before="0" w:beforeAutospacing="0" w:after="0" w:afterAutospacing="0"/>
              <w:jc w:val="center"/>
              <w:rPr>
                <w:sz w:val="16"/>
                <w:szCs w:val="16"/>
              </w:rPr>
            </w:pPr>
            <w:r>
              <w:rPr>
                <w:b/>
                <w:bCs/>
                <w:sz w:val="16"/>
                <w:szCs w:val="16"/>
              </w:rPr>
              <w:t>% of Total Revenue</w:t>
            </w:r>
            <w:r>
              <w:rPr>
                <w:b/>
                <w:bCs/>
                <w:sz w:val="16"/>
                <w:szCs w:val="16"/>
              </w:rPr>
              <w:t>s</w:t>
            </w:r>
          </w:p>
        </w:tc>
      </w:tr>
      <w:tr w:rsidR="00000000">
        <w:trPr>
          <w:trHeight w:val="200"/>
          <w:tblCellSpacing w:w="15" w:type="dxa"/>
        </w:trPr>
        <w:tc>
          <w:tcPr>
            <w:tcW w:w="0" w:type="auto"/>
            <w:vAlign w:val="center"/>
            <w:hideMark/>
          </w:tcPr>
          <w:p w:rsidR="00000000" w:rsidRDefault="00F55F16">
            <w:pPr>
              <w:pStyle w:val="a3"/>
              <w:spacing w:before="0" w:beforeAutospacing="0" w:after="0" w:afterAutospacing="0"/>
              <w:rPr>
                <w:sz w:val="20"/>
                <w:szCs w:val="20"/>
              </w:rPr>
            </w:pPr>
            <w:r>
              <w:rPr>
                <w:sz w:val="20"/>
                <w:szCs w:val="20"/>
              </w:rPr>
              <w:t xml:space="preserve">Assessment, Permitting and </w:t>
            </w:r>
            <w:r>
              <w:rPr>
                <w:sz w:val="20"/>
                <w:szCs w:val="20"/>
              </w:rPr>
              <w:br/>
              <w:t>   Respons</w:t>
            </w:r>
            <w:r>
              <w:rPr>
                <w:sz w:val="20"/>
                <w:szCs w:val="20"/>
              </w:rPr>
              <w:t>e</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95,63</w:t>
            </w:r>
            <w:r>
              <w:rPr>
                <w:sz w:val="20"/>
                <w:szCs w:val="20"/>
              </w:rPr>
              <w:t>7</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34.</w:t>
            </w:r>
            <w:r>
              <w:rPr>
                <w:sz w:val="20"/>
                <w:szCs w:val="20"/>
              </w:rPr>
              <w:t>8</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145,96</w:t>
            </w:r>
            <w:r>
              <w:rPr>
                <w:sz w:val="20"/>
                <w:szCs w:val="20"/>
              </w:rPr>
              <w:t>7</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54.</w:t>
            </w:r>
            <w:r>
              <w:rPr>
                <w:sz w:val="20"/>
                <w:szCs w:val="20"/>
              </w:rPr>
              <w:t>1</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F55F16">
            <w:pPr>
              <w:pStyle w:val="a3"/>
              <w:spacing w:before="0" w:beforeAutospacing="0" w:after="0" w:afterAutospacing="0"/>
              <w:rPr>
                <w:sz w:val="20"/>
                <w:szCs w:val="20"/>
              </w:rPr>
            </w:pPr>
            <w:r>
              <w:rPr>
                <w:sz w:val="20"/>
                <w:szCs w:val="20"/>
              </w:rPr>
              <w:t>Measurement and Analysi</w:t>
            </w:r>
            <w:r>
              <w:rPr>
                <w:sz w:val="20"/>
                <w:szCs w:val="20"/>
              </w:rPr>
              <w:t>s</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81,98</w:t>
            </w:r>
            <w:r>
              <w:rPr>
                <w:sz w:val="20"/>
                <w:szCs w:val="20"/>
              </w:rPr>
              <w:t>5</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29.</w:t>
            </w:r>
            <w:r>
              <w:rPr>
                <w:sz w:val="20"/>
                <w:szCs w:val="20"/>
              </w:rPr>
              <w:t>9</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72,55</w:t>
            </w:r>
            <w:r>
              <w:rPr>
                <w:sz w:val="20"/>
                <w:szCs w:val="20"/>
              </w:rPr>
              <w:t>7</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26.</w:t>
            </w:r>
            <w:r>
              <w:rPr>
                <w:sz w:val="20"/>
                <w:szCs w:val="20"/>
              </w:rPr>
              <w:t>9</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F55F16">
            <w:pPr>
              <w:pStyle w:val="a3"/>
              <w:spacing w:before="0" w:beforeAutospacing="0" w:after="0" w:afterAutospacing="0"/>
              <w:rPr>
                <w:sz w:val="20"/>
                <w:szCs w:val="20"/>
              </w:rPr>
            </w:pPr>
            <w:r>
              <w:rPr>
                <w:sz w:val="20"/>
                <w:szCs w:val="20"/>
              </w:rPr>
              <w:t>Remediation and Reus</w:t>
            </w:r>
            <w:r>
              <w:rPr>
                <w:sz w:val="20"/>
                <w:szCs w:val="20"/>
              </w:rPr>
              <w:t>e</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96,96</w:t>
            </w:r>
            <w:r>
              <w:rPr>
                <w:sz w:val="20"/>
                <w:szCs w:val="20"/>
              </w:rPr>
              <w:t>8</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35.</w:t>
            </w:r>
            <w:r>
              <w:rPr>
                <w:sz w:val="20"/>
                <w:szCs w:val="20"/>
              </w:rPr>
              <w:t>3</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51,51</w:t>
            </w:r>
            <w:r>
              <w:rPr>
                <w:sz w:val="20"/>
                <w:szCs w:val="20"/>
              </w:rPr>
              <w:t>7</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jc w:val="right"/>
              <w:rPr>
                <w:sz w:val="20"/>
                <w:szCs w:val="20"/>
              </w:rPr>
            </w:pPr>
            <w:r>
              <w:rPr>
                <w:sz w:val="20"/>
                <w:szCs w:val="20"/>
              </w:rPr>
              <w:t>19.</w:t>
            </w:r>
            <w:r>
              <w:rPr>
                <w:sz w:val="20"/>
                <w:szCs w:val="20"/>
              </w:rPr>
              <w:t>1</w:t>
            </w:r>
          </w:p>
        </w:tc>
        <w:tc>
          <w:tcPr>
            <w:tcW w:w="0" w:type="auto"/>
            <w:noWrap/>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
                <w:szCs w:val="2"/>
              </w:rPr>
            </w:pPr>
            <w:r>
              <w:rPr>
                <w:sz w:val="2"/>
                <w:szCs w:val="2"/>
              </w:rPr>
              <w:t> </w:t>
            </w:r>
          </w:p>
        </w:tc>
      </w:tr>
      <w:tr w:rsidR="00000000">
        <w:trPr>
          <w:trHeight w:val="200"/>
          <w:tblCellSpacing w:w="15" w:type="dxa"/>
        </w:trPr>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274,59</w:t>
            </w:r>
            <w:r>
              <w:rPr>
                <w:sz w:val="20"/>
                <w:szCs w:val="20"/>
              </w:rPr>
              <w:t>0</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vAlign w:val="center"/>
            <w:hideMark/>
          </w:tcPr>
          <w:p w:rsidR="00000000" w:rsidRDefault="00F55F16">
            <w:pPr>
              <w:pStyle w:val="a3"/>
              <w:spacing w:before="0" w:beforeAutospacing="0" w:after="0" w:afterAutospacing="0"/>
              <w:rPr>
                <w:sz w:val="20"/>
                <w:szCs w:val="20"/>
              </w:rPr>
            </w:pPr>
            <w:r>
              <w:rPr>
                <w:sz w:val="20"/>
                <w:szCs w:val="20"/>
              </w:rPr>
              <w:t>$</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jc w:val="right"/>
              <w:rPr>
                <w:sz w:val="20"/>
                <w:szCs w:val="20"/>
              </w:rPr>
            </w:pPr>
            <w:r>
              <w:rPr>
                <w:sz w:val="20"/>
                <w:szCs w:val="20"/>
              </w:rPr>
              <w:t>270,04</w:t>
            </w:r>
            <w:r>
              <w:rPr>
                <w:sz w:val="20"/>
                <w:szCs w:val="20"/>
              </w:rPr>
              <w:t>1</w:t>
            </w:r>
          </w:p>
        </w:tc>
        <w:tc>
          <w:tcPr>
            <w:tcW w:w="0" w:type="auto"/>
            <w:noWrap/>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c>
          <w:tcPr>
            <w:tcW w:w="0" w:type="auto"/>
            <w:vAlign w:val="bottom"/>
            <w:hideMark/>
          </w:tcPr>
          <w:p w:rsidR="00000000" w:rsidRDefault="00F55F16">
            <w:pPr>
              <w:pStyle w:val="a3"/>
              <w:spacing w:before="0" w:beforeAutospacing="0" w:after="0" w:afterAutospacing="0"/>
              <w:rPr>
                <w:sz w:val="22"/>
                <w:szCs w:val="22"/>
              </w:rPr>
            </w:pPr>
            <w:r>
              <w:rPr>
                <w:sz w:val="22"/>
                <w:szCs w:val="22"/>
              </w:rPr>
              <w:t> </w:t>
            </w:r>
          </w:p>
        </w:tc>
      </w:tr>
    </w:tbl>
    <w:p w:rsidR="00000000" w:rsidRDefault="00F55F16">
      <w:pPr>
        <w:pStyle w:val="a3"/>
        <w:spacing w:before="240" w:beforeAutospacing="0" w:after="0" w:afterAutospacing="0"/>
        <w:ind w:firstLine="555"/>
        <w:rPr>
          <w:sz w:val="20"/>
          <w:szCs w:val="20"/>
        </w:rPr>
      </w:pPr>
      <w:r>
        <w:rPr>
          <w:sz w:val="20"/>
          <w:szCs w:val="20"/>
        </w:rPr>
        <w:t>See “—Segment Results of Operations” below</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Cost of Revenue</w:t>
      </w:r>
      <w:r>
        <w:rPr>
          <w:b/>
          <w:bCs/>
          <w:i/>
          <w:iCs/>
          <w:sz w:val="20"/>
          <w:szCs w:val="20"/>
        </w:rPr>
        <w:t>s</w:t>
      </w:r>
    </w:p>
    <w:p w:rsidR="00000000" w:rsidRDefault="00F55F16">
      <w:pPr>
        <w:pStyle w:val="a3"/>
        <w:spacing w:before="240" w:beforeAutospacing="0" w:after="0" w:afterAutospacing="0"/>
        <w:ind w:firstLine="555"/>
        <w:rPr>
          <w:sz w:val="20"/>
          <w:szCs w:val="20"/>
        </w:rPr>
      </w:pPr>
      <w:r>
        <w:rPr>
          <w:sz w:val="20"/>
          <w:szCs w:val="20"/>
        </w:rPr>
        <w:t>For the six months ended June 30, 2022, cost of revenues was $178.8 million or 65.1% of revenues, and was comprised of direct labor of $76.0 million, field supplies, testing supplies and equipment costs of $43.1 million, outside services (including contrac</w:t>
      </w:r>
      <w:r>
        <w:rPr>
          <w:sz w:val="20"/>
          <w:szCs w:val="20"/>
        </w:rPr>
        <w:t>ted labor, laboratory, shipping and freight and other outside services) of $41.8 million, project-related travel expenses of $9.4 million and other direct costs of $8.5 million</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For the six months ended June 30, 2021, cost of revenues was $187.4 million o</w:t>
      </w:r>
      <w:r>
        <w:rPr>
          <w:sz w:val="20"/>
          <w:szCs w:val="20"/>
        </w:rPr>
        <w:t>r 69.4% of revenues, and was comprised of direct labor of $72.3 million, outside services (including contracted labor, laboratory, shipping and freight and other outside services) of $82.9 million, field supplies, testing supplies and equipment costs of $1</w:t>
      </w:r>
      <w:r>
        <w:rPr>
          <w:sz w:val="20"/>
          <w:szCs w:val="20"/>
        </w:rPr>
        <w:t>8.2 million, project-related travel expenses of $8.8 million and other direct costs of $5.2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 xml:space="preserve">For the six months ended June 30, 2022, cost of revenues as a percentage of revenue decreased 4.3% from the six months ended June 30, 2021, as a result of </w:t>
      </w:r>
      <w:r>
        <w:rPr>
          <w:sz w:val="20"/>
          <w:szCs w:val="20"/>
        </w:rPr>
        <w:t>significantly lower outside service costs in 2022 when compared to 2021 driven primarily by a decrease in external lab expenses needed to support CTEH’s COVID-19 response work during 2022, partially offset by higher equipment costs primarily to support hig</w:t>
      </w:r>
      <w:r>
        <w:rPr>
          <w:sz w:val="20"/>
          <w:szCs w:val="20"/>
        </w:rPr>
        <w:t>her water treatment and biogas revenues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Selling, General and Administrative Expens</w:t>
      </w:r>
      <w:r>
        <w:rPr>
          <w:b/>
          <w:bCs/>
          <w:i/>
          <w:iCs/>
          <w:sz w:val="20"/>
          <w:szCs w:val="20"/>
        </w:rPr>
        <w:t>e</w:t>
      </w:r>
    </w:p>
    <w:p w:rsidR="00000000" w:rsidRDefault="00F55F16">
      <w:pPr>
        <w:pStyle w:val="a3"/>
        <w:spacing w:before="120" w:beforeAutospacing="0" w:after="0" w:afterAutospacing="0"/>
        <w:ind w:firstLine="555"/>
        <w:rPr>
          <w:sz w:val="20"/>
          <w:szCs w:val="20"/>
        </w:rPr>
      </w:pPr>
      <w:r>
        <w:rPr>
          <w:sz w:val="20"/>
          <w:szCs w:val="20"/>
        </w:rPr>
        <w:t>For the six months ended June 30, 2022, selling, general and administrative expense was $88.3 million, an increase of $35.9 million or 68.6% versus the six months ended Ju</w:t>
      </w:r>
      <w:r>
        <w:rPr>
          <w:sz w:val="20"/>
          <w:szCs w:val="20"/>
        </w:rPr>
        <w:t>ne 30, 2021. This increase was primarily driven by $17.4 million related to an increase in stock compensation expense, $5.6 million from selling, general and administrative expense pertaining to companies we acquired in and subsequent to the second quarter</w:t>
      </w:r>
      <w:r>
        <w:rPr>
          <w:sz w:val="20"/>
          <w:szCs w:val="20"/>
        </w:rPr>
        <w:t xml:space="preserve"> of 2021, $5.7 million related to the higher labor and medical benefit costs, primarily reflecting inflationary increases, an increase in headcount to support growth in our PFAS water treatment business, and investments in corporate infrastructure (primari</w:t>
      </w:r>
      <w:r>
        <w:rPr>
          <w:sz w:val="20"/>
          <w:szCs w:val="20"/>
        </w:rPr>
        <w:t xml:space="preserve">ly administrative, marketing, finance, IT, legal and human resources) and $2.7 million was from an increase in the defined contribution plan employer contributions following the reinstatement of employer matching during the second quarter of 2021, as well </w:t>
      </w:r>
      <w:r>
        <w:rPr>
          <w:sz w:val="20"/>
          <w:szCs w:val="20"/>
        </w:rPr>
        <w:t>as higher travel expenses. See Part I, Item 3. “Quantitative and Qualitative Disclosures About Market Risk” for additional information regarding the impact of inflation on our business</w:t>
      </w:r>
      <w:r>
        <w:rPr>
          <w:sz w:val="20"/>
          <w:szCs w:val="20"/>
        </w:rPr>
        <w:t>.</w:t>
      </w:r>
    </w:p>
    <w:p w:rsidR="00000000" w:rsidRDefault="00F55F16">
      <w:pPr>
        <w:pStyle w:val="a3"/>
        <w:spacing w:before="240" w:beforeAutospacing="0" w:after="0" w:afterAutospacing="0"/>
        <w:ind w:firstLine="555"/>
        <w:rPr>
          <w:sz w:val="20"/>
          <w:szCs w:val="20"/>
        </w:rPr>
      </w:pPr>
      <w:r>
        <w:rPr>
          <w:sz w:val="20"/>
          <w:szCs w:val="20"/>
        </w:rPr>
        <w:t>For the six months ended June 30, 2022, selling, general and administr</w:t>
      </w:r>
      <w:r>
        <w:rPr>
          <w:sz w:val="20"/>
          <w:szCs w:val="20"/>
        </w:rPr>
        <w:t xml:space="preserve">ative expense was comprised of indirect labor of $41.2 million, stock-based compensation of $20.7 million, facilities costs of $8.7 million, acquisition-related costs of $1.0 million, a bad debt credit of $0.2 million, and other costs (including software, </w:t>
      </w:r>
      <w:r>
        <w:rPr>
          <w:sz w:val="20"/>
          <w:szCs w:val="20"/>
        </w:rPr>
        <w:t>travel, insurance, legal, consulting and audit services) of $16.9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 xml:space="preserve">For the six months ended June 30, 2021, selling, general and administrative expense was $52.4 million and was comprised of indirect labor of $27.2 million, facilities costs of $7.0 </w:t>
      </w:r>
      <w:r>
        <w:rPr>
          <w:sz w:val="20"/>
          <w:szCs w:val="20"/>
        </w:rPr>
        <w:t>million, stock-based compensation of $3.3 million, acquisition-related costs of $0.7 million, bad debt expense of $0.6 million, and other costs (including software, travel, insurance, legal, consulting and audit services) of $13.6 million</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Fair Value Chang</w:t>
      </w:r>
      <w:r>
        <w:rPr>
          <w:b/>
          <w:bCs/>
          <w:i/>
          <w:iCs/>
          <w:sz w:val="20"/>
          <w:szCs w:val="20"/>
        </w:rPr>
        <w:t>es in Business Acquisition Contingencie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For the six months ended June 30, 2022, fair value changes in business acquisition contingencies resulted in a gain of $3.5 million versus an expense of $24.0 million for the six months ended June 30, 2021. The majo</w:t>
      </w:r>
      <w:r>
        <w:rPr>
          <w:sz w:val="20"/>
          <w:szCs w:val="20"/>
        </w:rPr>
        <w:t>rity of the change in value in the six months ended June 30, 2022, was attributable to a $3.1 million gain related to acquisitions' 338(h)(10) elections make-whole tax accruals. The majority of the change in value in the six months ended June 30, 2021 peri</w:t>
      </w:r>
      <w:r>
        <w:rPr>
          <w:sz w:val="20"/>
          <w:szCs w:val="20"/>
        </w:rPr>
        <w:t>od was attributable to the CTEH earn-outs. See “—Key Factors that Affect Our Business and Our Results —Acquisitions” and Notes 7 and 13 to our unaudited condensed consolidated financial statements included in Part I, Item 1. “Financial Statements.</w:t>
      </w:r>
      <w:r>
        <w:rPr>
          <w:sz w:val="20"/>
          <w:szCs w:val="20"/>
        </w:rPr>
        <w:t>”</w:t>
      </w:r>
    </w:p>
    <w:p w:rsidR="00000000" w:rsidRDefault="00F55F16">
      <w:pPr>
        <w:pStyle w:val="a3"/>
        <w:spacing w:before="240" w:beforeAutospacing="0" w:after="0" w:afterAutospacing="0"/>
        <w:jc w:val="center"/>
        <w:rPr>
          <w:sz w:val="20"/>
          <w:szCs w:val="20"/>
        </w:rPr>
      </w:pPr>
      <w:r>
        <w:rPr>
          <w:sz w:val="20"/>
          <w:szCs w:val="20"/>
        </w:rPr>
        <w:t>3</w:t>
      </w:r>
      <w:r>
        <w:rPr>
          <w:sz w:val="20"/>
          <w:szCs w:val="20"/>
        </w:rPr>
        <w:t>8</w:t>
      </w:r>
    </w:p>
    <w:p w:rsidR="00000000" w:rsidRDefault="00F55F16">
      <w:pPr>
        <w:rPr>
          <w:rFonts w:eastAsia="Times New Roman"/>
        </w:rPr>
      </w:pPr>
      <w:r>
        <w:rPr>
          <w:rFonts w:eastAsia="Times New Roman"/>
        </w:rPr>
        <w:pict>
          <v:rect id="_x0000_i1064"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ind w:left="476"/>
        <w:rPr>
          <w:sz w:val="20"/>
          <w:szCs w:val="20"/>
        </w:rPr>
      </w:pPr>
      <w:r>
        <w:rPr>
          <w:b/>
          <w:bCs/>
          <w:i/>
          <w:iCs/>
          <w:sz w:val="20"/>
          <w:szCs w:val="20"/>
        </w:rPr>
        <w:t>Depreciation and Amortizatio</w:t>
      </w:r>
      <w:r>
        <w:rPr>
          <w:b/>
          <w:bCs/>
          <w:i/>
          <w:iCs/>
          <w:sz w:val="20"/>
          <w:szCs w:val="20"/>
        </w:rPr>
        <w:t>n</w:t>
      </w:r>
    </w:p>
    <w:p w:rsidR="00000000" w:rsidRDefault="00F55F16">
      <w:pPr>
        <w:pStyle w:val="a3"/>
        <w:spacing w:before="120" w:beforeAutospacing="0" w:after="0" w:afterAutospacing="0"/>
        <w:ind w:firstLine="555"/>
        <w:rPr>
          <w:sz w:val="20"/>
          <w:szCs w:val="20"/>
        </w:rPr>
      </w:pPr>
      <w:r>
        <w:rPr>
          <w:sz w:val="20"/>
          <w:szCs w:val="20"/>
        </w:rPr>
        <w:t>Depreciation and amortization expense for the six months ended June 30, 2022, was $24.4 million and was comprised of amortization of finite lived intangibles of $18.9 million, arising as a</w:t>
      </w:r>
      <w:r>
        <w:rPr>
          <w:sz w:val="20"/>
          <w:szCs w:val="20"/>
        </w:rPr>
        <w:t xml:space="preserve"> result of our acquisition activity, depreciation of property and equipment of $3.6 million and finance leases right-of-use asset amortization of $1.9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 xml:space="preserve">Depreciation and amortization expense for the six months ended June 30, 2021, was $21.7 million </w:t>
      </w:r>
      <w:r>
        <w:rPr>
          <w:sz w:val="20"/>
          <w:szCs w:val="20"/>
        </w:rPr>
        <w:t>and was comprised of amortization of finite lived intangibles of $17.0 million, arising as a result of our acquisition activity, and depreciation of property and equipment of $3.1 million and finance leases right-of-use asset amortization of $1.6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The increase in amortization, depreciation of property and equipment and the amortization of finance leases right-of-use asset for the six months ended June 30, 2022 versus the six months ended June 30, 2021, was primarily a result of acquisitions. See Not</w:t>
      </w:r>
      <w:r>
        <w:rPr>
          <w:sz w:val="20"/>
          <w:szCs w:val="20"/>
        </w:rPr>
        <w:t>es 5 and 6 to our unaudited condensed consolidated financial statements included in Part 1, Item 1. “Financial Statements.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Other Income (Expense</w:t>
      </w:r>
      <w:r>
        <w:rPr>
          <w:b/>
          <w:bCs/>
          <w:i/>
          <w:iCs/>
          <w:sz w:val="20"/>
          <w:szCs w:val="20"/>
        </w:rPr>
        <w:t>)</w:t>
      </w:r>
    </w:p>
    <w:p w:rsidR="00000000" w:rsidRDefault="00F55F16">
      <w:pPr>
        <w:pStyle w:val="a3"/>
        <w:spacing w:before="120" w:beforeAutospacing="0" w:after="0" w:afterAutospacing="0"/>
        <w:ind w:firstLine="555"/>
        <w:rPr>
          <w:sz w:val="20"/>
          <w:szCs w:val="20"/>
        </w:rPr>
      </w:pPr>
      <w:r>
        <w:rPr>
          <w:sz w:val="20"/>
          <w:szCs w:val="20"/>
        </w:rPr>
        <w:t xml:space="preserve">Other income for the six months ended June 30, 2022 of $2.8 million was driven by a gain related to the fair </w:t>
      </w:r>
      <w:r>
        <w:rPr>
          <w:sz w:val="20"/>
          <w:szCs w:val="20"/>
        </w:rPr>
        <w:t>value adjustment on our interest rate swap of $4.0 million which was partially offset by an expense of $1.1 million related to the fair value adjustment of the Series A-2 preferred stock conversion option. Other expense of $1.4 million for the six months e</w:t>
      </w:r>
      <w:r>
        <w:rPr>
          <w:sz w:val="20"/>
          <w:szCs w:val="20"/>
        </w:rPr>
        <w:t>nded June 30, 2021 was driven by fair value adjustments related to the Series A-2 preferred stock conversion option. See Notes 12 and 15 to our unaudited condensed consolidated financial statements included in Part 1, Item 1. “Financial Statements.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Intere</w:t>
      </w:r>
      <w:r>
        <w:rPr>
          <w:b/>
          <w:bCs/>
          <w:i/>
          <w:iCs/>
          <w:sz w:val="20"/>
          <w:szCs w:val="20"/>
        </w:rPr>
        <w:t>st Expense, Ne</w:t>
      </w:r>
      <w:r>
        <w:rPr>
          <w:b/>
          <w:bCs/>
          <w:i/>
          <w:iCs/>
          <w:sz w:val="20"/>
          <w:szCs w:val="20"/>
        </w:rPr>
        <w:t>t</w:t>
      </w:r>
    </w:p>
    <w:p w:rsidR="00000000" w:rsidRDefault="00F55F16">
      <w:pPr>
        <w:pStyle w:val="a3"/>
        <w:spacing w:before="120" w:beforeAutospacing="0" w:after="0" w:afterAutospacing="0"/>
        <w:ind w:firstLine="555"/>
        <w:rPr>
          <w:sz w:val="20"/>
          <w:szCs w:val="20"/>
        </w:rPr>
      </w:pPr>
      <w:r>
        <w:rPr>
          <w:sz w:val="20"/>
          <w:szCs w:val="20"/>
        </w:rPr>
        <w:t>Interest expense, net incurred in the six months ended June 30, 2022, was $2.6 million, compared to $9.5 million for the six months ended June 30, 2021. The decrease in interest expense was driven by lower outstanding debt balances during t</w:t>
      </w:r>
      <w:r>
        <w:rPr>
          <w:sz w:val="20"/>
          <w:szCs w:val="20"/>
        </w:rPr>
        <w:t>he six months ended June 30, 2022 when compared to the six months ended June 30, 2021, as well as the $4.1 million loss on extinguishment of debt realized in the six months ended June 30, 2021 in connection with the repayment in full of the 2020 credit fac</w:t>
      </w:r>
      <w:r>
        <w:rPr>
          <w:sz w:val="20"/>
          <w:szCs w:val="20"/>
        </w:rPr>
        <w:t>ility. See “—Key Factors that Affect Our Business and Our Results—Financing Costs” and Note 12 to our unaudited condensed consolidated financial statements included in Part I, Item 1. “Financial Statements.</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 xml:space="preserve">Income Tax Expense (Benefit </w:t>
      </w:r>
      <w:r>
        <w:rPr>
          <w:b/>
          <w:bCs/>
          <w:i/>
          <w:iCs/>
          <w:sz w:val="20"/>
          <w:szCs w:val="20"/>
        </w:rPr>
        <w:t>)</w:t>
      </w:r>
    </w:p>
    <w:p w:rsidR="00000000" w:rsidRDefault="00F55F16">
      <w:pPr>
        <w:pStyle w:val="a3"/>
        <w:spacing w:before="120" w:beforeAutospacing="0" w:after="0" w:afterAutospacing="0"/>
        <w:ind w:right="476" w:firstLine="581"/>
        <w:rPr>
          <w:sz w:val="20"/>
          <w:szCs w:val="20"/>
        </w:rPr>
      </w:pPr>
      <w:r>
        <w:rPr>
          <w:sz w:val="20"/>
          <w:szCs w:val="20"/>
        </w:rPr>
        <w:t>Income tax expense</w:t>
      </w:r>
      <w:r>
        <w:rPr>
          <w:sz w:val="20"/>
          <w:szCs w:val="20"/>
        </w:rPr>
        <w:t xml:space="preserve"> was $2.1 million during the six months ended June 30, 2022. Income tax benefit was ($0.3) million for the six months ended June 30, 2021</w:t>
      </w:r>
      <w:r>
        <w:rPr>
          <w:sz w:val="20"/>
          <w:szCs w:val="20"/>
        </w:rPr>
        <w:t>.</w:t>
      </w:r>
    </w:p>
    <w:p w:rsidR="00000000" w:rsidRDefault="00F55F16">
      <w:pPr>
        <w:pStyle w:val="a3"/>
        <w:spacing w:before="360" w:beforeAutospacing="0" w:after="0" w:afterAutospacing="0"/>
        <w:rPr>
          <w:sz w:val="20"/>
          <w:szCs w:val="20"/>
        </w:rPr>
      </w:pPr>
      <w:r>
        <w:rPr>
          <w:b/>
          <w:bCs/>
          <w:i/>
          <w:iCs/>
          <w:sz w:val="20"/>
          <w:szCs w:val="20"/>
        </w:rPr>
        <w:t>Segment Results of Operation</w:t>
      </w:r>
      <w:r>
        <w:rPr>
          <w:b/>
          <w:bCs/>
          <w:i/>
          <w:iCs/>
          <w:sz w:val="20"/>
          <w:szCs w:val="20"/>
        </w:rPr>
        <w:t>s</w:t>
      </w:r>
      <w:r>
        <w:rPr>
          <w:b/>
          <w:bCs/>
          <w:i/>
          <w:iCs/>
          <w:sz w:val="20"/>
          <w:szCs w:val="20"/>
        </w:rPr>
        <w:t xml:space="preserve"> </w:t>
      </w:r>
    </w:p>
    <w:p w:rsidR="00000000" w:rsidRDefault="00F55F16">
      <w:pPr>
        <w:pStyle w:val="a3"/>
        <w:spacing w:before="120" w:beforeAutospacing="0" w:after="0" w:afterAutospacing="0"/>
        <w:rPr>
          <w:sz w:val="20"/>
          <w:szCs w:val="20"/>
        </w:rPr>
      </w:pPr>
      <w:r>
        <w:rPr>
          <w:b/>
          <w:bCs/>
          <w:i/>
          <w:iCs/>
          <w:sz w:val="20"/>
          <w:szCs w:val="20"/>
        </w:rPr>
        <w:t>Three Months Ended June 30, 2022 Compared to the Three Months Ended June 30, 202</w:t>
      </w:r>
      <w:r>
        <w:rPr>
          <w:b/>
          <w:bCs/>
          <w:i/>
          <w:iCs/>
          <w:sz w:val="20"/>
          <w:szCs w:val="20"/>
        </w:rPr>
        <w:t>1</w: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05"/>
        <w:gridCol w:w="150"/>
        <w:gridCol w:w="645"/>
        <w:gridCol w:w="105"/>
        <w:gridCol w:w="105"/>
        <w:gridCol w:w="151"/>
        <w:gridCol w:w="675"/>
        <w:gridCol w:w="120"/>
        <w:gridCol w:w="105"/>
        <w:gridCol w:w="132"/>
        <w:gridCol w:w="648"/>
        <w:gridCol w:w="105"/>
        <w:gridCol w:w="240"/>
        <w:gridCol w:w="105"/>
        <w:gridCol w:w="150"/>
        <w:gridCol w:w="645"/>
        <w:gridCol w:w="105"/>
        <w:gridCol w:w="105"/>
        <w:gridCol w:w="151"/>
        <w:gridCol w:w="774"/>
        <w:gridCol w:w="120"/>
        <w:gridCol w:w="105"/>
        <w:gridCol w:w="121"/>
        <w:gridCol w:w="659"/>
        <w:gridCol w:w="105"/>
        <w:gridCol w:w="255"/>
      </w:tblGrid>
      <w:tr w:rsidR="00000000">
        <w:trPr>
          <w:tblCellSpacing w:w="15" w:type="dxa"/>
        </w:trPr>
        <w:tc>
          <w:tcPr>
            <w:tcW w:w="1759" w:type="pct"/>
            <w:vAlign w:val="center"/>
            <w:hideMark/>
          </w:tcPr>
          <w:p w:rsidR="00000000" w:rsidRDefault="00F55F16">
            <w:pPr>
              <w:rPr>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7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04"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3"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26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3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3"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3"/>
            <w:vAlign w:val="bottom"/>
            <w:hideMark/>
          </w:tcPr>
          <w:p w:rsidR="00000000" w:rsidRDefault="00F55F16">
            <w:pPr>
              <w:pStyle w:val="a3"/>
              <w:spacing w:before="0" w:beforeAutospacing="0" w:after="0" w:afterAutospacing="0"/>
              <w:jc w:val="center"/>
              <w:rPr>
                <w:sz w:val="18"/>
                <w:szCs w:val="18"/>
              </w:rPr>
            </w:pPr>
            <w:r>
              <w:rPr>
                <w:b/>
                <w:bCs/>
                <w:sz w:val="18"/>
                <w:szCs w:val="18"/>
              </w:rPr>
              <w:t>Three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t xml:space="preserve"> </w:t>
            </w:r>
            <w:r>
              <w:rPr>
                <w:b/>
                <w:bCs/>
                <w:sz w:val="12"/>
                <w:szCs w:val="12"/>
              </w:rPr>
              <w:t>(1</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Segment</w:t>
            </w:r>
            <w:r>
              <w:rPr>
                <w:b/>
                <w:bCs/>
                <w:sz w:val="18"/>
                <w:szCs w:val="18"/>
              </w:rPr>
              <w:br/>
              <w:t>Adjusted</w:t>
            </w:r>
            <w:r>
              <w:rPr>
                <w:b/>
                <w:bCs/>
                <w:sz w:val="18"/>
                <w:szCs w:val="18"/>
              </w:rPr>
              <w:br/>
              <w:t>EBITD</w:t>
            </w:r>
            <w:r>
              <w:rPr>
                <w:b/>
                <w:bCs/>
                <w:sz w:val="18"/>
                <w:szCs w:val="18"/>
              </w:rPr>
              <w:t>A</w:t>
            </w:r>
            <w:r>
              <w:rPr>
                <w:b/>
                <w:bCs/>
                <w:sz w:val="12"/>
                <w:szCs w:val="12"/>
              </w:rPr>
              <w:t>(1</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50,03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10,80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21.</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70,70</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14,85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42,22</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7,04</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16.</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39,11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9,49</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47,64</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7,05</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14.</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26,40</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4,30</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Total Operating Segment</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139,91</w:t>
            </w:r>
            <w:r>
              <w:rPr>
                <w:b/>
                <w:bCs/>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24,91</w:t>
            </w:r>
            <w:r>
              <w:rPr>
                <w:b/>
                <w:bCs/>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17.</w:t>
            </w:r>
            <w:r>
              <w:rPr>
                <w:b/>
                <w:bCs/>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136,22</w:t>
            </w:r>
            <w:r>
              <w:rPr>
                <w:b/>
                <w:bCs/>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28,65</w:t>
            </w:r>
            <w:r>
              <w:rPr>
                <w:b/>
                <w:bCs/>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21.</w:t>
            </w:r>
            <w:r>
              <w:rPr>
                <w:b/>
                <w:bCs/>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(8,39</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(7,69</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pBdr>
          <w:bottom w:val="single" w:sz="4" w:space="1" w:color="auto"/>
        </w:pBdr>
        <w:spacing w:before="0" w:beforeAutospacing="0" w:after="0" w:afterAutospacing="0"/>
        <w:ind w:right="9167"/>
        <w:rPr>
          <w:sz w:val="20"/>
          <w:szCs w:val="20"/>
        </w:rPr>
      </w:pPr>
      <w:r>
        <w:rPr>
          <w:sz w:val="20"/>
          <w:szCs w:val="20"/>
        </w:rPr>
        <w:t> </w:t>
      </w:r>
    </w:p>
    <w:p w:rsidR="00000000" w:rsidRDefault="00F55F16">
      <w:pPr>
        <w:rPr>
          <w:rFonts w:eastAsia="Times New Roman"/>
        </w:rPr>
      </w:pPr>
      <w:r>
        <w:rPr>
          <w:rFonts w:eastAsia="Times New Roman"/>
          <w:sz w:val="16"/>
          <w:szCs w:val="16"/>
        </w:rPr>
        <w:t>(1</w:t>
      </w:r>
      <w:r>
        <w:rPr>
          <w:rFonts w:eastAsia="Times New Roman"/>
          <w:sz w:val="16"/>
          <w:szCs w:val="16"/>
        </w:rPr>
        <w:t>)</w:t>
      </w:r>
    </w:p>
    <w:p w:rsidR="00000000" w:rsidRDefault="00F55F16">
      <w:pPr>
        <w:divId w:val="155347200"/>
        <w:rPr>
          <w:rFonts w:eastAsia="Times New Roman"/>
        </w:rPr>
      </w:pPr>
      <w:r>
        <w:rPr>
          <w:rFonts w:eastAsia="Times New Roman"/>
          <w:sz w:val="16"/>
          <w:szCs w:val="16"/>
        </w:rPr>
        <w:t>For purposes of evaluating segment profit, the Company’</w:t>
      </w:r>
      <w:r>
        <w:rPr>
          <w:rFonts w:eastAsia="Times New Roman"/>
          <w:sz w:val="16"/>
          <w:szCs w:val="16"/>
        </w:rPr>
        <w:t>s chief operating decision maker reviews Segment Adjusted EBITDA as a basis for making the decisions to allocate resources and assess performance. See Note 18 to our unaudited condensed consolidated financial statements included in Part I, Item 1. “Financi</w:t>
      </w:r>
      <w:r>
        <w:rPr>
          <w:rFonts w:eastAsia="Times New Roman"/>
          <w:sz w:val="16"/>
          <w:szCs w:val="16"/>
        </w:rPr>
        <w:t>al Statements.</w:t>
      </w:r>
      <w:r>
        <w:rPr>
          <w:rFonts w:eastAsia="Times New Roman"/>
          <w:sz w:val="16"/>
          <w:szCs w:val="16"/>
        </w:rPr>
        <w:t>”</w:t>
      </w:r>
    </w:p>
    <w:p w:rsidR="00000000" w:rsidRDefault="00F55F16">
      <w:pPr>
        <w:rPr>
          <w:rFonts w:eastAsia="Times New Roman"/>
        </w:rPr>
      </w:pPr>
      <w:r>
        <w:rPr>
          <w:rFonts w:eastAsia="Times New Roman"/>
          <w:sz w:val="16"/>
          <w:szCs w:val="16"/>
        </w:rPr>
        <w:t>(2</w:t>
      </w:r>
      <w:r>
        <w:rPr>
          <w:rFonts w:eastAsia="Times New Roman"/>
          <w:sz w:val="16"/>
          <w:szCs w:val="16"/>
        </w:rPr>
        <w:t>)</w:t>
      </w:r>
    </w:p>
    <w:p w:rsidR="00000000" w:rsidRDefault="00F55F16">
      <w:pPr>
        <w:divId w:val="1266575613"/>
        <w:rPr>
          <w:rFonts w:eastAsia="Times New Roman"/>
        </w:rPr>
      </w:pPr>
      <w:r>
        <w:rPr>
          <w:rFonts w:eastAsia="Times New Roman"/>
          <w:sz w:val="16"/>
          <w:szCs w:val="16"/>
        </w:rPr>
        <w:t>Represents Segment Adjusted EBITDA as a percentage of segment revenues</w:t>
      </w:r>
      <w:r>
        <w:rPr>
          <w:rFonts w:eastAsia="Times New Roman"/>
          <w:sz w:val="16"/>
          <w:szCs w:val="16"/>
        </w:rPr>
        <w:t>.</w:t>
      </w:r>
    </w:p>
    <w:p w:rsidR="00000000" w:rsidRDefault="00F55F16">
      <w:pPr>
        <w:pStyle w:val="a3"/>
        <w:spacing w:before="240" w:beforeAutospacing="0" w:after="0" w:afterAutospacing="0"/>
        <w:jc w:val="center"/>
        <w:rPr>
          <w:sz w:val="20"/>
          <w:szCs w:val="20"/>
        </w:rPr>
      </w:pPr>
      <w:r>
        <w:rPr>
          <w:sz w:val="20"/>
          <w:szCs w:val="20"/>
        </w:rPr>
        <w:t>3</w:t>
      </w:r>
      <w:r>
        <w:rPr>
          <w:sz w:val="20"/>
          <w:szCs w:val="20"/>
        </w:rPr>
        <w:t>9</w:t>
      </w:r>
    </w:p>
    <w:p w:rsidR="00000000" w:rsidRDefault="00F55F16">
      <w:pPr>
        <w:rPr>
          <w:rFonts w:eastAsia="Times New Roman"/>
        </w:rPr>
      </w:pPr>
      <w:r>
        <w:rPr>
          <w:rFonts w:eastAsia="Times New Roman"/>
        </w:rPr>
        <w:pict>
          <v:rect id="_x0000_i1065"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ind w:firstLine="555"/>
        <w:rPr>
          <w:sz w:val="20"/>
          <w:szCs w:val="20"/>
        </w:rPr>
      </w:pPr>
      <w:r>
        <w:rPr>
          <w:b/>
          <w:bCs/>
          <w:i/>
          <w:iCs/>
          <w:sz w:val="20"/>
          <w:szCs w:val="20"/>
        </w:rPr>
        <w:t>Revenue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 xml:space="preserve">Assessment, Permitting and Response segment revenues for the three months ended June 30, 2022 were $50.0 million, compared to $70.7 million for the three months ended June 30, 2021. The decrease was driven by significantly lower CTEH revenues in the three </w:t>
      </w:r>
      <w:r>
        <w:rPr>
          <w:sz w:val="20"/>
          <w:szCs w:val="20"/>
        </w:rPr>
        <w:t xml:space="preserve">months ended June 30, 2022 when compared to the three months ended June 30, 2021, as a result of lower revenue from COVID-19 related services, partially offset by revenues of $13.9 million from acquisitions completed in and subsequent to the quarter ended </w:t>
      </w:r>
      <w:r>
        <w:rPr>
          <w:sz w:val="20"/>
          <w:szCs w:val="20"/>
        </w:rPr>
        <w:t xml:space="preserve">June 30, 2021. CTEH revenues were $32.1 million in the three months ended June 30, 2022 compared to $65.9 million in the three months ended June 30, 2021. Total revenue from COVID-19 related services was $20.4 million and $55.2 million in the three months </w:t>
      </w:r>
      <w:r>
        <w:rPr>
          <w:sz w:val="20"/>
          <w:szCs w:val="20"/>
        </w:rPr>
        <w:t>ended June 30, 2022 and June 30, 2021, respectively</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Measurement and Analysis segment revenues for the three months ended June 30, 2022 were $42.2 million, an increase of $3.1 million or 7.9% compared to revenues for the three months ended June 30, 2021 o</w:t>
      </w:r>
      <w:r>
        <w:rPr>
          <w:sz w:val="20"/>
          <w:szCs w:val="20"/>
        </w:rPr>
        <w:t>f $39.1 million. The increase was driven primarily by organic growth, as well as by revenues of $0.7 million from acquisitions completed in and subsequent to the quarter ended June 30, 2021</w:t>
      </w:r>
      <w:r>
        <w:rPr>
          <w:sz w:val="20"/>
          <w:szCs w:val="20"/>
        </w:rPr>
        <w:t>.</w:t>
      </w:r>
    </w:p>
    <w:p w:rsidR="00000000" w:rsidRDefault="00F55F16">
      <w:pPr>
        <w:pStyle w:val="a3"/>
        <w:spacing w:before="240" w:beforeAutospacing="0" w:after="0" w:afterAutospacing="0"/>
        <w:ind w:firstLine="555"/>
        <w:rPr>
          <w:sz w:val="20"/>
          <w:szCs w:val="20"/>
        </w:rPr>
      </w:pPr>
      <w:r>
        <w:rPr>
          <w:sz w:val="20"/>
          <w:szCs w:val="20"/>
        </w:rPr>
        <w:t>Remediation and Reuse segment revenues for the three months ended</w:t>
      </w:r>
      <w:r>
        <w:rPr>
          <w:sz w:val="20"/>
          <w:szCs w:val="20"/>
        </w:rPr>
        <w:t xml:space="preserve"> June 30, 2022 were $47.6 million, an increase of $21.2 million or 80.5% compared to revenues for the three months ended June 30, 2021 of $26.4 million. The increase was driven by organic growth, driven by increases in demand for our water treatment techno</w:t>
      </w:r>
      <w:r>
        <w:rPr>
          <w:sz w:val="20"/>
          <w:szCs w:val="20"/>
        </w:rPr>
        <w:t>logy (PFAS removal) and waste-to-resources (agricultural waste to biogas) services, partially offset by the exiting of Discontinued O&amp;M Contracts, which generated revenues of $0.9 million and $3.3 million in the three months ended June 30, 2022 and June 30</w:t>
      </w:r>
      <w:r>
        <w:rPr>
          <w:sz w:val="20"/>
          <w:szCs w:val="20"/>
        </w:rPr>
        <w:t>, 2021, respectively</w:t>
      </w:r>
      <w:r>
        <w:rPr>
          <w:sz w:val="20"/>
          <w:szCs w:val="20"/>
        </w:rPr>
        <w:t>.</w:t>
      </w:r>
      <w:r>
        <w:rPr>
          <w:sz w:val="20"/>
          <w:szCs w:val="20"/>
        </w:rPr>
        <w:t xml:space="preserve"> </w:t>
      </w:r>
    </w:p>
    <w:p w:rsidR="00000000" w:rsidRDefault="00F55F16">
      <w:pPr>
        <w:pStyle w:val="a3"/>
        <w:spacing w:before="360" w:beforeAutospacing="0" w:after="0" w:afterAutospacing="0"/>
        <w:ind w:firstLine="555"/>
        <w:rPr>
          <w:sz w:val="20"/>
          <w:szCs w:val="20"/>
        </w:rPr>
      </w:pPr>
      <w:r>
        <w:rPr>
          <w:b/>
          <w:bCs/>
          <w:i/>
          <w:iCs/>
          <w:sz w:val="20"/>
          <w:szCs w:val="20"/>
        </w:rPr>
        <w:t>Segment Adjusted EBITD</w:t>
      </w:r>
      <w:r>
        <w:rPr>
          <w:b/>
          <w:bCs/>
          <w:i/>
          <w:iCs/>
          <w:sz w:val="20"/>
          <w:szCs w:val="20"/>
        </w:rPr>
        <w:t>A</w:t>
      </w:r>
    </w:p>
    <w:p w:rsidR="00000000" w:rsidRDefault="00F55F16">
      <w:pPr>
        <w:pStyle w:val="a3"/>
        <w:spacing w:before="120" w:beforeAutospacing="0" w:after="0" w:afterAutospacing="0"/>
        <w:ind w:firstLine="555"/>
        <w:rPr>
          <w:sz w:val="20"/>
          <w:szCs w:val="20"/>
        </w:rPr>
      </w:pPr>
      <w:r>
        <w:rPr>
          <w:sz w:val="20"/>
          <w:szCs w:val="20"/>
        </w:rPr>
        <w:t xml:space="preserve">Assessment, Permitting and Response Segment Adjusted EBITDA was $10.8 million for the three months ended June 30, 2022, compared to $14.9 million for the three months ended June 30, 2021. For the three months </w:t>
      </w:r>
      <w:r>
        <w:rPr>
          <w:sz w:val="20"/>
          <w:szCs w:val="20"/>
        </w:rPr>
        <w:t>ended June 30, 2022 and June 30, 2021, Segment Adjusted EBITDA margin was 21.6% and 21.0%, respectively. The decrease in Segment Adjusted EBITDA was a result of a decrease in CTEH COVID-19 related revenues during the three months ended June 30, 2022 when c</w:t>
      </w:r>
      <w:r>
        <w:rPr>
          <w:sz w:val="20"/>
          <w:szCs w:val="20"/>
        </w:rPr>
        <w:t xml:space="preserve">ompared to the three months ended June 30, 2021. Segment Adjusted EBITDA margin was relatively flat despite the decrease in revenues primarily due to CTEH COVID-19 related services' comparatively lower margin profile and the acquisitions of EI and Horizon </w:t>
      </w:r>
      <w:r>
        <w:rPr>
          <w:sz w:val="20"/>
          <w:szCs w:val="20"/>
        </w:rPr>
        <w:t>in 2021 and EnvStd in 2022, which typically operate at lower overall margins than the legacy business in this segment prior to these acquisitions</w:t>
      </w:r>
      <w:r>
        <w:rPr>
          <w:sz w:val="20"/>
          <w:szCs w:val="20"/>
        </w:rPr>
        <w:t>.</w:t>
      </w:r>
    </w:p>
    <w:p w:rsidR="00000000" w:rsidRDefault="00F55F16">
      <w:pPr>
        <w:pStyle w:val="a3"/>
        <w:spacing w:before="240" w:beforeAutospacing="0" w:after="0" w:afterAutospacing="0"/>
        <w:ind w:firstLine="555"/>
        <w:rPr>
          <w:sz w:val="20"/>
          <w:szCs w:val="20"/>
        </w:rPr>
      </w:pPr>
      <w:r>
        <w:rPr>
          <w:sz w:val="20"/>
          <w:szCs w:val="20"/>
        </w:rPr>
        <w:t>Measurement and Analysis Segment Adjusted EBITDA for the three months ended June 30, 2022 was $7.0 million, a</w:t>
      </w:r>
      <w:r>
        <w:rPr>
          <w:sz w:val="20"/>
          <w:szCs w:val="20"/>
        </w:rPr>
        <w:t xml:space="preserve"> decrease of $2.5 million compared to Segment Adjusted EBITDA for the three months ended June 30, 2021 of $9.5 million. For the three months ended June 30, 2022 and June 30, 2021 Segment Adjusted EBITDA margin was 16.7% and 24.3%, respectively. The decreas</w:t>
      </w:r>
      <w:r>
        <w:rPr>
          <w:sz w:val="20"/>
          <w:szCs w:val="20"/>
        </w:rPr>
        <w:t>e in both Segment Adjusted EBITDA and Segment Adjusted EBITDA margin was a result of unfavorable business mix, significant variable cost increases (including travel, laboratory and field supplies) in excess of responsive pricing increases implemented earli</w:t>
      </w:r>
      <w:r>
        <w:rPr>
          <w:sz w:val="20"/>
          <w:szCs w:val="20"/>
        </w:rPr>
        <w:t>er in the year, the timing of projects in some of our specialty labs, and the impact of the cyber-attack, which temporarily disrupted certain of our labs’ ability to operate</w:t>
      </w:r>
      <w:r>
        <w:rPr>
          <w:sz w:val="20"/>
          <w:szCs w:val="20"/>
        </w:rPr>
        <w:t>.</w:t>
      </w:r>
    </w:p>
    <w:p w:rsidR="00000000" w:rsidRDefault="00F55F16">
      <w:pPr>
        <w:pStyle w:val="a3"/>
        <w:spacing w:before="240" w:beforeAutospacing="0" w:after="0" w:afterAutospacing="0"/>
        <w:ind w:firstLine="555"/>
        <w:rPr>
          <w:sz w:val="20"/>
          <w:szCs w:val="20"/>
        </w:rPr>
      </w:pPr>
      <w:r>
        <w:rPr>
          <w:sz w:val="20"/>
          <w:szCs w:val="20"/>
        </w:rPr>
        <w:t>Remediation and Reuse Segment Adjusted EBITDA for the three months ended June 30,</w:t>
      </w:r>
      <w:r>
        <w:rPr>
          <w:sz w:val="20"/>
          <w:szCs w:val="20"/>
        </w:rPr>
        <w:t xml:space="preserve"> 2022 was $7.1 million, an increase of $2.8 million compared to Segment Adjusted EBITDA for the three months ended June 30, 2021 of $4.3 million. For the three months ended June 30, 2022 and June 30, 2021 Segment Adjusted EBITDA margin was 14.8% and 16.3%,</w:t>
      </w:r>
      <w:r>
        <w:rPr>
          <w:sz w:val="20"/>
          <w:szCs w:val="20"/>
        </w:rPr>
        <w:t xml:space="preserve"> respectively. The increase in Segment Adjusted EBITDA was a result of significantly higher revenues. The decrease in Segment Adjusted EBITDA margin was primarily a result of lower margins in our remediation business, where we have experienced significant </w:t>
      </w:r>
      <w:r>
        <w:rPr>
          <w:sz w:val="20"/>
          <w:szCs w:val="20"/>
        </w:rPr>
        <w:t xml:space="preserve">increases in direct labor, travel and sub-contractor costs in excess of responsive pricing increases implemented earlier in the year that did not go into effect immediately, due to longer term contracts in this business, the impact of the Discontinued O&amp;M </w:t>
      </w:r>
      <w:r>
        <w:rPr>
          <w:sz w:val="20"/>
          <w:szCs w:val="20"/>
        </w:rPr>
        <w:t>Contracts, and our continued investments in operating infrastructure in our biogas and water treatment technology businesses, which temporarily impact margins</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Corporate and other costs were $8.4 million for the three months ended June 30, 2022 compared t</w:t>
      </w:r>
      <w:r>
        <w:rPr>
          <w:sz w:val="20"/>
          <w:szCs w:val="20"/>
        </w:rPr>
        <w:t>o $7.7 million for the three months ended June 30, 2021. The cost increase was primarily driven by continued investment in corporate support functions to support anticipated future growth. Corporate and other costs were 6.0% and 5.6% of revenues for the th</w:t>
      </w:r>
      <w:r>
        <w:rPr>
          <w:sz w:val="20"/>
          <w:szCs w:val="20"/>
        </w:rPr>
        <w:t>ree months ended June 30, 2022 and June 30, 2021, respectively</w:t>
      </w:r>
      <w:r>
        <w:rPr>
          <w:sz w:val="20"/>
          <w:szCs w:val="20"/>
        </w:rPr>
        <w:t>.</w:t>
      </w:r>
    </w:p>
    <w:p w:rsidR="00000000" w:rsidRDefault="00F55F16">
      <w:pPr>
        <w:pStyle w:val="a3"/>
        <w:spacing w:before="240" w:beforeAutospacing="0" w:after="0" w:afterAutospacing="0"/>
        <w:jc w:val="center"/>
        <w:rPr>
          <w:sz w:val="20"/>
          <w:szCs w:val="20"/>
        </w:rPr>
      </w:pPr>
      <w:r>
        <w:rPr>
          <w:sz w:val="20"/>
          <w:szCs w:val="20"/>
        </w:rPr>
        <w:t>4</w:t>
      </w:r>
      <w:r>
        <w:rPr>
          <w:sz w:val="20"/>
          <w:szCs w:val="20"/>
        </w:rPr>
        <w:t>0</w:t>
      </w:r>
    </w:p>
    <w:p w:rsidR="00000000" w:rsidRDefault="00F55F16">
      <w:pPr>
        <w:rPr>
          <w:rFonts w:eastAsia="Times New Roman"/>
        </w:rPr>
      </w:pPr>
      <w:r>
        <w:rPr>
          <w:rFonts w:eastAsia="Times New Roman"/>
        </w:rPr>
        <w:pict>
          <v:rect id="_x0000_i1066"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rPr>
          <w:sz w:val="20"/>
          <w:szCs w:val="20"/>
        </w:rPr>
      </w:pPr>
      <w:r>
        <w:rPr>
          <w:b/>
          <w:bCs/>
          <w:i/>
          <w:iCs/>
          <w:sz w:val="20"/>
          <w:szCs w:val="20"/>
        </w:rPr>
        <w:t>Six Months Ended June 30, 2022 Compared to the Six Months Ended June 30, 202</w:t>
      </w:r>
      <w:r>
        <w:rPr>
          <w:b/>
          <w:bCs/>
          <w:i/>
          <w:iCs/>
          <w:sz w:val="20"/>
          <w:szCs w:val="20"/>
        </w:rPr>
        <w:t>1</w:t>
      </w:r>
    </w:p>
    <w:p w:rsidR="00000000" w:rsidRDefault="00F55F16">
      <w:pPr>
        <w:pStyle w:val="a3"/>
        <w:spacing w:before="12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5"/>
        <w:gridCol w:w="105"/>
        <w:gridCol w:w="150"/>
        <w:gridCol w:w="645"/>
        <w:gridCol w:w="105"/>
        <w:gridCol w:w="105"/>
        <w:gridCol w:w="151"/>
        <w:gridCol w:w="757"/>
        <w:gridCol w:w="120"/>
        <w:gridCol w:w="105"/>
        <w:gridCol w:w="124"/>
        <w:gridCol w:w="656"/>
        <w:gridCol w:w="105"/>
        <w:gridCol w:w="240"/>
        <w:gridCol w:w="105"/>
        <w:gridCol w:w="150"/>
        <w:gridCol w:w="645"/>
        <w:gridCol w:w="105"/>
        <w:gridCol w:w="105"/>
        <w:gridCol w:w="151"/>
        <w:gridCol w:w="757"/>
        <w:gridCol w:w="120"/>
        <w:gridCol w:w="105"/>
        <w:gridCol w:w="115"/>
        <w:gridCol w:w="665"/>
        <w:gridCol w:w="105"/>
        <w:gridCol w:w="255"/>
      </w:tblGrid>
      <w:tr w:rsidR="00000000">
        <w:trPr>
          <w:tblCellSpacing w:w="15" w:type="dxa"/>
        </w:trPr>
        <w:tc>
          <w:tcPr>
            <w:tcW w:w="1895" w:type="pct"/>
            <w:vAlign w:val="center"/>
            <w:hideMark/>
          </w:tcPr>
          <w:p w:rsidR="00000000" w:rsidRDefault="00F55F16">
            <w:pPr>
              <w:rPr>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1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3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3"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16"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51"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37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83"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3"/>
            <w:vAlign w:val="bottom"/>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Segment</w:t>
            </w:r>
            <w:r>
              <w:rPr>
                <w:b/>
                <w:bCs/>
                <w:sz w:val="18"/>
                <w:szCs w:val="18"/>
              </w:rPr>
              <w:br/>
              <w:t>Adjusted</w:t>
            </w:r>
            <w:r>
              <w:rPr>
                <w:b/>
                <w:bCs/>
                <w:sz w:val="18"/>
                <w:szCs w:val="18"/>
              </w:rPr>
              <w:br/>
              <w:t>EBITD</w:t>
            </w:r>
            <w:r>
              <w:rPr>
                <w:b/>
                <w:bCs/>
                <w:sz w:val="18"/>
                <w:szCs w:val="18"/>
              </w:rPr>
              <w:t>A</w:t>
            </w:r>
            <w:r>
              <w:rPr>
                <w:b/>
                <w:bCs/>
                <w:sz w:val="12"/>
                <w:szCs w:val="12"/>
              </w:rPr>
              <w:t>(1</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Segment Revenue</w:t>
            </w:r>
            <w:r>
              <w:rPr>
                <w:b/>
                <w:bCs/>
                <w:sz w:val="18"/>
                <w:szCs w:val="18"/>
              </w:rPr>
              <w:t>s</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Segment</w:t>
            </w:r>
            <w:r>
              <w:rPr>
                <w:b/>
                <w:bCs/>
                <w:sz w:val="18"/>
                <w:szCs w:val="18"/>
              </w:rPr>
              <w:br/>
              <w:t>Adjusted</w:t>
            </w:r>
            <w:r>
              <w:rPr>
                <w:b/>
                <w:bCs/>
                <w:sz w:val="18"/>
                <w:szCs w:val="18"/>
              </w:rPr>
              <w:br/>
            </w:r>
            <w:r>
              <w:rPr>
                <w:b/>
                <w:bCs/>
                <w:sz w:val="18"/>
                <w:szCs w:val="18"/>
              </w:rPr>
              <w:t>EBITD</w:t>
            </w:r>
            <w:r>
              <w:rPr>
                <w:b/>
                <w:bCs/>
                <w:sz w:val="18"/>
                <w:szCs w:val="18"/>
              </w:rPr>
              <w:t>A</w:t>
            </w:r>
            <w:r>
              <w:rPr>
                <w:b/>
                <w:bCs/>
                <w:sz w:val="12"/>
                <w:szCs w:val="12"/>
              </w:rPr>
              <w:t>(1</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Segment </w:t>
            </w:r>
            <w:r>
              <w:rPr>
                <w:b/>
                <w:bCs/>
                <w:sz w:val="18"/>
                <w:szCs w:val="18"/>
              </w:rPr>
              <w:br/>
              <w:t>Adjusted</w:t>
            </w:r>
            <w:r>
              <w:rPr>
                <w:b/>
                <w:bCs/>
                <w:sz w:val="18"/>
                <w:szCs w:val="18"/>
              </w:rPr>
              <w:br/>
              <w:t>EBITDA</w:t>
            </w:r>
            <w:r>
              <w:rPr>
                <w:b/>
                <w:bCs/>
                <w:sz w:val="18"/>
                <w:szCs w:val="18"/>
              </w:rPr>
              <w:br/>
              <w:t>Margi</w:t>
            </w:r>
            <w:r>
              <w:rPr>
                <w:b/>
                <w:bCs/>
                <w:sz w:val="18"/>
                <w:szCs w:val="18"/>
              </w:rPr>
              <w:t>n</w:t>
            </w:r>
            <w:r>
              <w:rPr>
                <w:b/>
                <w:bCs/>
                <w:sz w:val="12"/>
                <w:szCs w:val="12"/>
              </w:rPr>
              <w:t>(2</w:t>
            </w:r>
            <w:r>
              <w:rPr>
                <w:b/>
                <w:bCs/>
                <w:sz w:val="12"/>
                <w:szCs w:val="12"/>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Assessment, Permitting and Respons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95,63</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20,43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21.</w:t>
            </w:r>
            <w:r>
              <w:rPr>
                <w:sz w:val="18"/>
                <w:szCs w:val="18"/>
              </w:rPr>
              <w:t>4</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145,96</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30,66</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21.</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Measurement and Analysi</w:t>
            </w:r>
            <w:r>
              <w:rPr>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81,98</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13,36</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16.</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72,55</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14,35</w:t>
            </w:r>
            <w:r>
              <w:rPr>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19.</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Remediation and Reus</w:t>
            </w:r>
            <w:r>
              <w:rPr>
                <w:sz w:val="18"/>
                <w:szCs w:val="18"/>
              </w:rPr>
              <w:t>e</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96,96</w:t>
            </w:r>
            <w:r>
              <w:rPr>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15,04</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15.</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51,51</w:t>
            </w:r>
            <w:r>
              <w:rPr>
                <w:sz w:val="18"/>
                <w:szCs w:val="18"/>
              </w:rPr>
              <w:t>7</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6,79</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13.</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Total Operating Segment</w:t>
            </w:r>
            <w:r>
              <w:rPr>
                <w:b/>
                <w:bCs/>
                <w:sz w:val="18"/>
                <w:szCs w:val="18"/>
              </w:rPr>
              <w:t>s</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274,59</w:t>
            </w:r>
            <w:r>
              <w:rPr>
                <w:b/>
                <w:bCs/>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48,85</w:t>
            </w:r>
            <w:r>
              <w:rPr>
                <w:b/>
                <w:bCs/>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17.</w:t>
            </w:r>
            <w:r>
              <w:rPr>
                <w:b/>
                <w:bCs/>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270,04</w:t>
            </w:r>
            <w:r>
              <w:rPr>
                <w:b/>
                <w:bCs/>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51,80</w:t>
            </w:r>
            <w:r>
              <w:rPr>
                <w:b/>
                <w:bCs/>
                <w:sz w:val="18"/>
                <w:szCs w:val="18"/>
              </w:rPr>
              <w:t>1</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19.</w:t>
            </w:r>
            <w:r>
              <w:rPr>
                <w:b/>
                <w:bCs/>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b/>
                <w:bCs/>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Corporate and Othe</w:t>
            </w:r>
            <w:r>
              <w:rPr>
                <w:sz w:val="18"/>
                <w:szCs w:val="18"/>
              </w:rPr>
              <w:t>r</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(15,88</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(14,03</w:t>
            </w:r>
            <w:r>
              <w:rPr>
                <w:sz w:val="18"/>
                <w:szCs w:val="18"/>
              </w:rPr>
              <w:t>9</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n/</w:t>
            </w:r>
            <w:r>
              <w:rPr>
                <w:sz w:val="18"/>
                <w:szCs w:val="18"/>
              </w:rPr>
              <w:t>a</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0" w:beforeAutospacing="0" w:after="0" w:afterAutospacing="0"/>
        <w:rPr>
          <w:sz w:val="20"/>
          <w:szCs w:val="20"/>
        </w:rPr>
      </w:pPr>
      <w:r>
        <w:rPr>
          <w:sz w:val="16"/>
          <w:szCs w:val="16"/>
        </w:rPr>
        <w:t>______________________________</w:t>
      </w:r>
      <w:r>
        <w:rPr>
          <w:sz w:val="16"/>
          <w:szCs w:val="16"/>
        </w:rPr>
        <w:t>_</w:t>
      </w:r>
    </w:p>
    <w:p w:rsidR="00000000" w:rsidRDefault="00F55F16">
      <w:pPr>
        <w:rPr>
          <w:rFonts w:eastAsia="Times New Roman"/>
        </w:rPr>
      </w:pPr>
      <w:r>
        <w:rPr>
          <w:rFonts w:eastAsia="Times New Roman"/>
          <w:sz w:val="16"/>
          <w:szCs w:val="16"/>
        </w:rPr>
        <w:t>(1</w:t>
      </w:r>
      <w:r>
        <w:rPr>
          <w:rFonts w:eastAsia="Times New Roman"/>
          <w:sz w:val="16"/>
          <w:szCs w:val="16"/>
        </w:rPr>
        <w:t>)</w:t>
      </w:r>
    </w:p>
    <w:p w:rsidR="00000000" w:rsidRDefault="00F55F16">
      <w:pPr>
        <w:divId w:val="1156923387"/>
        <w:rPr>
          <w:rFonts w:eastAsia="Times New Roman"/>
        </w:rPr>
      </w:pPr>
      <w:r>
        <w:rPr>
          <w:rFonts w:eastAsia="Times New Roman"/>
          <w:sz w:val="16"/>
          <w:szCs w:val="16"/>
        </w:rPr>
        <w:t>For purposes of evaluating segment profit, the Company’</w:t>
      </w:r>
      <w:r>
        <w:rPr>
          <w:rFonts w:eastAsia="Times New Roman"/>
          <w:sz w:val="16"/>
          <w:szCs w:val="16"/>
        </w:rPr>
        <w:t>s chief operating decision maker reviews Segment Adjusted EBITDA as a basis for making the decisions to allocate resources and assess performance. See Note 18 to our unaudited condensed consolidated financial statements included in Part I, Item 1. “Financi</w:t>
      </w:r>
      <w:r>
        <w:rPr>
          <w:rFonts w:eastAsia="Times New Roman"/>
          <w:sz w:val="16"/>
          <w:szCs w:val="16"/>
        </w:rPr>
        <w:t>al Statements.</w:t>
      </w:r>
      <w:r>
        <w:rPr>
          <w:rFonts w:eastAsia="Times New Roman"/>
          <w:sz w:val="16"/>
          <w:szCs w:val="16"/>
        </w:rPr>
        <w:t>”</w:t>
      </w:r>
    </w:p>
    <w:p w:rsidR="00000000" w:rsidRDefault="00F55F16">
      <w:pPr>
        <w:rPr>
          <w:rFonts w:eastAsia="Times New Roman"/>
        </w:rPr>
      </w:pPr>
      <w:r>
        <w:rPr>
          <w:rFonts w:eastAsia="Times New Roman"/>
          <w:sz w:val="16"/>
          <w:szCs w:val="16"/>
        </w:rPr>
        <w:t>(2</w:t>
      </w:r>
      <w:r>
        <w:rPr>
          <w:rFonts w:eastAsia="Times New Roman"/>
          <w:sz w:val="16"/>
          <w:szCs w:val="16"/>
        </w:rPr>
        <w:t>)</w:t>
      </w:r>
    </w:p>
    <w:p w:rsidR="00000000" w:rsidRDefault="00F55F16">
      <w:pPr>
        <w:divId w:val="565065299"/>
        <w:rPr>
          <w:rFonts w:eastAsia="Times New Roman"/>
        </w:rPr>
      </w:pPr>
      <w:r>
        <w:rPr>
          <w:rFonts w:eastAsia="Times New Roman"/>
          <w:sz w:val="16"/>
          <w:szCs w:val="16"/>
        </w:rPr>
        <w:t>Represents Segment Adjusted EBITDA as a percentage of segment revenues</w:t>
      </w:r>
      <w:r>
        <w:rPr>
          <w:rFonts w:eastAsia="Times New Roman"/>
          <w:sz w:val="16"/>
          <w:szCs w:val="16"/>
        </w:rPr>
        <w:t>.</w:t>
      </w:r>
    </w:p>
    <w:p w:rsidR="00000000" w:rsidRDefault="00F55F16">
      <w:pPr>
        <w:pStyle w:val="a3"/>
        <w:spacing w:before="360" w:beforeAutospacing="0" w:after="0" w:afterAutospacing="0"/>
        <w:ind w:firstLine="555"/>
        <w:rPr>
          <w:sz w:val="20"/>
          <w:szCs w:val="20"/>
        </w:rPr>
      </w:pPr>
      <w:r>
        <w:rPr>
          <w:b/>
          <w:bCs/>
          <w:i/>
          <w:iCs/>
          <w:sz w:val="20"/>
          <w:szCs w:val="20"/>
        </w:rPr>
        <w:t>Revenue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Assessment, Permitting and Response segment revenues for the six months ended June 30, 2022 were $95.6 million, compared to $146.0 million for the six mont</w:t>
      </w:r>
      <w:r>
        <w:rPr>
          <w:sz w:val="20"/>
          <w:szCs w:val="20"/>
        </w:rPr>
        <w:t>hs ended June 30, 2021. The decrease was driven by significantly lower CTEH revenues in the first half of 2022 when compared to the first half of 2021, as a result of lower revenue from COVID-19 related services, partially offset by revenues of $25.3 milli</w:t>
      </w:r>
      <w:r>
        <w:rPr>
          <w:sz w:val="20"/>
          <w:szCs w:val="20"/>
        </w:rPr>
        <w:t>on from acquisitions completed in and subsequent to the quarter ended June 30, 2021. CTEH revenues were $62.0 million in the six months ended June 30, 2022 compared to $136.5 million in the six months ended June 30, 2021. Total revenue from COVID-19 relate</w:t>
      </w:r>
      <w:r>
        <w:rPr>
          <w:sz w:val="20"/>
          <w:szCs w:val="20"/>
        </w:rPr>
        <w:t>d services was $41.8 million and $113.9 million in the six months ended June 30, 2022 and June 30, 2021, respectively</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Measurement and Analysis segment revenues for the six months ended June 30, 2022 were $82.0 million, an increase of $9.4 million or 13.0</w:t>
      </w:r>
      <w:r>
        <w:rPr>
          <w:sz w:val="20"/>
          <w:szCs w:val="20"/>
        </w:rPr>
        <w:t>% compared to revenues for the six months ended June 30, 2021 of $72.6 million. The increase was driven primarily by organic growth, as well as by revenues of $1.6 million from acquisitions completed in and subsequent to the quarter ended June 30, 2021</w:t>
      </w:r>
      <w:r>
        <w:rPr>
          <w:sz w:val="20"/>
          <w:szCs w:val="20"/>
        </w:rPr>
        <w:t>.</w:t>
      </w:r>
    </w:p>
    <w:p w:rsidR="00000000" w:rsidRDefault="00F55F16">
      <w:pPr>
        <w:pStyle w:val="a3"/>
        <w:spacing w:before="240" w:beforeAutospacing="0" w:after="0" w:afterAutospacing="0"/>
        <w:ind w:firstLine="555"/>
        <w:rPr>
          <w:sz w:val="20"/>
          <w:szCs w:val="20"/>
        </w:rPr>
      </w:pPr>
      <w:r>
        <w:rPr>
          <w:sz w:val="20"/>
          <w:szCs w:val="20"/>
        </w:rPr>
        <w:t>Re</w:t>
      </w:r>
      <w:r>
        <w:rPr>
          <w:sz w:val="20"/>
          <w:szCs w:val="20"/>
        </w:rPr>
        <w:t>mediation and Reuse segment revenues for the six months ended June 30, 2022 were $97.0 million, an increase of $45.5 million or 88.2% compared to revenues for the six months ended June 30, 2021 of $51.5 million. The increase was driven by organic growth. T</w:t>
      </w:r>
      <w:r>
        <w:rPr>
          <w:sz w:val="20"/>
          <w:szCs w:val="20"/>
        </w:rPr>
        <w:t>his organic revenue growth was driven by increases in demand for our water treatment technology (PFAS removal) and waste-to-resources (agricultural waste to biogas) services</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Segment Adjusted EBITD</w:t>
      </w:r>
      <w:r>
        <w:rPr>
          <w:b/>
          <w:bCs/>
          <w:i/>
          <w:iCs/>
          <w:sz w:val="20"/>
          <w:szCs w:val="20"/>
        </w:rPr>
        <w:t>A</w:t>
      </w:r>
    </w:p>
    <w:p w:rsidR="00000000" w:rsidRDefault="00F55F16">
      <w:pPr>
        <w:pStyle w:val="a3"/>
        <w:spacing w:before="120" w:beforeAutospacing="0" w:after="0" w:afterAutospacing="0"/>
        <w:ind w:firstLine="555"/>
        <w:rPr>
          <w:sz w:val="20"/>
          <w:szCs w:val="20"/>
        </w:rPr>
      </w:pPr>
      <w:r>
        <w:rPr>
          <w:sz w:val="20"/>
          <w:szCs w:val="20"/>
        </w:rPr>
        <w:t>Assessment, Permitting and Response Segment Adjusted EBITDA was $20.4 million for the six months ended June 30, 2022, compared to $30.7 million for the six months ended June 30, 2021. For the six months ended June 30, 2022 and June 30, 2021, Segment Adjust</w:t>
      </w:r>
      <w:r>
        <w:rPr>
          <w:sz w:val="20"/>
          <w:szCs w:val="20"/>
        </w:rPr>
        <w:t xml:space="preserve">ed EBITDA margin was 21.4% and 21.0%, respectively. The decrease in Segment Adjusted EBITDA was a result of a decrease in CTEH COVID-19 related revenues during the six months ended June 30, 2022 when compared to the six months ended June 30, 2021. Segment </w:t>
      </w:r>
      <w:r>
        <w:rPr>
          <w:sz w:val="20"/>
          <w:szCs w:val="20"/>
        </w:rPr>
        <w:t>Adjusted EBITDA margin was relatively flat despite the decrease in revenues primarily due to CTEH COVID-19 related services' comparatively lower margin profile and the acquisitions of EI and Horizon in 2021 and EnvStd in 2022, which typically operate at lo</w:t>
      </w:r>
      <w:r>
        <w:rPr>
          <w:sz w:val="20"/>
          <w:szCs w:val="20"/>
        </w:rPr>
        <w:t>wer overall margins than the legacy business in this segment prior to these acquisitions</w:t>
      </w:r>
      <w:r>
        <w:rPr>
          <w:sz w:val="20"/>
          <w:szCs w:val="20"/>
        </w:rPr>
        <w:t>.</w:t>
      </w:r>
    </w:p>
    <w:p w:rsidR="00000000" w:rsidRDefault="00F55F16">
      <w:pPr>
        <w:pStyle w:val="a3"/>
        <w:spacing w:before="240" w:beforeAutospacing="0" w:after="0" w:afterAutospacing="0"/>
        <w:ind w:firstLine="555"/>
        <w:rPr>
          <w:sz w:val="20"/>
          <w:szCs w:val="20"/>
        </w:rPr>
      </w:pPr>
      <w:r>
        <w:rPr>
          <w:sz w:val="20"/>
          <w:szCs w:val="20"/>
        </w:rPr>
        <w:t>Measurement and Analysis Segment Adjusted EBITDA for the six months ended June 30, 2022 was $13.4 million, a decrease of $1.0 million compared to Segment Adjusted EBI</w:t>
      </w:r>
      <w:r>
        <w:rPr>
          <w:sz w:val="20"/>
          <w:szCs w:val="20"/>
        </w:rPr>
        <w:t>TDA for the six months ended June 30, 2021 of $14.4 million. For the six months ended June 30, 2022 and June 30, 2021, Segment Adjusted EBITDA margin was 16.3% and 19.8%, respectively. The decrease in both Segment Adjusted EBITDA and Segment Adjusted EBITD</w:t>
      </w:r>
      <w:r>
        <w:rPr>
          <w:sz w:val="20"/>
          <w:szCs w:val="20"/>
        </w:rPr>
        <w:t>A margin was a result of unfavorable business mix, significant variable cost increases (including travel, laboratory and field supplies) in excess of responsive pricing increases implemented earlier in the year, the timing of projects in some of our specia</w:t>
      </w:r>
      <w:r>
        <w:rPr>
          <w:sz w:val="20"/>
          <w:szCs w:val="20"/>
        </w:rPr>
        <w:t>lty labs, and the impact of the cyber-attack in June 2022, which temporarily disrupted certain of our labs’ ability to operate</w:t>
      </w:r>
      <w:r>
        <w:rPr>
          <w:sz w:val="20"/>
          <w:szCs w:val="20"/>
        </w:rPr>
        <w:t>.</w:t>
      </w:r>
    </w:p>
    <w:p w:rsidR="00000000" w:rsidRDefault="00F55F16">
      <w:pPr>
        <w:pStyle w:val="a3"/>
        <w:spacing w:before="240" w:beforeAutospacing="0" w:after="0" w:afterAutospacing="0"/>
        <w:ind w:firstLine="555"/>
        <w:rPr>
          <w:sz w:val="20"/>
          <w:szCs w:val="20"/>
        </w:rPr>
      </w:pPr>
      <w:r>
        <w:rPr>
          <w:sz w:val="20"/>
          <w:szCs w:val="20"/>
        </w:rPr>
        <w:t>Remediation and Reuse Segment Adjusted EBITDA for the six months ended June 30, 2022 was $15.0 million, an increase of $8.2 million compared to Segment Adjusted EBITDA for the six months ended June 30, 2021 of $6.8 million. For the six months ended June 30</w:t>
      </w:r>
      <w:r>
        <w:rPr>
          <w:sz w:val="20"/>
          <w:szCs w:val="20"/>
        </w:rPr>
        <w:t>, 2022 and June 30, 2021, Segment Adjusted EBITDA margin was 15.5% and 13.2%, respectively. The increase in bot</w:t>
      </w:r>
      <w:r>
        <w:rPr>
          <w:sz w:val="20"/>
          <w:szCs w:val="20"/>
        </w:rPr>
        <w:t>h</w:t>
      </w:r>
      <w:r>
        <w:rPr>
          <w:sz w:val="20"/>
          <w:szCs w:val="20"/>
        </w:rPr>
        <w:t xml:space="preserve"> </w:t>
      </w:r>
    </w:p>
    <w:p w:rsidR="00000000" w:rsidRDefault="00F55F16">
      <w:pPr>
        <w:pStyle w:val="a3"/>
        <w:spacing w:before="240" w:beforeAutospacing="0" w:after="0" w:afterAutospacing="0"/>
        <w:jc w:val="center"/>
        <w:rPr>
          <w:sz w:val="20"/>
          <w:szCs w:val="20"/>
        </w:rPr>
      </w:pPr>
      <w:r>
        <w:rPr>
          <w:sz w:val="20"/>
          <w:szCs w:val="20"/>
        </w:rPr>
        <w:t>4</w:t>
      </w:r>
      <w:r>
        <w:rPr>
          <w:sz w:val="20"/>
          <w:szCs w:val="20"/>
        </w:rPr>
        <w:t>1</w:t>
      </w:r>
    </w:p>
    <w:p w:rsidR="00000000" w:rsidRDefault="00F55F16">
      <w:pPr>
        <w:rPr>
          <w:rFonts w:eastAsia="Times New Roman"/>
        </w:rPr>
      </w:pPr>
      <w:r>
        <w:rPr>
          <w:rFonts w:eastAsia="Times New Roman"/>
        </w:rPr>
        <w:pict>
          <v:rect id="_x0000_i1067"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rPr>
          <w:sz w:val="20"/>
          <w:szCs w:val="20"/>
        </w:rPr>
      </w:pPr>
      <w:r>
        <w:rPr>
          <w:sz w:val="20"/>
          <w:szCs w:val="20"/>
        </w:rPr>
        <w:t>Segment Adjusted EBITDA and Segment Adjusted EBITDA margin was a result of significantly higher reve</w:t>
      </w:r>
      <w:r>
        <w:rPr>
          <w:sz w:val="20"/>
          <w:szCs w:val="20"/>
        </w:rPr>
        <w:t>nues, partially offset by our continued investments in operating infrastructure in this segment that temporarily impact margins. The Segment Adjusted EBITDA margin benefit from higher revenues was partially offset by lower soil remediation margins as a res</w:t>
      </w:r>
      <w:r>
        <w:rPr>
          <w:sz w:val="20"/>
          <w:szCs w:val="20"/>
        </w:rPr>
        <w:t xml:space="preserve">ult of significant increases in direct labor, travel and sub-contractor costs in excess of responsive pricing increases implemented earlier in the year that did not go into effect immediately due to longer term contracts in this business and the impact of </w:t>
      </w:r>
      <w:r>
        <w:rPr>
          <w:sz w:val="20"/>
          <w:szCs w:val="20"/>
        </w:rPr>
        <w:t>the Discontinued O&amp;M Contracts</w:t>
      </w:r>
      <w:r>
        <w:rPr>
          <w:sz w:val="20"/>
          <w:szCs w:val="20"/>
        </w:rPr>
        <w:t>.</w:t>
      </w:r>
    </w:p>
    <w:p w:rsidR="00000000" w:rsidRDefault="00F55F16">
      <w:pPr>
        <w:pStyle w:val="a3"/>
        <w:spacing w:before="240" w:beforeAutospacing="0" w:after="0" w:afterAutospacing="0"/>
        <w:ind w:firstLine="555"/>
        <w:rPr>
          <w:sz w:val="20"/>
          <w:szCs w:val="20"/>
        </w:rPr>
      </w:pPr>
      <w:r>
        <w:rPr>
          <w:sz w:val="20"/>
          <w:szCs w:val="20"/>
        </w:rPr>
        <w:t>Corporate and other costs were $15.9 million for the six months ended June 30, 2022 compared to $14.0 million for the six months ended June 30, 2021. The cost increase was primarily driven by continued investment in corporat</w:t>
      </w:r>
      <w:r>
        <w:rPr>
          <w:sz w:val="20"/>
          <w:szCs w:val="20"/>
        </w:rPr>
        <w:t>e support functions to support anticipated future growth. Corporate and other costs were 5.8% and 5.2% of revenues for the six months ended June 30, 2022 and June 30, 2021, respectively</w:t>
      </w:r>
      <w:r>
        <w:rPr>
          <w:sz w:val="20"/>
          <w:szCs w:val="20"/>
        </w:rPr>
        <w:t>.</w:t>
      </w:r>
    </w:p>
    <w:p w:rsidR="00000000" w:rsidRDefault="00F55F16">
      <w:pPr>
        <w:pStyle w:val="a3"/>
        <w:spacing w:before="360" w:beforeAutospacing="0" w:after="0" w:afterAutospacing="0"/>
        <w:rPr>
          <w:sz w:val="20"/>
          <w:szCs w:val="20"/>
        </w:rPr>
      </w:pPr>
      <w:r>
        <w:rPr>
          <w:b/>
          <w:bCs/>
          <w:sz w:val="20"/>
          <w:szCs w:val="20"/>
        </w:rPr>
        <w:t>Liquidity and Capital Resource</w:t>
      </w:r>
      <w:r>
        <w:rPr>
          <w:b/>
          <w:bCs/>
          <w:sz w:val="20"/>
          <w:szCs w:val="20"/>
        </w:rPr>
        <w:t>s</w:t>
      </w:r>
    </w:p>
    <w:p w:rsidR="00000000" w:rsidRDefault="00F55F16">
      <w:pPr>
        <w:pStyle w:val="a3"/>
        <w:spacing w:before="120" w:beforeAutospacing="0" w:after="0" w:afterAutospacing="0"/>
        <w:ind w:firstLine="555"/>
        <w:rPr>
          <w:sz w:val="20"/>
          <w:szCs w:val="20"/>
        </w:rPr>
      </w:pPr>
      <w:r>
        <w:rPr>
          <w:sz w:val="20"/>
          <w:szCs w:val="20"/>
        </w:rPr>
        <w:t xml:space="preserve">Liquidity describes the ability of a </w:t>
      </w:r>
      <w:r>
        <w:rPr>
          <w:sz w:val="20"/>
          <w:szCs w:val="20"/>
        </w:rPr>
        <w:t>company to generate sufficient cash flows to meet the cash requirements of its business operations, including working capital needs, debt service, acquisitions, other commitments and contractual obligations. We consider liquidity in terms of cash flows fro</w:t>
      </w:r>
      <w:r>
        <w:rPr>
          <w:sz w:val="20"/>
          <w:szCs w:val="20"/>
        </w:rPr>
        <w:t>m operations and other sources, including availability under our credit facility, and their sufficiency to fund our operating and investing activities</w:t>
      </w:r>
      <w:r>
        <w:rPr>
          <w:sz w:val="20"/>
          <w:szCs w:val="20"/>
        </w:rPr>
        <w:t>.</w:t>
      </w:r>
    </w:p>
    <w:p w:rsidR="00000000" w:rsidRDefault="00F55F16">
      <w:pPr>
        <w:pStyle w:val="a3"/>
        <w:spacing w:before="240" w:beforeAutospacing="0" w:after="0" w:afterAutospacing="0"/>
        <w:ind w:firstLine="555"/>
        <w:rPr>
          <w:sz w:val="20"/>
          <w:szCs w:val="20"/>
        </w:rPr>
      </w:pPr>
      <w:r>
        <w:rPr>
          <w:sz w:val="20"/>
          <w:szCs w:val="20"/>
        </w:rPr>
        <w:t>Our principal sources of liquidity have been borrowings under our credit facilities, other borrowing arr</w:t>
      </w:r>
      <w:r>
        <w:rPr>
          <w:sz w:val="20"/>
          <w:szCs w:val="20"/>
        </w:rPr>
        <w:t>angements, proceeds from the issuance of common and preferred stock and cash generated by operating activities. Historically, we have financed our operations and acquisitions from a combination of cash generated from operations, periodic borrowings under s</w:t>
      </w:r>
      <w:r>
        <w:rPr>
          <w:sz w:val="20"/>
          <w:szCs w:val="20"/>
        </w:rPr>
        <w:t xml:space="preserve">enior secured credit facilities, other prior secured and unsecured borrowings and proceeds from the issuance of common and preferred stock. Our primary cash needs are for day to day operations, to fund working capital requirements, to fund our acquisition </w:t>
      </w:r>
      <w:r>
        <w:rPr>
          <w:sz w:val="20"/>
          <w:szCs w:val="20"/>
        </w:rPr>
        <w:t>strategy, to pay interest and principal on our indebtedness and dividends on our Series A-2 preferred stock, and to make capital expenditures. Additionally, in connection with certain acquisitions, we agree to earn-out provisions and other purchase price a</w:t>
      </w:r>
      <w:r>
        <w:rPr>
          <w:sz w:val="20"/>
          <w:szCs w:val="20"/>
        </w:rPr>
        <w:t>djustments that may require future payments. For example, the CTEH acquisition agreement included an earn-out provision that provided for the payment of contingent consideration based on CTEH’s 2021 results in an aggregate amount not to exceed $30.0 millio</w:t>
      </w:r>
      <w:r>
        <w:rPr>
          <w:sz w:val="20"/>
          <w:szCs w:val="20"/>
        </w:rPr>
        <w:t>n, with the earn-out payment equal to a specified multiple of CTEH’s EBITDA for 2021 in excess of a specified target. CTEH fully achieved the target in 2021 and the $30.0 million payment was paid in cash in the first quarter of 2022. We may also be require</w:t>
      </w:r>
      <w:r>
        <w:rPr>
          <w:sz w:val="20"/>
          <w:szCs w:val="20"/>
        </w:rPr>
        <w:t>d to make up to $3.0 million in aggregate earn-out payments in cash between the years 2022 and 2023 in connection with certain of our business acquisitions. See Note 7 to our unaudited condensed consolidated financial statements included in Part 1, Item 1.</w:t>
      </w:r>
      <w:r>
        <w:rPr>
          <w:sz w:val="20"/>
          <w:szCs w:val="20"/>
        </w:rPr>
        <w:t xml:space="preserve"> “Financial Statements.</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 xml:space="preserve">We expect to continue to fund our liquidity requirements, including any cash earn-out payments that may be required in connection with acquisitions, through cash generated from operations and borrowings under our credit facility. </w:t>
      </w:r>
      <w:r>
        <w:rPr>
          <w:sz w:val="20"/>
          <w:szCs w:val="20"/>
        </w:rPr>
        <w:t>We believe these sources will be sufficient to fund our cash needs for the short- and long-term. See “—COVID-19” above for a discussion of the impact of the pandemic on our liquidity</w:t>
      </w:r>
      <w:r>
        <w:rPr>
          <w:sz w:val="20"/>
          <w:szCs w:val="20"/>
        </w:rPr>
        <w:t>.</w:t>
      </w:r>
      <w:r>
        <w:rPr>
          <w:sz w:val="20"/>
          <w:szCs w:val="20"/>
        </w:rPr>
        <w:t xml:space="preserve"> </w:t>
      </w:r>
    </w:p>
    <w:p w:rsidR="00000000" w:rsidRDefault="00F55F16">
      <w:pPr>
        <w:pStyle w:val="a3"/>
        <w:spacing w:before="360" w:beforeAutospacing="0" w:after="0" w:afterAutospacing="0"/>
        <w:rPr>
          <w:sz w:val="20"/>
          <w:szCs w:val="20"/>
        </w:rPr>
      </w:pPr>
      <w:r>
        <w:rPr>
          <w:b/>
          <w:bCs/>
          <w:i/>
          <w:iCs/>
          <w:sz w:val="20"/>
          <w:szCs w:val="20"/>
        </w:rPr>
        <w:t>Cash Flow</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The following table summarizes our cash flows for the period</w:t>
      </w:r>
      <w:r>
        <w:rPr>
          <w:sz w:val="20"/>
          <w:szCs w:val="20"/>
        </w:rPr>
        <w:t>s presented</w:t>
      </w:r>
      <w:r>
        <w:rPr>
          <w:sz w:val="20"/>
          <w:szCs w:val="20"/>
        </w:rPr>
        <w:t>:</w:t>
      </w:r>
    </w:p>
    <w:p w:rsidR="00000000" w:rsidRDefault="00F55F16">
      <w:pPr>
        <w:pStyle w:val="a3"/>
        <w:spacing w:before="0" w:beforeAutospacing="0" w:after="0" w:afterAutospacing="0"/>
        <w:rPr>
          <w:sz w:val="20"/>
          <w:szCs w:val="20"/>
        </w:rPr>
      </w:pPr>
      <w:r>
        <w:rPr>
          <w:sz w:val="20"/>
          <w:szCs w:val="20"/>
        </w:rPr>
        <w:t> </w:t>
      </w:r>
    </w:p>
    <w:tbl>
      <w:tblPr>
        <w:tblW w:w="3500" w:type="pct"/>
        <w:tblCellSpacing w:w="15" w:type="dxa"/>
        <w:tblCellMar>
          <w:top w:w="15" w:type="dxa"/>
          <w:left w:w="15" w:type="dxa"/>
          <w:bottom w:w="15" w:type="dxa"/>
          <w:right w:w="15" w:type="dxa"/>
        </w:tblCellMar>
        <w:tblLook w:val="04A0" w:firstRow="1" w:lastRow="0" w:firstColumn="1" w:lastColumn="0" w:noHBand="0" w:noVBand="1"/>
      </w:tblPr>
      <w:tblGrid>
        <w:gridCol w:w="3692"/>
        <w:gridCol w:w="105"/>
        <w:gridCol w:w="150"/>
        <w:gridCol w:w="681"/>
        <w:gridCol w:w="120"/>
        <w:gridCol w:w="105"/>
        <w:gridCol w:w="150"/>
        <w:gridCol w:w="676"/>
        <w:gridCol w:w="135"/>
      </w:tblGrid>
      <w:tr w:rsidR="00000000">
        <w:trPr>
          <w:tblCellSpacing w:w="15" w:type="dxa"/>
        </w:trPr>
        <w:tc>
          <w:tcPr>
            <w:tcW w:w="3342" w:type="pct"/>
            <w:vAlign w:val="center"/>
            <w:hideMark/>
          </w:tcPr>
          <w:p w:rsidR="00000000" w:rsidRDefault="00F55F16">
            <w:pPr>
              <w:rPr>
                <w:sz w:val="20"/>
                <w:szCs w:val="20"/>
              </w:rPr>
            </w:pPr>
          </w:p>
        </w:tc>
        <w:tc>
          <w:tcPr>
            <w:tcW w:w="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5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72"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5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F55F16">
            <w:pPr>
              <w:pStyle w:val="a3"/>
              <w:spacing w:before="0" w:beforeAutospacing="0" w:after="0" w:afterAutospacing="0"/>
              <w:jc w:val="center"/>
              <w:rPr>
                <w:sz w:val="18"/>
                <w:szCs w:val="18"/>
              </w:rPr>
            </w:pPr>
            <w:r>
              <w:rPr>
                <w:b/>
                <w:bCs/>
                <w:sz w:val="18"/>
                <w:szCs w:val="18"/>
              </w:rPr>
              <w:t>Six Months Ended June 30</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rPr>
                <w:sz w:val="18"/>
                <w:szCs w:val="18"/>
              </w:rPr>
            </w:pPr>
            <w:r>
              <w:rPr>
                <w:b/>
                <w:bCs/>
                <w:sz w:val="18"/>
                <w:szCs w:val="18"/>
              </w:rPr>
              <w:t>(in thousands</w:t>
            </w:r>
            <w:r>
              <w:rPr>
                <w:b/>
                <w:bCs/>
                <w:sz w:val="18"/>
                <w:szCs w:val="18"/>
              </w:rPr>
              <w:t>)</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Consolidated Statement of Cash Flows Data</w:t>
            </w: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Net cash used in operating activitie</w:t>
            </w:r>
            <w:r>
              <w:rPr>
                <w:sz w:val="18"/>
                <w:szCs w:val="18"/>
              </w:rPr>
              <w:t>s</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(2,94</w:t>
            </w:r>
            <w:r>
              <w:rPr>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(17,04</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Net cash used in investing activitie</w:t>
            </w:r>
            <w:r>
              <w:rPr>
                <w:sz w:val="18"/>
                <w:szCs w:val="18"/>
              </w:rPr>
              <w:t>s</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(18,33</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(25,81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sz w:val="18"/>
                <w:szCs w:val="18"/>
              </w:rPr>
              <w:t>Net cash (used in) provided by financing activitie</w:t>
            </w:r>
            <w:r>
              <w:rPr>
                <w:sz w:val="18"/>
                <w:szCs w:val="18"/>
              </w:rPr>
              <w:t>s</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(27,09</w:t>
            </w:r>
            <w:r>
              <w:rPr>
                <w:sz w:val="18"/>
                <w:szCs w:val="18"/>
              </w:rPr>
              <w:t>6</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47,64</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rPr>
                <w:sz w:val="18"/>
                <w:szCs w:val="18"/>
              </w:rPr>
            </w:pPr>
            <w:r>
              <w:rPr>
                <w:b/>
                <w:bCs/>
                <w:sz w:val="18"/>
                <w:szCs w:val="18"/>
              </w:rPr>
              <w:t>Change in cash, cash equivalents and restricted cas</w:t>
            </w:r>
            <w:r>
              <w:rPr>
                <w:b/>
                <w:bCs/>
                <w:sz w:val="18"/>
                <w:szCs w:val="18"/>
              </w:rPr>
              <w:t>h</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(48,36</w:t>
            </w:r>
            <w:r>
              <w:rPr>
                <w:b/>
                <w:bCs/>
                <w:sz w:val="18"/>
                <w:szCs w:val="18"/>
              </w:rPr>
              <w:t>8</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b/>
                <w:bCs/>
                <w:sz w:val="18"/>
                <w:szCs w:val="18"/>
              </w:rPr>
              <w:t>$</w:t>
            </w:r>
          </w:p>
        </w:tc>
        <w:tc>
          <w:tcPr>
            <w:tcW w:w="0" w:type="auto"/>
            <w:vAlign w:val="bottom"/>
            <w:hideMark/>
          </w:tcPr>
          <w:p w:rsidR="00000000" w:rsidRDefault="00F55F16">
            <w:pPr>
              <w:pStyle w:val="a3"/>
              <w:spacing w:before="0" w:beforeAutospacing="0" w:after="0" w:afterAutospacing="0"/>
              <w:jc w:val="right"/>
              <w:rPr>
                <w:sz w:val="18"/>
                <w:szCs w:val="18"/>
              </w:rPr>
            </w:pPr>
            <w:r>
              <w:rPr>
                <w:b/>
                <w:bCs/>
                <w:sz w:val="18"/>
                <w:szCs w:val="18"/>
              </w:rPr>
              <w:t>4,78</w:t>
            </w:r>
            <w:r>
              <w:rPr>
                <w:b/>
                <w:bCs/>
                <w:sz w:val="18"/>
                <w:szCs w:val="18"/>
              </w:rPr>
              <w:t>2</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r>
    </w:tbl>
    <w:p w:rsidR="00000000" w:rsidRDefault="00F55F16">
      <w:pPr>
        <w:pStyle w:val="a3"/>
        <w:spacing w:before="360" w:beforeAutospacing="0" w:after="0" w:afterAutospacing="0"/>
        <w:ind w:left="476"/>
        <w:rPr>
          <w:sz w:val="20"/>
          <w:szCs w:val="20"/>
        </w:rPr>
      </w:pPr>
      <w:r>
        <w:rPr>
          <w:b/>
          <w:bCs/>
          <w:i/>
          <w:iCs/>
          <w:sz w:val="20"/>
          <w:szCs w:val="20"/>
        </w:rPr>
        <w:t>Operating Activitie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Cash flows from operating activities can fluctuate from period-to-period as earnings, working capital needs and the timing of payments for contingent consideration, taxes, bonus payments and other operating items impact reported cash f</w:t>
      </w:r>
      <w:r>
        <w:rPr>
          <w:sz w:val="20"/>
          <w:szCs w:val="20"/>
        </w:rPr>
        <w:t>lows</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For the six months ended June 30, 2022, net cash used in operating activities was $2.9 million compared to net cash used in operating activities of $17.0 million for the six months ended June 30, 2021. Cash used in operations includes payment of con</w:t>
      </w:r>
      <w:r>
        <w:rPr>
          <w:sz w:val="20"/>
          <w:szCs w:val="20"/>
        </w:rPr>
        <w:t xml:space="preserve">tingent consideration of $19.5 million and $15.5 million in the six months ended June 30, 2022 and June 30, 2021, respectively. Excluding payment of contingent consideration, cash provided by operating activities was $16.6 million for the six months ended </w:t>
      </w:r>
      <w:r>
        <w:rPr>
          <w:sz w:val="20"/>
          <w:szCs w:val="20"/>
        </w:rPr>
        <w:t>June 30, 2022, compared to cash used in operating activities of $1.5 million in the prior year, an increase of $18.1 million. The period-over-perio</w:t>
      </w:r>
      <w:r>
        <w:rPr>
          <w:sz w:val="20"/>
          <w:szCs w:val="20"/>
        </w:rPr>
        <w:t>d</w:t>
      </w:r>
      <w:r>
        <w:rPr>
          <w:sz w:val="20"/>
          <w:szCs w:val="20"/>
        </w:rPr>
        <w:t xml:space="preserve"> </w:t>
      </w:r>
    </w:p>
    <w:p w:rsidR="00000000" w:rsidRDefault="00F55F16">
      <w:pPr>
        <w:pStyle w:val="a3"/>
        <w:spacing w:before="240" w:beforeAutospacing="0" w:after="0" w:afterAutospacing="0"/>
        <w:jc w:val="center"/>
        <w:rPr>
          <w:sz w:val="20"/>
          <w:szCs w:val="20"/>
        </w:rPr>
      </w:pPr>
      <w:r>
        <w:rPr>
          <w:sz w:val="20"/>
          <w:szCs w:val="20"/>
        </w:rPr>
        <w:t>4</w:t>
      </w:r>
      <w:r>
        <w:rPr>
          <w:sz w:val="20"/>
          <w:szCs w:val="20"/>
        </w:rPr>
        <w:t>2</w:t>
      </w:r>
    </w:p>
    <w:p w:rsidR="00000000" w:rsidRDefault="00F55F16">
      <w:pPr>
        <w:rPr>
          <w:rFonts w:eastAsia="Times New Roman"/>
        </w:rPr>
      </w:pPr>
      <w:r>
        <w:rPr>
          <w:rFonts w:eastAsia="Times New Roman"/>
        </w:rPr>
        <w:pict>
          <v:rect id="_x0000_i1068"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rPr>
          <w:sz w:val="20"/>
          <w:szCs w:val="20"/>
        </w:rPr>
      </w:pPr>
      <w:r>
        <w:rPr>
          <w:sz w:val="20"/>
          <w:szCs w:val="20"/>
        </w:rPr>
        <w:t>increase, excluding the impact of contingent consideration, was primarily due to an increase in working capital in the current year of $10.2 million versus an increase in working capital in the prior year of $30.9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Working capital increased by $10.</w:t>
      </w:r>
      <w:r>
        <w:rPr>
          <w:sz w:val="20"/>
          <w:szCs w:val="20"/>
        </w:rPr>
        <w:t xml:space="preserve">2 million in the six months ended June 30, 2022, primarily due to a decrease in accounts payable and other accrued liabilities of $18.0 million and an increase in prepaid expenses and other current assets of $0.4 million, partially offset by a decrease in </w:t>
      </w:r>
      <w:r>
        <w:rPr>
          <w:sz w:val="20"/>
          <w:szCs w:val="20"/>
        </w:rPr>
        <w:t>accounts receivable and contract assets of $8.2 million (as a result of higher cash collections in the six months ended June 30, 2022 when compared to the six months ended June 30, 2021). The increase in working capital of $30.9 million in the six months e</w:t>
      </w:r>
      <w:r>
        <w:rPr>
          <w:sz w:val="20"/>
          <w:szCs w:val="20"/>
        </w:rPr>
        <w:t>nded June 30, 2021, was driven by an increase in accounts receivable and contract assets of $31.0 (as a result of significantly higher revenues in the three months ended June 30, 2021 when compared to the three months ended December 31, 2020)</w:t>
      </w:r>
      <w:r>
        <w:rPr>
          <w:sz w:val="20"/>
          <w:szCs w:val="20"/>
        </w:rPr>
        <w:t>.</w:t>
      </w:r>
    </w:p>
    <w:p w:rsidR="00000000" w:rsidRDefault="00F55F16">
      <w:pPr>
        <w:pStyle w:val="a3"/>
        <w:spacing w:before="360" w:beforeAutospacing="0" w:after="0" w:afterAutospacing="0"/>
        <w:ind w:firstLine="555"/>
        <w:rPr>
          <w:sz w:val="20"/>
          <w:szCs w:val="20"/>
        </w:rPr>
      </w:pPr>
      <w:r>
        <w:rPr>
          <w:b/>
          <w:bCs/>
          <w:i/>
          <w:iCs/>
          <w:sz w:val="20"/>
          <w:szCs w:val="20"/>
        </w:rPr>
        <w:t>Investing Ac</w:t>
      </w:r>
      <w:r>
        <w:rPr>
          <w:b/>
          <w:bCs/>
          <w:i/>
          <w:iCs/>
          <w:sz w:val="20"/>
          <w:szCs w:val="20"/>
        </w:rPr>
        <w:t>tivitie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For the six months ended June 30, 2022, net cash used in investing activities was $18.3 million, primarily driven by cash paid for the acquisitions of EnvStd and IAG, net of cash acquired, of $14.3 million, as well as purchases of property and equ</w:t>
      </w:r>
      <w:r>
        <w:rPr>
          <w:sz w:val="20"/>
          <w:szCs w:val="20"/>
        </w:rPr>
        <w:t>ipment for cash consideration of $3.5 million and payment of assumed purchase price obligations of $0.6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For the six months ended June 30, 2021, net cash used in investing activities was $25.8 million, primarily driven by cash paid for the acquisit</w:t>
      </w:r>
      <w:r>
        <w:rPr>
          <w:sz w:val="20"/>
          <w:szCs w:val="20"/>
        </w:rPr>
        <w:t>ions of MSE and Vista, net of cash acquired, of $14.9 million, as well as payment of assumed purchase price obligations of $8.4 million, and purchases of property and equipment for cash consideration of $2.6 million</w:t>
      </w:r>
      <w:r>
        <w:rPr>
          <w:sz w:val="20"/>
          <w:szCs w:val="20"/>
        </w:rPr>
        <w:t>.</w:t>
      </w:r>
    </w:p>
    <w:p w:rsidR="00000000" w:rsidRDefault="00F55F16">
      <w:pPr>
        <w:pStyle w:val="a3"/>
        <w:spacing w:before="360" w:beforeAutospacing="0" w:after="0" w:afterAutospacing="0"/>
        <w:ind w:left="476"/>
        <w:rPr>
          <w:sz w:val="20"/>
          <w:szCs w:val="20"/>
        </w:rPr>
      </w:pPr>
      <w:r>
        <w:rPr>
          <w:b/>
          <w:bCs/>
          <w:i/>
          <w:iCs/>
          <w:sz w:val="20"/>
          <w:szCs w:val="20"/>
        </w:rPr>
        <w:t>Financing Activitie</w:t>
      </w:r>
      <w:r>
        <w:rPr>
          <w:b/>
          <w:bCs/>
          <w:i/>
          <w:iCs/>
          <w:sz w:val="20"/>
          <w:szCs w:val="20"/>
        </w:rPr>
        <w:t>s</w:t>
      </w:r>
    </w:p>
    <w:p w:rsidR="00000000" w:rsidRDefault="00F55F16">
      <w:pPr>
        <w:pStyle w:val="a3"/>
        <w:spacing w:before="120" w:beforeAutospacing="0" w:after="0" w:afterAutospacing="0"/>
        <w:ind w:firstLine="555"/>
        <w:rPr>
          <w:sz w:val="20"/>
          <w:szCs w:val="20"/>
        </w:rPr>
      </w:pPr>
      <w:r>
        <w:rPr>
          <w:sz w:val="20"/>
          <w:szCs w:val="20"/>
        </w:rPr>
        <w:t>For the six months</w:t>
      </w:r>
      <w:r>
        <w:rPr>
          <w:sz w:val="20"/>
          <w:szCs w:val="20"/>
        </w:rPr>
        <w:t xml:space="preserve"> ended June 30, 2022, net cash used in financing activities was $27.1 million. Cash used in financing activities was driven by the payment of acquisition-related contingent consideration of $10.7 million, the payment of the quarterly dividends on the Serie</w:t>
      </w:r>
      <w:r>
        <w:rPr>
          <w:sz w:val="20"/>
          <w:szCs w:val="20"/>
        </w:rPr>
        <w:t>s A-2 preferred stock of $8.2 million, term loan amortization payments of $6.6 million related to our 2021 Credit Facility, and the repayment of finance leases of $1.9 million, partially offset by proceeds received from the exercise of stock options of $0.</w:t>
      </w:r>
      <w:r>
        <w:rPr>
          <w:sz w:val="20"/>
          <w:szCs w:val="20"/>
        </w:rPr>
        <w:t>5 million</w:t>
      </w:r>
      <w:r>
        <w:rPr>
          <w:sz w:val="20"/>
          <w:szCs w:val="20"/>
        </w:rPr>
        <w:t>.</w:t>
      </w:r>
    </w:p>
    <w:p w:rsidR="00000000" w:rsidRDefault="00F55F16">
      <w:pPr>
        <w:pStyle w:val="a3"/>
        <w:spacing w:before="240" w:beforeAutospacing="0" w:after="0" w:afterAutospacing="0"/>
        <w:ind w:firstLine="555"/>
        <w:rPr>
          <w:sz w:val="20"/>
          <w:szCs w:val="20"/>
        </w:rPr>
      </w:pPr>
      <w:r>
        <w:rPr>
          <w:sz w:val="20"/>
          <w:szCs w:val="20"/>
        </w:rPr>
        <w:t xml:space="preserve">For the six months ended June 30, 2021, net cash provided in financing activities was $47.6 million. Cash provided by financing activities was driven by borrowings under the 2021 Credit Facility, consisting of $175.0 million under the term loan </w:t>
      </w:r>
      <w:r>
        <w:rPr>
          <w:sz w:val="20"/>
          <w:szCs w:val="20"/>
        </w:rPr>
        <w:t>and $65.0 million under the revolver, and proceeds received from the exercise of stock options of $3.1 million, partially offset by the use of proceeds from the 2021 Credit Facility to repay the $213.4 million outstanding under the 2020 Credit Facility, th</w:t>
      </w:r>
      <w:r>
        <w:rPr>
          <w:sz w:val="20"/>
          <w:szCs w:val="20"/>
        </w:rPr>
        <w:t>e payment of acquisition-related contingent consideration of $9.6 million, the payment of the quarterly dividend on the Series A-2 preferred stock of $8.2 million, and the repayment of finance leases of $1.1 million</w:t>
      </w:r>
      <w:r>
        <w:rPr>
          <w:sz w:val="20"/>
          <w:szCs w:val="20"/>
        </w:rPr>
        <w:t>.</w:t>
      </w:r>
    </w:p>
    <w:p w:rsidR="00000000" w:rsidRDefault="00F55F16">
      <w:pPr>
        <w:pStyle w:val="a3"/>
        <w:spacing w:before="360" w:beforeAutospacing="0" w:after="0" w:afterAutospacing="0"/>
        <w:rPr>
          <w:sz w:val="20"/>
          <w:szCs w:val="20"/>
        </w:rPr>
      </w:pPr>
      <w:r>
        <w:rPr>
          <w:b/>
          <w:bCs/>
          <w:i/>
          <w:iCs/>
          <w:sz w:val="20"/>
          <w:szCs w:val="20"/>
        </w:rPr>
        <w:t>Credit Facilitie</w:t>
      </w:r>
      <w:r>
        <w:rPr>
          <w:b/>
          <w:bCs/>
          <w:i/>
          <w:iCs/>
          <w:sz w:val="20"/>
          <w:szCs w:val="20"/>
        </w:rPr>
        <w:t>s</w:t>
      </w:r>
    </w:p>
    <w:p w:rsidR="00000000" w:rsidRDefault="00F55F16">
      <w:pPr>
        <w:pStyle w:val="a3"/>
        <w:spacing w:before="120" w:beforeAutospacing="0" w:after="0" w:afterAutospacing="0"/>
        <w:ind w:firstLine="555"/>
        <w:rPr>
          <w:sz w:val="20"/>
          <w:szCs w:val="20"/>
        </w:rPr>
      </w:pPr>
      <w:r>
        <w:rPr>
          <w:b/>
          <w:bCs/>
          <w:i/>
          <w:iCs/>
          <w:sz w:val="20"/>
          <w:szCs w:val="20"/>
        </w:rPr>
        <w:t>2021 Credit Facilit</w:t>
      </w:r>
      <w:r>
        <w:rPr>
          <w:b/>
          <w:bCs/>
          <w:i/>
          <w:iCs/>
          <w:sz w:val="20"/>
          <w:szCs w:val="20"/>
        </w:rPr>
        <w:t>y</w:t>
      </w:r>
    </w:p>
    <w:p w:rsidR="00000000" w:rsidRDefault="00F55F16">
      <w:pPr>
        <w:pStyle w:val="a3"/>
        <w:spacing w:before="120" w:beforeAutospacing="0" w:after="0" w:afterAutospacing="0"/>
        <w:ind w:firstLine="555"/>
        <w:rPr>
          <w:sz w:val="20"/>
          <w:szCs w:val="20"/>
        </w:rPr>
      </w:pPr>
      <w:r>
        <w:rPr>
          <w:sz w:val="20"/>
          <w:szCs w:val="20"/>
        </w:rPr>
        <w:t xml:space="preserve">On April 27, 2021, we entered into a Senior Secured Credit Agreement, or the 2021 Credit Facility, providing for a $300.0 million credit facility comprised of a $175.0 million term loan and a $125.0 million revolving credit facility, and used a portion of </w:t>
      </w:r>
      <w:r>
        <w:rPr>
          <w:sz w:val="20"/>
          <w:szCs w:val="20"/>
        </w:rPr>
        <w:t>the proceeds to repay all amounts outstanding under the 2020 Credit Facility. The 2021 revolving credit facility includes a $20.0 million sublimit for the issuance of letters of credit. Subject to certain exceptions, all amounts under the 2021 Credit Facil</w:t>
      </w:r>
      <w:r>
        <w:rPr>
          <w:sz w:val="20"/>
          <w:szCs w:val="20"/>
        </w:rPr>
        <w:t>ity will become due on April 27, 2026. We have the option to borrow incremental term loans or request an increase in the aggregate commitments under the revolving credit facility up to an aggregate amount of $150.0 million subject to the satisfaction of ce</w:t>
      </w:r>
      <w:r>
        <w:rPr>
          <w:sz w:val="20"/>
          <w:szCs w:val="20"/>
        </w:rPr>
        <w:t>rtain conditions</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The 2021 Credit Facility term loan must be repaid in quarterly installments and shall amortize at the following future quarterly rates</w:t>
      </w:r>
      <w:r>
        <w:rPr>
          <w:sz w:val="20"/>
          <w:szCs w:val="20"/>
        </w:rPr>
        <w:t>:</w:t>
      </w:r>
    </w:p>
    <w:p w:rsidR="00000000" w:rsidRDefault="00F55F16">
      <w:pPr>
        <w:pStyle w:val="a3"/>
        <w:spacing w:before="240" w:beforeAutospacing="0" w:after="0" w:afterAutospacing="0"/>
        <w:jc w:val="center"/>
        <w:rPr>
          <w:sz w:val="20"/>
          <w:szCs w:val="20"/>
        </w:rPr>
      </w:pPr>
      <w:r>
        <w:rPr>
          <w:sz w:val="20"/>
          <w:szCs w:val="20"/>
        </w:rPr>
        <w:t>4</w:t>
      </w:r>
      <w:r>
        <w:rPr>
          <w:sz w:val="20"/>
          <w:szCs w:val="20"/>
        </w:rPr>
        <w:t>3</w:t>
      </w:r>
    </w:p>
    <w:p w:rsidR="00000000" w:rsidRDefault="00F55F16">
      <w:pPr>
        <w:rPr>
          <w:rFonts w:eastAsia="Times New Roman"/>
        </w:rPr>
      </w:pPr>
      <w:r>
        <w:rPr>
          <w:rFonts w:eastAsia="Times New Roman"/>
        </w:rPr>
        <w:pict>
          <v:rect id="_x0000_i1069"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527"/>
        <w:gridCol w:w="1795"/>
      </w:tblGrid>
      <w:tr w:rsidR="00000000">
        <w:trPr>
          <w:tblCellSpacing w:w="15" w:type="dxa"/>
        </w:trPr>
        <w:tc>
          <w:tcPr>
            <w:tcW w:w="2293" w:type="pct"/>
            <w:vAlign w:val="center"/>
            <w:hideMark/>
          </w:tcPr>
          <w:p w:rsidR="00000000" w:rsidRDefault="00F55F16">
            <w:pPr>
              <w:rPr>
                <w:sz w:val="20"/>
                <w:szCs w:val="20"/>
              </w:rPr>
            </w:pPr>
          </w:p>
        </w:tc>
        <w:tc>
          <w:tcPr>
            <w:tcW w:w="2707"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Dat</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Quarterly Installment Rat</w:t>
            </w:r>
            <w:r>
              <w:rPr>
                <w:b/>
                <w:bCs/>
                <w:sz w:val="18"/>
                <w:szCs w:val="18"/>
              </w:rPr>
              <w:t>e</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September 30, 202</w:t>
            </w:r>
            <w:r>
              <w:rPr>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1.25</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December 31, 202</w:t>
            </w:r>
            <w:r>
              <w:rPr>
                <w:sz w:val="18"/>
                <w:szCs w:val="18"/>
              </w:rPr>
              <w:t>2</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1.25</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March 31, 202</w:t>
            </w:r>
            <w:r>
              <w:rPr>
                <w:sz w:val="18"/>
                <w:szCs w:val="18"/>
              </w:rPr>
              <w:t>3</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1.25</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June 30, 202</w:t>
            </w:r>
            <w:r>
              <w:rPr>
                <w:sz w:val="18"/>
                <w:szCs w:val="18"/>
              </w:rPr>
              <w:t>3</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1.25</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September 30, 202</w:t>
            </w:r>
            <w:r>
              <w:rPr>
                <w:sz w:val="18"/>
                <w:szCs w:val="18"/>
              </w:rPr>
              <w:t>3</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1.25</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December 31, 202</w:t>
            </w:r>
            <w:r>
              <w:rPr>
                <w:sz w:val="18"/>
                <w:szCs w:val="18"/>
              </w:rPr>
              <w:t>3</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1.88</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March 31, 202</w:t>
            </w:r>
            <w:r>
              <w:rPr>
                <w:sz w:val="18"/>
                <w:szCs w:val="18"/>
              </w:rPr>
              <w:t>4</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1.88</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June 30, 202</w:t>
            </w:r>
            <w:r>
              <w:rPr>
                <w:sz w:val="18"/>
                <w:szCs w:val="18"/>
              </w:rPr>
              <w:t>4</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1.88</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September 30, 202</w:t>
            </w:r>
            <w:r>
              <w:rPr>
                <w:sz w:val="18"/>
                <w:szCs w:val="18"/>
              </w:rPr>
              <w:t>4</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1.88</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December 31, 202</w:t>
            </w:r>
            <w:r>
              <w:rPr>
                <w:sz w:val="18"/>
                <w:szCs w:val="18"/>
              </w:rPr>
              <w:t>4</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1.88</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March 31, 202</w:t>
            </w:r>
            <w:r>
              <w:rPr>
                <w:sz w:val="18"/>
                <w:szCs w:val="18"/>
              </w:rPr>
              <w:t>5</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1.88</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June 30, 202</w:t>
            </w:r>
            <w:r>
              <w:rPr>
                <w:sz w:val="18"/>
                <w:szCs w:val="18"/>
              </w:rPr>
              <w:t>5</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1.88</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September 30, 202</w:t>
            </w:r>
            <w:r>
              <w:rPr>
                <w:sz w:val="18"/>
                <w:szCs w:val="18"/>
              </w:rPr>
              <w:t>5</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1.88</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December 31, 202</w:t>
            </w:r>
            <w:r>
              <w:rPr>
                <w:sz w:val="18"/>
                <w:szCs w:val="18"/>
              </w:rPr>
              <w:t>5</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2.50</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March 31, 202</w:t>
            </w:r>
            <w:r>
              <w:rPr>
                <w:sz w:val="18"/>
                <w:szCs w:val="18"/>
              </w:rPr>
              <w:t>6</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2.50</w:t>
            </w:r>
            <w:r>
              <w:rPr>
                <w:sz w:val="18"/>
                <w:szCs w:val="18"/>
              </w:rPr>
              <w:t>%</w:t>
            </w: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April 27, 202</w:t>
            </w:r>
            <w:r>
              <w:rPr>
                <w:sz w:val="18"/>
                <w:szCs w:val="18"/>
              </w:rPr>
              <w:t>6</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Remaining balanc</w:t>
            </w:r>
            <w:r>
              <w:rPr>
                <w:sz w:val="18"/>
                <w:szCs w:val="18"/>
              </w:rPr>
              <w:t>e</w:t>
            </w:r>
          </w:p>
        </w:tc>
      </w:tr>
    </w:tbl>
    <w:p w:rsidR="00000000" w:rsidRDefault="00F55F16">
      <w:pPr>
        <w:pStyle w:val="a3"/>
        <w:spacing w:before="240" w:beforeAutospacing="0" w:after="0" w:afterAutospacing="0"/>
        <w:ind w:firstLine="555"/>
        <w:rPr>
          <w:sz w:val="20"/>
          <w:szCs w:val="20"/>
        </w:rPr>
      </w:pPr>
      <w:r>
        <w:rPr>
          <w:sz w:val="20"/>
          <w:szCs w:val="20"/>
        </w:rPr>
        <w:t>Repayments of quarterly installments were scheduled to begin with the quarter ended December 31, 2021. The first quarterly installment repayment, amounting to $2.2 million, was billed and charged by the lenders in January 2022. The second and third quarter</w:t>
      </w:r>
      <w:r>
        <w:rPr>
          <w:sz w:val="20"/>
          <w:szCs w:val="20"/>
        </w:rPr>
        <w:t>ly installment repayments amounting to $2.2 million each were paid in the first and second quarter of 2022</w:t>
      </w:r>
      <w:r>
        <w:rPr>
          <w:sz w:val="20"/>
          <w:szCs w:val="20"/>
        </w:rPr>
        <w:t>.</w:t>
      </w:r>
    </w:p>
    <w:p w:rsidR="00000000" w:rsidRDefault="00F55F16">
      <w:pPr>
        <w:pStyle w:val="a3"/>
        <w:spacing w:before="240" w:beforeAutospacing="0" w:after="0" w:afterAutospacing="0"/>
        <w:ind w:firstLine="555"/>
        <w:rPr>
          <w:sz w:val="20"/>
          <w:szCs w:val="20"/>
        </w:rPr>
      </w:pPr>
      <w:r>
        <w:rPr>
          <w:sz w:val="20"/>
          <w:szCs w:val="20"/>
        </w:rPr>
        <w:t>The 2021 Credit Facility term loan and the revolver bear interest subject to the Company’s leverage ratio and LIBOR as follows</w:t>
      </w:r>
      <w:r>
        <w:rPr>
          <w:sz w:val="20"/>
          <w:szCs w:val="20"/>
        </w:rPr>
        <w:t>:</w:t>
      </w:r>
    </w:p>
    <w:p w:rsidR="00000000" w:rsidRDefault="00F55F16">
      <w:pPr>
        <w:pStyle w:val="a3"/>
        <w:spacing w:before="0" w:beforeAutospacing="0" w:after="0" w:afterAutospacing="0"/>
        <w:ind w:firstLine="555"/>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2"/>
        <w:gridCol w:w="105"/>
        <w:gridCol w:w="1710"/>
        <w:gridCol w:w="105"/>
        <w:gridCol w:w="106"/>
        <w:gridCol w:w="662"/>
        <w:gridCol w:w="105"/>
        <w:gridCol w:w="210"/>
        <w:gridCol w:w="106"/>
        <w:gridCol w:w="654"/>
        <w:gridCol w:w="105"/>
        <w:gridCol w:w="210"/>
        <w:gridCol w:w="123"/>
        <w:gridCol w:w="957"/>
        <w:gridCol w:w="105"/>
        <w:gridCol w:w="210"/>
        <w:gridCol w:w="106"/>
        <w:gridCol w:w="595"/>
        <w:gridCol w:w="105"/>
        <w:gridCol w:w="225"/>
      </w:tblGrid>
      <w:tr w:rsidR="00000000">
        <w:trPr>
          <w:tblCellSpacing w:w="15" w:type="dxa"/>
        </w:trPr>
        <w:tc>
          <w:tcPr>
            <w:tcW w:w="1170" w:type="pct"/>
            <w:vAlign w:val="center"/>
            <w:hideMark/>
          </w:tcPr>
          <w:p w:rsidR="00000000" w:rsidRDefault="00F55F16">
            <w:pPr>
              <w:rPr>
                <w:sz w:val="20"/>
                <w:szCs w:val="20"/>
              </w:rPr>
            </w:pPr>
          </w:p>
        </w:tc>
        <w:tc>
          <w:tcPr>
            <w:tcW w:w="57" w:type="pct"/>
            <w:vAlign w:val="center"/>
            <w:hideMark/>
          </w:tcPr>
          <w:p w:rsidR="00000000" w:rsidRDefault="00F55F16">
            <w:pPr>
              <w:rPr>
                <w:rFonts w:eastAsia="Times New Roman"/>
                <w:sz w:val="20"/>
                <w:szCs w:val="20"/>
              </w:rPr>
            </w:pPr>
          </w:p>
        </w:tc>
        <w:tc>
          <w:tcPr>
            <w:tcW w:w="1133" w:type="pct"/>
            <w:vAlign w:val="center"/>
            <w:hideMark/>
          </w:tcPr>
          <w:p w:rsidR="00000000" w:rsidRDefault="00F55F16">
            <w:pPr>
              <w:rPr>
                <w:rFonts w:eastAsia="Times New Roman"/>
                <w:sz w:val="20"/>
                <w:szCs w:val="20"/>
              </w:rPr>
            </w:pPr>
          </w:p>
        </w:tc>
        <w:tc>
          <w:tcPr>
            <w:tcW w:w="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73"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500"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457" w:type="pct"/>
            <w:vAlign w:val="center"/>
            <w:hideMark/>
          </w:tcPr>
          <w:p w:rsidR="00000000" w:rsidRDefault="00F55F16">
            <w:pPr>
              <w:rPr>
                <w:rFonts w:eastAsia="Times New Roman"/>
                <w:sz w:val="20"/>
                <w:szCs w:val="20"/>
              </w:rPr>
            </w:pPr>
          </w:p>
        </w:tc>
        <w:tc>
          <w:tcPr>
            <w:tcW w:w="50" w:type="pct"/>
            <w:vAlign w:val="center"/>
            <w:hideMark/>
          </w:tcPr>
          <w:p w:rsidR="00000000" w:rsidRDefault="00F55F16">
            <w:pPr>
              <w:rPr>
                <w:rFonts w:eastAsia="Times New Roman"/>
                <w:sz w:val="20"/>
                <w:szCs w:val="20"/>
              </w:rPr>
            </w:pPr>
          </w:p>
        </w:tc>
        <w:tc>
          <w:tcPr>
            <w:tcW w:w="69" w:type="pct"/>
            <w:vAlign w:val="center"/>
            <w:hideMark/>
          </w:tcPr>
          <w:p w:rsidR="00000000" w:rsidRDefault="00F55F16">
            <w:pPr>
              <w:rPr>
                <w:rFonts w:eastAsia="Times New Roman"/>
                <w:sz w:val="20"/>
                <w:szCs w:val="20"/>
              </w:rPr>
            </w:pPr>
          </w:p>
        </w:tc>
      </w:tr>
      <w:tr w:rsidR="00000000">
        <w:trPr>
          <w:trHeight w:val="180"/>
          <w:tblCellSpacing w:w="15" w:type="dxa"/>
        </w:trPr>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Pricing Tie</w:t>
            </w:r>
            <w:r>
              <w:rPr>
                <w:b/>
                <w:bCs/>
                <w:sz w:val="18"/>
                <w:szCs w:val="18"/>
              </w:rPr>
              <w:t>r</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b/>
                <w:bCs/>
                <w:sz w:val="18"/>
                <w:szCs w:val="18"/>
              </w:rPr>
              <w:t>Consolidated</w:t>
            </w:r>
            <w:r>
              <w:rPr>
                <w:b/>
                <w:bCs/>
                <w:sz w:val="18"/>
                <w:szCs w:val="18"/>
              </w:rPr>
              <w:br/>
              <w:t>Leverage Rati</w:t>
            </w:r>
            <w:r>
              <w:rPr>
                <w:b/>
                <w:bCs/>
                <w:sz w:val="18"/>
                <w:szCs w:val="18"/>
              </w:rPr>
              <w:t>o</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LIBO</w:t>
            </w:r>
            <w:r>
              <w:rPr>
                <w:b/>
                <w:bCs/>
                <w:sz w:val="18"/>
                <w:szCs w:val="18"/>
              </w:rPr>
              <w:t>R</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 xml:space="preserve">Senior Credit Facilities </w:t>
            </w:r>
            <w:r>
              <w:rPr>
                <w:b/>
                <w:bCs/>
                <w:sz w:val="18"/>
                <w:szCs w:val="18"/>
              </w:rPr>
              <w:br/>
              <w:t>Base Rat</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Commitment</w:t>
            </w:r>
            <w:r>
              <w:rPr>
                <w:b/>
                <w:bCs/>
                <w:sz w:val="18"/>
                <w:szCs w:val="18"/>
              </w:rPr>
              <w:br/>
              <w:t>Fe</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center"/>
              <w:rPr>
                <w:sz w:val="18"/>
                <w:szCs w:val="18"/>
              </w:rPr>
            </w:pPr>
            <w:r>
              <w:rPr>
                <w:b/>
                <w:bCs/>
                <w:sz w:val="18"/>
                <w:szCs w:val="18"/>
              </w:rPr>
              <w:t>Letter of Credit Fe</w:t>
            </w:r>
            <w:r>
              <w:rPr>
                <w:b/>
                <w:bCs/>
                <w:sz w:val="18"/>
                <w:szCs w:val="18"/>
              </w:rPr>
              <w:t>e</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1</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w:t>
            </w:r>
            <w:r>
              <w:rPr>
                <w:sz w:val="18"/>
                <w:szCs w:val="18"/>
              </w:rPr>
              <w:t xml:space="preserve"> 3.75x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0.2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w:t>
            </w:r>
          </w:p>
        </w:tc>
      </w:tr>
      <w:tr w:rsidR="00000000">
        <w:trPr>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2</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xml:space="preserve">&lt; </w:t>
            </w:r>
            <w:r>
              <w:rPr>
                <w:sz w:val="18"/>
                <w:szCs w:val="18"/>
              </w:rPr>
              <w:t xml:space="preserve">3.75x to 1.0 but </w:t>
            </w:r>
            <w:r>
              <w:rPr>
                <w:sz w:val="18"/>
                <w:szCs w:val="18"/>
              </w:rPr>
              <w:t>≥</w:t>
            </w:r>
            <w:r>
              <w:rPr>
                <w:sz w:val="18"/>
                <w:szCs w:val="18"/>
              </w:rPr>
              <w:t xml:space="preserve"> 3.25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0.2</w:t>
            </w:r>
            <w:r>
              <w:rPr>
                <w:sz w:val="18"/>
                <w:szCs w:val="18"/>
              </w:rPr>
              <w:t>3</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2.2</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3</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xml:space="preserve">&lt;3.25x to 1.0 but </w:t>
            </w:r>
            <w:r>
              <w:rPr>
                <w:sz w:val="18"/>
                <w:szCs w:val="18"/>
              </w:rPr>
              <w:t>≥</w:t>
            </w:r>
            <w:r>
              <w:rPr>
                <w:sz w:val="18"/>
                <w:szCs w:val="18"/>
              </w:rPr>
              <w:t xml:space="preserve"> 2.50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0.2</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2.0</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4</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 xml:space="preserve">&lt;2.50x to 1.0 but </w:t>
            </w:r>
            <w:r>
              <w:rPr>
                <w:sz w:val="18"/>
                <w:szCs w:val="18"/>
              </w:rPr>
              <w:t>≥</w:t>
            </w:r>
            <w:r>
              <w:rPr>
                <w:sz w:val="18"/>
                <w:szCs w:val="18"/>
              </w:rPr>
              <w:t xml:space="preserve"> 1.75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0.7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0.1</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1.7</w:t>
            </w:r>
            <w:r>
              <w:rPr>
                <w:sz w:val="18"/>
                <w:szCs w:val="18"/>
              </w:rPr>
              <w:t>5</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hideMark/>
          </w:tcPr>
          <w:p w:rsidR="00000000" w:rsidRDefault="00F55F16">
            <w:pPr>
              <w:pStyle w:val="a3"/>
              <w:spacing w:before="0" w:beforeAutospacing="0" w:after="0" w:afterAutospacing="0"/>
              <w:jc w:val="center"/>
              <w:rPr>
                <w:sz w:val="18"/>
                <w:szCs w:val="18"/>
              </w:rPr>
            </w:pPr>
            <w:r>
              <w:rPr>
                <w:sz w:val="18"/>
                <w:szCs w:val="18"/>
              </w:rPr>
              <w:t>5</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center"/>
              <w:rPr>
                <w:sz w:val="18"/>
                <w:szCs w:val="18"/>
              </w:rPr>
            </w:pPr>
            <w:r>
              <w:rPr>
                <w:sz w:val="18"/>
                <w:szCs w:val="18"/>
              </w:rPr>
              <w:t>&lt;</w:t>
            </w:r>
            <w:r>
              <w:rPr>
                <w:sz w:val="18"/>
                <w:szCs w:val="18"/>
              </w:rPr>
              <w:t>1.75x to 1.</w:t>
            </w:r>
            <w:r>
              <w:rPr>
                <w:sz w:val="18"/>
                <w:szCs w:val="18"/>
              </w:rPr>
              <w:t>0</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0.5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gridSpan w:val="2"/>
            <w:vAlign w:val="bottom"/>
            <w:hideMark/>
          </w:tcPr>
          <w:p w:rsidR="00000000" w:rsidRDefault="00F55F16">
            <w:pPr>
              <w:pStyle w:val="a3"/>
              <w:spacing w:before="0" w:beforeAutospacing="0" w:after="0" w:afterAutospacing="0"/>
              <w:jc w:val="right"/>
              <w:rPr>
                <w:sz w:val="18"/>
                <w:szCs w:val="18"/>
              </w:rPr>
            </w:pPr>
            <w:r>
              <w:rPr>
                <w:sz w:val="18"/>
                <w:szCs w:val="18"/>
              </w:rPr>
              <w:t>0.1</w:t>
            </w:r>
            <w:r>
              <w:rPr>
                <w:sz w:val="18"/>
                <w:szCs w:val="18"/>
              </w:rPr>
              <w:t>5</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1.5</w:t>
            </w:r>
            <w:r>
              <w:rPr>
                <w:sz w:val="18"/>
                <w:szCs w:val="18"/>
              </w:rPr>
              <w:t>0</w:t>
            </w:r>
          </w:p>
        </w:tc>
        <w:tc>
          <w:tcPr>
            <w:tcW w:w="0" w:type="auto"/>
            <w:noWrap/>
            <w:vAlign w:val="bottom"/>
            <w:hideMark/>
          </w:tcPr>
          <w:p w:rsidR="00000000" w:rsidRDefault="00F55F16">
            <w:pPr>
              <w:pStyle w:val="a3"/>
              <w:spacing w:before="0" w:beforeAutospacing="0" w:after="0" w:afterAutospacing="0"/>
              <w:rPr>
                <w:sz w:val="18"/>
                <w:szCs w:val="18"/>
              </w:rPr>
            </w:pPr>
            <w:r>
              <w:rPr>
                <w:sz w:val="18"/>
                <w:szCs w:val="18"/>
              </w:rPr>
              <w:t> </w:t>
            </w:r>
          </w:p>
        </w:tc>
        <w:tc>
          <w:tcPr>
            <w:tcW w:w="0" w:type="auto"/>
            <w:vAlign w:val="bottom"/>
            <w:hideMark/>
          </w:tcPr>
          <w:p w:rsidR="00000000" w:rsidRDefault="00F55F16">
            <w:pPr>
              <w:pStyle w:val="a3"/>
              <w:spacing w:before="0" w:beforeAutospacing="0" w:after="0" w:afterAutospacing="0"/>
              <w:jc w:val="right"/>
              <w:rPr>
                <w:sz w:val="18"/>
                <w:szCs w:val="18"/>
              </w:rPr>
            </w:pPr>
            <w:r>
              <w:rPr>
                <w:sz w:val="18"/>
                <w:szCs w:val="18"/>
              </w:rPr>
              <w:t> </w:t>
            </w:r>
          </w:p>
        </w:tc>
      </w:tr>
    </w:tbl>
    <w:p w:rsidR="00000000" w:rsidRDefault="00F55F16">
      <w:pPr>
        <w:pStyle w:val="a3"/>
        <w:spacing w:before="240" w:beforeAutospacing="0" w:after="0" w:afterAutospacing="0"/>
        <w:ind w:firstLine="555"/>
        <w:rPr>
          <w:sz w:val="20"/>
          <w:szCs w:val="20"/>
        </w:rPr>
      </w:pPr>
      <w:r>
        <w:rPr>
          <w:sz w:val="20"/>
          <w:szCs w:val="20"/>
        </w:rPr>
        <w:t>On January 27, 2022, we entered into an interest rate swap transaction fixing the floating component of the interest rate on $100.0 million of borrowings to 1.39% until January 27, 2025. Additionally, we may receive an interest rate adjustment of up to 0.0</w:t>
      </w:r>
      <w:r>
        <w:rPr>
          <w:sz w:val="20"/>
          <w:szCs w:val="20"/>
        </w:rPr>
        <w:t>5% under the 2021 Credit Facility based on our performance against certain defined sustainability and environmental, social and governance related objectives</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Our obligations under the 2021 Credit Facility are guaranteed by certain of our existing and fut</w:t>
      </w:r>
      <w:r>
        <w:rPr>
          <w:sz w:val="20"/>
          <w:szCs w:val="20"/>
        </w:rPr>
        <w:t>ure direct and indirect subsidiaries, and such obligations are secured by substantially all of our assets. The 2021 Credit Facility includes a number of covenants imposing certain restrictions on our business, including, among other things, restrictions on</w:t>
      </w:r>
      <w:r>
        <w:rPr>
          <w:sz w:val="20"/>
          <w:szCs w:val="20"/>
        </w:rPr>
        <w:t xml:space="preserve"> our ability to incur indebtedness, prepay or amend other indebtedness, create liens, make certain fundamental changes including mergers or dissolutions, pay dividends and repurchase or make other payments in respect of capital stock, make certain investme</w:t>
      </w:r>
      <w:r>
        <w:rPr>
          <w:sz w:val="20"/>
          <w:szCs w:val="20"/>
        </w:rPr>
        <w:t>nts, sell assets, change our lines of business, enter into transactions with affiliates and other corporate actions. The 2021 Credit Facility also includes financial covenants requiring us to remain below a maximum total net leverage ratio of 4.25 times, w</w:t>
      </w:r>
      <w:r>
        <w:rPr>
          <w:sz w:val="20"/>
          <w:szCs w:val="20"/>
        </w:rPr>
        <w:t>hich steps down to 4.00 times beginning with the quarter ending December 31, 2022 through and including the quarter ending September 30, 2023 and then to 3.75 times beginning with the quarter ending December 31, 2023 (provided that, subject to certain requ</w:t>
      </w:r>
      <w:r>
        <w:rPr>
          <w:sz w:val="20"/>
          <w:szCs w:val="20"/>
        </w:rPr>
        <w:t>irements, the maximum net leverage ratio may be increased by 0.50:1.00, not to exceed 4.25:1.00, for a period of four consecutive fiscal quarters in connection with certain permitted acquisitions), and a minimum fixed charge coverage ratio of 1.25 times. A</w:t>
      </w:r>
      <w:r>
        <w:rPr>
          <w:sz w:val="20"/>
          <w:szCs w:val="20"/>
        </w:rPr>
        <w:t>s of June 30, 2022, the Company’s consolidated total leverage ratio (as defined in the 2021 Credit Facility) was 1.1 times. The calculation of the Company’s consolidated total leverage ratio under the 2021 Credit Facility is consistent with the calculation</w:t>
      </w:r>
      <w:r>
        <w:rPr>
          <w:sz w:val="20"/>
          <w:szCs w:val="20"/>
        </w:rPr>
        <w:t xml:space="preserve"> of the consolidated total leverage ratio under the 2020 Credit Facility</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The weighted average interest rate on the 2021 Credit Facility for the six months ended June 30, 2022 was 2.2%. We were in compliance with all applicable covenants under the 2021 Cr</w:t>
      </w:r>
      <w:r>
        <w:rPr>
          <w:sz w:val="20"/>
          <w:szCs w:val="20"/>
        </w:rPr>
        <w:t>edit Facility for the six months ended June 30, 2022</w:t>
      </w:r>
      <w:r>
        <w:rPr>
          <w:sz w:val="20"/>
          <w:szCs w:val="20"/>
        </w:rPr>
        <w:t>.</w:t>
      </w:r>
    </w:p>
    <w:p w:rsidR="00000000" w:rsidRDefault="00F55F16">
      <w:pPr>
        <w:pStyle w:val="a3"/>
        <w:spacing w:before="240" w:beforeAutospacing="0" w:after="0" w:afterAutospacing="0"/>
        <w:ind w:firstLine="555"/>
        <w:rPr>
          <w:sz w:val="20"/>
          <w:szCs w:val="20"/>
        </w:rPr>
      </w:pPr>
      <w:r>
        <w:rPr>
          <w:sz w:val="20"/>
          <w:szCs w:val="20"/>
        </w:rPr>
        <w:t>The 2021 Credit Facility contains a mandatory prepayment feature upon a number of events, including with the proceeds of certain asset sales and proceeds from the issuance of any debt</w:t>
      </w:r>
      <w:r>
        <w:rPr>
          <w:sz w:val="20"/>
          <w:szCs w:val="20"/>
        </w:rPr>
        <w:t>.</w:t>
      </w:r>
      <w:r>
        <w:rPr>
          <w:sz w:val="20"/>
          <w:szCs w:val="20"/>
        </w:rPr>
        <w:t xml:space="preserve"> </w:t>
      </w:r>
    </w:p>
    <w:p w:rsidR="00000000" w:rsidRDefault="00F55F16">
      <w:pPr>
        <w:pStyle w:val="a3"/>
        <w:spacing w:before="240" w:beforeAutospacing="0" w:after="0" w:afterAutospacing="0"/>
        <w:ind w:firstLine="555"/>
        <w:rPr>
          <w:sz w:val="20"/>
          <w:szCs w:val="20"/>
        </w:rPr>
      </w:pPr>
      <w:r>
        <w:rPr>
          <w:sz w:val="20"/>
          <w:szCs w:val="20"/>
        </w:rPr>
        <w:t>See Note 12 to o</w:t>
      </w:r>
      <w:r>
        <w:rPr>
          <w:sz w:val="20"/>
          <w:szCs w:val="20"/>
        </w:rPr>
        <w:t>ur unaudited condensed consolidated financial statements included in Part I, Item 1. “Financial Statements.</w:t>
      </w:r>
      <w:r>
        <w:rPr>
          <w:sz w:val="20"/>
          <w:szCs w:val="20"/>
        </w:rPr>
        <w:t>”</w:t>
      </w:r>
    </w:p>
    <w:p w:rsidR="00000000" w:rsidRDefault="00F55F16">
      <w:pPr>
        <w:pStyle w:val="a3"/>
        <w:spacing w:before="240" w:beforeAutospacing="0" w:after="0" w:afterAutospacing="0"/>
        <w:jc w:val="center"/>
        <w:rPr>
          <w:sz w:val="20"/>
          <w:szCs w:val="20"/>
        </w:rPr>
      </w:pPr>
      <w:r>
        <w:rPr>
          <w:sz w:val="20"/>
          <w:szCs w:val="20"/>
        </w:rPr>
        <w:t>4</w:t>
      </w:r>
      <w:r>
        <w:rPr>
          <w:sz w:val="20"/>
          <w:szCs w:val="20"/>
        </w:rPr>
        <w:t>4</w:t>
      </w:r>
    </w:p>
    <w:p w:rsidR="00000000" w:rsidRDefault="00F55F16">
      <w:pPr>
        <w:rPr>
          <w:rFonts w:eastAsia="Times New Roman"/>
        </w:rPr>
      </w:pPr>
      <w:r>
        <w:rPr>
          <w:rFonts w:eastAsia="Times New Roman"/>
        </w:rPr>
        <w:pict>
          <v:rect id="_x0000_i1070"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ind w:firstLine="555"/>
        <w:rPr>
          <w:sz w:val="20"/>
          <w:szCs w:val="20"/>
        </w:rPr>
      </w:pPr>
      <w:r>
        <w:rPr>
          <w:b/>
          <w:bCs/>
          <w:i/>
          <w:iCs/>
          <w:sz w:val="20"/>
          <w:szCs w:val="20"/>
        </w:rPr>
        <w:t>2020 Credit Facilit</w:t>
      </w:r>
      <w:r>
        <w:rPr>
          <w:b/>
          <w:bCs/>
          <w:i/>
          <w:iCs/>
          <w:sz w:val="20"/>
          <w:szCs w:val="20"/>
        </w:rPr>
        <w:t>y</w:t>
      </w:r>
    </w:p>
    <w:p w:rsidR="00000000" w:rsidRDefault="00F55F16">
      <w:pPr>
        <w:pStyle w:val="a3"/>
        <w:spacing w:before="120" w:beforeAutospacing="0" w:after="0" w:afterAutospacing="0"/>
        <w:ind w:firstLine="555"/>
        <w:rPr>
          <w:sz w:val="20"/>
          <w:szCs w:val="20"/>
        </w:rPr>
      </w:pPr>
      <w:r>
        <w:rPr>
          <w:sz w:val="20"/>
          <w:szCs w:val="20"/>
        </w:rPr>
        <w:t xml:space="preserve">On April 13, 2020, we entered into a Unitranche Credit Agreement, or the 2020 Credit </w:t>
      </w:r>
      <w:r>
        <w:rPr>
          <w:sz w:val="20"/>
          <w:szCs w:val="20"/>
        </w:rPr>
        <w:t>Facility, providing for a $225.0 million credit facility comprised of a $175.0 million term loan and a $50.0 million revolving credit facility. The 2020 Credit facility was repaid in full in April 2021. The resulting loss on extinguishment upon repayment o</w:t>
      </w:r>
      <w:r>
        <w:rPr>
          <w:sz w:val="20"/>
          <w:szCs w:val="20"/>
        </w:rPr>
        <w:t>f the 2020 Credit Facility in April 2021, amounted to $4.1 million, of which $1.0 million was related to fees paid and $3.1 related to unamortized debt issuance costs. Total loss on extinguishment is recorded in interest expense-net within the unaudited co</w:t>
      </w:r>
      <w:r>
        <w:rPr>
          <w:sz w:val="20"/>
          <w:szCs w:val="20"/>
        </w:rPr>
        <w:t>ndensed consolidated statement of operations for the three and six months ended June 30, 2021</w:t>
      </w:r>
      <w:r>
        <w:rPr>
          <w:sz w:val="20"/>
          <w:szCs w:val="20"/>
        </w:rPr>
        <w:t>.</w:t>
      </w:r>
    </w:p>
    <w:p w:rsidR="00000000" w:rsidRDefault="00F55F16">
      <w:pPr>
        <w:pStyle w:val="a3"/>
        <w:spacing w:before="240" w:beforeAutospacing="0" w:after="0" w:afterAutospacing="0"/>
        <w:ind w:firstLine="555"/>
        <w:rPr>
          <w:sz w:val="20"/>
          <w:szCs w:val="20"/>
        </w:rPr>
      </w:pPr>
      <w:r>
        <w:rPr>
          <w:sz w:val="20"/>
          <w:szCs w:val="20"/>
        </w:rPr>
        <w:t>See Note 12 to our unaudited condensed consolidated financial statements included in Part I, Item 1. “Financial Statements.</w:t>
      </w:r>
      <w:r>
        <w:rPr>
          <w:sz w:val="20"/>
          <w:szCs w:val="20"/>
        </w:rPr>
        <w:t>”</w:t>
      </w:r>
      <w:r>
        <w:rPr>
          <w:sz w:val="20"/>
          <w:szCs w:val="20"/>
        </w:rPr>
        <w:t xml:space="preserve"> </w:t>
      </w:r>
    </w:p>
    <w:p w:rsidR="00000000" w:rsidRDefault="00F55F16">
      <w:pPr>
        <w:pStyle w:val="a3"/>
        <w:spacing w:before="360" w:beforeAutospacing="0" w:after="0" w:afterAutospacing="0"/>
        <w:rPr>
          <w:sz w:val="20"/>
          <w:szCs w:val="20"/>
        </w:rPr>
      </w:pPr>
      <w:r>
        <w:rPr>
          <w:b/>
          <w:bCs/>
          <w:i/>
          <w:iCs/>
          <w:sz w:val="20"/>
          <w:szCs w:val="20"/>
        </w:rPr>
        <w:t>Series A-2 Preferred Stoc</w:t>
      </w:r>
      <w:r>
        <w:rPr>
          <w:b/>
          <w:bCs/>
          <w:i/>
          <w:iCs/>
          <w:sz w:val="20"/>
          <w:szCs w:val="20"/>
        </w:rPr>
        <w:t>k</w:t>
      </w:r>
    </w:p>
    <w:p w:rsidR="00000000" w:rsidRDefault="00F55F16">
      <w:pPr>
        <w:pStyle w:val="a3"/>
        <w:spacing w:before="120" w:beforeAutospacing="0" w:after="0" w:afterAutospacing="0"/>
        <w:ind w:firstLine="555"/>
        <w:rPr>
          <w:sz w:val="20"/>
          <w:szCs w:val="20"/>
        </w:rPr>
      </w:pPr>
      <w:r>
        <w:rPr>
          <w:sz w:val="20"/>
          <w:szCs w:val="20"/>
        </w:rPr>
        <w:t>On April 13, 2020, we issued</w:t>
      </w:r>
      <w:r>
        <w:rPr>
          <w:sz w:val="20"/>
          <w:szCs w:val="20"/>
        </w:rPr>
        <w:t xml:space="preserve"> </w:t>
      </w:r>
      <w:r>
        <w:rPr>
          <w:sz w:val="20"/>
          <w:szCs w:val="20"/>
        </w:rPr>
        <w:t>17,50</w:t>
      </w:r>
      <w:r>
        <w:rPr>
          <w:sz w:val="20"/>
          <w:szCs w:val="20"/>
        </w:rPr>
        <w:t>0</w:t>
      </w:r>
      <w:r>
        <w:rPr>
          <w:sz w:val="20"/>
          <w:szCs w:val="20"/>
        </w:rPr>
        <w:t xml:space="preserve"> shares of the Series A-2 preferred stock with a par value of $0.000</w:t>
      </w:r>
      <w:r>
        <w:rPr>
          <w:sz w:val="20"/>
          <w:szCs w:val="20"/>
        </w:rPr>
        <w:t>1 per share and a warrant to purchase common stock, in exchange for $175.0 million. Prior to the completion of the IPO, each share of Series A-2 preferred stock accrued dividends at the rate of 15.0% per annum with respect to dividends that were paid in ca</w:t>
      </w:r>
      <w:r>
        <w:rPr>
          <w:sz w:val="20"/>
          <w:szCs w:val="20"/>
        </w:rPr>
        <w:t>sh, and 14.2% per annum, with respect to dividends that accrued and compounded, resulting in an annual dividend rate of 15.0%. Following the completion of the IPO, the Series A-2 preferred stock does not mature or have a cash repayment obligation; however,</w:t>
      </w:r>
      <w:r>
        <w:rPr>
          <w:sz w:val="20"/>
          <w:szCs w:val="20"/>
        </w:rPr>
        <w:t xml:space="preserve"> it is redeemable at our option. The Series A-2 preferred stock becomes convertible into our common stock beginning on the four-year anniversary of the Series A-2 preferred stock issuance. Upon the four-year anniversary of the issuance, holders of Series A</w:t>
      </w:r>
      <w:r>
        <w:rPr>
          <w:sz w:val="20"/>
          <w:szCs w:val="20"/>
        </w:rPr>
        <w:t>-2 preferred stock may convert up to $60.0 million of such shares into our common stock at a conversion rate discounted to 85.0% of the volume weighted average trading value, with the permitted amount of Series A-2 preferred stock to be converted increasin</w:t>
      </w:r>
      <w:r>
        <w:rPr>
          <w:sz w:val="20"/>
          <w:szCs w:val="20"/>
        </w:rPr>
        <w:t>g at each subsequent anniversary of the issuance until the sixth anniversary, after which all of the Series A-2 preferred stock may be converted at the holder’s option. Following the completion of the IPO on July 27, 2020, the Series A-2 preferred stock di</w:t>
      </w:r>
      <w:r>
        <w:rPr>
          <w:sz w:val="20"/>
          <w:szCs w:val="20"/>
        </w:rPr>
        <w:t>vidend rate changed to 9.0% per annum with required quarterly cash payments. If permitted under our existing debt facilities, we must pay the Series A-2 preferred stock dividend in cash each quarter</w:t>
      </w:r>
      <w:r>
        <w:rPr>
          <w:sz w:val="20"/>
          <w:szCs w:val="20"/>
        </w:rPr>
        <w:t>.</w:t>
      </w:r>
    </w:p>
    <w:p w:rsidR="00000000" w:rsidRDefault="00F55F16">
      <w:pPr>
        <w:pStyle w:val="a3"/>
        <w:spacing w:before="240" w:beforeAutospacing="0" w:after="0" w:afterAutospacing="0"/>
        <w:ind w:firstLine="555"/>
        <w:rPr>
          <w:sz w:val="20"/>
          <w:szCs w:val="20"/>
        </w:rPr>
      </w:pPr>
      <w:r>
        <w:rPr>
          <w:sz w:val="20"/>
          <w:szCs w:val="20"/>
        </w:rPr>
        <w:t>With respect to any redemption of any share of the Serie</w:t>
      </w:r>
      <w:r>
        <w:rPr>
          <w:sz w:val="20"/>
          <w:szCs w:val="20"/>
        </w:rPr>
        <w:t>s A-2 preferred stock prior to April 13, 2023, we are subject to a make whole penalty in which the holder is guaranteed at least three years of dividend payments on the redeemed amount</w:t>
      </w:r>
      <w:r>
        <w:rPr>
          <w:sz w:val="20"/>
          <w:szCs w:val="20"/>
        </w:rPr>
        <w:t>.</w:t>
      </w:r>
    </w:p>
    <w:p w:rsidR="00000000" w:rsidRDefault="00F55F16">
      <w:pPr>
        <w:pStyle w:val="a3"/>
        <w:spacing w:before="240" w:beforeAutospacing="0" w:after="0" w:afterAutospacing="0"/>
        <w:ind w:firstLine="555"/>
        <w:rPr>
          <w:sz w:val="20"/>
          <w:szCs w:val="20"/>
        </w:rPr>
      </w:pPr>
      <w:r>
        <w:rPr>
          <w:sz w:val="20"/>
          <w:szCs w:val="20"/>
        </w:rPr>
        <w:t>See Note 15 to our unaudited condensed consolidated financial statemen</w:t>
      </w:r>
      <w:r>
        <w:rPr>
          <w:sz w:val="20"/>
          <w:szCs w:val="20"/>
        </w:rPr>
        <w:t>ts included in Part I, Item 1. “Financial Statements.</w:t>
      </w:r>
      <w:r>
        <w:rPr>
          <w:sz w:val="20"/>
          <w:szCs w:val="20"/>
        </w:rPr>
        <w:t>”</w:t>
      </w:r>
    </w:p>
    <w:p w:rsidR="00000000" w:rsidRDefault="00F55F16">
      <w:pPr>
        <w:pStyle w:val="a3"/>
        <w:spacing w:before="360" w:beforeAutospacing="0" w:after="0" w:afterAutospacing="0"/>
        <w:rPr>
          <w:sz w:val="20"/>
          <w:szCs w:val="20"/>
        </w:rPr>
      </w:pPr>
      <w:r>
        <w:rPr>
          <w:b/>
          <w:bCs/>
          <w:sz w:val="20"/>
          <w:szCs w:val="20"/>
        </w:rPr>
        <w:t>Critical Accounting Policies and Estimate</w:t>
      </w:r>
      <w:r>
        <w:rPr>
          <w:b/>
          <w:bCs/>
          <w:sz w:val="20"/>
          <w:szCs w:val="20"/>
        </w:rPr>
        <w:t>s</w:t>
      </w:r>
    </w:p>
    <w:p w:rsidR="00000000" w:rsidRDefault="00F55F16">
      <w:pPr>
        <w:pStyle w:val="a3"/>
        <w:spacing w:before="120" w:beforeAutospacing="0" w:after="0" w:afterAutospacing="0"/>
        <w:ind w:firstLine="555"/>
        <w:rPr>
          <w:sz w:val="20"/>
          <w:szCs w:val="20"/>
        </w:rPr>
      </w:pPr>
      <w:r>
        <w:rPr>
          <w:sz w:val="20"/>
          <w:szCs w:val="20"/>
        </w:rPr>
        <w:t>Our 2021 Form 10-K includes a summary of the critical accounting policies and estimates we believe are the most important to aid in understanding our financia</w:t>
      </w:r>
      <w:r>
        <w:rPr>
          <w:sz w:val="20"/>
          <w:szCs w:val="20"/>
        </w:rPr>
        <w:t>l results. There have been no material changes to those critical accounting policies and estimates as disclosed therein, other than as described in Note 2 to our unaudited condensed consolidated financial statements included in Part I, Item 1. “Financial S</w:t>
      </w:r>
      <w:r>
        <w:rPr>
          <w:sz w:val="20"/>
          <w:szCs w:val="20"/>
        </w:rPr>
        <w:t>tatements.</w:t>
      </w:r>
      <w:r>
        <w:rPr>
          <w:sz w:val="20"/>
          <w:szCs w:val="20"/>
        </w:rPr>
        <w:t>”</w:t>
      </w:r>
      <w:r>
        <w:rPr>
          <w:sz w:val="20"/>
          <w:szCs w:val="20"/>
        </w:rPr>
        <w:t xml:space="preserve"> </w:t>
      </w:r>
    </w:p>
    <w:p w:rsidR="00000000" w:rsidRDefault="00F55F16">
      <w:pPr>
        <w:pStyle w:val="a3"/>
        <w:spacing w:before="360" w:beforeAutospacing="0" w:after="0" w:afterAutospacing="0"/>
        <w:rPr>
          <w:sz w:val="20"/>
          <w:szCs w:val="20"/>
        </w:rPr>
      </w:pPr>
      <w:r>
        <w:rPr>
          <w:b/>
          <w:bCs/>
          <w:sz w:val="20"/>
          <w:szCs w:val="20"/>
        </w:rPr>
        <w:t>Item 3. Quantitative and Qualitat</w:t>
      </w:r>
      <w:r>
        <w:rPr>
          <w:b/>
          <w:bCs/>
          <w:sz w:val="20"/>
          <w:szCs w:val="20"/>
        </w:rPr>
        <w:t>i</w:t>
      </w:r>
      <w:r>
        <w:rPr>
          <w:b/>
          <w:bCs/>
          <w:sz w:val="20"/>
          <w:szCs w:val="20"/>
        </w:rPr>
        <w:t>ve Disclosures About Market Risk</w:t>
      </w:r>
      <w:r>
        <w:rPr>
          <w:b/>
          <w:bCs/>
          <w:sz w:val="20"/>
          <w:szCs w:val="20"/>
        </w:rPr>
        <w:t>.</w:t>
      </w:r>
    </w:p>
    <w:p w:rsidR="00000000" w:rsidRDefault="00F55F16">
      <w:pPr>
        <w:pStyle w:val="a3"/>
        <w:spacing w:before="120" w:beforeAutospacing="0" w:after="0" w:afterAutospacing="0"/>
        <w:rPr>
          <w:sz w:val="20"/>
          <w:szCs w:val="20"/>
        </w:rPr>
      </w:pPr>
      <w:r>
        <w:rPr>
          <w:b/>
          <w:bCs/>
          <w:i/>
          <w:iCs/>
          <w:sz w:val="20"/>
          <w:szCs w:val="20"/>
        </w:rPr>
        <w:t>Interest Rate Ris</w:t>
      </w:r>
      <w:r>
        <w:rPr>
          <w:b/>
          <w:bCs/>
          <w:i/>
          <w:iCs/>
          <w:sz w:val="20"/>
          <w:szCs w:val="20"/>
        </w:rPr>
        <w:t>k</w:t>
      </w:r>
    </w:p>
    <w:p w:rsidR="00000000" w:rsidRDefault="00F55F16">
      <w:pPr>
        <w:pStyle w:val="a3"/>
        <w:spacing w:before="120" w:beforeAutospacing="0" w:after="0" w:afterAutospacing="0"/>
        <w:ind w:firstLine="555"/>
        <w:rPr>
          <w:sz w:val="20"/>
          <w:szCs w:val="20"/>
        </w:rPr>
      </w:pPr>
      <w:r>
        <w:rPr>
          <w:sz w:val="20"/>
          <w:szCs w:val="20"/>
        </w:rPr>
        <w:t>We have market risk exposure arising from changes in interest rates on our credit facility, which bears interest at rates that are benchmarked subject to the Company’s leverage ratio and LIBOR. Based on our overall interest rate exposure to variable rate d</w:t>
      </w:r>
      <w:r>
        <w:rPr>
          <w:sz w:val="20"/>
          <w:szCs w:val="20"/>
        </w:rPr>
        <w:t>ebt outstanding as of June 30, 2022, which factors in our interest rate swap on $100.0 million of debt, a 1.0% increase or decrease in interest rates on the term loan and revolver would increase annual income (loss) before income taxes by approximately $0.</w:t>
      </w:r>
      <w:r>
        <w:rPr>
          <w:sz w:val="20"/>
          <w:szCs w:val="20"/>
        </w:rPr>
        <w:t>7 million</w:t>
      </w:r>
      <w:r>
        <w:rPr>
          <w:sz w:val="20"/>
          <w:szCs w:val="20"/>
        </w:rPr>
        <w:t>.</w:t>
      </w:r>
      <w:r>
        <w:rPr>
          <w:sz w:val="20"/>
          <w:szCs w:val="20"/>
        </w:rPr>
        <w:t xml:space="preserve"> </w:t>
      </w:r>
    </w:p>
    <w:p w:rsidR="00000000" w:rsidRDefault="00F55F16">
      <w:pPr>
        <w:pStyle w:val="a3"/>
        <w:spacing w:before="120" w:beforeAutospacing="0" w:after="0" w:afterAutospacing="0"/>
        <w:rPr>
          <w:sz w:val="20"/>
          <w:szCs w:val="20"/>
        </w:rPr>
      </w:pPr>
      <w:r>
        <w:rPr>
          <w:b/>
          <w:bCs/>
          <w:i/>
          <w:iCs/>
          <w:sz w:val="20"/>
          <w:szCs w:val="20"/>
        </w:rPr>
        <w:t>Inflation Ris</w:t>
      </w:r>
      <w:r>
        <w:rPr>
          <w:b/>
          <w:bCs/>
          <w:i/>
          <w:iCs/>
          <w:sz w:val="20"/>
          <w:szCs w:val="20"/>
        </w:rPr>
        <w:t>k</w:t>
      </w:r>
    </w:p>
    <w:p w:rsidR="00000000" w:rsidRDefault="00F55F16">
      <w:pPr>
        <w:pStyle w:val="a3"/>
        <w:spacing w:before="120" w:beforeAutospacing="0" w:after="0" w:afterAutospacing="0"/>
        <w:ind w:firstLine="555"/>
        <w:rPr>
          <w:sz w:val="20"/>
          <w:szCs w:val="20"/>
        </w:rPr>
      </w:pPr>
      <w:r>
        <w:rPr>
          <w:sz w:val="20"/>
          <w:szCs w:val="20"/>
        </w:rPr>
        <w:t xml:space="preserve">We have experienced higher labor and significantly higher travel and other direct costs in the current year as a result of inflation, particularly in our Measurement and Analysis and Remediation and Reuse segments. We believe we </w:t>
      </w:r>
      <w:r>
        <w:rPr>
          <w:sz w:val="20"/>
          <w:szCs w:val="20"/>
        </w:rPr>
        <w:t>have successfully raised prices in businesses with short term contracts to offset these inflationary effects. We also have and are continuing to raise prices on medium term (one to four quarter) contracts as these contracts are renewed or new contracts are</w:t>
      </w:r>
      <w:r>
        <w:rPr>
          <w:sz w:val="20"/>
          <w:szCs w:val="20"/>
        </w:rPr>
        <w:t xml:space="preserve"> won, but the timing of these price increases has lagged behind our cost increases due to the longer term nature of these contracts. We expect to continue to raise prices if direct costs continue to increase in the second half of 2022 and beyond. Although </w:t>
      </w:r>
      <w:r>
        <w:rPr>
          <w:sz w:val="20"/>
          <w:szCs w:val="20"/>
        </w:rPr>
        <w:t>inflation has increased our Selling, general and administrative expense, impacting margins and segment Adjusted EBITDA, in the second quarter and the June 30, 2022 year-to-date period, we do not believe over a longer period of time that inflation will have</w:t>
      </w:r>
      <w:r>
        <w:rPr>
          <w:sz w:val="20"/>
          <w:szCs w:val="20"/>
        </w:rPr>
        <w:t xml:space="preserve"> a material effect on our business, financial condition or results of operations. If our costs were to become subject to additional and unanticipated significant sustained inflationary pressures, we may not be able to fully offset such higher costs through</w:t>
      </w:r>
      <w:r>
        <w:rPr>
          <w:sz w:val="20"/>
          <w:szCs w:val="20"/>
        </w:rPr>
        <w:t xml:space="preserve"> price increases. Our inability or failure to do so could adversely affect our business, financial condition and results of operations</w:t>
      </w:r>
      <w:r>
        <w:rPr>
          <w:sz w:val="20"/>
          <w:szCs w:val="20"/>
        </w:rPr>
        <w:t>.</w:t>
      </w:r>
    </w:p>
    <w:p w:rsidR="00000000" w:rsidRDefault="00F55F16">
      <w:pPr>
        <w:pStyle w:val="a3"/>
        <w:spacing w:before="240" w:beforeAutospacing="0" w:after="0" w:afterAutospacing="0"/>
        <w:jc w:val="center"/>
        <w:rPr>
          <w:sz w:val="20"/>
          <w:szCs w:val="20"/>
        </w:rPr>
      </w:pPr>
      <w:r>
        <w:rPr>
          <w:sz w:val="20"/>
          <w:szCs w:val="20"/>
        </w:rPr>
        <w:t>4</w:t>
      </w:r>
      <w:r>
        <w:rPr>
          <w:sz w:val="20"/>
          <w:szCs w:val="20"/>
        </w:rPr>
        <w:t>5</w:t>
      </w:r>
    </w:p>
    <w:p w:rsidR="00000000" w:rsidRDefault="00F55F16">
      <w:pPr>
        <w:rPr>
          <w:rFonts w:eastAsia="Times New Roman"/>
        </w:rPr>
      </w:pPr>
      <w:r>
        <w:rPr>
          <w:rFonts w:eastAsia="Times New Roman"/>
        </w:rPr>
        <w:pict>
          <v:rect id="_x0000_i1071"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rPr>
          <w:sz w:val="20"/>
          <w:szCs w:val="20"/>
        </w:rPr>
      </w:pPr>
      <w:r>
        <w:rPr>
          <w:b/>
          <w:bCs/>
          <w:sz w:val="20"/>
          <w:szCs w:val="20"/>
        </w:rPr>
        <w:t>Item 4. Control</w:t>
      </w:r>
      <w:r>
        <w:rPr>
          <w:b/>
          <w:bCs/>
          <w:sz w:val="20"/>
          <w:szCs w:val="20"/>
        </w:rPr>
        <w:t>s</w:t>
      </w:r>
      <w:r>
        <w:rPr>
          <w:b/>
          <w:bCs/>
          <w:sz w:val="20"/>
          <w:szCs w:val="20"/>
        </w:rPr>
        <w:t xml:space="preserve"> and Procedures</w:t>
      </w:r>
      <w:r>
        <w:rPr>
          <w:b/>
          <w:bCs/>
          <w:sz w:val="20"/>
          <w:szCs w:val="20"/>
        </w:rPr>
        <w:t>.</w:t>
      </w:r>
    </w:p>
    <w:p w:rsidR="00000000" w:rsidRDefault="00F55F16">
      <w:pPr>
        <w:pStyle w:val="a3"/>
        <w:spacing w:before="120" w:beforeAutospacing="0" w:after="0" w:afterAutospacing="0"/>
        <w:rPr>
          <w:sz w:val="20"/>
          <w:szCs w:val="20"/>
        </w:rPr>
      </w:pPr>
      <w:r>
        <w:rPr>
          <w:b/>
          <w:bCs/>
          <w:sz w:val="20"/>
          <w:szCs w:val="20"/>
        </w:rPr>
        <w:t>Evaluation of Disclosure Controls and Procedu</w:t>
      </w:r>
      <w:r>
        <w:rPr>
          <w:b/>
          <w:bCs/>
          <w:sz w:val="20"/>
          <w:szCs w:val="20"/>
        </w:rPr>
        <w:t>re</w:t>
      </w:r>
      <w:r>
        <w:rPr>
          <w:b/>
          <w:bCs/>
          <w:sz w:val="20"/>
          <w:szCs w:val="20"/>
        </w:rPr>
        <w:t>s</w:t>
      </w:r>
    </w:p>
    <w:p w:rsidR="00000000" w:rsidRDefault="00F55F16">
      <w:pPr>
        <w:pStyle w:val="a3"/>
        <w:spacing w:before="120" w:beforeAutospacing="0" w:after="0" w:afterAutospacing="0"/>
        <w:ind w:firstLine="555"/>
        <w:rPr>
          <w:sz w:val="20"/>
          <w:szCs w:val="20"/>
        </w:rPr>
      </w:pPr>
      <w:r>
        <w:rPr>
          <w:sz w:val="20"/>
          <w:szCs w:val="20"/>
        </w:rPr>
        <w:t>As required by Rule 13a-15(b) under the Exchange Act, our management, including our Chief Executive Officer and Chief Financial Officer, carried out an evaluation of the effectiveness of the design and operation of our disclosure controls and procedure</w:t>
      </w:r>
      <w:r>
        <w:rPr>
          <w:sz w:val="20"/>
          <w:szCs w:val="20"/>
        </w:rPr>
        <w:t>s (as defined in Rule 13a-15(e) under the Exchange Act), as of June 30, 2022, the end of the period covered by this Quarterly Report on Form 10-Q. Based on the foregoing, our Chief Executive Officer and Chief Financial Officer concluded that, as of June 30</w:t>
      </w:r>
      <w:r>
        <w:rPr>
          <w:sz w:val="20"/>
          <w:szCs w:val="20"/>
        </w:rPr>
        <w:t>, 2022, the end of the period covered by this Quarterly Report on Form 10-Q, our disclosure controls and procedures were effective at the reasonable assurance level</w:t>
      </w:r>
      <w:r>
        <w:rPr>
          <w:sz w:val="20"/>
          <w:szCs w:val="20"/>
        </w:rPr>
        <w:t>.</w:t>
      </w:r>
    </w:p>
    <w:p w:rsidR="00000000" w:rsidRDefault="00F55F16">
      <w:pPr>
        <w:pStyle w:val="a3"/>
        <w:spacing w:before="360" w:beforeAutospacing="0" w:after="0" w:afterAutospacing="0"/>
        <w:rPr>
          <w:sz w:val="20"/>
          <w:szCs w:val="20"/>
        </w:rPr>
      </w:pPr>
      <w:r>
        <w:rPr>
          <w:b/>
          <w:bCs/>
          <w:sz w:val="20"/>
          <w:szCs w:val="20"/>
        </w:rPr>
        <w:t>Internal Control Over Financial Reportin</w:t>
      </w:r>
      <w:r>
        <w:rPr>
          <w:b/>
          <w:bCs/>
          <w:sz w:val="20"/>
          <w:szCs w:val="20"/>
        </w:rPr>
        <w:t>g</w:t>
      </w:r>
    </w:p>
    <w:p w:rsidR="00000000" w:rsidRDefault="00F55F16">
      <w:pPr>
        <w:pStyle w:val="a3"/>
        <w:spacing w:before="120" w:beforeAutospacing="0" w:after="0" w:afterAutospacing="0"/>
        <w:ind w:firstLine="555"/>
        <w:rPr>
          <w:sz w:val="20"/>
          <w:szCs w:val="20"/>
        </w:rPr>
      </w:pPr>
      <w:r>
        <w:rPr>
          <w:sz w:val="20"/>
          <w:szCs w:val="20"/>
        </w:rPr>
        <w:t>There were no changes in our internal control ov</w:t>
      </w:r>
      <w:r>
        <w:rPr>
          <w:sz w:val="20"/>
          <w:szCs w:val="20"/>
        </w:rPr>
        <w:t>er financial reporting (as defined in Rule 13a-15(f) under the Exchange Act) that occurred during the quarter ended June 30, 2022, that have materially affected, or are reasonably likely to materially affect, our internal control over financial reporting</w:t>
      </w:r>
      <w:r>
        <w:rPr>
          <w:sz w:val="20"/>
          <w:szCs w:val="20"/>
        </w:rPr>
        <w:t>.</w:t>
      </w:r>
    </w:p>
    <w:p w:rsidR="00000000" w:rsidRDefault="00F55F16">
      <w:pPr>
        <w:pStyle w:val="a3"/>
        <w:spacing w:before="360" w:beforeAutospacing="0" w:after="0" w:afterAutospacing="0"/>
        <w:rPr>
          <w:sz w:val="20"/>
          <w:szCs w:val="20"/>
        </w:rPr>
      </w:pPr>
      <w:r>
        <w:rPr>
          <w:b/>
          <w:bCs/>
          <w:sz w:val="20"/>
          <w:szCs w:val="20"/>
        </w:rPr>
        <w:t>Limitations on Effectiveness of Control</w:t>
      </w:r>
      <w:r>
        <w:rPr>
          <w:b/>
          <w:bCs/>
          <w:sz w:val="20"/>
          <w:szCs w:val="20"/>
        </w:rPr>
        <w:t>s</w:t>
      </w:r>
    </w:p>
    <w:p w:rsidR="00000000" w:rsidRDefault="00F55F16">
      <w:pPr>
        <w:pStyle w:val="a3"/>
        <w:spacing w:before="120" w:beforeAutospacing="0" w:after="0" w:afterAutospacing="0"/>
        <w:ind w:firstLine="555"/>
        <w:rPr>
          <w:sz w:val="20"/>
          <w:szCs w:val="20"/>
        </w:rPr>
      </w:pPr>
      <w:r>
        <w:rPr>
          <w:sz w:val="20"/>
          <w:szCs w:val="20"/>
        </w:rPr>
        <w:t>Our management, including our Chief Executive Officer and Chief Financial Officer, does not expect that our disclosure controls and procedures or our system of internal control over financial reporting will prevent or detect all errors and all fraud. A con</w:t>
      </w:r>
      <w:r>
        <w:rPr>
          <w:sz w:val="20"/>
          <w:szCs w:val="20"/>
        </w:rPr>
        <w:t>trol system, no matter how well designed or operated, can provide only reasonable, but not absolute, assurance that the objectives of the system of internal control are met. The design of our control system reflects the fact that there are resource constra</w:t>
      </w:r>
      <w:r>
        <w:rPr>
          <w:sz w:val="20"/>
          <w:szCs w:val="20"/>
        </w:rPr>
        <w:t>ints, and that the benefits of such control system must be considered relative to their costs. Further, because of the inherent limitations in all control systems, no evaluation of controls can provide absolute assurance that all control failures and insta</w:t>
      </w:r>
      <w:r>
        <w:rPr>
          <w:sz w:val="20"/>
          <w:szCs w:val="20"/>
        </w:rPr>
        <w:t>nces of fraud, if any, within the Company have been detected. These inherent limitations include the realities that judgments in decision-making can be faulty and that breakdowns can occur because of simple error or mistake. Additionally, controls can be c</w:t>
      </w:r>
      <w:r>
        <w:rPr>
          <w:sz w:val="20"/>
          <w:szCs w:val="20"/>
        </w:rPr>
        <w:t xml:space="preserve">ircumvented by the intentional acts of individuals, by collusion of two or more people, or by management override of the controls. The design of any system of controls is also based in part on certain assumptions about the likelihood of future events, and </w:t>
      </w:r>
      <w:r>
        <w:rPr>
          <w:sz w:val="20"/>
          <w:szCs w:val="20"/>
        </w:rPr>
        <w:t>there can be no assurance that the design of any particular control will always succeed in achieving its objective under all potential future conditions</w:t>
      </w:r>
      <w:r>
        <w:rPr>
          <w:sz w:val="20"/>
          <w:szCs w:val="20"/>
        </w:rPr>
        <w:t>.</w:t>
      </w:r>
    </w:p>
    <w:p w:rsidR="00000000" w:rsidRDefault="00F55F16">
      <w:pPr>
        <w:pStyle w:val="a3"/>
        <w:spacing w:before="240" w:beforeAutospacing="0" w:after="0" w:afterAutospacing="0"/>
        <w:jc w:val="center"/>
        <w:rPr>
          <w:sz w:val="20"/>
          <w:szCs w:val="20"/>
        </w:rPr>
      </w:pPr>
      <w:r>
        <w:rPr>
          <w:sz w:val="20"/>
          <w:szCs w:val="20"/>
        </w:rPr>
        <w:t>4</w:t>
      </w:r>
      <w:r>
        <w:rPr>
          <w:sz w:val="20"/>
          <w:szCs w:val="20"/>
        </w:rPr>
        <w:t>6</w:t>
      </w:r>
    </w:p>
    <w:p w:rsidR="00000000" w:rsidRDefault="00F55F16">
      <w:pPr>
        <w:rPr>
          <w:rFonts w:eastAsia="Times New Roman"/>
        </w:rPr>
      </w:pPr>
      <w:r>
        <w:rPr>
          <w:rFonts w:eastAsia="Times New Roman"/>
        </w:rPr>
        <w:pict>
          <v:rect id="_x0000_i1072"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PART II—OTH</w:t>
      </w:r>
      <w:r>
        <w:rPr>
          <w:b/>
          <w:bCs/>
          <w:sz w:val="20"/>
          <w:szCs w:val="20"/>
        </w:rPr>
        <w:t>E</w:t>
      </w:r>
      <w:r>
        <w:rPr>
          <w:b/>
          <w:bCs/>
          <w:sz w:val="20"/>
          <w:szCs w:val="20"/>
        </w:rPr>
        <w:t>R INFORMATIO</w:t>
      </w:r>
      <w:r>
        <w:rPr>
          <w:b/>
          <w:bCs/>
          <w:sz w:val="20"/>
          <w:szCs w:val="20"/>
        </w:rPr>
        <w:t>N</w:t>
      </w:r>
    </w:p>
    <w:p w:rsidR="00000000" w:rsidRDefault="00F55F16">
      <w:pPr>
        <w:pStyle w:val="a3"/>
        <w:spacing w:before="240" w:beforeAutospacing="0" w:after="0" w:afterAutospacing="0"/>
        <w:rPr>
          <w:sz w:val="20"/>
          <w:szCs w:val="20"/>
        </w:rPr>
      </w:pPr>
      <w:r>
        <w:rPr>
          <w:b/>
          <w:bCs/>
          <w:sz w:val="20"/>
          <w:szCs w:val="20"/>
        </w:rPr>
        <w:t>Item 1. Legal</w:t>
      </w:r>
      <w:r>
        <w:rPr>
          <w:b/>
          <w:bCs/>
          <w:sz w:val="20"/>
          <w:szCs w:val="20"/>
        </w:rPr>
        <w:t xml:space="preserve"> </w:t>
      </w:r>
      <w:r>
        <w:rPr>
          <w:b/>
          <w:bCs/>
          <w:sz w:val="20"/>
          <w:szCs w:val="20"/>
        </w:rPr>
        <w:t>Proceedings</w:t>
      </w:r>
      <w:r>
        <w:rPr>
          <w:b/>
          <w:bCs/>
          <w:sz w:val="20"/>
          <w:szCs w:val="20"/>
        </w:rPr>
        <w:t>.</w:t>
      </w:r>
    </w:p>
    <w:p w:rsidR="00000000" w:rsidRDefault="00F55F16">
      <w:pPr>
        <w:pStyle w:val="a3"/>
        <w:spacing w:before="120" w:beforeAutospacing="0" w:after="0" w:afterAutospacing="0"/>
        <w:ind w:firstLine="555"/>
        <w:rPr>
          <w:sz w:val="20"/>
          <w:szCs w:val="20"/>
        </w:rPr>
      </w:pPr>
      <w:r>
        <w:rPr>
          <w:sz w:val="20"/>
          <w:szCs w:val="20"/>
        </w:rPr>
        <w:t>From ti</w:t>
      </w:r>
      <w:r>
        <w:rPr>
          <w:sz w:val="20"/>
          <w:szCs w:val="20"/>
        </w:rPr>
        <w:t>me to time, we are subject to various legal proceedings that arise in the normal course of our business activities, including those involving labor and employment, anti-discrimination, commercial disputes and other matters. We are not a party to any litiga</w:t>
      </w:r>
      <w:r>
        <w:rPr>
          <w:sz w:val="20"/>
          <w:szCs w:val="20"/>
        </w:rPr>
        <w:t>tion the outcome of which, if determined adversely to us, would individually or in the aggregate be reasonably expected to have a material adverse effect on our results of operations or financial position. Regardless of outcome, litigation can have an adve</w:t>
      </w:r>
      <w:r>
        <w:rPr>
          <w:sz w:val="20"/>
          <w:szCs w:val="20"/>
        </w:rPr>
        <w:t>rse impact on us because of defense and settlement costs, diversion of management resources and other factors</w:t>
      </w:r>
      <w:r>
        <w:rPr>
          <w:sz w:val="20"/>
          <w:szCs w:val="20"/>
        </w:rPr>
        <w:t>.</w:t>
      </w:r>
      <w:r>
        <w:rPr>
          <w:sz w:val="20"/>
          <w:szCs w:val="20"/>
        </w:rPr>
        <w:t xml:space="preserve"> </w:t>
      </w:r>
    </w:p>
    <w:p w:rsidR="00000000" w:rsidRDefault="00F55F16">
      <w:pPr>
        <w:pStyle w:val="a3"/>
        <w:spacing w:before="360" w:beforeAutospacing="0" w:after="0" w:afterAutospacing="0"/>
        <w:rPr>
          <w:sz w:val="20"/>
          <w:szCs w:val="20"/>
        </w:rPr>
      </w:pPr>
      <w:r>
        <w:rPr>
          <w:b/>
          <w:bCs/>
          <w:sz w:val="20"/>
          <w:szCs w:val="20"/>
        </w:rPr>
        <w:t>Item 1A. R</w:t>
      </w:r>
      <w:r>
        <w:rPr>
          <w:b/>
          <w:bCs/>
          <w:sz w:val="20"/>
          <w:szCs w:val="20"/>
        </w:rPr>
        <w:t>i</w:t>
      </w:r>
      <w:r>
        <w:rPr>
          <w:b/>
          <w:bCs/>
          <w:sz w:val="20"/>
          <w:szCs w:val="20"/>
        </w:rPr>
        <w:t>sk Factors</w:t>
      </w:r>
      <w:r>
        <w:rPr>
          <w:b/>
          <w:bCs/>
          <w:sz w:val="20"/>
          <w:szCs w:val="20"/>
        </w:rPr>
        <w:t>.</w:t>
      </w:r>
    </w:p>
    <w:p w:rsidR="00000000" w:rsidRDefault="00F55F16">
      <w:pPr>
        <w:pStyle w:val="a3"/>
        <w:spacing w:before="120" w:beforeAutospacing="0" w:after="0" w:afterAutospacing="0"/>
        <w:ind w:firstLine="555"/>
        <w:rPr>
          <w:sz w:val="20"/>
          <w:szCs w:val="20"/>
        </w:rPr>
      </w:pPr>
      <w:r>
        <w:rPr>
          <w:sz w:val="20"/>
          <w:szCs w:val="20"/>
        </w:rPr>
        <w:t xml:space="preserve">There have been no material changes to our risk factors from the risk factors disclosed in our 2021 Form 10-K. The risks </w:t>
      </w:r>
      <w:r>
        <w:rPr>
          <w:sz w:val="20"/>
          <w:szCs w:val="20"/>
        </w:rPr>
        <w:t>described in our 2021 Form 10-K, in addition to the other information set forth in this Quarterly Report on Form 10-Q, are not the only risks facing we face. Additional risks and uncertainties not currently known to us or that we currently deem to be immat</w:t>
      </w:r>
      <w:r>
        <w:rPr>
          <w:sz w:val="20"/>
          <w:szCs w:val="20"/>
        </w:rPr>
        <w:t>erial also may materially adversely affect our business, financial condition and/or operating results</w:t>
      </w:r>
      <w:r>
        <w:rPr>
          <w:sz w:val="20"/>
          <w:szCs w:val="20"/>
        </w:rPr>
        <w:t>.</w:t>
      </w:r>
    </w:p>
    <w:p w:rsidR="00000000" w:rsidRDefault="00F55F16">
      <w:pPr>
        <w:pStyle w:val="a3"/>
        <w:spacing w:before="360" w:beforeAutospacing="0" w:after="0" w:afterAutospacing="0"/>
        <w:rPr>
          <w:sz w:val="20"/>
          <w:szCs w:val="20"/>
        </w:rPr>
      </w:pPr>
      <w:r>
        <w:rPr>
          <w:b/>
          <w:bCs/>
          <w:sz w:val="20"/>
          <w:szCs w:val="20"/>
        </w:rPr>
        <w:t>Item 2. Unregistered Sales of Equ</w:t>
      </w:r>
      <w:r>
        <w:rPr>
          <w:b/>
          <w:bCs/>
          <w:sz w:val="20"/>
          <w:szCs w:val="20"/>
        </w:rPr>
        <w:t>i</w:t>
      </w:r>
      <w:r>
        <w:rPr>
          <w:b/>
          <w:bCs/>
          <w:sz w:val="20"/>
          <w:szCs w:val="20"/>
        </w:rPr>
        <w:t>ty Securities and Use of Proceeds</w:t>
      </w:r>
      <w:r>
        <w:rPr>
          <w:b/>
          <w:bCs/>
          <w:sz w:val="20"/>
          <w:szCs w:val="20"/>
        </w:rPr>
        <w:t>.</w:t>
      </w:r>
    </w:p>
    <w:p w:rsidR="00000000" w:rsidRDefault="00F55F16">
      <w:pPr>
        <w:pStyle w:val="a3"/>
        <w:spacing w:before="120" w:beforeAutospacing="0" w:after="0" w:afterAutospacing="0"/>
        <w:ind w:firstLine="555"/>
        <w:rPr>
          <w:sz w:val="20"/>
          <w:szCs w:val="20"/>
        </w:rPr>
      </w:pPr>
      <w:r>
        <w:rPr>
          <w:sz w:val="20"/>
          <w:szCs w:val="20"/>
        </w:rPr>
        <w:t>None</w:t>
      </w:r>
      <w:r>
        <w:rPr>
          <w:sz w:val="20"/>
          <w:szCs w:val="20"/>
        </w:rPr>
        <w:t>.</w:t>
      </w:r>
    </w:p>
    <w:p w:rsidR="00000000" w:rsidRDefault="00F55F16">
      <w:pPr>
        <w:pStyle w:val="a3"/>
        <w:spacing w:before="360" w:beforeAutospacing="0" w:after="0" w:afterAutospacing="0"/>
        <w:rPr>
          <w:sz w:val="20"/>
          <w:szCs w:val="20"/>
        </w:rPr>
      </w:pPr>
      <w:r>
        <w:rPr>
          <w:b/>
          <w:bCs/>
          <w:sz w:val="20"/>
          <w:szCs w:val="20"/>
        </w:rPr>
        <w:t>Item 3. Defaults Up</w:t>
      </w:r>
      <w:r>
        <w:rPr>
          <w:b/>
          <w:bCs/>
          <w:sz w:val="20"/>
          <w:szCs w:val="20"/>
        </w:rPr>
        <w:t>o</w:t>
      </w:r>
      <w:r>
        <w:rPr>
          <w:b/>
          <w:bCs/>
          <w:sz w:val="20"/>
          <w:szCs w:val="20"/>
        </w:rPr>
        <w:t>n Senior Securities</w:t>
      </w:r>
      <w:r>
        <w:rPr>
          <w:b/>
          <w:bCs/>
          <w:sz w:val="20"/>
          <w:szCs w:val="20"/>
        </w:rPr>
        <w:t>.</w:t>
      </w:r>
    </w:p>
    <w:p w:rsidR="00000000" w:rsidRDefault="00F55F16">
      <w:pPr>
        <w:pStyle w:val="a3"/>
        <w:spacing w:before="120" w:beforeAutospacing="0" w:after="0" w:afterAutospacing="0"/>
        <w:ind w:firstLine="555"/>
        <w:rPr>
          <w:sz w:val="20"/>
          <w:szCs w:val="20"/>
        </w:rPr>
      </w:pPr>
      <w:r>
        <w:rPr>
          <w:sz w:val="20"/>
          <w:szCs w:val="20"/>
        </w:rPr>
        <w:t>None</w:t>
      </w:r>
      <w:r>
        <w:rPr>
          <w:sz w:val="20"/>
          <w:szCs w:val="20"/>
        </w:rPr>
        <w:t>.</w:t>
      </w:r>
    </w:p>
    <w:p w:rsidR="00000000" w:rsidRDefault="00F55F16">
      <w:pPr>
        <w:pStyle w:val="a3"/>
        <w:spacing w:before="360" w:beforeAutospacing="0" w:after="0" w:afterAutospacing="0"/>
        <w:rPr>
          <w:sz w:val="20"/>
          <w:szCs w:val="20"/>
        </w:rPr>
      </w:pPr>
      <w:r>
        <w:rPr>
          <w:b/>
          <w:bCs/>
          <w:sz w:val="20"/>
          <w:szCs w:val="20"/>
        </w:rPr>
        <w:t>Item 4. Mine Saf</w:t>
      </w:r>
      <w:r>
        <w:rPr>
          <w:b/>
          <w:bCs/>
          <w:sz w:val="20"/>
          <w:szCs w:val="20"/>
        </w:rPr>
        <w:t>e</w:t>
      </w:r>
      <w:r>
        <w:rPr>
          <w:b/>
          <w:bCs/>
          <w:sz w:val="20"/>
          <w:szCs w:val="20"/>
        </w:rPr>
        <w:t>ty Disclosures</w:t>
      </w:r>
      <w:r>
        <w:rPr>
          <w:b/>
          <w:bCs/>
          <w:sz w:val="20"/>
          <w:szCs w:val="20"/>
        </w:rPr>
        <w:t>.</w:t>
      </w:r>
    </w:p>
    <w:p w:rsidR="00000000" w:rsidRDefault="00F55F16">
      <w:pPr>
        <w:pStyle w:val="a3"/>
        <w:spacing w:before="120" w:beforeAutospacing="0" w:after="0" w:afterAutospacing="0"/>
        <w:ind w:firstLine="555"/>
        <w:rPr>
          <w:sz w:val="20"/>
          <w:szCs w:val="20"/>
        </w:rPr>
      </w:pPr>
      <w:r>
        <w:rPr>
          <w:sz w:val="20"/>
          <w:szCs w:val="20"/>
        </w:rPr>
        <w:t>Not applicable</w:t>
      </w:r>
      <w:r>
        <w:rPr>
          <w:sz w:val="20"/>
          <w:szCs w:val="20"/>
        </w:rPr>
        <w:t>.</w:t>
      </w:r>
    </w:p>
    <w:p w:rsidR="00000000" w:rsidRDefault="00F55F16">
      <w:pPr>
        <w:pStyle w:val="a3"/>
        <w:spacing w:before="360" w:beforeAutospacing="0" w:after="0" w:afterAutospacing="0"/>
        <w:rPr>
          <w:sz w:val="20"/>
          <w:szCs w:val="20"/>
        </w:rPr>
      </w:pPr>
      <w:r>
        <w:rPr>
          <w:b/>
          <w:bCs/>
          <w:sz w:val="20"/>
          <w:szCs w:val="20"/>
        </w:rPr>
        <w:t>Item 5. Other</w:t>
      </w:r>
      <w:r>
        <w:rPr>
          <w:b/>
          <w:bCs/>
          <w:sz w:val="20"/>
          <w:szCs w:val="20"/>
        </w:rPr>
        <w:t xml:space="preserve"> </w:t>
      </w:r>
      <w:r>
        <w:rPr>
          <w:b/>
          <w:bCs/>
          <w:sz w:val="20"/>
          <w:szCs w:val="20"/>
        </w:rPr>
        <w:t>Information</w:t>
      </w:r>
      <w:r>
        <w:rPr>
          <w:b/>
          <w:bCs/>
          <w:sz w:val="20"/>
          <w:szCs w:val="20"/>
        </w:rPr>
        <w:t>.</w:t>
      </w:r>
    </w:p>
    <w:p w:rsidR="00000000" w:rsidRDefault="00F55F16">
      <w:pPr>
        <w:pStyle w:val="a3"/>
        <w:spacing w:before="120" w:beforeAutospacing="0" w:after="0" w:afterAutospacing="0"/>
        <w:ind w:firstLine="555"/>
        <w:rPr>
          <w:sz w:val="20"/>
          <w:szCs w:val="20"/>
        </w:rPr>
      </w:pPr>
      <w:r>
        <w:rPr>
          <w:sz w:val="20"/>
          <w:szCs w:val="20"/>
        </w:rPr>
        <w:t>None</w:t>
      </w:r>
      <w:r>
        <w:rPr>
          <w:sz w:val="20"/>
          <w:szCs w:val="20"/>
        </w:rPr>
        <w:t>.</w:t>
      </w:r>
    </w:p>
    <w:p w:rsidR="00000000" w:rsidRDefault="00F55F16">
      <w:pPr>
        <w:pStyle w:val="a3"/>
        <w:spacing w:before="240" w:beforeAutospacing="0" w:after="0" w:afterAutospacing="0"/>
        <w:jc w:val="center"/>
        <w:rPr>
          <w:sz w:val="20"/>
          <w:szCs w:val="20"/>
        </w:rPr>
      </w:pPr>
      <w:r>
        <w:rPr>
          <w:sz w:val="20"/>
          <w:szCs w:val="20"/>
        </w:rPr>
        <w:t>4</w:t>
      </w:r>
      <w:r>
        <w:rPr>
          <w:sz w:val="20"/>
          <w:szCs w:val="20"/>
        </w:rPr>
        <w:t>7</w:t>
      </w:r>
    </w:p>
    <w:p w:rsidR="00000000" w:rsidRDefault="00F55F16">
      <w:pPr>
        <w:rPr>
          <w:rFonts w:eastAsia="Times New Roman"/>
        </w:rPr>
      </w:pPr>
      <w:r>
        <w:rPr>
          <w:rFonts w:eastAsia="Times New Roman"/>
        </w:rPr>
        <w:pict>
          <v:rect id="_x0000_i1073"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360" w:beforeAutospacing="0" w:after="0" w:afterAutospacing="0"/>
        <w:rPr>
          <w:sz w:val="20"/>
          <w:szCs w:val="20"/>
        </w:rPr>
      </w:pPr>
      <w:r>
        <w:rPr>
          <w:b/>
          <w:bCs/>
          <w:sz w:val="20"/>
          <w:szCs w:val="20"/>
        </w:rPr>
        <w:t xml:space="preserve">Item 6. </w:t>
      </w:r>
      <w:r>
        <w:rPr>
          <w:b/>
          <w:bCs/>
          <w:sz w:val="20"/>
          <w:szCs w:val="20"/>
        </w:rPr>
        <w:t>E</w:t>
      </w:r>
      <w:r>
        <w:rPr>
          <w:b/>
          <w:bCs/>
          <w:sz w:val="20"/>
          <w:szCs w:val="20"/>
        </w:rPr>
        <w:t>xhibits</w:t>
      </w:r>
      <w:r>
        <w:rPr>
          <w:b/>
          <w:bCs/>
          <w:sz w:val="20"/>
          <w:szCs w:val="20"/>
        </w:rPr>
        <w:t>.</w: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4"/>
        <w:gridCol w:w="109"/>
        <w:gridCol w:w="7273"/>
      </w:tblGrid>
      <w:tr w:rsidR="00000000">
        <w:trPr>
          <w:tblCellSpacing w:w="15" w:type="dxa"/>
        </w:trPr>
        <w:tc>
          <w:tcPr>
            <w:tcW w:w="449" w:type="pct"/>
            <w:vAlign w:val="center"/>
            <w:hideMark/>
          </w:tcPr>
          <w:p w:rsidR="00000000" w:rsidRDefault="00F55F16">
            <w:pPr>
              <w:rPr>
                <w:sz w:val="20"/>
                <w:szCs w:val="20"/>
              </w:rPr>
            </w:pPr>
          </w:p>
        </w:tc>
        <w:tc>
          <w:tcPr>
            <w:tcW w:w="50" w:type="pct"/>
            <w:vAlign w:val="center"/>
            <w:hideMark/>
          </w:tcPr>
          <w:p w:rsidR="00000000" w:rsidRDefault="00F55F16">
            <w:pPr>
              <w:rPr>
                <w:rFonts w:eastAsia="Times New Roman"/>
                <w:sz w:val="20"/>
                <w:szCs w:val="20"/>
              </w:rPr>
            </w:pPr>
          </w:p>
        </w:tc>
        <w:tc>
          <w:tcPr>
            <w:tcW w:w="4500" w:type="pct"/>
            <w:vAlign w:val="center"/>
            <w:hideMark/>
          </w:tcPr>
          <w:p w:rsidR="00000000" w:rsidRDefault="00F55F16">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F55F16">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center"/>
              <w:rPr>
                <w:sz w:val="16"/>
                <w:szCs w:val="16"/>
              </w:rPr>
            </w:pPr>
            <w:r>
              <w:rPr>
                <w:b/>
                <w:bCs/>
                <w:sz w:val="16"/>
                <w:szCs w:val="16"/>
              </w:rPr>
              <w:t>Descriptio</w:t>
            </w:r>
            <w:r>
              <w:rPr>
                <w:b/>
                <w:bCs/>
                <w:sz w:val="16"/>
                <w:szCs w:val="16"/>
              </w:rPr>
              <w:t>n</w:t>
            </w:r>
          </w:p>
        </w:tc>
      </w:tr>
      <w:tr w:rsidR="00000000">
        <w:trPr>
          <w:trHeight w:val="120"/>
          <w:tblCellSpacing w:w="15" w:type="dxa"/>
        </w:trPr>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31.1</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hyperlink r:id="rId4" w:history="1">
              <w:r>
                <w:rPr>
                  <w:rStyle w:val="a4"/>
                  <w:sz w:val="20"/>
                  <w:szCs w:val="20"/>
                </w:rPr>
                <w:t>Certification of Principal Executive Officer Pursuant to Rules 13a-14(a) and 15d-14(a) under the Securities Exchange Act of 1934, as Adopted Pursuant to Section 302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31.2</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hyperlink r:id="rId5" w:history="1">
              <w:r>
                <w:rPr>
                  <w:rStyle w:val="a4"/>
                  <w:sz w:val="20"/>
                  <w:szCs w:val="20"/>
                </w:rPr>
                <w:t>Certification of Principal Financial Officer Pursuant to Rules 13a-14(a) and 15d-14(a) under the Securities Exchange Act of 1934, as Adopted Pursuant to Section 302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32.1*</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hyperlink r:id="rId6" w:history="1">
              <w:r>
                <w:rPr>
                  <w:rStyle w:val="a4"/>
                  <w:sz w:val="20"/>
                  <w:szCs w:val="20"/>
                </w:rPr>
                <w:t>Certification of Principal Executive Officer Pursuant to 18 U.S.C. Section 1350, as Adopted Pursuant to Section 906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32.2*</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hyperlink r:id="rId7" w:history="1">
              <w:r>
                <w:rPr>
                  <w:rStyle w:val="a4"/>
                  <w:sz w:val="20"/>
                  <w:szCs w:val="20"/>
                </w:rPr>
                <w:t xml:space="preserve">Certification of Principal Financial Officer Pursuant to </w:t>
              </w:r>
              <w:r>
                <w:rPr>
                  <w:rStyle w:val="a4"/>
                  <w:sz w:val="20"/>
                  <w:szCs w:val="20"/>
                </w:rPr>
                <w:t>18 U.S.C. Section 1350, as Adopted Pursuant to Section 906 of the Sarbanes-Oxley Act of 2002</w:t>
              </w:r>
              <w:r>
                <w:rPr>
                  <w:rStyle w:val="a4"/>
                  <w:sz w:val="20"/>
                  <w:szCs w:val="20"/>
                </w:rPr>
                <w:t>.</w:t>
              </w:r>
            </w:hyperlink>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101.INS</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Inline XBRL Instance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101.SCH</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Inline XBRL Taxonomy Extension Schema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101.CAL</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Inline XBRL Taxonomy Extension Calculation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101.DEF</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Inline XBRL Taxonomy Extension Definition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101.LAB</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Inline XBRL Taxonomy Extension Label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101.PRE</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Inline XBRL Taxonomy Extension Presentation Linkbase Documen</w:t>
            </w:r>
            <w:r>
              <w:rPr>
                <w:sz w:val="20"/>
                <w:szCs w:val="20"/>
              </w:rPr>
              <w:t>t</w:t>
            </w:r>
          </w:p>
        </w:tc>
      </w:tr>
      <w:tr w:rsidR="00000000">
        <w:trPr>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12"/>
                <w:szCs w:val="12"/>
              </w:rPr>
            </w:pPr>
            <w:r>
              <w:rPr>
                <w:sz w:val="12"/>
                <w:szCs w:val="12"/>
              </w:rPr>
              <w:t> </w:t>
            </w: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104</w:t>
            </w:r>
            <w:r>
              <w:rPr>
                <w:sz w:val="20"/>
                <w:szCs w:val="20"/>
              </w:rPr>
              <w:t>*</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Cover Page Interactive Data File – The cover page from the Company’</w:t>
            </w:r>
            <w:r>
              <w:rPr>
                <w:sz w:val="20"/>
                <w:szCs w:val="20"/>
              </w:rPr>
              <w:t>s Quarterly Report on Form 10-Q for the quarter ended June 30, 2022 is formatted in Inline XBRL (included as Exhibit 101</w:t>
            </w:r>
            <w:r>
              <w:rPr>
                <w:sz w:val="20"/>
                <w:szCs w:val="20"/>
              </w:rPr>
              <w:t>)</w:t>
            </w:r>
          </w:p>
        </w:tc>
      </w:tr>
    </w:tbl>
    <w:p w:rsidR="00000000" w:rsidRDefault="00F55F16">
      <w:pPr>
        <w:pStyle w:val="a3"/>
        <w:pBdr>
          <w:bottom w:val="single" w:sz="4" w:space="1" w:color="auto"/>
        </w:pBdr>
        <w:spacing w:before="0" w:beforeAutospacing="0" w:after="0" w:afterAutospacing="0"/>
        <w:ind w:right="9167"/>
        <w:rPr>
          <w:sz w:val="20"/>
          <w:szCs w:val="20"/>
        </w:rPr>
      </w:pPr>
      <w:r>
        <w:rPr>
          <w:sz w:val="20"/>
          <w:szCs w:val="20"/>
        </w:rPr>
        <w:t> </w:t>
      </w:r>
    </w:p>
    <w:p w:rsidR="00000000" w:rsidRDefault="00F55F16">
      <w:pPr>
        <w:pStyle w:val="a3"/>
        <w:spacing w:before="40" w:beforeAutospacing="0" w:after="0" w:afterAutospacing="0"/>
        <w:rPr>
          <w:sz w:val="20"/>
          <w:szCs w:val="20"/>
        </w:rPr>
      </w:pPr>
      <w:r>
        <w:rPr>
          <w:sz w:val="16"/>
          <w:szCs w:val="16"/>
        </w:rPr>
        <w:t>* Filed herewith</w:t>
      </w:r>
      <w:r>
        <w:rPr>
          <w:sz w:val="16"/>
          <w:szCs w:val="16"/>
        </w:rPr>
        <w:t>.</w:t>
      </w:r>
    </w:p>
    <w:p w:rsidR="00000000" w:rsidRDefault="00F55F16">
      <w:pPr>
        <w:pStyle w:val="a3"/>
        <w:spacing w:before="0" w:beforeAutospacing="0" w:after="0" w:afterAutospacing="0"/>
        <w:rPr>
          <w:sz w:val="20"/>
          <w:szCs w:val="20"/>
        </w:rPr>
      </w:pPr>
      <w:r>
        <w:rPr>
          <w:sz w:val="16"/>
          <w:szCs w:val="16"/>
        </w:rPr>
        <w:t>** Exhibit is furnished and shall not be deemed “filed” for purposes of Section 18 of the Exchange Act, or otherw</w:t>
      </w:r>
      <w:r>
        <w:rPr>
          <w:sz w:val="16"/>
          <w:szCs w:val="16"/>
        </w:rPr>
        <w:t>ise subject to the liabilities of that section, nor shall it be deemed incorporated by reference in any filing under the Securities Act, or the Exchange Act, except as shall be expressly set forth by specific reference in such filing</w:t>
      </w:r>
      <w:r>
        <w:rPr>
          <w:sz w:val="16"/>
          <w:szCs w:val="16"/>
        </w:rPr>
        <w:t>.</w:t>
      </w:r>
    </w:p>
    <w:p w:rsidR="00000000" w:rsidRDefault="00F55F16">
      <w:pPr>
        <w:pStyle w:val="a3"/>
        <w:spacing w:before="40" w:beforeAutospacing="0" w:after="0" w:afterAutospacing="0"/>
        <w:ind w:hanging="581"/>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4</w:t>
      </w:r>
      <w:r>
        <w:rPr>
          <w:sz w:val="20"/>
          <w:szCs w:val="20"/>
        </w:rPr>
        <w:t>8</w:t>
      </w:r>
    </w:p>
    <w:p w:rsidR="00000000" w:rsidRDefault="00F55F16">
      <w:pPr>
        <w:rPr>
          <w:rFonts w:eastAsia="Times New Roman"/>
        </w:rPr>
      </w:pPr>
      <w:r>
        <w:rPr>
          <w:rFonts w:eastAsia="Times New Roman"/>
        </w:rPr>
        <w:pict>
          <v:rect id="_x0000_i1074" style="width:0;height:1.5pt" o:hralign="center" o:hrstd="t" o:hr="t" fillcolor="#a0a0a0" stroked="f"/>
        </w:pict>
      </w:r>
    </w:p>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0" w:beforeAutospacing="0" w:after="0" w:afterAutospacing="0"/>
        <w:jc w:val="center"/>
        <w:rPr>
          <w:sz w:val="20"/>
          <w:szCs w:val="20"/>
        </w:rPr>
      </w:pPr>
      <w:r>
        <w:rPr>
          <w:b/>
          <w:bCs/>
          <w:sz w:val="20"/>
          <w:szCs w:val="20"/>
        </w:rPr>
        <w:t>SIGN</w:t>
      </w:r>
      <w:r>
        <w:rPr>
          <w:b/>
          <w:bCs/>
          <w:sz w:val="20"/>
          <w:szCs w:val="20"/>
        </w:rPr>
        <w:t>A</w:t>
      </w:r>
      <w:r>
        <w:rPr>
          <w:b/>
          <w:bCs/>
          <w:sz w:val="20"/>
          <w:szCs w:val="20"/>
        </w:rPr>
        <w:t>TURE</w:t>
      </w:r>
      <w:r>
        <w:rPr>
          <w:b/>
          <w:bCs/>
          <w:sz w:val="20"/>
          <w:szCs w:val="20"/>
        </w:rPr>
        <w:t>S</w:t>
      </w:r>
    </w:p>
    <w:p w:rsidR="00000000" w:rsidRDefault="00F55F16">
      <w:pPr>
        <w:pStyle w:val="a3"/>
        <w:spacing w:before="240" w:beforeAutospacing="0" w:after="0" w:afterAutospacing="0"/>
        <w:ind w:firstLine="555"/>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rsidR="00000000" w:rsidRDefault="00F55F16">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14"/>
        <w:gridCol w:w="112"/>
        <w:gridCol w:w="355"/>
        <w:gridCol w:w="4125"/>
      </w:tblGrid>
      <w:tr w:rsidR="00000000">
        <w:trPr>
          <w:tblCellSpacing w:w="15" w:type="dxa"/>
        </w:trPr>
        <w:tc>
          <w:tcPr>
            <w:tcW w:w="2250" w:type="pct"/>
            <w:vAlign w:val="center"/>
            <w:hideMark/>
          </w:tcPr>
          <w:p w:rsidR="00000000" w:rsidRDefault="00F55F16">
            <w:pPr>
              <w:rPr>
                <w:sz w:val="20"/>
                <w:szCs w:val="20"/>
              </w:rPr>
            </w:pPr>
          </w:p>
        </w:tc>
        <w:tc>
          <w:tcPr>
            <w:tcW w:w="50" w:type="pct"/>
            <w:vAlign w:val="center"/>
            <w:hideMark/>
          </w:tcPr>
          <w:p w:rsidR="00000000" w:rsidRDefault="00F55F16">
            <w:pPr>
              <w:rPr>
                <w:rFonts w:eastAsia="Times New Roman"/>
                <w:sz w:val="20"/>
                <w:szCs w:val="20"/>
              </w:rPr>
            </w:pPr>
          </w:p>
        </w:tc>
        <w:tc>
          <w:tcPr>
            <w:tcW w:w="199" w:type="pct"/>
            <w:vAlign w:val="center"/>
            <w:hideMark/>
          </w:tcPr>
          <w:p w:rsidR="00000000" w:rsidRDefault="00F55F16">
            <w:pPr>
              <w:rPr>
                <w:rFonts w:eastAsia="Times New Roman"/>
                <w:sz w:val="20"/>
                <w:szCs w:val="20"/>
              </w:rPr>
            </w:pPr>
          </w:p>
        </w:tc>
        <w:tc>
          <w:tcPr>
            <w:tcW w:w="2500" w:type="pct"/>
            <w:vAlign w:val="center"/>
            <w:hideMark/>
          </w:tcPr>
          <w:p w:rsidR="00000000" w:rsidRDefault="00F55F16">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Montrose Environmental Group, Inc</w:t>
            </w:r>
            <w:r>
              <w:rPr>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Date: August 9, 202</w:t>
            </w:r>
            <w:r>
              <w:rPr>
                <w:sz w:val="20"/>
                <w:szCs w:val="20"/>
              </w:rPr>
              <w:t>2</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F55F16">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center"/>
              <w:rPr>
                <w:sz w:val="20"/>
                <w:szCs w:val="20"/>
              </w:rPr>
            </w:pPr>
            <w:r>
              <w:rPr>
                <w:sz w:val="20"/>
                <w:szCs w:val="20"/>
              </w:rPr>
              <w:t>/s/ Allan Dick</w:t>
            </w:r>
            <w:r>
              <w:rPr>
                <w:sz w:val="20"/>
                <w:szCs w:val="20"/>
              </w:rPr>
              <w:t>s</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center"/>
              <w:rPr>
                <w:sz w:val="20"/>
                <w:szCs w:val="20"/>
              </w:rPr>
            </w:pPr>
            <w:r>
              <w:rPr>
                <w:sz w:val="20"/>
                <w:szCs w:val="20"/>
              </w:rPr>
              <w:t>Allan Dick</w:t>
            </w:r>
            <w:r>
              <w:rPr>
                <w:sz w:val="20"/>
                <w:szCs w:val="20"/>
              </w:rPr>
              <w:t>s</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F55F16">
            <w:pPr>
              <w:pStyle w:val="a3"/>
              <w:spacing w:before="0" w:beforeAutospacing="0" w:after="0" w:afterAutospacing="0"/>
              <w:jc w:val="center"/>
              <w:rPr>
                <w:sz w:val="20"/>
                <w:szCs w:val="20"/>
              </w:rPr>
            </w:pPr>
            <w:r>
              <w:rPr>
                <w:sz w:val="20"/>
                <w:szCs w:val="20"/>
              </w:rPr>
              <w:t>Chief Financial Office</w:t>
            </w:r>
            <w:r>
              <w:rPr>
                <w:sz w:val="20"/>
                <w:szCs w:val="20"/>
              </w:rPr>
              <w:t>r</w:t>
            </w:r>
          </w:p>
        </w:tc>
      </w:tr>
    </w:tbl>
    <w:p w:rsidR="00000000" w:rsidRDefault="00F55F16">
      <w:pPr>
        <w:pStyle w:val="a3"/>
        <w:spacing w:before="0" w:beforeAutospacing="0" w:after="0" w:afterAutospacing="0"/>
        <w:rPr>
          <w:sz w:val="20"/>
          <w:szCs w:val="20"/>
        </w:rPr>
      </w:pPr>
      <w:r>
        <w:rPr>
          <w:sz w:val="20"/>
          <w:szCs w:val="20"/>
        </w:rPr>
        <w:t> </w:t>
      </w:r>
    </w:p>
    <w:p w:rsidR="00000000" w:rsidRDefault="00F55F16">
      <w:pPr>
        <w:pStyle w:val="a3"/>
        <w:spacing w:before="240" w:beforeAutospacing="0" w:after="0" w:afterAutospacing="0"/>
        <w:jc w:val="center"/>
        <w:rPr>
          <w:sz w:val="20"/>
          <w:szCs w:val="20"/>
        </w:rPr>
      </w:pPr>
      <w:r>
        <w:rPr>
          <w:sz w:val="20"/>
          <w:szCs w:val="20"/>
        </w:rPr>
        <w:t>4</w:t>
      </w:r>
      <w:r>
        <w:rPr>
          <w:sz w:val="20"/>
          <w:szCs w:val="20"/>
        </w:rPr>
        <w:t>9</w:t>
      </w:r>
    </w:p>
    <w:p w:rsidR="00F55F16" w:rsidRDefault="00F55F16">
      <w:pPr>
        <w:rPr>
          <w:rFonts w:eastAsia="Times New Roman"/>
        </w:rPr>
      </w:pPr>
      <w:r>
        <w:rPr>
          <w:rFonts w:eastAsia="Times New Roman"/>
        </w:rPr>
        <w:pict>
          <v:rect id="_x0000_i1075" style="width:0;height:1.5pt" o:hralign="center" o:hrstd="t" o:hr="t" fillcolor="#a0a0a0" stroked="f"/>
        </w:pict>
      </w:r>
    </w:p>
    <w:sectPr w:rsidR="00F55F1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55F16"/>
    <w:rsid w:val="00F55F16"/>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1q4"/>
  <w:attachedSchema w:val="http://fasb.org/us-gaap/2021-01-31"/>
  <w:attachedSchema w:val="http://www.xbrl.org/2003/iso4217"/>
  <w:attachedSchema w:val="http://xbrl.org/2020/extensible-enumerations-2.0"/>
  <w:attachedSchema w:val="http://www.xbrl.org/dtr/type/2020-01-21"/>
  <w:attachedSchema w:val="http://montrose-env.com/20220630"/>
  <w:attachedSchema w:val="http://fasb.org/srt/2021-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521">
      <w:marLeft w:val="0"/>
      <w:marRight w:val="0"/>
      <w:marTop w:val="0"/>
      <w:marBottom w:val="0"/>
      <w:divBdr>
        <w:top w:val="none" w:sz="0" w:space="0" w:color="auto"/>
        <w:left w:val="none" w:sz="0" w:space="0" w:color="auto"/>
        <w:bottom w:val="none" w:sz="0" w:space="0" w:color="auto"/>
        <w:right w:val="none" w:sz="0" w:space="0" w:color="auto"/>
      </w:divBdr>
      <w:divsChild>
        <w:div w:id="69230622">
          <w:marLeft w:val="0"/>
          <w:marRight w:val="0"/>
          <w:marTop w:val="0"/>
          <w:marBottom w:val="0"/>
          <w:divBdr>
            <w:top w:val="none" w:sz="0" w:space="0" w:color="auto"/>
            <w:left w:val="none" w:sz="0" w:space="0" w:color="auto"/>
            <w:bottom w:val="none" w:sz="0" w:space="0" w:color="auto"/>
            <w:right w:val="none" w:sz="0" w:space="0" w:color="auto"/>
          </w:divBdr>
        </w:div>
        <w:div w:id="351342123">
          <w:marLeft w:val="0"/>
          <w:marRight w:val="0"/>
          <w:marTop w:val="0"/>
          <w:marBottom w:val="0"/>
          <w:divBdr>
            <w:top w:val="none" w:sz="0" w:space="0" w:color="auto"/>
            <w:left w:val="none" w:sz="0" w:space="0" w:color="auto"/>
            <w:bottom w:val="none" w:sz="0" w:space="0" w:color="auto"/>
            <w:right w:val="none" w:sz="0" w:space="0" w:color="auto"/>
          </w:divBdr>
        </w:div>
        <w:div w:id="1032413906">
          <w:marLeft w:val="0"/>
          <w:marRight w:val="0"/>
          <w:marTop w:val="0"/>
          <w:marBottom w:val="0"/>
          <w:divBdr>
            <w:top w:val="none" w:sz="0" w:space="0" w:color="auto"/>
            <w:left w:val="none" w:sz="0" w:space="0" w:color="auto"/>
            <w:bottom w:val="none" w:sz="0" w:space="0" w:color="auto"/>
            <w:right w:val="none" w:sz="0" w:space="0" w:color="auto"/>
          </w:divBdr>
        </w:div>
        <w:div w:id="1236551218">
          <w:marLeft w:val="0"/>
          <w:marRight w:val="0"/>
          <w:marTop w:val="0"/>
          <w:marBottom w:val="0"/>
          <w:divBdr>
            <w:top w:val="none" w:sz="0" w:space="0" w:color="auto"/>
            <w:left w:val="none" w:sz="0" w:space="0" w:color="auto"/>
            <w:bottom w:val="none" w:sz="0" w:space="0" w:color="auto"/>
            <w:right w:val="none" w:sz="0" w:space="0" w:color="auto"/>
          </w:divBdr>
        </w:div>
      </w:divsChild>
    </w:div>
    <w:div w:id="147139315">
      <w:marLeft w:val="0"/>
      <w:marRight w:val="0"/>
      <w:marTop w:val="0"/>
      <w:marBottom w:val="0"/>
      <w:divBdr>
        <w:top w:val="none" w:sz="0" w:space="0" w:color="auto"/>
        <w:left w:val="none" w:sz="0" w:space="0" w:color="auto"/>
        <w:bottom w:val="none" w:sz="0" w:space="0" w:color="auto"/>
        <w:right w:val="none" w:sz="0" w:space="0" w:color="auto"/>
      </w:divBdr>
      <w:divsChild>
        <w:div w:id="778450878">
          <w:marLeft w:val="0"/>
          <w:marRight w:val="0"/>
          <w:marTop w:val="0"/>
          <w:marBottom w:val="0"/>
          <w:divBdr>
            <w:top w:val="none" w:sz="0" w:space="0" w:color="auto"/>
            <w:left w:val="none" w:sz="0" w:space="0" w:color="auto"/>
            <w:bottom w:val="none" w:sz="0" w:space="0" w:color="auto"/>
            <w:right w:val="none" w:sz="0" w:space="0" w:color="auto"/>
          </w:divBdr>
        </w:div>
      </w:divsChild>
    </w:div>
    <w:div w:id="155347200">
      <w:marLeft w:val="0"/>
      <w:marRight w:val="0"/>
      <w:marTop w:val="0"/>
      <w:marBottom w:val="0"/>
      <w:divBdr>
        <w:top w:val="none" w:sz="0" w:space="0" w:color="auto"/>
        <w:left w:val="none" w:sz="0" w:space="0" w:color="auto"/>
        <w:bottom w:val="none" w:sz="0" w:space="0" w:color="auto"/>
        <w:right w:val="none" w:sz="0" w:space="0" w:color="auto"/>
      </w:divBdr>
    </w:div>
    <w:div w:id="185683814">
      <w:marLeft w:val="0"/>
      <w:marRight w:val="0"/>
      <w:marTop w:val="0"/>
      <w:marBottom w:val="0"/>
      <w:divBdr>
        <w:top w:val="none" w:sz="0" w:space="0" w:color="auto"/>
        <w:left w:val="none" w:sz="0" w:space="0" w:color="auto"/>
        <w:bottom w:val="none" w:sz="0" w:space="0" w:color="auto"/>
        <w:right w:val="none" w:sz="0" w:space="0" w:color="auto"/>
      </w:divBdr>
      <w:divsChild>
        <w:div w:id="1037856979">
          <w:marLeft w:val="0"/>
          <w:marRight w:val="0"/>
          <w:marTop w:val="0"/>
          <w:marBottom w:val="0"/>
          <w:divBdr>
            <w:top w:val="none" w:sz="0" w:space="0" w:color="auto"/>
            <w:left w:val="none" w:sz="0" w:space="0" w:color="auto"/>
            <w:bottom w:val="none" w:sz="0" w:space="0" w:color="auto"/>
            <w:right w:val="none" w:sz="0" w:space="0" w:color="auto"/>
          </w:divBdr>
        </w:div>
        <w:div w:id="1201086663">
          <w:marLeft w:val="0"/>
          <w:marRight w:val="0"/>
          <w:marTop w:val="0"/>
          <w:marBottom w:val="0"/>
          <w:divBdr>
            <w:top w:val="none" w:sz="0" w:space="0" w:color="auto"/>
            <w:left w:val="none" w:sz="0" w:space="0" w:color="auto"/>
            <w:bottom w:val="none" w:sz="0" w:space="0" w:color="auto"/>
            <w:right w:val="none" w:sz="0" w:space="0" w:color="auto"/>
          </w:divBdr>
        </w:div>
      </w:divsChild>
    </w:div>
    <w:div w:id="236938678">
      <w:marLeft w:val="0"/>
      <w:marRight w:val="0"/>
      <w:marTop w:val="0"/>
      <w:marBottom w:val="0"/>
      <w:divBdr>
        <w:top w:val="none" w:sz="0" w:space="0" w:color="auto"/>
        <w:left w:val="none" w:sz="0" w:space="0" w:color="auto"/>
        <w:bottom w:val="none" w:sz="0" w:space="0" w:color="auto"/>
        <w:right w:val="none" w:sz="0" w:space="0" w:color="auto"/>
      </w:divBdr>
    </w:div>
    <w:div w:id="259460034">
      <w:marLeft w:val="0"/>
      <w:marRight w:val="0"/>
      <w:marTop w:val="0"/>
      <w:marBottom w:val="0"/>
      <w:divBdr>
        <w:top w:val="none" w:sz="0" w:space="0" w:color="auto"/>
        <w:left w:val="none" w:sz="0" w:space="0" w:color="auto"/>
        <w:bottom w:val="none" w:sz="0" w:space="0" w:color="auto"/>
        <w:right w:val="none" w:sz="0" w:space="0" w:color="auto"/>
      </w:divBdr>
      <w:divsChild>
        <w:div w:id="2084444379">
          <w:marLeft w:val="0"/>
          <w:marRight w:val="0"/>
          <w:marTop w:val="0"/>
          <w:marBottom w:val="0"/>
          <w:divBdr>
            <w:top w:val="none" w:sz="0" w:space="0" w:color="auto"/>
            <w:left w:val="none" w:sz="0" w:space="0" w:color="auto"/>
            <w:bottom w:val="none" w:sz="0" w:space="0" w:color="auto"/>
            <w:right w:val="none" w:sz="0" w:space="0" w:color="auto"/>
          </w:divBdr>
        </w:div>
        <w:div w:id="1164974394">
          <w:marLeft w:val="0"/>
          <w:marRight w:val="0"/>
          <w:marTop w:val="0"/>
          <w:marBottom w:val="0"/>
          <w:divBdr>
            <w:top w:val="none" w:sz="0" w:space="0" w:color="auto"/>
            <w:left w:val="none" w:sz="0" w:space="0" w:color="auto"/>
            <w:bottom w:val="none" w:sz="0" w:space="0" w:color="auto"/>
            <w:right w:val="none" w:sz="0" w:space="0" w:color="auto"/>
          </w:divBdr>
        </w:div>
        <w:div w:id="573660687">
          <w:marLeft w:val="0"/>
          <w:marRight w:val="0"/>
          <w:marTop w:val="0"/>
          <w:marBottom w:val="0"/>
          <w:divBdr>
            <w:top w:val="none" w:sz="0" w:space="0" w:color="auto"/>
            <w:left w:val="none" w:sz="0" w:space="0" w:color="auto"/>
            <w:bottom w:val="none" w:sz="0" w:space="0" w:color="auto"/>
            <w:right w:val="none" w:sz="0" w:space="0" w:color="auto"/>
          </w:divBdr>
        </w:div>
      </w:divsChild>
    </w:div>
    <w:div w:id="268006830">
      <w:marLeft w:val="0"/>
      <w:marRight w:val="0"/>
      <w:marTop w:val="0"/>
      <w:marBottom w:val="0"/>
      <w:divBdr>
        <w:top w:val="none" w:sz="0" w:space="0" w:color="auto"/>
        <w:left w:val="none" w:sz="0" w:space="0" w:color="auto"/>
        <w:bottom w:val="none" w:sz="0" w:space="0" w:color="auto"/>
        <w:right w:val="none" w:sz="0" w:space="0" w:color="auto"/>
      </w:divBdr>
      <w:divsChild>
        <w:div w:id="1326207020">
          <w:marLeft w:val="0"/>
          <w:marRight w:val="0"/>
          <w:marTop w:val="0"/>
          <w:marBottom w:val="0"/>
          <w:divBdr>
            <w:top w:val="none" w:sz="0" w:space="0" w:color="auto"/>
            <w:left w:val="none" w:sz="0" w:space="0" w:color="auto"/>
            <w:bottom w:val="none" w:sz="0" w:space="0" w:color="auto"/>
            <w:right w:val="none" w:sz="0" w:space="0" w:color="auto"/>
          </w:divBdr>
        </w:div>
        <w:div w:id="181477969">
          <w:marLeft w:val="0"/>
          <w:marRight w:val="0"/>
          <w:marTop w:val="0"/>
          <w:marBottom w:val="0"/>
          <w:divBdr>
            <w:top w:val="none" w:sz="0" w:space="0" w:color="auto"/>
            <w:left w:val="none" w:sz="0" w:space="0" w:color="auto"/>
            <w:bottom w:val="none" w:sz="0" w:space="0" w:color="auto"/>
            <w:right w:val="none" w:sz="0" w:space="0" w:color="auto"/>
          </w:divBdr>
        </w:div>
        <w:div w:id="1361928436">
          <w:marLeft w:val="0"/>
          <w:marRight w:val="0"/>
          <w:marTop w:val="0"/>
          <w:marBottom w:val="0"/>
          <w:divBdr>
            <w:top w:val="none" w:sz="0" w:space="0" w:color="auto"/>
            <w:left w:val="none" w:sz="0" w:space="0" w:color="auto"/>
            <w:bottom w:val="none" w:sz="0" w:space="0" w:color="auto"/>
            <w:right w:val="none" w:sz="0" w:space="0" w:color="auto"/>
          </w:divBdr>
          <w:divsChild>
            <w:div w:id="970793385">
              <w:marLeft w:val="0"/>
              <w:marRight w:val="0"/>
              <w:marTop w:val="40"/>
              <w:marBottom w:val="0"/>
              <w:divBdr>
                <w:top w:val="none" w:sz="0" w:space="0" w:color="auto"/>
                <w:left w:val="none" w:sz="0" w:space="0" w:color="auto"/>
                <w:bottom w:val="none" w:sz="0" w:space="0" w:color="auto"/>
                <w:right w:val="none" w:sz="0" w:space="0" w:color="auto"/>
              </w:divBdr>
              <w:divsChild>
                <w:div w:id="5751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5270">
      <w:marLeft w:val="0"/>
      <w:marRight w:val="0"/>
      <w:marTop w:val="0"/>
      <w:marBottom w:val="0"/>
      <w:divBdr>
        <w:top w:val="none" w:sz="0" w:space="0" w:color="auto"/>
        <w:left w:val="none" w:sz="0" w:space="0" w:color="auto"/>
        <w:bottom w:val="none" w:sz="0" w:space="0" w:color="auto"/>
        <w:right w:val="none" w:sz="0" w:space="0" w:color="auto"/>
      </w:divBdr>
      <w:divsChild>
        <w:div w:id="4063943">
          <w:marLeft w:val="0"/>
          <w:marRight w:val="0"/>
          <w:marTop w:val="0"/>
          <w:marBottom w:val="0"/>
          <w:divBdr>
            <w:top w:val="none" w:sz="0" w:space="0" w:color="auto"/>
            <w:left w:val="none" w:sz="0" w:space="0" w:color="auto"/>
            <w:bottom w:val="none" w:sz="0" w:space="0" w:color="auto"/>
            <w:right w:val="none" w:sz="0" w:space="0" w:color="auto"/>
          </w:divBdr>
        </w:div>
      </w:divsChild>
    </w:div>
    <w:div w:id="565065299">
      <w:marLeft w:val="0"/>
      <w:marRight w:val="0"/>
      <w:marTop w:val="0"/>
      <w:marBottom w:val="0"/>
      <w:divBdr>
        <w:top w:val="none" w:sz="0" w:space="0" w:color="auto"/>
        <w:left w:val="none" w:sz="0" w:space="0" w:color="auto"/>
        <w:bottom w:val="none" w:sz="0" w:space="0" w:color="auto"/>
        <w:right w:val="none" w:sz="0" w:space="0" w:color="auto"/>
      </w:divBdr>
    </w:div>
    <w:div w:id="595330551">
      <w:marLeft w:val="4"/>
      <w:marRight w:val="0"/>
      <w:marTop w:val="120"/>
      <w:marBottom w:val="0"/>
      <w:divBdr>
        <w:top w:val="none" w:sz="0" w:space="0" w:color="auto"/>
        <w:left w:val="none" w:sz="0" w:space="0" w:color="auto"/>
        <w:bottom w:val="none" w:sz="0" w:space="0" w:color="auto"/>
        <w:right w:val="none" w:sz="0" w:space="0" w:color="auto"/>
      </w:divBdr>
      <w:divsChild>
        <w:div w:id="1368407799">
          <w:marLeft w:val="0"/>
          <w:marRight w:val="0"/>
          <w:marTop w:val="0"/>
          <w:marBottom w:val="0"/>
          <w:divBdr>
            <w:top w:val="none" w:sz="0" w:space="0" w:color="auto"/>
            <w:left w:val="none" w:sz="0" w:space="0" w:color="auto"/>
            <w:bottom w:val="none" w:sz="0" w:space="0" w:color="auto"/>
            <w:right w:val="none" w:sz="0" w:space="0" w:color="auto"/>
          </w:divBdr>
        </w:div>
      </w:divsChild>
    </w:div>
    <w:div w:id="650600985">
      <w:marLeft w:val="0"/>
      <w:marRight w:val="0"/>
      <w:marTop w:val="0"/>
      <w:marBottom w:val="0"/>
      <w:divBdr>
        <w:top w:val="none" w:sz="0" w:space="0" w:color="auto"/>
        <w:left w:val="none" w:sz="0" w:space="0" w:color="auto"/>
        <w:bottom w:val="none" w:sz="0" w:space="0" w:color="auto"/>
        <w:right w:val="none" w:sz="0" w:space="0" w:color="auto"/>
      </w:divBdr>
      <w:divsChild>
        <w:div w:id="582954151">
          <w:marLeft w:val="0"/>
          <w:marRight w:val="0"/>
          <w:marTop w:val="0"/>
          <w:marBottom w:val="0"/>
          <w:divBdr>
            <w:top w:val="none" w:sz="0" w:space="0" w:color="auto"/>
            <w:left w:val="none" w:sz="0" w:space="0" w:color="auto"/>
            <w:bottom w:val="none" w:sz="0" w:space="0" w:color="auto"/>
            <w:right w:val="none" w:sz="0" w:space="0" w:color="auto"/>
          </w:divBdr>
        </w:div>
      </w:divsChild>
    </w:div>
    <w:div w:id="663974827">
      <w:marLeft w:val="4"/>
      <w:marRight w:val="0"/>
      <w:marTop w:val="120"/>
      <w:marBottom w:val="0"/>
      <w:divBdr>
        <w:top w:val="none" w:sz="0" w:space="0" w:color="auto"/>
        <w:left w:val="none" w:sz="0" w:space="0" w:color="auto"/>
        <w:bottom w:val="none" w:sz="0" w:space="0" w:color="auto"/>
        <w:right w:val="none" w:sz="0" w:space="0" w:color="auto"/>
      </w:divBdr>
      <w:divsChild>
        <w:div w:id="2068264284">
          <w:marLeft w:val="0"/>
          <w:marRight w:val="0"/>
          <w:marTop w:val="0"/>
          <w:marBottom w:val="0"/>
          <w:divBdr>
            <w:top w:val="none" w:sz="0" w:space="0" w:color="auto"/>
            <w:left w:val="none" w:sz="0" w:space="0" w:color="auto"/>
            <w:bottom w:val="none" w:sz="0" w:space="0" w:color="auto"/>
            <w:right w:val="none" w:sz="0" w:space="0" w:color="auto"/>
          </w:divBdr>
        </w:div>
      </w:divsChild>
    </w:div>
    <w:div w:id="694814709">
      <w:marLeft w:val="0"/>
      <w:marRight w:val="0"/>
      <w:marTop w:val="0"/>
      <w:marBottom w:val="0"/>
      <w:divBdr>
        <w:top w:val="none" w:sz="0" w:space="0" w:color="auto"/>
        <w:left w:val="none" w:sz="0" w:space="0" w:color="auto"/>
        <w:bottom w:val="none" w:sz="0" w:space="0" w:color="auto"/>
        <w:right w:val="none" w:sz="0" w:space="0" w:color="auto"/>
      </w:divBdr>
    </w:div>
    <w:div w:id="695816355">
      <w:marLeft w:val="4"/>
      <w:marRight w:val="0"/>
      <w:marTop w:val="120"/>
      <w:marBottom w:val="0"/>
      <w:divBdr>
        <w:top w:val="none" w:sz="0" w:space="0" w:color="auto"/>
        <w:left w:val="none" w:sz="0" w:space="0" w:color="auto"/>
        <w:bottom w:val="none" w:sz="0" w:space="0" w:color="auto"/>
        <w:right w:val="none" w:sz="0" w:space="0" w:color="auto"/>
      </w:divBdr>
      <w:divsChild>
        <w:div w:id="805003045">
          <w:marLeft w:val="0"/>
          <w:marRight w:val="0"/>
          <w:marTop w:val="0"/>
          <w:marBottom w:val="0"/>
          <w:divBdr>
            <w:top w:val="none" w:sz="0" w:space="0" w:color="auto"/>
            <w:left w:val="none" w:sz="0" w:space="0" w:color="auto"/>
            <w:bottom w:val="none" w:sz="0" w:space="0" w:color="auto"/>
            <w:right w:val="none" w:sz="0" w:space="0" w:color="auto"/>
          </w:divBdr>
        </w:div>
      </w:divsChild>
    </w:div>
    <w:div w:id="777482270">
      <w:marLeft w:val="4"/>
      <w:marRight w:val="0"/>
      <w:marTop w:val="120"/>
      <w:marBottom w:val="0"/>
      <w:divBdr>
        <w:top w:val="none" w:sz="0" w:space="0" w:color="auto"/>
        <w:left w:val="none" w:sz="0" w:space="0" w:color="auto"/>
        <w:bottom w:val="none" w:sz="0" w:space="0" w:color="auto"/>
        <w:right w:val="none" w:sz="0" w:space="0" w:color="auto"/>
      </w:divBdr>
      <w:divsChild>
        <w:div w:id="500781259">
          <w:marLeft w:val="0"/>
          <w:marRight w:val="0"/>
          <w:marTop w:val="0"/>
          <w:marBottom w:val="0"/>
          <w:divBdr>
            <w:top w:val="none" w:sz="0" w:space="0" w:color="auto"/>
            <w:left w:val="none" w:sz="0" w:space="0" w:color="auto"/>
            <w:bottom w:val="none" w:sz="0" w:space="0" w:color="auto"/>
            <w:right w:val="none" w:sz="0" w:space="0" w:color="auto"/>
          </w:divBdr>
        </w:div>
      </w:divsChild>
    </w:div>
    <w:div w:id="795416300">
      <w:marLeft w:val="0"/>
      <w:marRight w:val="0"/>
      <w:marTop w:val="0"/>
      <w:marBottom w:val="0"/>
      <w:divBdr>
        <w:top w:val="none" w:sz="0" w:space="0" w:color="auto"/>
        <w:left w:val="none" w:sz="0" w:space="0" w:color="auto"/>
        <w:bottom w:val="none" w:sz="0" w:space="0" w:color="auto"/>
        <w:right w:val="none" w:sz="0" w:space="0" w:color="auto"/>
      </w:divBdr>
      <w:divsChild>
        <w:div w:id="287711188">
          <w:marLeft w:val="0"/>
          <w:marRight w:val="0"/>
          <w:marTop w:val="0"/>
          <w:marBottom w:val="0"/>
          <w:divBdr>
            <w:top w:val="none" w:sz="0" w:space="0" w:color="auto"/>
            <w:left w:val="none" w:sz="0" w:space="0" w:color="auto"/>
            <w:bottom w:val="none" w:sz="0" w:space="0" w:color="auto"/>
            <w:right w:val="none" w:sz="0" w:space="0" w:color="auto"/>
          </w:divBdr>
        </w:div>
        <w:div w:id="2016298171">
          <w:marLeft w:val="0"/>
          <w:marRight w:val="0"/>
          <w:marTop w:val="0"/>
          <w:marBottom w:val="0"/>
          <w:divBdr>
            <w:top w:val="none" w:sz="0" w:space="0" w:color="auto"/>
            <w:left w:val="none" w:sz="0" w:space="0" w:color="auto"/>
            <w:bottom w:val="none" w:sz="0" w:space="0" w:color="auto"/>
            <w:right w:val="none" w:sz="0" w:space="0" w:color="auto"/>
          </w:divBdr>
        </w:div>
        <w:div w:id="1808627733">
          <w:marLeft w:val="0"/>
          <w:marRight w:val="0"/>
          <w:marTop w:val="0"/>
          <w:marBottom w:val="0"/>
          <w:divBdr>
            <w:top w:val="none" w:sz="0" w:space="0" w:color="auto"/>
            <w:left w:val="none" w:sz="0" w:space="0" w:color="auto"/>
            <w:bottom w:val="none" w:sz="0" w:space="0" w:color="auto"/>
            <w:right w:val="none" w:sz="0" w:space="0" w:color="auto"/>
          </w:divBdr>
        </w:div>
        <w:div w:id="944314829">
          <w:marLeft w:val="0"/>
          <w:marRight w:val="0"/>
          <w:marTop w:val="0"/>
          <w:marBottom w:val="0"/>
          <w:divBdr>
            <w:top w:val="none" w:sz="0" w:space="0" w:color="auto"/>
            <w:left w:val="none" w:sz="0" w:space="0" w:color="auto"/>
            <w:bottom w:val="none" w:sz="0" w:space="0" w:color="auto"/>
            <w:right w:val="none" w:sz="0" w:space="0" w:color="auto"/>
          </w:divBdr>
        </w:div>
        <w:div w:id="1279217736">
          <w:marLeft w:val="0"/>
          <w:marRight w:val="0"/>
          <w:marTop w:val="0"/>
          <w:marBottom w:val="0"/>
          <w:divBdr>
            <w:top w:val="none" w:sz="0" w:space="0" w:color="auto"/>
            <w:left w:val="none" w:sz="0" w:space="0" w:color="auto"/>
            <w:bottom w:val="none" w:sz="0" w:space="0" w:color="auto"/>
            <w:right w:val="none" w:sz="0" w:space="0" w:color="auto"/>
          </w:divBdr>
        </w:div>
        <w:div w:id="1122648320">
          <w:marLeft w:val="0"/>
          <w:marRight w:val="0"/>
          <w:marTop w:val="0"/>
          <w:marBottom w:val="0"/>
          <w:divBdr>
            <w:top w:val="none" w:sz="0" w:space="0" w:color="auto"/>
            <w:left w:val="none" w:sz="0" w:space="0" w:color="auto"/>
            <w:bottom w:val="none" w:sz="0" w:space="0" w:color="auto"/>
            <w:right w:val="none" w:sz="0" w:space="0" w:color="auto"/>
          </w:divBdr>
        </w:div>
        <w:div w:id="578834489">
          <w:marLeft w:val="0"/>
          <w:marRight w:val="0"/>
          <w:marTop w:val="0"/>
          <w:marBottom w:val="0"/>
          <w:divBdr>
            <w:top w:val="none" w:sz="0" w:space="0" w:color="auto"/>
            <w:left w:val="none" w:sz="0" w:space="0" w:color="auto"/>
            <w:bottom w:val="none" w:sz="0" w:space="0" w:color="auto"/>
            <w:right w:val="none" w:sz="0" w:space="0" w:color="auto"/>
          </w:divBdr>
        </w:div>
      </w:divsChild>
    </w:div>
    <w:div w:id="864900690">
      <w:marLeft w:val="4"/>
      <w:marRight w:val="0"/>
      <w:marTop w:val="120"/>
      <w:marBottom w:val="0"/>
      <w:divBdr>
        <w:top w:val="none" w:sz="0" w:space="0" w:color="auto"/>
        <w:left w:val="none" w:sz="0" w:space="0" w:color="auto"/>
        <w:bottom w:val="none" w:sz="0" w:space="0" w:color="auto"/>
        <w:right w:val="none" w:sz="0" w:space="0" w:color="auto"/>
      </w:divBdr>
      <w:divsChild>
        <w:div w:id="1632785101">
          <w:marLeft w:val="0"/>
          <w:marRight w:val="0"/>
          <w:marTop w:val="0"/>
          <w:marBottom w:val="0"/>
          <w:divBdr>
            <w:top w:val="none" w:sz="0" w:space="0" w:color="auto"/>
            <w:left w:val="none" w:sz="0" w:space="0" w:color="auto"/>
            <w:bottom w:val="none" w:sz="0" w:space="0" w:color="auto"/>
            <w:right w:val="none" w:sz="0" w:space="0" w:color="auto"/>
          </w:divBdr>
        </w:div>
      </w:divsChild>
    </w:div>
    <w:div w:id="906842379">
      <w:marLeft w:val="0"/>
      <w:marRight w:val="0"/>
      <w:marTop w:val="0"/>
      <w:marBottom w:val="0"/>
      <w:divBdr>
        <w:top w:val="none" w:sz="0" w:space="0" w:color="auto"/>
        <w:left w:val="none" w:sz="0" w:space="0" w:color="auto"/>
        <w:bottom w:val="none" w:sz="0" w:space="0" w:color="auto"/>
        <w:right w:val="none" w:sz="0" w:space="0" w:color="auto"/>
      </w:divBdr>
      <w:divsChild>
        <w:div w:id="1799106615">
          <w:marLeft w:val="0"/>
          <w:marRight w:val="0"/>
          <w:marTop w:val="0"/>
          <w:marBottom w:val="0"/>
          <w:divBdr>
            <w:top w:val="none" w:sz="0" w:space="0" w:color="auto"/>
            <w:left w:val="none" w:sz="0" w:space="0" w:color="auto"/>
            <w:bottom w:val="none" w:sz="0" w:space="0" w:color="auto"/>
            <w:right w:val="none" w:sz="0" w:space="0" w:color="auto"/>
          </w:divBdr>
        </w:div>
        <w:div w:id="299500722">
          <w:marLeft w:val="0"/>
          <w:marRight w:val="0"/>
          <w:marTop w:val="0"/>
          <w:marBottom w:val="0"/>
          <w:divBdr>
            <w:top w:val="none" w:sz="0" w:space="0" w:color="auto"/>
            <w:left w:val="none" w:sz="0" w:space="0" w:color="auto"/>
            <w:bottom w:val="none" w:sz="0" w:space="0" w:color="auto"/>
            <w:right w:val="none" w:sz="0" w:space="0" w:color="auto"/>
          </w:divBdr>
        </w:div>
      </w:divsChild>
    </w:div>
    <w:div w:id="947933791">
      <w:marLeft w:val="4"/>
      <w:marRight w:val="0"/>
      <w:marTop w:val="120"/>
      <w:marBottom w:val="0"/>
      <w:divBdr>
        <w:top w:val="none" w:sz="0" w:space="0" w:color="auto"/>
        <w:left w:val="none" w:sz="0" w:space="0" w:color="auto"/>
        <w:bottom w:val="none" w:sz="0" w:space="0" w:color="auto"/>
        <w:right w:val="none" w:sz="0" w:space="0" w:color="auto"/>
      </w:divBdr>
      <w:divsChild>
        <w:div w:id="90245752">
          <w:marLeft w:val="0"/>
          <w:marRight w:val="0"/>
          <w:marTop w:val="0"/>
          <w:marBottom w:val="0"/>
          <w:divBdr>
            <w:top w:val="none" w:sz="0" w:space="0" w:color="auto"/>
            <w:left w:val="none" w:sz="0" w:space="0" w:color="auto"/>
            <w:bottom w:val="none" w:sz="0" w:space="0" w:color="auto"/>
            <w:right w:val="none" w:sz="0" w:space="0" w:color="auto"/>
          </w:divBdr>
        </w:div>
      </w:divsChild>
    </w:div>
    <w:div w:id="960499428">
      <w:marLeft w:val="4"/>
      <w:marRight w:val="0"/>
      <w:marTop w:val="120"/>
      <w:marBottom w:val="0"/>
      <w:divBdr>
        <w:top w:val="none" w:sz="0" w:space="0" w:color="auto"/>
        <w:left w:val="none" w:sz="0" w:space="0" w:color="auto"/>
        <w:bottom w:val="none" w:sz="0" w:space="0" w:color="auto"/>
        <w:right w:val="none" w:sz="0" w:space="0" w:color="auto"/>
      </w:divBdr>
      <w:divsChild>
        <w:div w:id="1911960724">
          <w:marLeft w:val="0"/>
          <w:marRight w:val="0"/>
          <w:marTop w:val="0"/>
          <w:marBottom w:val="0"/>
          <w:divBdr>
            <w:top w:val="none" w:sz="0" w:space="0" w:color="auto"/>
            <w:left w:val="none" w:sz="0" w:space="0" w:color="auto"/>
            <w:bottom w:val="none" w:sz="0" w:space="0" w:color="auto"/>
            <w:right w:val="none" w:sz="0" w:space="0" w:color="auto"/>
          </w:divBdr>
        </w:div>
      </w:divsChild>
    </w:div>
    <w:div w:id="988052917">
      <w:marLeft w:val="0"/>
      <w:marRight w:val="0"/>
      <w:marTop w:val="0"/>
      <w:marBottom w:val="0"/>
      <w:divBdr>
        <w:top w:val="none" w:sz="0" w:space="0" w:color="auto"/>
        <w:left w:val="none" w:sz="0" w:space="0" w:color="auto"/>
        <w:bottom w:val="none" w:sz="0" w:space="0" w:color="auto"/>
        <w:right w:val="none" w:sz="0" w:space="0" w:color="auto"/>
      </w:divBdr>
      <w:divsChild>
        <w:div w:id="484514175">
          <w:marLeft w:val="0"/>
          <w:marRight w:val="0"/>
          <w:marTop w:val="0"/>
          <w:marBottom w:val="0"/>
          <w:divBdr>
            <w:top w:val="none" w:sz="0" w:space="0" w:color="auto"/>
            <w:left w:val="none" w:sz="0" w:space="0" w:color="auto"/>
            <w:bottom w:val="none" w:sz="0" w:space="0" w:color="auto"/>
            <w:right w:val="none" w:sz="0" w:space="0" w:color="auto"/>
          </w:divBdr>
        </w:div>
      </w:divsChild>
    </w:div>
    <w:div w:id="1034845039">
      <w:marLeft w:val="4"/>
      <w:marRight w:val="0"/>
      <w:marTop w:val="120"/>
      <w:marBottom w:val="0"/>
      <w:divBdr>
        <w:top w:val="none" w:sz="0" w:space="0" w:color="auto"/>
        <w:left w:val="none" w:sz="0" w:space="0" w:color="auto"/>
        <w:bottom w:val="none" w:sz="0" w:space="0" w:color="auto"/>
        <w:right w:val="none" w:sz="0" w:space="0" w:color="auto"/>
      </w:divBdr>
      <w:divsChild>
        <w:div w:id="1373193606">
          <w:marLeft w:val="0"/>
          <w:marRight w:val="0"/>
          <w:marTop w:val="0"/>
          <w:marBottom w:val="0"/>
          <w:divBdr>
            <w:top w:val="none" w:sz="0" w:space="0" w:color="auto"/>
            <w:left w:val="none" w:sz="0" w:space="0" w:color="auto"/>
            <w:bottom w:val="none" w:sz="0" w:space="0" w:color="auto"/>
            <w:right w:val="none" w:sz="0" w:space="0" w:color="auto"/>
          </w:divBdr>
        </w:div>
      </w:divsChild>
    </w:div>
    <w:div w:id="1043824596">
      <w:marLeft w:val="4"/>
      <w:marRight w:val="0"/>
      <w:marTop w:val="120"/>
      <w:marBottom w:val="0"/>
      <w:divBdr>
        <w:top w:val="none" w:sz="0" w:space="0" w:color="auto"/>
        <w:left w:val="none" w:sz="0" w:space="0" w:color="auto"/>
        <w:bottom w:val="none" w:sz="0" w:space="0" w:color="auto"/>
        <w:right w:val="none" w:sz="0" w:space="0" w:color="auto"/>
      </w:divBdr>
      <w:divsChild>
        <w:div w:id="580217988">
          <w:marLeft w:val="0"/>
          <w:marRight w:val="0"/>
          <w:marTop w:val="0"/>
          <w:marBottom w:val="0"/>
          <w:divBdr>
            <w:top w:val="none" w:sz="0" w:space="0" w:color="auto"/>
            <w:left w:val="none" w:sz="0" w:space="0" w:color="auto"/>
            <w:bottom w:val="none" w:sz="0" w:space="0" w:color="auto"/>
            <w:right w:val="none" w:sz="0" w:space="0" w:color="auto"/>
          </w:divBdr>
        </w:div>
      </w:divsChild>
    </w:div>
    <w:div w:id="1060834141">
      <w:marLeft w:val="4"/>
      <w:marRight w:val="0"/>
      <w:marTop w:val="120"/>
      <w:marBottom w:val="0"/>
      <w:divBdr>
        <w:top w:val="none" w:sz="0" w:space="0" w:color="auto"/>
        <w:left w:val="none" w:sz="0" w:space="0" w:color="auto"/>
        <w:bottom w:val="none" w:sz="0" w:space="0" w:color="auto"/>
        <w:right w:val="none" w:sz="0" w:space="0" w:color="auto"/>
      </w:divBdr>
      <w:divsChild>
        <w:div w:id="847215112">
          <w:marLeft w:val="0"/>
          <w:marRight w:val="0"/>
          <w:marTop w:val="0"/>
          <w:marBottom w:val="0"/>
          <w:divBdr>
            <w:top w:val="none" w:sz="0" w:space="0" w:color="auto"/>
            <w:left w:val="none" w:sz="0" w:space="0" w:color="auto"/>
            <w:bottom w:val="none" w:sz="0" w:space="0" w:color="auto"/>
            <w:right w:val="none" w:sz="0" w:space="0" w:color="auto"/>
          </w:divBdr>
        </w:div>
      </w:divsChild>
    </w:div>
    <w:div w:id="1065183812">
      <w:marLeft w:val="4"/>
      <w:marRight w:val="0"/>
      <w:marTop w:val="120"/>
      <w:marBottom w:val="0"/>
      <w:divBdr>
        <w:top w:val="none" w:sz="0" w:space="0" w:color="auto"/>
        <w:left w:val="none" w:sz="0" w:space="0" w:color="auto"/>
        <w:bottom w:val="none" w:sz="0" w:space="0" w:color="auto"/>
        <w:right w:val="none" w:sz="0" w:space="0" w:color="auto"/>
      </w:divBdr>
      <w:divsChild>
        <w:div w:id="1290864585">
          <w:marLeft w:val="0"/>
          <w:marRight w:val="0"/>
          <w:marTop w:val="0"/>
          <w:marBottom w:val="0"/>
          <w:divBdr>
            <w:top w:val="none" w:sz="0" w:space="0" w:color="auto"/>
            <w:left w:val="none" w:sz="0" w:space="0" w:color="auto"/>
            <w:bottom w:val="none" w:sz="0" w:space="0" w:color="auto"/>
            <w:right w:val="none" w:sz="0" w:space="0" w:color="auto"/>
          </w:divBdr>
        </w:div>
      </w:divsChild>
    </w:div>
    <w:div w:id="1066417506">
      <w:marLeft w:val="4"/>
      <w:marRight w:val="0"/>
      <w:marTop w:val="120"/>
      <w:marBottom w:val="0"/>
      <w:divBdr>
        <w:top w:val="none" w:sz="0" w:space="0" w:color="auto"/>
        <w:left w:val="none" w:sz="0" w:space="0" w:color="auto"/>
        <w:bottom w:val="none" w:sz="0" w:space="0" w:color="auto"/>
        <w:right w:val="none" w:sz="0" w:space="0" w:color="auto"/>
      </w:divBdr>
      <w:divsChild>
        <w:div w:id="1547765218">
          <w:marLeft w:val="0"/>
          <w:marRight w:val="0"/>
          <w:marTop w:val="0"/>
          <w:marBottom w:val="0"/>
          <w:divBdr>
            <w:top w:val="none" w:sz="0" w:space="0" w:color="auto"/>
            <w:left w:val="none" w:sz="0" w:space="0" w:color="auto"/>
            <w:bottom w:val="none" w:sz="0" w:space="0" w:color="auto"/>
            <w:right w:val="none" w:sz="0" w:space="0" w:color="auto"/>
          </w:divBdr>
        </w:div>
      </w:divsChild>
    </w:div>
    <w:div w:id="1146043508">
      <w:marLeft w:val="4"/>
      <w:marRight w:val="0"/>
      <w:marTop w:val="120"/>
      <w:marBottom w:val="0"/>
      <w:divBdr>
        <w:top w:val="none" w:sz="0" w:space="0" w:color="auto"/>
        <w:left w:val="none" w:sz="0" w:space="0" w:color="auto"/>
        <w:bottom w:val="none" w:sz="0" w:space="0" w:color="auto"/>
        <w:right w:val="none" w:sz="0" w:space="0" w:color="auto"/>
      </w:divBdr>
      <w:divsChild>
        <w:div w:id="760024183">
          <w:marLeft w:val="0"/>
          <w:marRight w:val="0"/>
          <w:marTop w:val="0"/>
          <w:marBottom w:val="0"/>
          <w:divBdr>
            <w:top w:val="none" w:sz="0" w:space="0" w:color="auto"/>
            <w:left w:val="none" w:sz="0" w:space="0" w:color="auto"/>
            <w:bottom w:val="none" w:sz="0" w:space="0" w:color="auto"/>
            <w:right w:val="none" w:sz="0" w:space="0" w:color="auto"/>
          </w:divBdr>
        </w:div>
      </w:divsChild>
    </w:div>
    <w:div w:id="1156923387">
      <w:marLeft w:val="0"/>
      <w:marRight w:val="0"/>
      <w:marTop w:val="0"/>
      <w:marBottom w:val="0"/>
      <w:divBdr>
        <w:top w:val="none" w:sz="0" w:space="0" w:color="auto"/>
        <w:left w:val="none" w:sz="0" w:space="0" w:color="auto"/>
        <w:bottom w:val="none" w:sz="0" w:space="0" w:color="auto"/>
        <w:right w:val="none" w:sz="0" w:space="0" w:color="auto"/>
      </w:divBdr>
    </w:div>
    <w:div w:id="1176067456">
      <w:marLeft w:val="0"/>
      <w:marRight w:val="0"/>
      <w:marTop w:val="0"/>
      <w:marBottom w:val="0"/>
      <w:divBdr>
        <w:top w:val="none" w:sz="0" w:space="0" w:color="auto"/>
        <w:left w:val="none" w:sz="0" w:space="0" w:color="auto"/>
        <w:bottom w:val="none" w:sz="0" w:space="0" w:color="auto"/>
        <w:right w:val="none" w:sz="0" w:space="0" w:color="auto"/>
      </w:divBdr>
      <w:divsChild>
        <w:div w:id="1637563465">
          <w:marLeft w:val="0"/>
          <w:marRight w:val="0"/>
          <w:marTop w:val="0"/>
          <w:marBottom w:val="0"/>
          <w:divBdr>
            <w:top w:val="none" w:sz="0" w:space="0" w:color="auto"/>
            <w:left w:val="none" w:sz="0" w:space="0" w:color="auto"/>
            <w:bottom w:val="none" w:sz="0" w:space="0" w:color="auto"/>
            <w:right w:val="none" w:sz="0" w:space="0" w:color="auto"/>
          </w:divBdr>
        </w:div>
        <w:div w:id="1419716960">
          <w:marLeft w:val="0"/>
          <w:marRight w:val="0"/>
          <w:marTop w:val="0"/>
          <w:marBottom w:val="0"/>
          <w:divBdr>
            <w:top w:val="none" w:sz="0" w:space="0" w:color="auto"/>
            <w:left w:val="none" w:sz="0" w:space="0" w:color="auto"/>
            <w:bottom w:val="none" w:sz="0" w:space="0" w:color="auto"/>
            <w:right w:val="none" w:sz="0" w:space="0" w:color="auto"/>
          </w:divBdr>
        </w:div>
        <w:div w:id="1471481602">
          <w:marLeft w:val="0"/>
          <w:marRight w:val="0"/>
          <w:marTop w:val="0"/>
          <w:marBottom w:val="0"/>
          <w:divBdr>
            <w:top w:val="none" w:sz="0" w:space="0" w:color="auto"/>
            <w:left w:val="none" w:sz="0" w:space="0" w:color="auto"/>
            <w:bottom w:val="none" w:sz="0" w:space="0" w:color="auto"/>
            <w:right w:val="none" w:sz="0" w:space="0" w:color="auto"/>
          </w:divBdr>
        </w:div>
        <w:div w:id="1863545726">
          <w:marLeft w:val="0"/>
          <w:marRight w:val="0"/>
          <w:marTop w:val="0"/>
          <w:marBottom w:val="0"/>
          <w:divBdr>
            <w:top w:val="none" w:sz="0" w:space="0" w:color="auto"/>
            <w:left w:val="none" w:sz="0" w:space="0" w:color="auto"/>
            <w:bottom w:val="none" w:sz="0" w:space="0" w:color="auto"/>
            <w:right w:val="none" w:sz="0" w:space="0" w:color="auto"/>
          </w:divBdr>
        </w:div>
        <w:div w:id="1874808861">
          <w:marLeft w:val="0"/>
          <w:marRight w:val="0"/>
          <w:marTop w:val="0"/>
          <w:marBottom w:val="0"/>
          <w:divBdr>
            <w:top w:val="none" w:sz="0" w:space="0" w:color="auto"/>
            <w:left w:val="none" w:sz="0" w:space="0" w:color="auto"/>
            <w:bottom w:val="none" w:sz="0" w:space="0" w:color="auto"/>
            <w:right w:val="none" w:sz="0" w:space="0" w:color="auto"/>
          </w:divBdr>
        </w:div>
        <w:div w:id="1874725520">
          <w:marLeft w:val="0"/>
          <w:marRight w:val="0"/>
          <w:marTop w:val="0"/>
          <w:marBottom w:val="0"/>
          <w:divBdr>
            <w:top w:val="none" w:sz="0" w:space="0" w:color="auto"/>
            <w:left w:val="none" w:sz="0" w:space="0" w:color="auto"/>
            <w:bottom w:val="none" w:sz="0" w:space="0" w:color="auto"/>
            <w:right w:val="none" w:sz="0" w:space="0" w:color="auto"/>
          </w:divBdr>
        </w:div>
        <w:div w:id="156312941">
          <w:marLeft w:val="0"/>
          <w:marRight w:val="0"/>
          <w:marTop w:val="0"/>
          <w:marBottom w:val="0"/>
          <w:divBdr>
            <w:top w:val="none" w:sz="0" w:space="0" w:color="auto"/>
            <w:left w:val="none" w:sz="0" w:space="0" w:color="auto"/>
            <w:bottom w:val="none" w:sz="0" w:space="0" w:color="auto"/>
            <w:right w:val="none" w:sz="0" w:space="0" w:color="auto"/>
          </w:divBdr>
        </w:div>
        <w:div w:id="1483619466">
          <w:marLeft w:val="0"/>
          <w:marRight w:val="0"/>
          <w:marTop w:val="0"/>
          <w:marBottom w:val="0"/>
          <w:divBdr>
            <w:top w:val="none" w:sz="0" w:space="0" w:color="auto"/>
            <w:left w:val="none" w:sz="0" w:space="0" w:color="auto"/>
            <w:bottom w:val="none" w:sz="0" w:space="0" w:color="auto"/>
            <w:right w:val="none" w:sz="0" w:space="0" w:color="auto"/>
          </w:divBdr>
        </w:div>
        <w:div w:id="1579748772">
          <w:marLeft w:val="0"/>
          <w:marRight w:val="0"/>
          <w:marTop w:val="0"/>
          <w:marBottom w:val="0"/>
          <w:divBdr>
            <w:top w:val="none" w:sz="0" w:space="0" w:color="auto"/>
            <w:left w:val="none" w:sz="0" w:space="0" w:color="auto"/>
            <w:bottom w:val="none" w:sz="0" w:space="0" w:color="auto"/>
            <w:right w:val="none" w:sz="0" w:space="0" w:color="auto"/>
          </w:divBdr>
        </w:div>
      </w:divsChild>
    </w:div>
    <w:div w:id="1266575613">
      <w:marLeft w:val="0"/>
      <w:marRight w:val="0"/>
      <w:marTop w:val="0"/>
      <w:marBottom w:val="0"/>
      <w:divBdr>
        <w:top w:val="none" w:sz="0" w:space="0" w:color="auto"/>
        <w:left w:val="none" w:sz="0" w:space="0" w:color="auto"/>
        <w:bottom w:val="none" w:sz="0" w:space="0" w:color="auto"/>
        <w:right w:val="none" w:sz="0" w:space="0" w:color="auto"/>
      </w:divBdr>
    </w:div>
    <w:div w:id="1272473397">
      <w:marLeft w:val="0"/>
      <w:marRight w:val="0"/>
      <w:marTop w:val="0"/>
      <w:marBottom w:val="0"/>
      <w:divBdr>
        <w:top w:val="none" w:sz="0" w:space="0" w:color="auto"/>
        <w:left w:val="none" w:sz="0" w:space="0" w:color="auto"/>
        <w:bottom w:val="none" w:sz="0" w:space="0" w:color="auto"/>
        <w:right w:val="none" w:sz="0" w:space="0" w:color="auto"/>
      </w:divBdr>
      <w:divsChild>
        <w:div w:id="439492228">
          <w:marLeft w:val="0"/>
          <w:marRight w:val="0"/>
          <w:marTop w:val="0"/>
          <w:marBottom w:val="0"/>
          <w:divBdr>
            <w:top w:val="none" w:sz="0" w:space="0" w:color="auto"/>
            <w:left w:val="none" w:sz="0" w:space="0" w:color="auto"/>
            <w:bottom w:val="none" w:sz="0" w:space="0" w:color="auto"/>
            <w:right w:val="none" w:sz="0" w:space="0" w:color="auto"/>
          </w:divBdr>
        </w:div>
      </w:divsChild>
    </w:div>
    <w:div w:id="1428968312">
      <w:marLeft w:val="4"/>
      <w:marRight w:val="0"/>
      <w:marTop w:val="120"/>
      <w:marBottom w:val="0"/>
      <w:divBdr>
        <w:top w:val="none" w:sz="0" w:space="0" w:color="auto"/>
        <w:left w:val="none" w:sz="0" w:space="0" w:color="auto"/>
        <w:bottom w:val="none" w:sz="0" w:space="0" w:color="auto"/>
        <w:right w:val="none" w:sz="0" w:space="0" w:color="auto"/>
      </w:divBdr>
      <w:divsChild>
        <w:div w:id="1608654452">
          <w:marLeft w:val="0"/>
          <w:marRight w:val="0"/>
          <w:marTop w:val="0"/>
          <w:marBottom w:val="0"/>
          <w:divBdr>
            <w:top w:val="none" w:sz="0" w:space="0" w:color="auto"/>
            <w:left w:val="none" w:sz="0" w:space="0" w:color="auto"/>
            <w:bottom w:val="none" w:sz="0" w:space="0" w:color="auto"/>
            <w:right w:val="none" w:sz="0" w:space="0" w:color="auto"/>
          </w:divBdr>
        </w:div>
      </w:divsChild>
    </w:div>
    <w:div w:id="1462112335">
      <w:marLeft w:val="4"/>
      <w:marRight w:val="0"/>
      <w:marTop w:val="120"/>
      <w:marBottom w:val="0"/>
      <w:divBdr>
        <w:top w:val="none" w:sz="0" w:space="0" w:color="auto"/>
        <w:left w:val="none" w:sz="0" w:space="0" w:color="auto"/>
        <w:bottom w:val="none" w:sz="0" w:space="0" w:color="auto"/>
        <w:right w:val="none" w:sz="0" w:space="0" w:color="auto"/>
      </w:divBdr>
      <w:divsChild>
        <w:div w:id="259068504">
          <w:marLeft w:val="0"/>
          <w:marRight w:val="0"/>
          <w:marTop w:val="0"/>
          <w:marBottom w:val="0"/>
          <w:divBdr>
            <w:top w:val="none" w:sz="0" w:space="0" w:color="auto"/>
            <w:left w:val="none" w:sz="0" w:space="0" w:color="auto"/>
            <w:bottom w:val="none" w:sz="0" w:space="0" w:color="auto"/>
            <w:right w:val="none" w:sz="0" w:space="0" w:color="auto"/>
          </w:divBdr>
        </w:div>
      </w:divsChild>
    </w:div>
    <w:div w:id="1478721130">
      <w:marLeft w:val="4"/>
      <w:marRight w:val="0"/>
      <w:marTop w:val="120"/>
      <w:marBottom w:val="0"/>
      <w:divBdr>
        <w:top w:val="none" w:sz="0" w:space="0" w:color="auto"/>
        <w:left w:val="none" w:sz="0" w:space="0" w:color="auto"/>
        <w:bottom w:val="none" w:sz="0" w:space="0" w:color="auto"/>
        <w:right w:val="none" w:sz="0" w:space="0" w:color="auto"/>
      </w:divBdr>
      <w:divsChild>
        <w:div w:id="941642677">
          <w:marLeft w:val="0"/>
          <w:marRight w:val="0"/>
          <w:marTop w:val="0"/>
          <w:marBottom w:val="0"/>
          <w:divBdr>
            <w:top w:val="none" w:sz="0" w:space="0" w:color="auto"/>
            <w:left w:val="none" w:sz="0" w:space="0" w:color="auto"/>
            <w:bottom w:val="none" w:sz="0" w:space="0" w:color="auto"/>
            <w:right w:val="none" w:sz="0" w:space="0" w:color="auto"/>
          </w:divBdr>
        </w:div>
      </w:divsChild>
    </w:div>
    <w:div w:id="1498426392">
      <w:marLeft w:val="4"/>
      <w:marRight w:val="0"/>
      <w:marTop w:val="120"/>
      <w:marBottom w:val="0"/>
      <w:divBdr>
        <w:top w:val="none" w:sz="0" w:space="0" w:color="auto"/>
        <w:left w:val="none" w:sz="0" w:space="0" w:color="auto"/>
        <w:bottom w:val="none" w:sz="0" w:space="0" w:color="auto"/>
        <w:right w:val="none" w:sz="0" w:space="0" w:color="auto"/>
      </w:divBdr>
      <w:divsChild>
        <w:div w:id="1417556057">
          <w:marLeft w:val="0"/>
          <w:marRight w:val="0"/>
          <w:marTop w:val="0"/>
          <w:marBottom w:val="0"/>
          <w:divBdr>
            <w:top w:val="none" w:sz="0" w:space="0" w:color="auto"/>
            <w:left w:val="none" w:sz="0" w:space="0" w:color="auto"/>
            <w:bottom w:val="none" w:sz="0" w:space="0" w:color="auto"/>
            <w:right w:val="none" w:sz="0" w:space="0" w:color="auto"/>
          </w:divBdr>
        </w:div>
      </w:divsChild>
    </w:div>
    <w:div w:id="1535851762">
      <w:marLeft w:val="0"/>
      <w:marRight w:val="0"/>
      <w:marTop w:val="0"/>
      <w:marBottom w:val="0"/>
      <w:divBdr>
        <w:top w:val="none" w:sz="0" w:space="0" w:color="auto"/>
        <w:left w:val="none" w:sz="0" w:space="0" w:color="auto"/>
        <w:bottom w:val="none" w:sz="0" w:space="0" w:color="auto"/>
        <w:right w:val="none" w:sz="0" w:space="0" w:color="auto"/>
      </w:divBdr>
    </w:div>
    <w:div w:id="1627000729">
      <w:marLeft w:val="4"/>
      <w:marRight w:val="0"/>
      <w:marTop w:val="120"/>
      <w:marBottom w:val="0"/>
      <w:divBdr>
        <w:top w:val="none" w:sz="0" w:space="0" w:color="auto"/>
        <w:left w:val="none" w:sz="0" w:space="0" w:color="auto"/>
        <w:bottom w:val="none" w:sz="0" w:space="0" w:color="auto"/>
        <w:right w:val="none" w:sz="0" w:space="0" w:color="auto"/>
      </w:divBdr>
      <w:divsChild>
        <w:div w:id="556402441">
          <w:marLeft w:val="0"/>
          <w:marRight w:val="0"/>
          <w:marTop w:val="0"/>
          <w:marBottom w:val="0"/>
          <w:divBdr>
            <w:top w:val="none" w:sz="0" w:space="0" w:color="auto"/>
            <w:left w:val="none" w:sz="0" w:space="0" w:color="auto"/>
            <w:bottom w:val="none" w:sz="0" w:space="0" w:color="auto"/>
            <w:right w:val="none" w:sz="0" w:space="0" w:color="auto"/>
          </w:divBdr>
        </w:div>
      </w:divsChild>
    </w:div>
    <w:div w:id="1628505936">
      <w:marLeft w:val="0"/>
      <w:marRight w:val="0"/>
      <w:marTop w:val="0"/>
      <w:marBottom w:val="0"/>
      <w:divBdr>
        <w:top w:val="none" w:sz="0" w:space="0" w:color="auto"/>
        <w:left w:val="none" w:sz="0" w:space="0" w:color="auto"/>
        <w:bottom w:val="none" w:sz="0" w:space="0" w:color="auto"/>
        <w:right w:val="none" w:sz="0" w:space="0" w:color="auto"/>
      </w:divBdr>
      <w:divsChild>
        <w:div w:id="1206210813">
          <w:marLeft w:val="0"/>
          <w:marRight w:val="0"/>
          <w:marTop w:val="0"/>
          <w:marBottom w:val="0"/>
          <w:divBdr>
            <w:top w:val="none" w:sz="0" w:space="0" w:color="auto"/>
            <w:left w:val="none" w:sz="0" w:space="0" w:color="auto"/>
            <w:bottom w:val="none" w:sz="0" w:space="0" w:color="auto"/>
            <w:right w:val="none" w:sz="0" w:space="0" w:color="auto"/>
          </w:divBdr>
        </w:div>
        <w:div w:id="1053650077">
          <w:marLeft w:val="0"/>
          <w:marRight w:val="0"/>
          <w:marTop w:val="0"/>
          <w:marBottom w:val="0"/>
          <w:divBdr>
            <w:top w:val="none" w:sz="0" w:space="0" w:color="auto"/>
            <w:left w:val="none" w:sz="0" w:space="0" w:color="auto"/>
            <w:bottom w:val="none" w:sz="0" w:space="0" w:color="auto"/>
            <w:right w:val="none" w:sz="0" w:space="0" w:color="auto"/>
          </w:divBdr>
        </w:div>
      </w:divsChild>
    </w:div>
    <w:div w:id="1734504158">
      <w:marLeft w:val="4"/>
      <w:marRight w:val="0"/>
      <w:marTop w:val="120"/>
      <w:marBottom w:val="0"/>
      <w:divBdr>
        <w:top w:val="none" w:sz="0" w:space="0" w:color="auto"/>
        <w:left w:val="none" w:sz="0" w:space="0" w:color="auto"/>
        <w:bottom w:val="none" w:sz="0" w:space="0" w:color="auto"/>
        <w:right w:val="none" w:sz="0" w:space="0" w:color="auto"/>
      </w:divBdr>
      <w:divsChild>
        <w:div w:id="620692076">
          <w:marLeft w:val="0"/>
          <w:marRight w:val="0"/>
          <w:marTop w:val="0"/>
          <w:marBottom w:val="0"/>
          <w:divBdr>
            <w:top w:val="none" w:sz="0" w:space="0" w:color="auto"/>
            <w:left w:val="none" w:sz="0" w:space="0" w:color="auto"/>
            <w:bottom w:val="none" w:sz="0" w:space="0" w:color="auto"/>
            <w:right w:val="none" w:sz="0" w:space="0" w:color="auto"/>
          </w:divBdr>
        </w:div>
      </w:divsChild>
    </w:div>
    <w:div w:id="1744832813">
      <w:marLeft w:val="4"/>
      <w:marRight w:val="0"/>
      <w:marTop w:val="120"/>
      <w:marBottom w:val="0"/>
      <w:divBdr>
        <w:top w:val="none" w:sz="0" w:space="0" w:color="auto"/>
        <w:left w:val="none" w:sz="0" w:space="0" w:color="auto"/>
        <w:bottom w:val="none" w:sz="0" w:space="0" w:color="auto"/>
        <w:right w:val="none" w:sz="0" w:space="0" w:color="auto"/>
      </w:divBdr>
      <w:divsChild>
        <w:div w:id="1378116908">
          <w:marLeft w:val="0"/>
          <w:marRight w:val="0"/>
          <w:marTop w:val="0"/>
          <w:marBottom w:val="0"/>
          <w:divBdr>
            <w:top w:val="none" w:sz="0" w:space="0" w:color="auto"/>
            <w:left w:val="none" w:sz="0" w:space="0" w:color="auto"/>
            <w:bottom w:val="none" w:sz="0" w:space="0" w:color="auto"/>
            <w:right w:val="none" w:sz="0" w:space="0" w:color="auto"/>
          </w:divBdr>
        </w:div>
      </w:divsChild>
    </w:div>
    <w:div w:id="1768963896">
      <w:marLeft w:val="0"/>
      <w:marRight w:val="0"/>
      <w:marTop w:val="0"/>
      <w:marBottom w:val="0"/>
      <w:divBdr>
        <w:top w:val="none" w:sz="0" w:space="0" w:color="auto"/>
        <w:left w:val="none" w:sz="0" w:space="0" w:color="auto"/>
        <w:bottom w:val="none" w:sz="0" w:space="0" w:color="auto"/>
        <w:right w:val="none" w:sz="0" w:space="0" w:color="auto"/>
      </w:divBdr>
      <w:divsChild>
        <w:div w:id="1862157112">
          <w:marLeft w:val="0"/>
          <w:marRight w:val="0"/>
          <w:marTop w:val="0"/>
          <w:marBottom w:val="0"/>
          <w:divBdr>
            <w:top w:val="none" w:sz="0" w:space="0" w:color="auto"/>
            <w:left w:val="none" w:sz="0" w:space="0" w:color="auto"/>
            <w:bottom w:val="none" w:sz="0" w:space="0" w:color="auto"/>
            <w:right w:val="none" w:sz="0" w:space="0" w:color="auto"/>
          </w:divBdr>
        </w:div>
      </w:divsChild>
    </w:div>
    <w:div w:id="1794900234">
      <w:marLeft w:val="4"/>
      <w:marRight w:val="0"/>
      <w:marTop w:val="120"/>
      <w:marBottom w:val="0"/>
      <w:divBdr>
        <w:top w:val="none" w:sz="0" w:space="0" w:color="auto"/>
        <w:left w:val="none" w:sz="0" w:space="0" w:color="auto"/>
        <w:bottom w:val="none" w:sz="0" w:space="0" w:color="auto"/>
        <w:right w:val="none" w:sz="0" w:space="0" w:color="auto"/>
      </w:divBdr>
      <w:divsChild>
        <w:div w:id="1211305954">
          <w:marLeft w:val="0"/>
          <w:marRight w:val="0"/>
          <w:marTop w:val="0"/>
          <w:marBottom w:val="0"/>
          <w:divBdr>
            <w:top w:val="none" w:sz="0" w:space="0" w:color="auto"/>
            <w:left w:val="none" w:sz="0" w:space="0" w:color="auto"/>
            <w:bottom w:val="none" w:sz="0" w:space="0" w:color="auto"/>
            <w:right w:val="none" w:sz="0" w:space="0" w:color="auto"/>
          </w:divBdr>
        </w:div>
      </w:divsChild>
    </w:div>
    <w:div w:id="1827747328">
      <w:marLeft w:val="4"/>
      <w:marRight w:val="0"/>
      <w:marTop w:val="120"/>
      <w:marBottom w:val="0"/>
      <w:divBdr>
        <w:top w:val="none" w:sz="0" w:space="0" w:color="auto"/>
        <w:left w:val="none" w:sz="0" w:space="0" w:color="auto"/>
        <w:bottom w:val="none" w:sz="0" w:space="0" w:color="auto"/>
        <w:right w:val="none" w:sz="0" w:space="0" w:color="auto"/>
      </w:divBdr>
      <w:divsChild>
        <w:div w:id="357048432">
          <w:marLeft w:val="0"/>
          <w:marRight w:val="0"/>
          <w:marTop w:val="0"/>
          <w:marBottom w:val="0"/>
          <w:divBdr>
            <w:top w:val="none" w:sz="0" w:space="0" w:color="auto"/>
            <w:left w:val="none" w:sz="0" w:space="0" w:color="auto"/>
            <w:bottom w:val="none" w:sz="0" w:space="0" w:color="auto"/>
            <w:right w:val="none" w:sz="0" w:space="0" w:color="auto"/>
          </w:divBdr>
        </w:div>
      </w:divsChild>
    </w:div>
    <w:div w:id="1843549438">
      <w:marLeft w:val="0"/>
      <w:marRight w:val="0"/>
      <w:marTop w:val="0"/>
      <w:marBottom w:val="0"/>
      <w:divBdr>
        <w:top w:val="none" w:sz="0" w:space="0" w:color="auto"/>
        <w:left w:val="none" w:sz="0" w:space="0" w:color="auto"/>
        <w:bottom w:val="none" w:sz="0" w:space="0" w:color="auto"/>
        <w:right w:val="none" w:sz="0" w:space="0" w:color="auto"/>
      </w:divBdr>
    </w:div>
    <w:div w:id="1869565149">
      <w:marLeft w:val="4"/>
      <w:marRight w:val="0"/>
      <w:marTop w:val="120"/>
      <w:marBottom w:val="0"/>
      <w:divBdr>
        <w:top w:val="none" w:sz="0" w:space="0" w:color="auto"/>
        <w:left w:val="none" w:sz="0" w:space="0" w:color="auto"/>
        <w:bottom w:val="none" w:sz="0" w:space="0" w:color="auto"/>
        <w:right w:val="none" w:sz="0" w:space="0" w:color="auto"/>
      </w:divBdr>
      <w:divsChild>
        <w:div w:id="1797798896">
          <w:marLeft w:val="0"/>
          <w:marRight w:val="0"/>
          <w:marTop w:val="0"/>
          <w:marBottom w:val="0"/>
          <w:divBdr>
            <w:top w:val="none" w:sz="0" w:space="0" w:color="auto"/>
            <w:left w:val="none" w:sz="0" w:space="0" w:color="auto"/>
            <w:bottom w:val="none" w:sz="0" w:space="0" w:color="auto"/>
            <w:right w:val="none" w:sz="0" w:space="0" w:color="auto"/>
          </w:divBdr>
        </w:div>
      </w:divsChild>
    </w:div>
    <w:div w:id="1878158662">
      <w:marLeft w:val="4"/>
      <w:marRight w:val="0"/>
      <w:marTop w:val="120"/>
      <w:marBottom w:val="0"/>
      <w:divBdr>
        <w:top w:val="none" w:sz="0" w:space="0" w:color="auto"/>
        <w:left w:val="none" w:sz="0" w:space="0" w:color="auto"/>
        <w:bottom w:val="none" w:sz="0" w:space="0" w:color="auto"/>
        <w:right w:val="none" w:sz="0" w:space="0" w:color="auto"/>
      </w:divBdr>
      <w:divsChild>
        <w:div w:id="1971204616">
          <w:marLeft w:val="0"/>
          <w:marRight w:val="0"/>
          <w:marTop w:val="0"/>
          <w:marBottom w:val="0"/>
          <w:divBdr>
            <w:top w:val="none" w:sz="0" w:space="0" w:color="auto"/>
            <w:left w:val="none" w:sz="0" w:space="0" w:color="auto"/>
            <w:bottom w:val="none" w:sz="0" w:space="0" w:color="auto"/>
            <w:right w:val="none" w:sz="0" w:space="0" w:color="auto"/>
          </w:divBdr>
        </w:div>
      </w:divsChild>
    </w:div>
    <w:div w:id="1915579291">
      <w:marLeft w:val="4"/>
      <w:marRight w:val="0"/>
      <w:marTop w:val="120"/>
      <w:marBottom w:val="0"/>
      <w:divBdr>
        <w:top w:val="none" w:sz="0" w:space="0" w:color="auto"/>
        <w:left w:val="none" w:sz="0" w:space="0" w:color="auto"/>
        <w:bottom w:val="none" w:sz="0" w:space="0" w:color="auto"/>
        <w:right w:val="none" w:sz="0" w:space="0" w:color="auto"/>
      </w:divBdr>
      <w:divsChild>
        <w:div w:id="1418137037">
          <w:marLeft w:val="0"/>
          <w:marRight w:val="0"/>
          <w:marTop w:val="0"/>
          <w:marBottom w:val="0"/>
          <w:divBdr>
            <w:top w:val="none" w:sz="0" w:space="0" w:color="auto"/>
            <w:left w:val="none" w:sz="0" w:space="0" w:color="auto"/>
            <w:bottom w:val="none" w:sz="0" w:space="0" w:color="auto"/>
            <w:right w:val="none" w:sz="0" w:space="0" w:color="auto"/>
          </w:divBdr>
        </w:div>
      </w:divsChild>
    </w:div>
    <w:div w:id="1965116808">
      <w:marLeft w:val="0"/>
      <w:marRight w:val="0"/>
      <w:marTop w:val="0"/>
      <w:marBottom w:val="0"/>
      <w:divBdr>
        <w:top w:val="none" w:sz="0" w:space="0" w:color="auto"/>
        <w:left w:val="none" w:sz="0" w:space="0" w:color="auto"/>
        <w:bottom w:val="none" w:sz="0" w:space="0" w:color="auto"/>
        <w:right w:val="none" w:sz="0" w:space="0" w:color="auto"/>
      </w:divBdr>
      <w:divsChild>
        <w:div w:id="1848055074">
          <w:marLeft w:val="0"/>
          <w:marRight w:val="0"/>
          <w:marTop w:val="0"/>
          <w:marBottom w:val="0"/>
          <w:divBdr>
            <w:top w:val="none" w:sz="0" w:space="0" w:color="auto"/>
            <w:left w:val="none" w:sz="0" w:space="0" w:color="auto"/>
            <w:bottom w:val="none" w:sz="0" w:space="0" w:color="auto"/>
            <w:right w:val="none" w:sz="0" w:space="0" w:color="auto"/>
          </w:divBdr>
        </w:div>
        <w:div w:id="754518776">
          <w:marLeft w:val="0"/>
          <w:marRight w:val="0"/>
          <w:marTop w:val="0"/>
          <w:marBottom w:val="0"/>
          <w:divBdr>
            <w:top w:val="none" w:sz="0" w:space="0" w:color="auto"/>
            <w:left w:val="none" w:sz="0" w:space="0" w:color="auto"/>
            <w:bottom w:val="none" w:sz="0" w:space="0" w:color="auto"/>
            <w:right w:val="none" w:sz="0" w:space="0" w:color="auto"/>
          </w:divBdr>
        </w:div>
        <w:div w:id="1900557713">
          <w:marLeft w:val="0"/>
          <w:marRight w:val="0"/>
          <w:marTop w:val="0"/>
          <w:marBottom w:val="0"/>
          <w:divBdr>
            <w:top w:val="none" w:sz="0" w:space="0" w:color="auto"/>
            <w:left w:val="none" w:sz="0" w:space="0" w:color="auto"/>
            <w:bottom w:val="none" w:sz="0" w:space="0" w:color="auto"/>
            <w:right w:val="none" w:sz="0" w:space="0" w:color="auto"/>
          </w:divBdr>
        </w:div>
        <w:div w:id="2036232036">
          <w:marLeft w:val="0"/>
          <w:marRight w:val="0"/>
          <w:marTop w:val="0"/>
          <w:marBottom w:val="0"/>
          <w:divBdr>
            <w:top w:val="none" w:sz="0" w:space="0" w:color="auto"/>
            <w:left w:val="none" w:sz="0" w:space="0" w:color="auto"/>
            <w:bottom w:val="none" w:sz="0" w:space="0" w:color="auto"/>
            <w:right w:val="none" w:sz="0" w:space="0" w:color="auto"/>
          </w:divBdr>
        </w:div>
      </w:divsChild>
    </w:div>
    <w:div w:id="2093812610">
      <w:marLeft w:val="0"/>
      <w:marRight w:val="0"/>
      <w:marTop w:val="0"/>
      <w:marBottom w:val="0"/>
      <w:divBdr>
        <w:top w:val="none" w:sz="0" w:space="0" w:color="auto"/>
        <w:left w:val="none" w:sz="0" w:space="0" w:color="auto"/>
        <w:bottom w:val="none" w:sz="0" w:space="0" w:color="auto"/>
        <w:right w:val="none" w:sz="0" w:space="0" w:color="auto"/>
      </w:divBdr>
      <w:divsChild>
        <w:div w:id="1058475586">
          <w:marLeft w:val="0"/>
          <w:marRight w:val="0"/>
          <w:marTop w:val="0"/>
          <w:marBottom w:val="0"/>
          <w:divBdr>
            <w:top w:val="none" w:sz="0" w:space="0" w:color="auto"/>
            <w:left w:val="none" w:sz="0" w:space="0" w:color="auto"/>
            <w:bottom w:val="none" w:sz="0" w:space="0" w:color="auto"/>
            <w:right w:val="none" w:sz="0" w:space="0" w:color="auto"/>
          </w:divBdr>
        </w:div>
      </w:divsChild>
    </w:div>
    <w:div w:id="2105808200">
      <w:marLeft w:val="0"/>
      <w:marRight w:val="0"/>
      <w:marTop w:val="0"/>
      <w:marBottom w:val="0"/>
      <w:divBdr>
        <w:top w:val="none" w:sz="0" w:space="0" w:color="auto"/>
        <w:left w:val="none" w:sz="0" w:space="0" w:color="auto"/>
        <w:bottom w:val="none" w:sz="0" w:space="0" w:color="auto"/>
        <w:right w:val="none" w:sz="0" w:space="0" w:color="auto"/>
      </w:divBdr>
      <w:divsChild>
        <w:div w:id="2051999314">
          <w:marLeft w:val="0"/>
          <w:marRight w:val="0"/>
          <w:marTop w:val="0"/>
          <w:marBottom w:val="0"/>
          <w:divBdr>
            <w:top w:val="none" w:sz="0" w:space="0" w:color="auto"/>
            <w:left w:val="none" w:sz="0" w:space="0" w:color="auto"/>
            <w:bottom w:val="none" w:sz="0" w:space="0" w:color="auto"/>
            <w:right w:val="none" w:sz="0" w:space="0" w:color="auto"/>
          </w:divBdr>
        </w:div>
      </w:divsChild>
    </w:div>
    <w:div w:id="210668278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eg-ex32_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eg-ex32_1.htm" TargetMode="External"/><Relationship Id="rId5" Type="http://schemas.openxmlformats.org/officeDocument/2006/relationships/hyperlink" Target="meg-ex31_2.htm" TargetMode="External"/><Relationship Id="rId4" Type="http://schemas.openxmlformats.org/officeDocument/2006/relationships/hyperlink" Target="meg-ex31_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33571</Words>
  <Characters>191361</Characters>
  <Application>Microsoft Office Word</Application>
  <DocSecurity>0</DocSecurity>
  <Lines>1594</Lines>
  <Paragraphs>448</Paragraphs>
  <ScaleCrop>false</ScaleCrop>
  <Company/>
  <LinksUpToDate>false</LinksUpToDate>
  <CharactersWithSpaces>224484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