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A32496">
      <w:pPr>
        <w:divId w:val="1902978027"/>
        <w:rPr>
          <w:rFonts w:eastAsia="Times New Roman"/>
          <w:vanish/>
        </w:rPr>
      </w:pPr>
      <w:r>
        <w:rPr>
          <w:rFonts w:eastAsia="Times New Roman"/>
          <w:vanish/>
        </w:rPr>
        <w:t>false--12-3150http://fasb.org/us-gaap/2022#OtherNonoperatingIncomeExpenseQ3P3M0001643615500.330.33http://fasb.org/us-gaap/2022#OtherNonoperatingIncomeExpense17,5000.3317,5000001643615meg:TwentyTwentyCreditFacilityMember2021-04-300001643615</w:t>
      </w:r>
      <w:r>
        <w:rPr>
          <w:rFonts w:eastAsia="Times New Roman"/>
          <w:vanish/>
        </w:rPr>
        <w:t>meg:TwoThousandSeventeenPlanMemberus-gaap:CostOfSalesMemberus-gaap:EmployeeStockOptionMember2021-07-012021-09-300001643615srt:MinimumMemberus-gaap:EquipmentMember2022-01-012022-09-300001643615us-gaap:AdditionalPaidInCapitalMember2022-04-012022-06-300001643</w:t>
      </w:r>
      <w:r>
        <w:rPr>
          <w:rFonts w:eastAsia="Times New Roman"/>
          <w:vanish/>
        </w:rPr>
        <w:t>615us-gaap:CustomerRelationshipsMembersrt:MaximumMember2021-01-012021-12-310001643615meg:ConsolidatedProformaMember2021-01-012021-09-3000016436152022-06-300001643615srt:MinimumMemberus-gaap:ComputerSoftwareIntangibleAssetMember2021-01-012021-12-31000164361</w:t>
      </w:r>
      <w:r>
        <w:rPr>
          <w:rFonts w:eastAsia="Times New Roman"/>
          <w:vanish/>
        </w:rPr>
        <w:t>5meg:ConvertibleAndRedeemableSeriesATwoPreferredStockMember2022-07-012022-09-300001643615us-gaap:CorporateAndOtherMember2021-07-012021-09-300001643615meg:SixtyDayPeriodPriorToSeventhAnniversaryMembermeg:ConvertibleAndRedeemableSeriesATwoPreferredStockMembe</w:t>
      </w:r>
      <w:r>
        <w:rPr>
          <w:rFonts w:eastAsia="Times New Roman"/>
          <w:vanish/>
        </w:rPr>
        <w:t>r2022-09-300001643615meg:TermLoanFacilityMember2021-12-310001643615us-gaap:AccumulatedOtherComprehensiveIncomeMember2021-07-012021-09-300001643615meg:TwentyTwentyOneCreditFacilityMember2022-01-012022-09-300001643615meg:CustomerOneMemberus-gaap:RevenueFromC</w:t>
      </w:r>
      <w:r>
        <w:rPr>
          <w:rFonts w:eastAsia="Times New Roman"/>
          <w:vanish/>
        </w:rPr>
        <w:t>ontractWithCustomerMemberus-gaap:CustomerConcentrationRiskMember2021-07-012021-09-300001643615meg:DepreciationAndAmortizationMember2021-07-012021-09-300001643615us-gaap:FurnitureAndFixturesMember2022-01-012022-09-300001643615us-gaap:PrivatePlacementMember2</w:t>
      </w:r>
      <w:r>
        <w:rPr>
          <w:rFonts w:eastAsia="Times New Roman"/>
          <w:vanish/>
        </w:rPr>
        <w:t>015-05-310001643615us-gaap:InterestRateSwapMemberus-gaap:FairValueInputsLevel3Memberus-gaap:FairValueMeasurementsRecurringMember2022-09-300001643615us-gaap:InterestRateSwapMemberus-gaap:FairValueMeasurementsRecurringMember2022-07-012022-09-300001643615meg:</w:t>
      </w:r>
      <w:r>
        <w:rPr>
          <w:rFonts w:eastAsia="Times New Roman"/>
          <w:vanish/>
        </w:rPr>
        <w:t>MontroseTwoThousandSeventeenStockIncentivePlanMember2022-01-012022-09-300001643615us-gaap:CorporateAndOtherMember2021-01-012021-09-300001643615us-gaap:RetainedEarningsMember2021-06-300001643615meg:YearFiveMembermeg:ConvertibleAndRedeemableSeriesATwoPreferr</w:t>
      </w:r>
      <w:r>
        <w:rPr>
          <w:rFonts w:eastAsia="Times New Roman"/>
          <w:vanish/>
        </w:rPr>
        <w:t>edStockMember2022-09-300001643615us-gaap:NoncompeteAgreementsMembermeg:OtherAcquisitionsMember2021-12-310001643615us-gaap:NoncompeteAgreementsMembermeg:EnvironmentalStandardsIncMember2022-01-012022-09-300001643615us-gaap:AdditionalPaidInCapitalMember2022-0</w:t>
      </w:r>
      <w:r>
        <w:rPr>
          <w:rFonts w:eastAsia="Times New Roman"/>
          <w:vanish/>
        </w:rPr>
        <w:t>7-012022-09-300001643615us-gaap:NoncompeteAgreementsMembermeg:OtherTwoThousandTwentyTwoAcquisitionsMember2022-09-300001643615srt:MaximumMemberus-gaap:NoncompeteAgreementsMember2021-01-012021-12-310001643615us-gaap:RevolvingCreditFacilityMembermeg:TwentyTwe</w:t>
      </w:r>
      <w:r>
        <w:rPr>
          <w:rFonts w:eastAsia="Times New Roman"/>
          <w:vanish/>
        </w:rPr>
        <w:t>ntyCreditFacilityMember2020-04-130001643615meg:PricingTier5Membermeg:TwentyTwentyOneCreditFacilityMember2021-04-272021-04-270001643615meg:MontroseTwoThousandSeventeenStockIncentivePlanMemberus-gaap:EmployeeStockOptionMembersrt:DirectorMember2022-01-012022-</w:t>
      </w:r>
      <w:r>
        <w:rPr>
          <w:rFonts w:eastAsia="Times New Roman"/>
          <w:vanish/>
        </w:rPr>
        <w:t>09-300001643615us-gaap:EmployeeStockOptionMember2021-01-012021-09-300001643615us-gaap:RetainedEarningsMember2022-01-012022-03-310001643615meg:RemediationAndReuseSegmentMember2022-09-300001643615us-gaap:RevolvingCreditFacilityMemberus-gaap:LetterOfCreditMem</w:t>
      </w:r>
      <w:r>
        <w:rPr>
          <w:rFonts w:eastAsia="Times New Roman"/>
          <w:vanish/>
        </w:rPr>
        <w:t>bermeg:TwentyTwentyOneCreditFacilityMember2021-04-270001643615meg:TwoThousandSeventeenPlanMemberus-gaap:CostOfSalesMemberus-gaap:EmployeeStockOptionMember2021-01-012021-09-300001643615meg:EnvironmentalStandardsIncMember2022-09-300001643615meg:DepreciationA</w:t>
      </w:r>
      <w:r>
        <w:rPr>
          <w:rFonts w:eastAsia="Times New Roman"/>
          <w:vanish/>
        </w:rPr>
        <w:t>ndAmortizationMember2022-07-012022-09-300001643615us-gaap:RevolvingCreditFacilityMembermeg:TwentyTwentyOneCreditFacilityMember2021-04-270001643615meg:ConvertibleAndRedeemableSeriesATwoPreferredStockMember2020-04-132020-04-130001643615us-gaap:StockAppreciat</w:t>
      </w:r>
      <w:r>
        <w:rPr>
          <w:rFonts w:eastAsia="Times New Roman"/>
          <w:vanish/>
        </w:rPr>
        <w:t>ionRightsSARSMembermeg:TwoThousandSeventeenPlanMemberus-gaap:SellingGeneralAndAdministrativeExpensesMember2022-01-012022-09-300001643615meg:MontroseTwoThousandSeventeenStockIncentivePlanMember2022-09-300001643615us-gaap:CommonStockMember2021-09-30000164361</w:t>
      </w:r>
      <w:r>
        <w:rPr>
          <w:rFonts w:eastAsia="Times New Roman"/>
          <w:vanish/>
        </w:rPr>
        <w:t>5meg:AcquisitionProformaMember2022-07-012022-09-300001643615us-gaap:AccumulatedOtherComprehensiveIncomeMember2022-06-300001643615us-gaap:FairValueInputsLevel3Memberus-gaap:FairValueMeasurementsRecurringMember2021-12-310001643615meg:BusinessAcquisitionsCont</w:t>
      </w:r>
      <w:r>
        <w:rPr>
          <w:rFonts w:eastAsia="Times New Roman"/>
          <w:vanish/>
        </w:rPr>
        <w:t>ingentConsiderationLongTermMemberus-gaap:FairValueInputsLevel3Memberus-gaap:FairValueMeasurementsRecurringMember2022-01-012022-09-300001643615meg:ConvertibleAndRedeemableSeriesATwoPreferredStockMember2020-12-310001643615us-gaap:CustomerRelationshipsMemberm</w:t>
      </w:r>
      <w:r>
        <w:rPr>
          <w:rFonts w:eastAsia="Times New Roman"/>
          <w:vanish/>
        </w:rPr>
        <w:t>eg:OtherTwoThousandTwentyTwoAcquisitionsMember2022-09-300001643615meg:MontroseTwoThousandThirteenStockIncentivePlanMember2021-09-300001643615meg:EnvironmentalIntelligenceLLCMember2021-07-012021-07-310001643615us-gaap:AccumulatedOtherComprehensiveIncomeMemb</w:t>
      </w:r>
      <w:r>
        <w:rPr>
          <w:rFonts w:eastAsia="Times New Roman"/>
          <w:vanish/>
        </w:rPr>
        <w:t>er2021-04-012021-06-300001643615meg:MSEGroupLLCMemberus-gaap:TradeNamesMember2022-01-012022-09-300001643615meg:ConsolidatedProformaMember2022-01-012022-09-300001643615us-gaap:VehiclesMember2022-01-012022-09-300001643615meg:MontroseTwoThousandThirteenStockO</w:t>
      </w:r>
      <w:r>
        <w:rPr>
          <w:rFonts w:eastAsia="Times New Roman"/>
          <w:vanish/>
        </w:rPr>
        <w:t>ptionPlanMember2020-01-012020-12-310001643615us-gaap:OperatingSegmentsMember2021-01-012021-09-300001643615us-gaap:SellingGeneralAndAdministrativeExpensesMember2022-01-012022-09-3000016436152021-01-010001643615us-gaap:OperatingSegmentsMembermeg:AssessmentPe</w:t>
      </w:r>
      <w:r>
        <w:rPr>
          <w:rFonts w:eastAsia="Times New Roman"/>
          <w:vanish/>
        </w:rPr>
        <w:t>rmittingAndResponseMember2021-07-012021-09-300001643615meg:MontroseTwoThousandThirteenStockIncentivePlanMember2022-09-300001643615meg:EquipmentLineOfCreditMember2022-03-310001643615meg:TwentyTwentyOneCreditFacilityMember2021-04-270001643615meg:MSEGroupLLCM</w:t>
      </w:r>
      <w:r>
        <w:rPr>
          <w:rFonts w:eastAsia="Times New Roman"/>
          <w:vanish/>
        </w:rPr>
        <w:t>emberus-gaap:TradeNamesMember2021-12-310001643615meg:TwoThousandSeventeenPlanMemberus-gaap:RestrictedStockMember2021-07-012021-09-300001643615meg:BusinessAcquisitionsContingentConsiderationCurrentMemberus-gaap:FairValueInputsLevel3Memberus-gaap:FairValueMe</w:t>
      </w:r>
      <w:r>
        <w:rPr>
          <w:rFonts w:eastAsia="Times New Roman"/>
          <w:vanish/>
        </w:rPr>
        <w:t>asurementsRecurringMember2021-01-012021-09-300001643615meg:MontroseTwoThousandSeventeenStockIncentivePlanMember2021-07-012021-09-300001643615us-gaap:NoncompeteAgreementsMember2022-09-300001643615us-gaap:RetainedEarningsMember2021-09-300001643615us-gaap:Equ</w:t>
      </w:r>
      <w:r>
        <w:rPr>
          <w:rFonts w:eastAsia="Times New Roman"/>
          <w:vanish/>
        </w:rPr>
        <w:t>ipmentMember2022-09-300001643615us-gaap:CustomerRelationshipsMembermeg:OtherAcquisitionsMember2021-12-3100016436152023-01-012022-09-300001643615us-gaap:NoncompeteAgreementsMembermeg:EnvironmentalStandardsIncMember2022-09-300001643615meg:EnvironmentalStanda</w:t>
      </w:r>
      <w:r>
        <w:rPr>
          <w:rFonts w:eastAsia="Times New Roman"/>
          <w:vanish/>
        </w:rPr>
        <w:t>rdsIncIndustrialAutomationGroupIncTriadEnvironmentalConsultantsIncAndAirkineticsIncorporationMember2022-07-012022-09-300001643615meg:RemediationAndReuseSegmentMember2022-01-012022-09-300001643615us-gaap:RetainedEarningsMember2021-12-310001643615meg:Consoli</w:t>
      </w:r>
      <w:r>
        <w:rPr>
          <w:rFonts w:eastAsia="Times New Roman"/>
          <w:vanish/>
        </w:rPr>
        <w:t>datedProformaMember2021-07-012021-09-300001643615meg:TwoThousandSeventeenPlanMemberus-gaap:CostOfSalesMemberus-gaap:EmployeeStockOptionMember2022-01-012022-09-3000016436152022-03-310001643615meg:EnvironmentalIntelligenceLLCMemberus-gaap:TradeNamesMember202</w:t>
      </w:r>
      <w:r>
        <w:rPr>
          <w:rFonts w:eastAsia="Times New Roman"/>
          <w:vanish/>
        </w:rPr>
        <w:t>2-01-012022-09-300001643615us-gaap:AccumulatedOtherComprehensiveIncomeMember2021-06-300001643615us-gaap:AccumulatedOtherComprehensiveIncomeMember2020-12-310001643615us-gaap:OtherNonoperatingIncomeExpenseMembermeg:ConvertibleAndRedeemableSeriesATwoPreferred</w:t>
      </w:r>
      <w:r>
        <w:rPr>
          <w:rFonts w:eastAsia="Times New Roman"/>
          <w:vanish/>
        </w:rPr>
        <w:t>StockMember2022-01-012022-09-300001643615meg:ConversionOptionMemberus-gaap:FairValueInputsLevel3Memberus-gaap:FairValueMeasurementsRecurringMember2021-09-300001643615us-gaap:OperatingSegmentsMembermeg:MeasurementAndAnalysisMember2021-01-012021-09-300001643</w:t>
      </w:r>
      <w:r>
        <w:rPr>
          <w:rFonts w:eastAsia="Times New Roman"/>
          <w:vanish/>
        </w:rPr>
        <w:t>615us-gaap:CustomerRelationshipsMembermeg:EnvironmentalStandardsIncMember2022-09-300001643615us-gaap:RetainedEarningsMember2020-12-310001643615us-gaap:ConstructionInProgressMember2022-09-300001643615meg:MSEGroupLLCMember2021-01-012021-01-310001643615meg:Ot</w:t>
      </w:r>
      <w:r>
        <w:rPr>
          <w:rFonts w:eastAsia="Times New Roman"/>
          <w:vanish/>
        </w:rPr>
        <w:t>herAcquisitionsMember2021-12-310001643615us-gaap:LandMember2021-12-310001643615us-gaap:BuildingMember2022-09-300001643615us-gaap:ComputerSoftwareIntangibleAssetMember2022-09-300001643615meg:EnvironmentalIntelligenceLLCMember2021-01-012021-12-310001643615me</w:t>
      </w:r>
      <w:r>
        <w:rPr>
          <w:rFonts w:eastAsia="Times New Roman"/>
          <w:vanish/>
        </w:rPr>
        <w:t>g:OtherTwoThousandTwentyOneAcquisitionsMember2021-01-012021-12-310001643615us-gaap:StockAppreciationRightsSARSMember2022-01-012022-09-300001643615srt:MinimumMemberus-gaap:NoncompeteAgreementsMember2021-01-012021-12-310001643615meg:OtherTwoThousandTwentyTwo</w:t>
      </w:r>
      <w:r>
        <w:rPr>
          <w:rFonts w:eastAsia="Times New Roman"/>
          <w:vanish/>
        </w:rPr>
        <w:t>AcquisitionsMember2022-09-300001643615meg:AcquisitionProformaMember2022-01-012022-09-300001643615meg:TwoThousandThirteenPlanMember2021-09-300001643615meg:TwoThousandAndTwentySixEarnOutsMembermeg:EnvironmentalStandardsIncAndIndustrialAutomationGroupIncMembe</w:t>
      </w:r>
      <w:r>
        <w:rPr>
          <w:rFonts w:eastAsia="Times New Roman"/>
          <w:vanish/>
        </w:rPr>
        <w:t>r2022-01-012022-09-300001643615us-gaap:AccumulatedOtherComprehensiveIncomeMember2021-09-300001643615us-gaap:CostOfSalesMember2021-07-012021-09-300001643615meg:InterestExpenseNetMember2021-07-012021-09-300001643615us-gaap:OtherNonoperatingIncomeExpenseMembe</w:t>
      </w:r>
      <w:r>
        <w:rPr>
          <w:rFonts w:eastAsia="Times New Roman"/>
          <w:vanish/>
        </w:rPr>
        <w:t>rmeg:ConvertibleAndRedeemableSeriesATwoPreferredStockMember2022-07-012022-09-300001643615meg:SarStockPricePerformanceHurdleTwoMember2022-01-012022-09-3000016436152020-01-012020-05-220001643615us-gaap:PatentsMember2022-01-012022-09-300001643615meg:TwoThousa</w:t>
      </w:r>
      <w:r>
        <w:rPr>
          <w:rFonts w:eastAsia="Times New Roman"/>
          <w:vanish/>
        </w:rPr>
        <w:t>ndSeventeenPlanMemberus-gaap:RestrictedStockMemberus-gaap:SellingGeneralAndAdministrativeExpensesMember2021-07-012021-09-300001643615meg:TwoThousandSeventeenPlanMemberus-gaap:EmployeeStockOptionMember2021-07-012021-09-300001643615us-gaap:StockAppreciationR</w:t>
      </w:r>
      <w:r>
        <w:rPr>
          <w:rFonts w:eastAsia="Times New Roman"/>
          <w:vanish/>
        </w:rPr>
        <w:t>ightsSARSMembermeg:TwoThousandSeventeenPlanMember2022-07-012022-09-300001643615us-gaap:NoncompeteAgreementsMembermeg:OtherTwoThousandTwentyOneAcquisitionsMember2022-01-012022-09-300001643615meg:TwoThousandSeventeenPlanMemberus-gaap:SellingGeneralAndAdminis</w:t>
      </w:r>
      <w:r>
        <w:rPr>
          <w:rFonts w:eastAsia="Times New Roman"/>
          <w:vanish/>
        </w:rPr>
        <w:t>trativeExpensesMemberus-gaap:EmployeeStockOptionMember2021-01-012021-09-300001643615meg:TermLoanFacilityMembermeg:TwentyTwentyOneCreditFacilityMember2022-01-012022-09-300001643615meg:TermLoanFacilityMembermeg:TwentyTwentyOneCreditFacilityMember2022-09-3000</w:t>
      </w:r>
      <w:r>
        <w:rPr>
          <w:rFonts w:eastAsia="Times New Roman"/>
          <w:vanish/>
        </w:rPr>
        <w:t>01643615us-gaap:CustomerRelationshipsMembermeg:EnvironmentalIntelligenceLLCMember2021-12-310001643615meg:EnvironmentalStandardsIncIndustrialAutomationGroupIncTriadEnvironmentalConsultantsIncAndAirkineticsIncorporationMember2022-01-012022-09-300001643615meg</w:t>
      </w:r>
      <w:r>
        <w:rPr>
          <w:rFonts w:eastAsia="Times New Roman"/>
          <w:vanish/>
        </w:rPr>
        <w:t>:TwoThousandSeventeenPlanMemberus-gaap:CostOfSalesMemberus-gaap:EmployeeStockOptionMember2022-07-012022-09-300001643615meg:ConvertibleAndRedeemableSeriesATwoPreferredStockMember2022-09-300001643615meg:InterestExpenseNetMember2021-01-012021-09-300001643615u</w:t>
      </w:r>
      <w:r>
        <w:rPr>
          <w:rFonts w:eastAsia="Times New Roman"/>
          <w:vanish/>
        </w:rPr>
        <w:t>s-gaap:FairValueInputsLevel3Memberus-gaap:FairValueMeasurementsRecurringMember2022-01-012022-09-300001643615meg:RemediationAndReuseSegmentMember2021-12-310001643615us-gaap:AdditionalPaidInCapitalMember2022-06-300001643615meg:MontroseTwoThousandSeventeenSto</w:t>
      </w:r>
      <w:r>
        <w:rPr>
          <w:rFonts w:eastAsia="Times New Roman"/>
          <w:vanish/>
        </w:rPr>
        <w:t>ckIncentivePlanMember2021-12-310001643615meg:MontroseTwoThousandSeventeenStockIncentivePlanMember2022-07-012022-09-300001643615us-gaap:AdditionalPaidInCapitalMember2022-03-310001643615meg:TwoThousandThirteenPlanMemberus-gaap:CostOfSalesMemberus-gaap:Employ</w:t>
      </w:r>
      <w:r>
        <w:rPr>
          <w:rFonts w:eastAsia="Times New Roman"/>
          <w:vanish/>
        </w:rPr>
        <w:t>eeStockOptionMember2021-01-012021-09-300001643615us-gaap:OperatingSegmentsMember2021-07-012021-09-300001643615meg:TwentyTwentyOneCreditFacilityMembermeg:PricingTier1Memberus-gaap:BaseRateMember2021-04-272021-04-270001643615us-gaap:OperatingSegmentsMemberme</w:t>
      </w:r>
      <w:r>
        <w:rPr>
          <w:rFonts w:eastAsia="Times New Roman"/>
          <w:vanish/>
        </w:rPr>
        <w:t>g:MeasurementAndAnalysisMember2022-07-012022-09-300001643615us-gaap:OperatingSegmentsMembermeg:RemediationAndReuseMember2021-07-012021-09-300001643615us-gaap:ComputerSoftwareIntangibleAssetMember2021-12-310001643615meg:ConvertibleAndRedeemableSeriesATwoPre</w:t>
      </w:r>
      <w:r>
        <w:rPr>
          <w:rFonts w:eastAsia="Times New Roman"/>
          <w:vanish/>
        </w:rPr>
        <w:t>ferredStockMember2021-01-012021-09-300001643615us-gaap:OperatingSegmentsMembermeg:AssessmentPermittingAndResponseMember2022-07-012022-09-300001643615us-gaap:OperatingSegmentsMembermeg:AssessmentPermittingAndResponseMember2021-01-012021-09-300001643615us-ga</w:t>
      </w:r>
      <w:r>
        <w:rPr>
          <w:rFonts w:eastAsia="Times New Roman"/>
          <w:vanish/>
        </w:rPr>
        <w:t>ap:OperatingSegmentsMember2022-07-012022-09-300001643615us-gaap:RestrictedStockMember2022-01-012022-09-300001643615us-gaap:OperatingSegmentsMember2022-01-012022-09-300001643615meg:MontroseTwoThousandThirteenStockOptionPlanMember2022-01-012022-09-3000016436</w:t>
      </w:r>
      <w:r>
        <w:rPr>
          <w:rFonts w:eastAsia="Times New Roman"/>
          <w:vanish/>
        </w:rPr>
        <w:t>152021-09-300001643615us-gaap:StockAppreciationRightsSARSMembermeg:TwoThousandSeventeenPlanMemberus-gaap:SellingGeneralAndAdministrativeExpensesMember2022-07-012022-09-300001643615meg:TwoThousandSeventeenPlanMember2022-01-310001643615meg:MseGroupEiVistaAnd</w:t>
      </w:r>
      <w:r>
        <w:rPr>
          <w:rFonts w:eastAsia="Times New Roman"/>
          <w:vanish/>
        </w:rPr>
        <w:t>SensibleMember2021-07-012021-09-300001643615us-gaap:CustomerRelationshipsMembersrt:MaximumMember2022-01-012022-09-300001643615meg:TwoThousandThirteenPlanMember2022-09-300001643615meg:SignificantCustomerMemberus-gaap:RevenueFromContractWithCustomerMemberus-</w:t>
      </w:r>
      <w:r>
        <w:rPr>
          <w:rFonts w:eastAsia="Times New Roman"/>
          <w:vanish/>
        </w:rPr>
        <w:t>gaap:CustomerConcentrationRiskMember2022-07-012022-09-300001643615us-gaap:FairValueInputsLevel3Memberus-gaap:FairValueMeasurementsRecurringMember2021-01-012021-09-300001643615meg:HorizonWaterAndEnvironmentLLCMember2021-11-012021-11-300001643615us-gaap:Accu</w:t>
      </w:r>
      <w:r>
        <w:rPr>
          <w:rFonts w:eastAsia="Times New Roman"/>
          <w:vanish/>
        </w:rPr>
        <w:t>mulatedOtherComprehensiveIncomeMember2021-01-012021-03-310001643615us-gaap:CommonStockMember2022-01-012022-03-3100016436152021-04-012021-06-300001643615meg:SarStockPricePerformanceHurdleTwoMember2022-09-300001643615meg:BusinessAcquisitionsContingentConside</w:t>
      </w:r>
      <w:r>
        <w:rPr>
          <w:rFonts w:eastAsia="Times New Roman"/>
          <w:vanish/>
        </w:rPr>
        <w:t>rationCurrentMemberus-gaap:FairValueInputsLevel3Memberus-gaap:FairValueMeasurementsRecurringMember2020-12-310001643615us-gaap:LondonInterbankOfferedRateLIBORMembermeg:TwentyTwentyOneCreditFacilityMembermeg:PricingTier3Member2021-04-272021-04-270001643615me</w:t>
      </w:r>
      <w:r>
        <w:rPr>
          <w:rFonts w:eastAsia="Times New Roman"/>
          <w:vanish/>
        </w:rPr>
        <w:t>g:TwentyTwentyOneCreditFacilityMember2022-09-300001643615srt:MaximumMemberus-gaap:EquipmentMember2022-01-012022-09-300001643615meg:CustomerOneMemberus-gaap:CustomerConcentrationRiskMemberus-gaap:AccountsReceivableMember2021-01-012021-12-310001643615us-gaap</w:t>
      </w:r>
      <w:r>
        <w:rPr>
          <w:rFonts w:eastAsia="Times New Roman"/>
          <w:vanish/>
        </w:rPr>
        <w:t>:NoncompeteAgreementsMembermeg:EnvironmentalIntelligenceLLCMember2021-12-310001643615us-gaap:CustomerRelationshipsMembermeg:EnvironmentalIntelligenceLLCMember2022-01-012022-09-3000016436152022-01-012022-09-300001643615meg:SarStockPricePerformanceHurdleThre</w:t>
      </w:r>
      <w:r>
        <w:rPr>
          <w:rFonts w:eastAsia="Times New Roman"/>
          <w:vanish/>
        </w:rPr>
        <w:t>eMember2022-09-300001643615us-gaap:RetainedEarningsMember2022-06-300001643615meg:TwentyTwentyCreditFacilityMember2021-04-302021-04-300001643615srt:MaximumMember2022-01-012022-09-300001643615srt:MinimumMemberus-gaap:TradeNamesMember2021-01-012021-12-3100016</w:t>
      </w:r>
      <w:r>
        <w:rPr>
          <w:rFonts w:eastAsia="Times New Roman"/>
          <w:vanish/>
        </w:rPr>
        <w:t>43615meg:MontroseTwoThousandSeventeenStockIncentivePlanMembersrt:ExecutiveOfficerMemberus-gaap:EmployeeStockOptionMember2022-01-012022-09-300001643615meg:AssessmentPermittingAndResponseMember2022-09-300001643615us-gaap:AccumulatedOtherComprehensiveIncomeMe</w:t>
      </w:r>
      <w:r>
        <w:rPr>
          <w:rFonts w:eastAsia="Times New Roman"/>
          <w:vanish/>
        </w:rPr>
        <w:t>mber2022-03-310001643615meg:TermLoanFacilityMember2022-09-300001643615us-gaap:AdditionalPaidInCapitalMember2021-07-012021-09-3000016436152021-01-012021-12-310001643615meg:BusinessAcquisitionsContingentConsiderationCurrentMemberus-gaap:FairValueInputsLevel3</w:t>
      </w:r>
      <w:r>
        <w:rPr>
          <w:rFonts w:eastAsia="Times New Roman"/>
          <w:vanish/>
        </w:rPr>
        <w:t>Memberus-gaap:FairValueMeasurementsRecurringMember2021-12-310001643615us-gaap:NoncompeteAgreementsMembermeg:EnvironmentalIntelligenceLLCMember2022-01-012022-09-300001643615us-gaap:AccumulatedOtherComprehensiveIncomeMember2022-07-012022-09-300001643615meg:S</w:t>
      </w:r>
      <w:r>
        <w:rPr>
          <w:rFonts w:eastAsia="Times New Roman"/>
          <w:vanish/>
        </w:rPr>
        <w:t>hareBasedCompensationAwardTrancheFourMembermeg:MontroseTwoThousandSeventeenStockIncentivePlanMembersrt:DirectorMemberus-gaap:EmployeeStockOptionMember2022-01-012022-09-300001643615meg:TwoThousandSeventeenPlanMemberus-gaap:RestrictedStockMember2021-01-01202</w:t>
      </w:r>
      <w:r>
        <w:rPr>
          <w:rFonts w:eastAsia="Times New Roman"/>
          <w:vanish/>
        </w:rPr>
        <w:t>1-09-300001643615us-gaap:AdditionalPaidInCapitalMember2021-12-310001643615meg:TwoThousandSeventeenPlanMemberus-gaap:EmployeeStockOptionMember2022-07-012022-09-300001643615srt:MinimumMembermeg:PricingTier4Membermeg:TwentyTwentyOneCreditFacilityMember2021-04</w:t>
      </w:r>
      <w:r>
        <w:rPr>
          <w:rFonts w:eastAsia="Times New Roman"/>
          <w:vanish/>
        </w:rPr>
        <w:t>-272021-04-270001643615meg:DepreciationAndAmortizationMember2022-01-012022-09-300001643615meg:MontroseTwoThousandSeventeenStockIncentivePlanMember2021-01-310001643615us-gaap:StockAppreciationRightsSARSMembermeg:TwoThousandSeventeenPlanMember2021-01-012021-</w:t>
      </w:r>
      <w:r>
        <w:rPr>
          <w:rFonts w:eastAsia="Times New Roman"/>
          <w:vanish/>
        </w:rPr>
        <w:t>12-310001643615us-gaap:CustomerRelationshipsMembermeg:OtherTwoThousandTwentyTwoAcquisitionsMember2022-01-012022-09-300001643615us-gaap:PatentsMember2022-09-300001643615us-gaap:OperatingSegmentsMembermeg:RemediationAndReuseMember2022-01-012022-09-3000016436</w:t>
      </w:r>
      <w:r>
        <w:rPr>
          <w:rFonts w:eastAsia="Times New Roman"/>
          <w:vanish/>
        </w:rPr>
        <w:t>15us-gaap:LondonInterbankOfferedRateLIBORMembermeg:TwentyTwentyOneCreditFacilityMembermeg:PricingTier4Member2021-04-272021-04-270001643615us-gaap:AdditionalPaidInCapitalMember2022-09-300001643615meg:AssessmentPermittingAndResponseMember2022-01-012022-09-30</w:t>
      </w:r>
      <w:r>
        <w:rPr>
          <w:rFonts w:eastAsia="Times New Roman"/>
          <w:vanish/>
        </w:rPr>
        <w:t>0001643615us-gaap:AirTransportationEquipmentMember2022-09-300001643615meg:TermLoanFacilityMembermeg:TwentyTwentyOneCreditFacilityMember2022-01-262022-01-260001643615us-gaap:CommonStockMember2022-04-012022-06-300001643615us-gaap:CustomerRelationshipsMembers</w:t>
      </w:r>
      <w:r>
        <w:rPr>
          <w:rFonts w:eastAsia="Times New Roman"/>
          <w:vanish/>
        </w:rPr>
        <w:t>rt:MinimumMember2021-01-012021-12-310001643615us-gaap:CustomerRelationshipsMembermeg:EnvironmentalStandardsIncMember2022-01-012022-09-3000016436152022-07-012022-09-300001643615meg:MontroseTwoThousandSeventeenStockIncentivePlanMemberus-gaap:RestrictedStockM</w:t>
      </w:r>
      <w:r>
        <w:rPr>
          <w:rFonts w:eastAsia="Times New Roman"/>
          <w:vanish/>
        </w:rPr>
        <w:t>ember2021-01-012021-09-300001643615us-gaap:LondonInterbankOfferedRateLIBORMembermeg:PricingTier2Membermeg:TwentyTwentyOneCreditFacilityMember2021-04-272021-04-270001643615meg:SarStockPricePerformanceHurdleOneMember2022-09-300001643615meg:OtherTwoThousandTw</w:t>
      </w:r>
      <w:r>
        <w:rPr>
          <w:rFonts w:eastAsia="Times New Roman"/>
          <w:vanish/>
        </w:rPr>
        <w:t>entyOneAcquisitionsMemberus-gaap:DevelopedTechnologyRightsMember2022-01-012022-09-300001643615meg:SignificantCustomerMemberus-gaap:RevenueFromContractWithCustomerMemberus-gaap:CustomerConcentrationRiskMember2022-01-012022-09-300001643615meg:EnvironmentalIn</w:t>
      </w:r>
      <w:r>
        <w:rPr>
          <w:rFonts w:eastAsia="Times New Roman"/>
          <w:vanish/>
        </w:rPr>
        <w:t>telligenceLLCMember2021-12-310001643615meg:TwoThousandSeventeenPlanMemberus-gaap:RestrictedStockMemberus-gaap:SellingGeneralAndAdministrativeExpensesMember2021-01-012021-09-300001643615us-gaap:InterestRateSwapMemberus-gaap:FairValueInputsLevel3Memberus-gaa</w:t>
      </w:r>
      <w:r>
        <w:rPr>
          <w:rFonts w:eastAsia="Times New Roman"/>
          <w:vanish/>
        </w:rPr>
        <w:t>p:FairValueMeasurementsRecurringMember2022-01-012022-09-300001643615meg:TwoThousandThirteenPlanMemberus-gaap:EmployeeStockOptionMember2021-07-012021-09-300001643615meg:LabAndTestEquipmentMember2022-09-300001643615us-gaap:RetainedEarningsMember2021-01-01202</w:t>
      </w:r>
      <w:r>
        <w:rPr>
          <w:rFonts w:eastAsia="Times New Roman"/>
          <w:vanish/>
        </w:rPr>
        <w:t>1-03-310001643615meg:AcquisitionProformaMember2021-07-012021-09-300001643615us-gaap:CommonStockMember2020-12-310001643615us-gaap:LeaseholdImprovementsMember2021-12-310001643615meg:MontroseTwoThousandThirteenStockOptionPlanMember2021-01-012021-12-3100016436</w:t>
      </w:r>
      <w:r>
        <w:rPr>
          <w:rFonts w:eastAsia="Times New Roman"/>
          <w:vanish/>
        </w:rPr>
        <w:t>15us-gaap:CustomerRelationshipsMember2022-09-300001643615meg:TwoThousandSeventeenPlanMemberus-gaap:EmployeeStockOptionMember2022-01-012022-09-300001643615meg:ConsolidatedProformaMember2022-07-012022-09-300001643615us-gaap:AdditionalPaidInCapitalMember2021-</w:t>
      </w:r>
      <w:r>
        <w:rPr>
          <w:rFonts w:eastAsia="Times New Roman"/>
          <w:vanish/>
        </w:rPr>
        <w:t>06-300001643615meg:MontroseTwoThousandSeventeenStockIncentivePlanMemberus-gaap:RestrictedStockMember2022-07-012022-09-300001643615us-gaap:AdditionalPaidInCapitalMember2021-03-310001643615us-gaap:AdditionalPaidInCapitalMember2021-09-300001643615srt:MinimumM</w:t>
      </w:r>
      <w:r>
        <w:rPr>
          <w:rFonts w:eastAsia="Times New Roman"/>
          <w:vanish/>
        </w:rPr>
        <w:t>emberus-gaap:NoncompeteAgreementsMember2022-01-012022-09-300001643615meg:TwoThousandAndTwentySixEarnOutsMembermeg:EnvironmentalStandardsIncAndIndustrialAutomationGroupIncMember2022-09-300001643615srt:MaximumMembermeg:PricingTier2Membermeg:TwentyTwentyOneCr</w:t>
      </w:r>
      <w:r>
        <w:rPr>
          <w:rFonts w:eastAsia="Times New Roman"/>
          <w:vanish/>
        </w:rPr>
        <w:t>editFacilityMember2021-04-272021-04-270001643615srt:MaximumMemberus-gaap:ComputerSoftwareIntangibleAssetMember2021-01-012021-12-310001643615srt:MaximumMemberus-gaap:TradeNamesMember2022-01-012022-09-300001643615us-gaap:FurnitureAndFixturesMember2021-12-310</w:t>
      </w:r>
      <w:r>
        <w:rPr>
          <w:rFonts w:eastAsia="Times New Roman"/>
          <w:vanish/>
        </w:rPr>
        <w:t>001643615meg:MontroseTwoThousandSeventeenStockIncentivePlanMembermeg:RestrictedStockUnitsAwardsMember2021-01-012021-09-300001643615meg:MeasurementAndAnalysisMember2022-09-300001643615meg:EnvironmentalIntelligenceLLCMemberus-gaap:TradeNamesMember2021-12-310</w:t>
      </w:r>
      <w:r>
        <w:rPr>
          <w:rFonts w:eastAsia="Times New Roman"/>
          <w:vanish/>
        </w:rPr>
        <w:t>001643615meg:LabAndTestEquipmentMember2022-01-012022-09-300001643615us-gaap:AccountingStandardsUpdate202006Member2022-09-300001643615meg:TwentyTwentyOneCreditFacilityMember2022-09-012022-09-300001643615meg:VistaAnalyticalLaboratoryIncMember2021-06-012021-0</w:t>
      </w:r>
      <w:r>
        <w:rPr>
          <w:rFonts w:eastAsia="Times New Roman"/>
          <w:vanish/>
        </w:rPr>
        <w:t>6-300001643615us-gaap:RetainedEarningsMember2022-04-012022-06-300001643615meg:TwoThousandSeventeenPlanMember2022-09-300001643615us-gaap:LeaseholdImprovementsMember2022-09-300001643615srt:MinimumMembermeg:PricingTier3Membermeg:TwentyTwentyOneCreditFacilityM</w:t>
      </w:r>
      <w:r>
        <w:rPr>
          <w:rFonts w:eastAsia="Times New Roman"/>
          <w:vanish/>
        </w:rPr>
        <w:t>ember2021-04-272021-04-270001643615meg:StockAppreciationRightsUnitsGrantMember2021-01-012021-01-310001643615meg:TriadEnvironmentalConsultantsIncMember2022-08-310001643615meg:EnvironmentalStandardsIncMember2022-01-012022-09-300001643615meg:MontroseTwoThousa</w:t>
      </w:r>
      <w:r>
        <w:rPr>
          <w:rFonts w:eastAsia="Times New Roman"/>
          <w:vanish/>
        </w:rPr>
        <w:t>ndSeventeenStockIncentivePlanMembermeg:RestrictedStockUnitsAwardsMember2022-01-012022-09-300001643615meg:BusinessAcquisitionsContingentConsiderationLongTermMemberus-gaap:FairValueInputsLevel3Memberus-gaap:FairValueMeasurementsRecurringMember2021-12-3100016</w:t>
      </w:r>
      <w:r>
        <w:rPr>
          <w:rFonts w:eastAsia="Times New Roman"/>
          <w:vanish/>
        </w:rPr>
        <w:t>43615us-gaap:CommonStockMember2021-07-012021-09-3000016436152021-01-012021-09-3000016436152021-06-300001643615meg:TwoThousandSeventeenPlanMemberus-gaap:SellingGeneralAndAdministrativeExpensesMemberus-gaap:EmployeeStockOptionMember2022-01-012022-09-30000164</w:t>
      </w:r>
      <w:r>
        <w:rPr>
          <w:rFonts w:eastAsia="Times New Roman"/>
          <w:vanish/>
        </w:rPr>
        <w:t>3615meg:ConvertibleAndRedeemableSeriesATwoPreferredStockMember2022-06-3000016436152021-01-012021-03-310001643615meg:TwentyTwentyOneCreditFacilityMembermeg:PricingTier1Member2021-04-272021-04-2700016436152020-04-132020-04-130001643615meg:TwoThousandSeventee</w:t>
      </w:r>
      <w:r>
        <w:rPr>
          <w:rFonts w:eastAsia="Times New Roman"/>
          <w:vanish/>
        </w:rPr>
        <w:t>nPlanMemberus-gaap:RestrictedStockMemberus-gaap:SellingGeneralAndAdministrativeExpensesMember2022-01-012022-09-300001643615us-gaap:CommonStockMember2022-07-012022-09-300001643615meg:PricingTier3Membermeg:TwentyTwentyOneCreditFacilityMember2021-04-272021-04</w:t>
      </w:r>
      <w:r>
        <w:rPr>
          <w:rFonts w:eastAsia="Times New Roman"/>
          <w:vanish/>
        </w:rPr>
        <w:t>-270001643615us-gaap:CorporateAndOtherMember2022-07-012022-09-300001643615meg:ConvertibleAndRedeemableSeriesATwoPreferredStockMember2022-01-012022-09-300001643615us-gaap:AdditionalPaidInCapitalMember2022-01-012022-03-310001643615meg:BusinessAcquisitionsCon</w:t>
      </w:r>
      <w:r>
        <w:rPr>
          <w:rFonts w:eastAsia="Times New Roman"/>
          <w:vanish/>
        </w:rPr>
        <w:t>tingentConsiderationCurrentMemberus-gaap:FairValueInputsLevel3Memberus-gaap:FairValueMeasurementsRecurringMember2022-09-300001643615us-gaap:CommonStockMember2021-01-012021-03-310001643615meg:EnvironmentalChemistryIncMember2021-10-310001643615srt:MinimumMem</w:t>
      </w:r>
      <w:r>
        <w:rPr>
          <w:rFonts w:eastAsia="Times New Roman"/>
          <w:vanish/>
        </w:rPr>
        <w:t>bermeg:TwentyTwentyOneCreditFacilityMembermeg:PricingTier1Member2021-04-272021-04-270001643615meg:PricingTier5Membermeg:TwentyTwentyOneCreditFacilityMemberus-gaap:BaseRateMember2021-04-272021-04-270001643615meg:SupplementalIncentivePlansMember2021-01-01202</w:t>
      </w:r>
      <w:r>
        <w:rPr>
          <w:rFonts w:eastAsia="Times New Roman"/>
          <w:vanish/>
        </w:rPr>
        <w:t>1-09-300001643615us-gaap:StockAppreciationRightsSARSMembermeg:TwoThousandSeventeenPlanMember2021-12-310001643615us-gaap:OperatingSegmentsMembermeg:AssessmentPermittingAndResponseMember2022-01-012022-09-300001643615meg:TwentyTwentyCreditFacilityMember2020-0</w:t>
      </w:r>
      <w:r>
        <w:rPr>
          <w:rFonts w:eastAsia="Times New Roman"/>
          <w:vanish/>
        </w:rPr>
        <w:t>4-130001643615meg:TwoThousandSeventeenPlanMemberus-gaap:EmployeeStockOptionMember2021-01-012021-09-300001643615meg:MSEGroupLLCMemberus-gaap:NoncompeteAgreementsMember2022-01-012022-09-300001643615meg:PricingTier4Membermeg:TwentyTwentyOneCreditFacilityMembe</w:t>
      </w:r>
      <w:r>
        <w:rPr>
          <w:rFonts w:eastAsia="Times New Roman"/>
          <w:vanish/>
        </w:rPr>
        <w:t>r2021-04-272021-04-270001643615us-gaap:RetainedEarningsMember2022-07-012022-09-300001643615us-gaap:VehiclesMember2022-09-300001643615srt:MaximumMembermeg:PricingTier5Membermeg:TwentyTwentyOneCreditFacilityMember2021-04-272021-04-270001643615meg:Convertible</w:t>
      </w:r>
      <w:r>
        <w:rPr>
          <w:rFonts w:eastAsia="Times New Roman"/>
          <w:vanish/>
        </w:rPr>
        <w:t>AndRedeemableSeriesATwoPreferredStockMember2021-09-300001643615meg:ConversionOptionMemberus-gaap:FairValueInputsLevel3Memberus-gaap:FairValueMeasurementsRecurringMember2021-01-012021-09-300001643615meg:TwentyTwentyOneCreditFacilityMember2021-04-272021-04-2</w:t>
      </w:r>
      <w:r>
        <w:rPr>
          <w:rFonts w:eastAsia="Times New Roman"/>
          <w:vanish/>
        </w:rPr>
        <w:t>70001643615meg:BusinessAcquisitionsContingentConsiderationLongTermMemberus-gaap:FairValueInputsLevel3Memberus-gaap:FairValueMeasurementsRecurringMember2022-09-3000016436152022-01-012022-03-310001643615us-gaap:InterestRateSwapMemberus-gaap:FairValueMeasurem</w:t>
      </w:r>
      <w:r>
        <w:rPr>
          <w:rFonts w:eastAsia="Times New Roman"/>
          <w:vanish/>
        </w:rPr>
        <w:t>entsRecurringMember2022-01-012022-09-300001643615us-gaap:SellingGeneralAndAdministrativeExpensesMember2022-07-012022-09-300001643615meg:AssessmentPermittingAndResponseMember2021-12-310001643615us-gaap:StockAppreciationRightsSARSMembermeg:TwoThousandSevente</w:t>
      </w:r>
      <w:r>
        <w:rPr>
          <w:rFonts w:eastAsia="Times New Roman"/>
          <w:vanish/>
        </w:rPr>
        <w:t>enPlanMember2022-01-012022-09-300001643615us-gaap:AirTransportationEquipmentMember2022-01-012022-09-300001643615srt:MaximumMember2020-01-012020-05-2200016436152021-03-310001643615us-gaap:TechnologyBasedIntangibleAssetsMembermeg:OtherAcquisitionsMember2021-</w:t>
      </w:r>
      <w:r>
        <w:rPr>
          <w:rFonts w:eastAsia="Times New Roman"/>
          <w:vanish/>
        </w:rPr>
        <w:t>12-310001643615us-gaap:LeaseholdImprovementsMember2022-01-012022-09-300001643615us-gaap:EquipmentMember2021-12-310001643615us-gaap:AirTransportationEquipmentMember2021-12-310001643615us-gaap:LondonInterbankOfferedRateLIBORMembermeg:PricingTier5Membermeg:Tw</w:t>
      </w:r>
      <w:r>
        <w:rPr>
          <w:rFonts w:eastAsia="Times New Roman"/>
          <w:vanish/>
        </w:rPr>
        <w:t>entyTwentyOneCreditFacilityMember2021-04-272021-04-270001643615meg:AirkineticsIncorporationMember2022-09-300001643615us-gaap:RevenueFromContractWithCustomerMemberus-gaap:CustomerConcentrationRiskMembermeg:CustomerTwoMember2021-07-012021-09-300001643615meg:</w:t>
      </w:r>
      <w:r>
        <w:rPr>
          <w:rFonts w:eastAsia="Times New Roman"/>
          <w:vanish/>
        </w:rPr>
        <w:t>MSEGroupLLCMember2021-01-310001643615meg:TwoThousandThirteenPlanMemberus-gaap:SellingGeneralAndAdministrativeExpensesMemberus-gaap:EmployeeStockOptionMember2021-07-012021-09-300001643615meg:TwoThousandThirteenPlanMemberus-gaap:SellingGeneralAndAdministrati</w:t>
      </w:r>
      <w:r>
        <w:rPr>
          <w:rFonts w:eastAsia="Times New Roman"/>
          <w:vanish/>
        </w:rPr>
        <w:t>veExpensesMemberus-gaap:EmployeeStockOptionMember2021-01-012021-09-300001643615meg:OtherTwoThousandTwentyTwoAcquisitionsMemberus-gaap:TradeNamesMember2022-09-300001643615meg:TwentyTwentyOneCreditFacilityMembermeg:PricingTier4Memberus-gaap:BaseRateMember202</w:t>
      </w:r>
      <w:r>
        <w:rPr>
          <w:rFonts w:eastAsia="Times New Roman"/>
          <w:vanish/>
        </w:rPr>
        <w:t>1-04-272021-04-270001643615meg:TwoThousandSeventeenPlanMember2021-09-300001643615us-gaap:CommonStockMember2021-04-012021-06-300001643615srt:MinimumMember2022-01-012022-09-300001643615us-gaap:CommonStockMember2022-06-300001643615us-gaap:TradeNamesMembermeg:</w:t>
      </w:r>
      <w:r>
        <w:rPr>
          <w:rFonts w:eastAsia="Times New Roman"/>
          <w:vanish/>
        </w:rPr>
        <w:t>EnvironmentalStandardsIncMember2022-01-012022-09-300001643615us-gaap:RetainedEarningsMember2022-03-310001643615srt:MaximumMemberus-gaap:ComputerSoftwareIntangibleAssetMember2022-01-012022-09-300001643615meg:VistaAnalyticalLaboratoryIncMember2021-06-3000016</w:t>
      </w:r>
      <w:r>
        <w:rPr>
          <w:rFonts w:eastAsia="Times New Roman"/>
          <w:vanish/>
        </w:rPr>
        <w:t>436152020-12-310001643615meg:MseGroupEiVistaAndSensibleMember2021-01-012021-09-300001643615us-gaap:RetainedEarningsMember2022-09-300001643615us-gaap:CostOfSalesMember2022-01-012022-09-300001643615meg:MontroseTwoThousandSeventeenStockIncentivePlanMember2020</w:t>
      </w:r>
      <w:r>
        <w:rPr>
          <w:rFonts w:eastAsia="Times New Roman"/>
          <w:vanish/>
        </w:rPr>
        <w:t>-01-012020-12-310001643615srt:MaximumMembermeg:TwentyTwentyOneCreditFacilityMembermeg:PricingTier3Member2021-04-272021-04-270001643615us-gaap:SellingGeneralAndAdministrativeExpensesMember2021-01-012021-09-300001643615meg:MSEGroupLLCMemberus-gaap:Noncompete</w:t>
      </w:r>
      <w:r>
        <w:rPr>
          <w:rFonts w:eastAsia="Times New Roman"/>
          <w:vanish/>
        </w:rPr>
        <w:t>AgreementsMember2021-12-310001643615us-gaap:CustomerRelationshipsMembermeg:MSEGroupLLCMembersrt:MaximumMember2022-01-012022-09-300001643615us-gaap:CorporateAndOtherMember2022-01-012022-09-300001643615meg:DepreciationAndAmortizationMember2021-01-012021-09-3</w:t>
      </w:r>
      <w:r>
        <w:rPr>
          <w:rFonts w:eastAsia="Times New Roman"/>
          <w:vanish/>
        </w:rPr>
        <w:t>00001643615meg:AcquisitionProformaMember2021-01-012021-09-300001643615meg:PricingTier2Membermeg:TwentyTwentyOneCreditFacilityMemberus-gaap:BaseRateMember2021-04-272021-04-270001643615srt:MinimumMember2020-01-012020-05-220001643615us-gaap:BuildingMember2021</w:t>
      </w:r>
      <w:r>
        <w:rPr>
          <w:rFonts w:eastAsia="Times New Roman"/>
          <w:vanish/>
        </w:rPr>
        <w:t>-12-310001643615meg:ConvertibleAndRedeemableSeriesATwoPreferredStockMember2021-12-310001643615meg:SignificantCustomerMemberus-gaap:RevenueFromContractWithCustomerMemberus-gaap:CustomerConcentrationRiskMember2021-07-012021-09-300001643615meg:TwentyTwentyOne</w:t>
      </w:r>
      <w:r>
        <w:rPr>
          <w:rFonts w:eastAsia="Times New Roman"/>
          <w:vanish/>
        </w:rPr>
        <w:t>CreditFacilityMembermeg:PricingTier3Memberus-gaap:BaseRateMember2021-04-272021-04-2700016436152022-09-300001643615us-gaap:LondonInterbankOfferedRateLIBORMembermeg:TwentyTwentyOneCreditFacilityMembermeg:PricingTier1Member2021-04-272021-04-270001643615meg:En</w:t>
      </w:r>
      <w:r>
        <w:rPr>
          <w:rFonts w:eastAsia="Times New Roman"/>
          <w:vanish/>
        </w:rPr>
        <w:t>vironmentalIntelligenceLLCMember2021-07-310001643615meg:MontroseTwoThousandSeventeenStockIncentivePlanMemberus-gaap:RestrictedStockUnitsRSUMember2021-01-012021-12-310001643615meg:MontroseTwoThousandSeventeenStockIncentivePlanMember2021-09-300001643615meg:C</w:t>
      </w:r>
      <w:r>
        <w:rPr>
          <w:rFonts w:eastAsia="Times New Roman"/>
          <w:vanish/>
        </w:rPr>
        <w:t>onvertibleAndRedeemableSeriesATwoPreferredStockMember2021-03-310001643615meg:MontroseTwoThousandSeventeenStockIncentivePlanMemberus-gaap:RestrictedStockMember2021-07-012021-09-300001643615meg:MontroseTwoThousandSeventeenStockIncentivePlanMemberus-gaap:Shar</w:t>
      </w:r>
      <w:r>
        <w:rPr>
          <w:rFonts w:eastAsia="Times New Roman"/>
          <w:vanish/>
        </w:rPr>
        <w:t>eBasedCompensationAwardTrancheTwoMembersrt:DirectorMemberus-gaap:EmployeeStockOptionMember2022-01-012022-09-300001643615meg:SensibleloTLLCMember2021-08-012021-08-310001643615us-gaap:FairValueInputsLevel3Memberus-gaap:FairValueMeasurementsRecurringMember202</w:t>
      </w:r>
      <w:r>
        <w:rPr>
          <w:rFonts w:eastAsia="Times New Roman"/>
          <w:vanish/>
        </w:rPr>
        <w:t>2-09-300001643615meg:OtherTwoThousandTwentyTwoAcquisitionsMemberus-gaap:TradeNamesMember2022-01-012022-09-300001643615us-gaap:BuildingMember2022-01-012022-09-300001643615us-gaap:FairValueInputsLevel3Memberus-gaap:FairValueMeasurementsRecurringMember2021-09</w:t>
      </w:r>
      <w:r>
        <w:rPr>
          <w:rFonts w:eastAsia="Times New Roman"/>
          <w:vanish/>
        </w:rPr>
        <w:t>-300001643615meg:MSEGroupVistaEISensibleECIHorizonMember2022-01-012022-09-300001643615us-gaap:AccumulatedOtherComprehensiveIncomeMember2022-01-012022-03-310001643615meg:SupplementalIncentivePlansMember2022-01-012022-09-300001643615us-gaap:AccumulatedOtherC</w:t>
      </w:r>
      <w:r>
        <w:rPr>
          <w:rFonts w:eastAsia="Times New Roman"/>
          <w:vanish/>
        </w:rPr>
        <w:t>omprehensiveIncomeMember2021-12-310001643615meg:BusinessAcquisitionsContingentConsiderationLongTermMemberus-gaap:FairValueInputsLevel3Memberus-gaap:FairValueMeasurementsRecurringMember2021-09-300001643615us-gaap:RevenueFromContractWithCustomerMembermeg:Cus</w:t>
      </w:r>
      <w:r>
        <w:rPr>
          <w:rFonts w:eastAsia="Times New Roman"/>
          <w:vanish/>
        </w:rPr>
        <w:t>tomerThreeMemberus-gaap:CustomerConcentrationRiskMember2021-07-012021-09-300001643615us-gaap:CommonStockMember2022-09-3000016436152021-12-3100016436152022-10-012022-09-300001643615meg:EnvironmentalStandardsIncMemberus-gaap:TradeNamesMember2022-09-300001643</w:t>
      </w:r>
      <w:r>
        <w:rPr>
          <w:rFonts w:eastAsia="Times New Roman"/>
          <w:vanish/>
        </w:rPr>
        <w:t>615us-gaap:CustomerRelationshipsMembersrt:MinimumMember2022-01-012022-09-300001643615meg:ConversionOptionMemberus-gaap:FairValueInputsLevel3Memberus-gaap:FairValueMeasurementsRecurringMember2020-12-310001643615us-gaap:CommonStockMember2021-06-300001643615u</w:t>
      </w:r>
      <w:r>
        <w:rPr>
          <w:rFonts w:eastAsia="Times New Roman"/>
          <w:vanish/>
        </w:rPr>
        <w:t>s-gaap:NoncompeteAgreementsMember2021-12-3100016436152020-04-130001643615us-gaap:OperatingSegmentsMembermeg:RemediationAndReuseMember2021-01-012021-09-300001643615meg:SignificantCustomerMemberus-gaap:RevenueFromContractWithCustomerMemberus-gaap:CustomerCon</w:t>
      </w:r>
      <w:r>
        <w:rPr>
          <w:rFonts w:eastAsia="Times New Roman"/>
          <w:vanish/>
        </w:rPr>
        <w:t>centrationRiskMember2021-01-012021-09-300001643615us-gaap:AccumulatedOtherComprehensiveIncomeMember2021-03-310001643615us-gaap:OperatingSegmentsMembermeg:MeasurementAndAnalysisMember2021-07-012021-09-300001643615meg:SarStockPricePerformanceHurdleOneMember2</w:t>
      </w:r>
      <w:r>
        <w:rPr>
          <w:rFonts w:eastAsia="Times New Roman"/>
          <w:vanish/>
        </w:rPr>
        <w:t>022-01-012022-09-300001643615us-gaap:OperatingSegmentsMembermeg:RemediationAndReuseMember2022-07-012022-09-300001643615us-gaap:ConstructionInProgressMember2021-12-310001643615meg:MeasurementAndAnalysisMember2022-01-012022-09-300001643615us-gaap:PatentsMemb</w:t>
      </w:r>
      <w:r>
        <w:rPr>
          <w:rFonts w:eastAsia="Times New Roman"/>
          <w:vanish/>
        </w:rPr>
        <w:t>er2021-12-310001643615meg:ConvertibleAndRedeemableSeriesATwoPreferredStockMember2021-06-300001643615meg:TwoThousandSeventeenPlanMemberus-gaap:SellingGeneralAndAdministrativeExpensesMemberus-gaap:EmployeeStockOptionMember2022-07-012022-09-300001643615meg:Mo</w:t>
      </w:r>
      <w:r>
        <w:rPr>
          <w:rFonts w:eastAsia="Times New Roman"/>
          <w:vanish/>
        </w:rPr>
        <w:t>ntroseTwoThousandSeventeenStockIncentivePlanMember2021-01-012021-12-310001643615meg:SignificantCustomerMemberus-gaap:CustomerConcentrationRiskMemberus-gaap:AccountsReceivableMember2022-01-012022-09-300001643615meg:ConvertibleAndRedeemableSeriesATwoPreferre</w:t>
      </w:r>
      <w:r>
        <w:rPr>
          <w:rFonts w:eastAsia="Times New Roman"/>
          <w:vanish/>
        </w:rPr>
        <w:t>dStockMember2020-04-130001643615srt:MinimumMembermeg:TwentyTwentyOneCreditFacilityMembermeg:PricingTier2Member2021-04-272021-04-270001643615meg:IncrementalTermLoansMember2021-04-270001643615meg:MontroseTwoThousandSeventeenStockIncentivePlanMemberus-gaap:Re</w:t>
      </w:r>
      <w:r>
        <w:rPr>
          <w:rFonts w:eastAsia="Times New Roman"/>
          <w:vanish/>
        </w:rPr>
        <w:t>strictedStockMember2022-01-012022-09-300001643615meg:SarStockPricePerformanceHurdleThreeMember2022-01-012022-09-300001643615meg:BusinessAcquisitionsContingentConsiderationCurrentMemberus-gaap:FairValueInputsLevel3Memberus-gaap:FairValueMeasurementsRecurrin</w:t>
      </w:r>
      <w:r>
        <w:rPr>
          <w:rFonts w:eastAsia="Times New Roman"/>
          <w:vanish/>
        </w:rPr>
        <w:t>gMember2021-09-300001643615meg:ConvertibleAndRedeemableSeriesATwoPreferredStockMember2022-03-310001643615us-gaap:AdditionalPaidInCapitalMember2021-04-012021-06-300001643615meg:FloatingRateMemberus-gaap:InterestRateSwapMember2022-01-272022-01-270001643615us</w:t>
      </w:r>
      <w:r>
        <w:rPr>
          <w:rFonts w:eastAsia="Times New Roman"/>
          <w:vanish/>
        </w:rPr>
        <w:t>-gaap:CustomerRelationshipsMembermeg:MSEGroupLLCMember2021-12-310001643615meg:FloatingRateMemberus-gaap:InterestRateSwapMember2022-01-270001643615meg:EquipmentLineOfCreditMember2022-01-012022-09-300001643615meg:ConversionOptionMemberus-gaap:FairValueInputs</w:t>
      </w:r>
      <w:r>
        <w:rPr>
          <w:rFonts w:eastAsia="Times New Roman"/>
          <w:vanish/>
        </w:rPr>
        <w:t>Level3Memberus-gaap:FairValueMeasurementsRecurringMember2021-12-310001643615us-gaap:CommonStockMember2021-03-310001643615meg:MontroseTwoThousandSeventeenStockIncentivePlanMember2021-01-012021-09-300001643615meg:BusinessAcquisitionsContingentConsiderationCu</w:t>
      </w:r>
      <w:r>
        <w:rPr>
          <w:rFonts w:eastAsia="Times New Roman"/>
          <w:vanish/>
        </w:rPr>
        <w:t>rrentMemberus-gaap:FairValueInputsLevel3Memberus-gaap:FairValueMeasurementsRecurringMember2022-01-012022-09-300001643615us-gaap:CommonStockMember2021-12-310001643615meg:MontroseTwoThousandThirteenStockOptionPlanMember2021-01-012021-09-300001643615meg:Inter</w:t>
      </w:r>
      <w:r>
        <w:rPr>
          <w:rFonts w:eastAsia="Times New Roman"/>
          <w:vanish/>
        </w:rPr>
        <w:t>estExpenseNetMember2022-07-012022-09-300001643615srt:MinimumMemberus-gaap:ComputerSoftwareIntangibleAssetMember2022-01-012022-09-300001643615meg:MontroseTwoThousandThirteenStockOptionPlanMember2021-12-310001643615meg:MontroseTwoThousandSeventeenStockIncent</w:t>
      </w:r>
      <w:r>
        <w:rPr>
          <w:rFonts w:eastAsia="Times New Roman"/>
          <w:vanish/>
        </w:rPr>
        <w:t>ivePlanMembermeg:PerformanceVestedRSUsMember2021-01-012021-12-310001643615meg:EnvironmentalStandardsIncMember2022-01-310001643615meg:MeasurementAndAnalysisMember2021-12-310001643615us-gaap:FairValueInputsLevel3Memberus-gaap:FairValueMeasurementsRecurringMe</w:t>
      </w:r>
      <w:r>
        <w:rPr>
          <w:rFonts w:eastAsia="Times New Roman"/>
          <w:vanish/>
        </w:rPr>
        <w:t>mber2020-12-310001643615us-gaap:OperatingSegmentsMembermeg:MeasurementAndAnalysisMember2022-01-012022-09-300001643615meg:InterestExpenseNetMember2022-01-012022-09-300001643615us-gaap:TradeNamesMember2021-12-310001643615us-gaap:AdditionalPaidInCapitalMember</w:t>
      </w:r>
      <w:r>
        <w:rPr>
          <w:rFonts w:eastAsia="Times New Roman"/>
          <w:vanish/>
        </w:rPr>
        <w:t>2020-12-310001643615us-gaap:VehiclesMember2021-12-310001643615meg:OtherTwoThousandTwentyTwoAcquisitionsMember2022-01-012022-09-300001643615meg:OtherAcquisitionsMemberus-gaap:TradeNamesMember2021-12-310001643615meg:StockAppreciationRightsUnitsGrantMember202</w:t>
      </w:r>
      <w:r>
        <w:rPr>
          <w:rFonts w:eastAsia="Times New Roman"/>
          <w:vanish/>
        </w:rPr>
        <w:t>1-01-310001643615meg:LabAndTestEquipmentMember2021-12-310001643615srt:MaximumMemberus-gaap:NoncompeteAgreementsMember2022-01-012022-09-300001643615srt:MaximumMembermeg:PricingTier4Membermeg:TwentyTwentyOneCreditFacilityMember2021-04-272021-04-270001643615u</w:t>
      </w:r>
      <w:r>
        <w:rPr>
          <w:rFonts w:eastAsia="Times New Roman"/>
          <w:vanish/>
        </w:rPr>
        <w:t>s-gaap:AccumulatedOtherComprehensiveIncomeMember2022-04-012022-06-300001643615us-gaap:AdditionalPaidInCapitalMember2021-01-012021-03-310001643615us-gaap:TechnologyBasedIntangibleAssetsMember2021-12-310001643615us-gaap:FurnitureAndFixturesMember2022-09-3000</w:t>
      </w:r>
      <w:r>
        <w:rPr>
          <w:rFonts w:eastAsia="Times New Roman"/>
          <w:vanish/>
        </w:rPr>
        <w:t>01643615us-gaap:CommonStockMember2022-03-310001643615meg:SensibleloTLLCMember2021-08-310001643615us-gaap:RetainedEarningsMember2021-04-012021-06-300001643615us-gaap:PatentsMember2021-01-012021-12-310001643615meg:MontroseTwoThousandSeventeenStockIncentivePl</w:t>
      </w:r>
      <w:r>
        <w:rPr>
          <w:rFonts w:eastAsia="Times New Roman"/>
          <w:vanish/>
        </w:rPr>
        <w:t>anMember2020-12-310001643615us-gaap:TradeNamesMember2022-09-300001643615us-gaap:LandMember2022-09-300001643615meg:MontroseTwoThousandThirteenStockOptionPlanMember2020-12-310001643615meg:HorizonWaterAndEnvironmentLLCMember2021-11-300001643615meg:MontroseTwo</w:t>
      </w:r>
      <w:r>
        <w:rPr>
          <w:rFonts w:eastAsia="Times New Roman"/>
          <w:vanish/>
        </w:rPr>
        <w:t>ThousandThirteenStockOptionPlanMember2021-09-300001643615meg:TermLoanFacilityMembermeg:TwentyTwentyOneCreditFacilityMember2021-04-270001643615meg:MSEGroupLLCMember2021-12-310001643615meg:TwoThousandThirteenPlanMemberus-gaap:EmployeeStockOptionMember2021-01</w:t>
      </w:r>
      <w:r>
        <w:rPr>
          <w:rFonts w:eastAsia="Times New Roman"/>
          <w:vanish/>
        </w:rPr>
        <w:t>-012021-09-300001643615meg:OtherTwoThousandTwentyOneAcquisitionsMemberus-gaap:TradeNamesMember2022-01-012022-09-300001643615srt:MaximumMemberus-gaap:TradeNamesMember2021-01-012021-12-310001643615meg:TwoThousandSeventeenPlanMemberus-gaap:RestrictedStockMemb</w:t>
      </w:r>
      <w:r>
        <w:rPr>
          <w:rFonts w:eastAsia="Times New Roman"/>
          <w:vanish/>
        </w:rPr>
        <w:t>erus-gaap:SellingGeneralAndAdministrativeExpensesMember2022-07-012022-09-300001643615us-gaap:AccumulatedOtherComprehensiveIncomeMember2022-09-300001643615us-gaap:CostOfSalesMember2022-07-012022-09-300001643615meg:YearSixMembermeg:ConvertibleAndRedeemableSe</w:t>
      </w:r>
      <w:r>
        <w:rPr>
          <w:rFonts w:eastAsia="Times New Roman"/>
          <w:vanish/>
        </w:rPr>
        <w:t>riesATwoPreferredStockMember2022-09-300001643615meg:ConvertibleAndRedeemableSeriesATwoPreferredStockMember2021-07-012021-09-300001643615srt:MinimumMemberus-gaap:TradeNamesMember2022-01-012022-09-300001643615us-gaap:CostOfSalesMember2021-01-012021-09-300001</w:t>
      </w:r>
      <w:r>
        <w:rPr>
          <w:rFonts w:eastAsia="Times New Roman"/>
          <w:vanish/>
        </w:rPr>
        <w:t>643615meg:ConversionOptionMemberus-gaap:FairValueInputsLevel3Memberus-gaap:FairValueMeasurementsRecurringMember2022-09-3000016436152021-07-012021-09-300001643615us-gaap:EmployeeStockOptionMember2022-01-012022-09-3000016436152022-04-012022-06-300001643615me</w:t>
      </w:r>
      <w:r>
        <w:rPr>
          <w:rFonts w:eastAsia="Times New Roman"/>
          <w:vanish/>
        </w:rPr>
        <w:t>g:MSEGroupMember2021-01-012021-12-310001643615us-gaap:CustomerRelationshipsMembermeg:OtherTwoThousandTwentyOneAcquisitionsMember2022-01-012022-09-300001643615meg:MontroseTwoThousandThirteenStockOptionPlanMember2022-09-300001643615us-gaap:CustomerRelationsh</w:t>
      </w:r>
      <w:r>
        <w:rPr>
          <w:rFonts w:eastAsia="Times New Roman"/>
          <w:vanish/>
        </w:rPr>
        <w:t>ipsMembermeg:MSEGroupLLCMembersrt:MinimumMember2022-01-012022-09-300001643615meg:TermLoanFacilityMembermeg:TwentyTwentyCreditFacilityMember2020-04-130001643615us-gaap:RestrictedStockMember2021-01-012021-09-300001643615meg:ConversionOptionMemberus-gaap:Fair</w:t>
      </w:r>
      <w:r>
        <w:rPr>
          <w:rFonts w:eastAsia="Times New Roman"/>
          <w:vanish/>
        </w:rPr>
        <w:t>ValueInputsLevel3Memberus-gaap:FairValueMeasurementsRecurringMember2022-01-012022-09-300001643615meg:BusinessAcquisitionsContingentConsiderationLongTermMemberus-gaap:FairValueInputsLevel3Memberus-gaap:FairValueMeasurementsRecurringMember2021-01-012021-09-3</w:t>
      </w:r>
      <w:r>
        <w:rPr>
          <w:rFonts w:eastAsia="Times New Roman"/>
          <w:vanish/>
        </w:rPr>
        <w:t>00001643615meg:StockAppreciationRightsUnitsGrantMember2021-12-310001643615meg:TwoThousandSeventeenPlanMemberus-gaap:RestrictedStockMember2022-01-012022-09-300001643615us-gaap:CustomerRelationshipsMember2021-12-310001643615meg:BusinessAcquisitionsContingent</w:t>
      </w:r>
      <w:r>
        <w:rPr>
          <w:rFonts w:eastAsia="Times New Roman"/>
          <w:vanish/>
        </w:rPr>
        <w:t>ConsiderationLongTermMemberus-gaap:FairValueInputsLevel3Memberus-gaap:FairValueMeasurementsRecurringMember2020-12-310001643615us-gaap:SellingGeneralAndAdministrativeExpensesMember2021-07-012021-09-300001643615us-gaap:RetainedEarningsMember2021-07-012021-09</w:t>
      </w:r>
      <w:r>
        <w:rPr>
          <w:rFonts w:eastAsia="Times New Roman"/>
          <w:vanish/>
        </w:rPr>
        <w:t>-300001643615us-gaap:RetainedEarningsMember2021-03-310001643615meg:TwoThousandSeventeenPlanMemberus-gaap:SellingGeneralAndAdministrativeExpensesMemberus-gaap:EmployeeStockOptionMember2021-07-012021-09-300001643615us-gaap:NoncompeteAgreementsMembermeg:Other</w:t>
      </w:r>
      <w:r>
        <w:rPr>
          <w:rFonts w:eastAsia="Times New Roman"/>
          <w:vanish/>
        </w:rPr>
        <w:t>TwoThousandTwentyTwoAcquisitionsMember2022-01-012022-09-3000016436152022-11-030001643615meg:PricingTier2Membermeg:TwentyTwentyOneCreditFacilityMember2021-04-272021-04-27iso4217:USDxbrli:sharesmeg:Officexbrli:puremeg:Employeexbrli:sharesmeg:Segmentiso4217:U</w:t>
      </w:r>
      <w:r>
        <w:rPr>
          <w:rFonts w:eastAsia="Times New Roman"/>
          <w:vanish/>
        </w:rPr>
        <w:t>SDmeg:Customer</w:t>
      </w:r>
    </w:p>
    <w:p w:rsidR="00000000" w:rsidRDefault="00A32496">
      <w:pPr>
        <w:pStyle w:val="a3"/>
        <w:spacing w:before="0" w:beforeAutospacing="0" w:after="0" w:afterAutospacing="0"/>
        <w:rPr>
          <w:sz w:val="20"/>
          <w:szCs w:val="20"/>
        </w:rPr>
      </w:pPr>
      <w:r>
        <w:rPr>
          <w:sz w:val="20"/>
          <w:szCs w:val="20"/>
        </w:rPr>
        <w:t> </w:t>
      </w:r>
    </w:p>
    <w:p w:rsidR="00000000" w:rsidRDefault="00A32496">
      <w:pPr>
        <w:pStyle w:val="a3"/>
        <w:pBdr>
          <w:top w:val="double" w:sz="6" w:space="1" w:color="auto"/>
        </w:pBdr>
        <w:spacing w:before="0" w:beforeAutospacing="0" w:after="0" w:afterAutospacing="0"/>
        <w:rPr>
          <w:sz w:val="20"/>
          <w:szCs w:val="20"/>
        </w:rPr>
      </w:pPr>
      <w:r>
        <w:rPr>
          <w:sz w:val="20"/>
          <w:szCs w:val="20"/>
        </w:rPr>
        <w:t> </w:t>
      </w:r>
    </w:p>
    <w:p w:rsidR="00000000" w:rsidRDefault="00A32496">
      <w:pPr>
        <w:pStyle w:val="a3"/>
        <w:spacing w:before="0" w:beforeAutospacing="0" w:after="0" w:afterAutospacing="0"/>
        <w:jc w:val="center"/>
        <w:rPr>
          <w:sz w:val="20"/>
          <w:szCs w:val="20"/>
        </w:rPr>
      </w:pPr>
      <w:r>
        <w:rPr>
          <w:b/>
          <w:bCs/>
          <w:sz w:val="36"/>
          <w:szCs w:val="36"/>
        </w:rPr>
        <w:t>UNITED STATE</w:t>
      </w:r>
      <w:r>
        <w:rPr>
          <w:b/>
          <w:bCs/>
          <w:sz w:val="36"/>
          <w:szCs w:val="36"/>
        </w:rPr>
        <w:t>S</w:t>
      </w:r>
    </w:p>
    <w:p w:rsidR="00000000" w:rsidRDefault="00A32496">
      <w:pPr>
        <w:pStyle w:val="a3"/>
        <w:spacing w:before="0" w:beforeAutospacing="0" w:after="0" w:afterAutospacing="0"/>
        <w:jc w:val="center"/>
        <w:rPr>
          <w:sz w:val="20"/>
          <w:szCs w:val="20"/>
        </w:rPr>
      </w:pPr>
      <w:r>
        <w:rPr>
          <w:b/>
          <w:bCs/>
          <w:sz w:val="36"/>
          <w:szCs w:val="36"/>
        </w:rPr>
        <w:t>SECURITIES AND EXCHANGE COMMISSIO</w:t>
      </w:r>
      <w:r>
        <w:rPr>
          <w:b/>
          <w:bCs/>
          <w:sz w:val="36"/>
          <w:szCs w:val="36"/>
        </w:rPr>
        <w:t>N</w:t>
      </w:r>
    </w:p>
    <w:p w:rsidR="00000000" w:rsidRDefault="00A32496">
      <w:pPr>
        <w:pStyle w:val="a3"/>
        <w:spacing w:before="0" w:beforeAutospacing="0" w:after="0" w:afterAutospacing="0"/>
        <w:jc w:val="center"/>
        <w:rPr>
          <w:sz w:val="20"/>
          <w:szCs w:val="20"/>
        </w:rPr>
      </w:pPr>
      <w:r>
        <w:rPr>
          <w:b/>
          <w:bCs/>
        </w:rPr>
        <w:t>WASHINGTON, DC 2054</w:t>
      </w:r>
      <w:r>
        <w:rPr>
          <w:b/>
          <w:bCs/>
        </w:rPr>
        <w:t>9</w:t>
      </w:r>
    </w:p>
    <w:p w:rsidR="00000000" w:rsidRDefault="00A32496">
      <w:pPr>
        <w:pStyle w:val="a3"/>
        <w:pBdr>
          <w:bottom w:val="single" w:sz="4" w:space="1" w:color="auto"/>
        </w:pBdr>
        <w:spacing w:before="60" w:beforeAutospacing="0" w:after="120" w:afterAutospacing="0"/>
        <w:ind w:left="4762" w:right="4762"/>
        <w:jc w:val="center"/>
        <w:rPr>
          <w:sz w:val="20"/>
          <w:szCs w:val="20"/>
        </w:rPr>
      </w:pPr>
      <w:r>
        <w:rPr>
          <w:sz w:val="20"/>
          <w:szCs w:val="20"/>
        </w:rPr>
        <w:t> </w:t>
      </w:r>
    </w:p>
    <w:p w:rsidR="00000000" w:rsidRDefault="00A32496">
      <w:pPr>
        <w:pStyle w:val="a3"/>
        <w:spacing w:before="120" w:beforeAutospacing="0" w:after="0" w:afterAutospacing="0"/>
        <w:jc w:val="center"/>
        <w:rPr>
          <w:sz w:val="20"/>
          <w:szCs w:val="20"/>
        </w:rPr>
      </w:pPr>
      <w:r>
        <w:rPr>
          <w:b/>
          <w:bCs/>
          <w:sz w:val="36"/>
          <w:szCs w:val="36"/>
        </w:rPr>
        <w:t>FORM</w:t>
      </w:r>
      <w:r>
        <w:rPr>
          <w:b/>
          <w:bCs/>
          <w:sz w:val="36"/>
          <w:szCs w:val="36"/>
        </w:rPr>
        <w:t xml:space="preserve"> </w:t>
      </w:r>
      <w:r>
        <w:rPr>
          <w:b/>
          <w:bCs/>
          <w:sz w:val="36"/>
          <w:szCs w:val="36"/>
        </w:rPr>
        <w:t>10-</w:t>
      </w:r>
      <w:r>
        <w:rPr>
          <w:b/>
          <w:bCs/>
          <w:sz w:val="36"/>
          <w:szCs w:val="36"/>
        </w:rPr>
        <w:t>Q</w:t>
      </w:r>
    </w:p>
    <w:p w:rsidR="00000000" w:rsidRDefault="00A32496">
      <w:pPr>
        <w:pStyle w:val="a3"/>
        <w:pBdr>
          <w:bottom w:val="single" w:sz="4" w:space="1" w:color="auto"/>
        </w:pBdr>
        <w:spacing w:before="60" w:beforeAutospacing="0" w:after="120" w:afterAutospacing="0"/>
        <w:ind w:left="4762" w:right="4762"/>
        <w:jc w:val="center"/>
        <w:rPr>
          <w:sz w:val="20"/>
          <w:szCs w:val="20"/>
        </w:rPr>
      </w:pPr>
      <w:r>
        <w:rPr>
          <w:sz w:val="20"/>
          <w:szCs w:val="20"/>
        </w:rPr>
        <w:t> </w:t>
      </w:r>
    </w:p>
    <w:p w:rsidR="00000000" w:rsidRDefault="00A32496">
      <w:pPr>
        <w:pStyle w:val="a3"/>
        <w:spacing w:before="90" w:beforeAutospacing="0" w:after="0" w:afterAutospacing="0"/>
        <w:rPr>
          <w:sz w:val="20"/>
          <w:szCs w:val="20"/>
        </w:rPr>
      </w:pPr>
      <w:r>
        <w:rPr>
          <w:b/>
          <w:bCs/>
          <w:sz w:val="16"/>
          <w:szCs w:val="16"/>
        </w:rPr>
        <w:t>(Mark One</w:t>
      </w:r>
      <w:r>
        <w:rPr>
          <w:b/>
          <w:bCs/>
          <w:sz w:val="16"/>
          <w:szCs w:val="16"/>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2"/>
        <w:gridCol w:w="7934"/>
      </w:tblGrid>
      <w:tr w:rsidR="00000000">
        <w:trPr>
          <w:tblCellSpacing w:w="15" w:type="dxa"/>
        </w:trPr>
        <w:tc>
          <w:tcPr>
            <w:tcW w:w="199" w:type="pct"/>
            <w:vAlign w:val="center"/>
            <w:hideMark/>
          </w:tcPr>
          <w:p w:rsidR="00000000" w:rsidRDefault="00A32496">
            <w:pPr>
              <w:rPr>
                <w:sz w:val="20"/>
                <w:szCs w:val="20"/>
              </w:rPr>
            </w:pPr>
          </w:p>
        </w:tc>
        <w:tc>
          <w:tcPr>
            <w:tcW w:w="4800" w:type="pct"/>
            <w:vAlign w:val="center"/>
            <w:hideMark/>
          </w:tcPr>
          <w:p w:rsidR="00000000" w:rsidRDefault="00A32496">
            <w:pPr>
              <w:rPr>
                <w:rFonts w:eastAsia="Times New Roman"/>
                <w:sz w:val="20"/>
                <w:szCs w:val="20"/>
              </w:rPr>
            </w:pPr>
          </w:p>
        </w:tc>
      </w:tr>
      <w:tr w:rsidR="00000000">
        <w:trPr>
          <w:trHeight w:val="200"/>
          <w:tblCellSpacing w:w="15" w:type="dxa"/>
        </w:trPr>
        <w:tc>
          <w:tcPr>
            <w:tcW w:w="0" w:type="auto"/>
            <w:hideMark/>
          </w:tcPr>
          <w:p w:rsidR="00000000" w:rsidRDefault="00A32496">
            <w:pPr>
              <w:pStyle w:val="a3"/>
              <w:spacing w:before="0" w:beforeAutospacing="0" w:after="0" w:afterAutospacing="0"/>
              <w:rPr>
                <w:sz w:val="20"/>
                <w:szCs w:val="20"/>
              </w:rPr>
            </w:pPr>
            <w:r>
              <w:rPr>
                <w:rFonts w:ascii="Segoe UI Symbol" w:hAnsi="Segoe UI Symbol" w:cs="Segoe UI Symbol"/>
                <w:b/>
                <w:bCs/>
                <w:sz w:val="20"/>
                <w:szCs w:val="20"/>
              </w:rPr>
              <w:t>☒</w:t>
            </w:r>
          </w:p>
        </w:tc>
        <w:tc>
          <w:tcPr>
            <w:tcW w:w="0" w:type="auto"/>
            <w:hideMark/>
          </w:tcPr>
          <w:p w:rsidR="00000000" w:rsidRDefault="00A32496">
            <w:pPr>
              <w:pStyle w:val="a3"/>
              <w:spacing w:before="0" w:beforeAutospacing="0" w:after="0" w:afterAutospacing="0"/>
              <w:rPr>
                <w:sz w:val="20"/>
                <w:szCs w:val="20"/>
              </w:rPr>
            </w:pPr>
            <w:r>
              <w:rPr>
                <w:b/>
                <w:bCs/>
                <w:sz w:val="20"/>
                <w:szCs w:val="20"/>
              </w:rPr>
              <w:t>QUARTERLY REPORT PURSUANT TO SECTION 13 OR 15(d) OF THE SECURITIES EXCHANGE ACT OF 193</w:t>
            </w:r>
            <w:r>
              <w:rPr>
                <w:b/>
                <w:bCs/>
                <w:sz w:val="20"/>
                <w:szCs w:val="20"/>
              </w:rPr>
              <w:t>4</w:t>
            </w:r>
          </w:p>
        </w:tc>
      </w:tr>
    </w:tbl>
    <w:p w:rsidR="00000000" w:rsidRDefault="00A32496">
      <w:pPr>
        <w:pStyle w:val="a3"/>
        <w:spacing w:before="120" w:beforeAutospacing="0" w:after="0" w:afterAutospacing="0"/>
        <w:jc w:val="center"/>
        <w:rPr>
          <w:sz w:val="20"/>
          <w:szCs w:val="20"/>
        </w:rPr>
      </w:pPr>
      <w:r>
        <w:rPr>
          <w:b/>
          <w:bCs/>
          <w:sz w:val="20"/>
          <w:szCs w:val="20"/>
        </w:rPr>
        <w:t>For the quarterly period ended</w:t>
      </w:r>
      <w:r>
        <w:rPr>
          <w:b/>
          <w:bCs/>
          <w:sz w:val="20"/>
          <w:szCs w:val="20"/>
        </w:rPr>
        <w:t xml:space="preserve"> </w:t>
      </w:r>
      <w:r>
        <w:rPr>
          <w:b/>
          <w:bCs/>
          <w:sz w:val="20"/>
          <w:szCs w:val="20"/>
        </w:rPr>
        <w:t>September 30,</w:t>
      </w:r>
      <w:r>
        <w:rPr>
          <w:b/>
          <w:bCs/>
          <w:sz w:val="20"/>
          <w:szCs w:val="20"/>
        </w:rPr>
        <w:t xml:space="preserve"> </w:t>
      </w:r>
      <w:r>
        <w:rPr>
          <w:b/>
          <w:bCs/>
          <w:sz w:val="20"/>
          <w:szCs w:val="20"/>
        </w:rPr>
        <w:t>202</w:t>
      </w:r>
      <w:r>
        <w:rPr>
          <w:b/>
          <w:bCs/>
          <w:sz w:val="20"/>
          <w:szCs w:val="20"/>
        </w:rPr>
        <w:t>2</w:t>
      </w:r>
    </w:p>
    <w:p w:rsidR="00000000" w:rsidRDefault="00A32496">
      <w:pPr>
        <w:pStyle w:val="a3"/>
        <w:spacing w:before="120" w:beforeAutospacing="0" w:after="0" w:afterAutospacing="0"/>
        <w:jc w:val="center"/>
        <w:rPr>
          <w:sz w:val="20"/>
          <w:szCs w:val="20"/>
        </w:rPr>
      </w:pPr>
      <w:r>
        <w:rPr>
          <w:b/>
          <w:bCs/>
          <w:sz w:val="20"/>
          <w:szCs w:val="20"/>
        </w:rPr>
        <w:t>O</w:t>
      </w:r>
      <w:r>
        <w:rPr>
          <w:b/>
          <w:bCs/>
          <w:sz w:val="20"/>
          <w:szCs w:val="20"/>
        </w:rPr>
        <w:t>R</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2"/>
        <w:gridCol w:w="7934"/>
      </w:tblGrid>
      <w:tr w:rsidR="00000000">
        <w:trPr>
          <w:tblCellSpacing w:w="15" w:type="dxa"/>
        </w:trPr>
        <w:tc>
          <w:tcPr>
            <w:tcW w:w="199" w:type="pct"/>
            <w:vAlign w:val="center"/>
            <w:hideMark/>
          </w:tcPr>
          <w:p w:rsidR="00000000" w:rsidRDefault="00A32496">
            <w:pPr>
              <w:rPr>
                <w:sz w:val="20"/>
                <w:szCs w:val="20"/>
              </w:rPr>
            </w:pPr>
          </w:p>
        </w:tc>
        <w:tc>
          <w:tcPr>
            <w:tcW w:w="4800" w:type="pct"/>
            <w:vAlign w:val="center"/>
            <w:hideMark/>
          </w:tcPr>
          <w:p w:rsidR="00000000" w:rsidRDefault="00A32496">
            <w:pPr>
              <w:rPr>
                <w:rFonts w:eastAsia="Times New Roman"/>
                <w:sz w:val="20"/>
                <w:szCs w:val="20"/>
              </w:rPr>
            </w:pPr>
          </w:p>
        </w:tc>
      </w:tr>
      <w:tr w:rsidR="00000000">
        <w:trPr>
          <w:trHeight w:val="200"/>
          <w:tblCellSpacing w:w="15" w:type="dxa"/>
        </w:trPr>
        <w:tc>
          <w:tcPr>
            <w:tcW w:w="0" w:type="auto"/>
            <w:hideMark/>
          </w:tcPr>
          <w:p w:rsidR="00000000" w:rsidRDefault="00A32496">
            <w:pPr>
              <w:pStyle w:val="a3"/>
              <w:spacing w:before="120" w:beforeAutospacing="0" w:after="0" w:afterAutospacing="0"/>
              <w:rPr>
                <w:sz w:val="20"/>
                <w:szCs w:val="20"/>
              </w:rPr>
            </w:pPr>
            <w:r>
              <w:rPr>
                <w:rFonts w:ascii="Segoe UI Symbol" w:hAnsi="Segoe UI Symbol" w:cs="Segoe UI Symbol"/>
                <w:b/>
                <w:bCs/>
                <w:sz w:val="20"/>
                <w:szCs w:val="20"/>
              </w:rPr>
              <w:t>☐</w:t>
            </w:r>
          </w:p>
        </w:tc>
        <w:tc>
          <w:tcPr>
            <w:tcW w:w="0" w:type="auto"/>
            <w:vAlign w:val="bottom"/>
            <w:hideMark/>
          </w:tcPr>
          <w:p w:rsidR="00000000" w:rsidRDefault="00A32496">
            <w:pPr>
              <w:pStyle w:val="a3"/>
              <w:spacing w:before="120" w:beforeAutospacing="0" w:after="0" w:afterAutospacing="0"/>
              <w:rPr>
                <w:sz w:val="20"/>
                <w:szCs w:val="20"/>
              </w:rPr>
            </w:pPr>
            <w:r>
              <w:rPr>
                <w:b/>
                <w:bCs/>
                <w:sz w:val="20"/>
                <w:szCs w:val="20"/>
              </w:rPr>
              <w:t>TRANSITION REPORT PURSUANT TO SECTION 13 OR 15(d) OF THE SECURITIES EXCHANGE ACT OF 193</w:t>
            </w:r>
            <w:r>
              <w:rPr>
                <w:b/>
                <w:bCs/>
                <w:sz w:val="20"/>
                <w:szCs w:val="20"/>
              </w:rPr>
              <w:t>4</w:t>
            </w:r>
          </w:p>
        </w:tc>
      </w:tr>
    </w:tbl>
    <w:p w:rsidR="00000000" w:rsidRDefault="00A32496">
      <w:pPr>
        <w:pStyle w:val="a3"/>
        <w:spacing w:before="120" w:beforeAutospacing="0" w:after="0" w:afterAutospacing="0"/>
        <w:jc w:val="center"/>
        <w:rPr>
          <w:sz w:val="20"/>
          <w:szCs w:val="20"/>
        </w:rPr>
      </w:pPr>
      <w:r>
        <w:rPr>
          <w:b/>
          <w:bCs/>
          <w:sz w:val="20"/>
          <w:szCs w:val="20"/>
        </w:rPr>
        <w:t xml:space="preserve">For the transition </w:t>
      </w:r>
      <w:r>
        <w:rPr>
          <w:b/>
          <w:bCs/>
          <w:sz w:val="20"/>
          <w:szCs w:val="20"/>
        </w:rPr>
        <w:t>period from t</w:t>
      </w:r>
      <w:r>
        <w:rPr>
          <w:b/>
          <w:bCs/>
          <w:sz w:val="20"/>
          <w:szCs w:val="20"/>
        </w:rPr>
        <w:t>o</w:t>
      </w:r>
      <w:r>
        <w:rPr>
          <w:b/>
          <w:bCs/>
          <w:sz w:val="20"/>
          <w:szCs w:val="20"/>
        </w:rPr>
        <w:t xml:space="preserve"> </w:t>
      </w:r>
    </w:p>
    <w:p w:rsidR="00000000" w:rsidRDefault="00A32496">
      <w:pPr>
        <w:pStyle w:val="a3"/>
        <w:spacing w:before="120" w:beforeAutospacing="0" w:after="0" w:afterAutospacing="0"/>
        <w:jc w:val="center"/>
        <w:rPr>
          <w:sz w:val="20"/>
          <w:szCs w:val="20"/>
        </w:rPr>
      </w:pPr>
      <w:r>
        <w:rPr>
          <w:b/>
          <w:bCs/>
          <w:sz w:val="20"/>
          <w:szCs w:val="20"/>
        </w:rPr>
        <w:t>Commission File Number:</w:t>
      </w:r>
      <w:r>
        <w:rPr>
          <w:b/>
          <w:bCs/>
          <w:sz w:val="20"/>
          <w:szCs w:val="20"/>
        </w:rPr>
        <w:t xml:space="preserve"> </w:t>
      </w:r>
      <w:r>
        <w:rPr>
          <w:b/>
          <w:bCs/>
          <w:sz w:val="20"/>
          <w:szCs w:val="20"/>
        </w:rPr>
        <w:t>001-3939</w:t>
      </w:r>
      <w:r>
        <w:rPr>
          <w:b/>
          <w:bCs/>
          <w:sz w:val="20"/>
          <w:szCs w:val="20"/>
        </w:rPr>
        <w:t>4</w:t>
      </w:r>
    </w:p>
    <w:p w:rsidR="00000000" w:rsidRDefault="00A32496">
      <w:pPr>
        <w:pStyle w:val="a3"/>
        <w:pBdr>
          <w:bottom w:val="single" w:sz="4" w:space="1" w:color="auto"/>
        </w:pBdr>
        <w:spacing w:before="60" w:beforeAutospacing="0" w:after="120" w:afterAutospacing="0"/>
        <w:ind w:left="4762" w:right="4762"/>
        <w:jc w:val="center"/>
        <w:rPr>
          <w:sz w:val="20"/>
          <w:szCs w:val="20"/>
        </w:rPr>
      </w:pPr>
      <w:r>
        <w:rPr>
          <w:sz w:val="20"/>
          <w:szCs w:val="20"/>
        </w:rPr>
        <w:t> </w:t>
      </w:r>
    </w:p>
    <w:p w:rsidR="00000000" w:rsidRDefault="00A32496">
      <w:pPr>
        <w:pStyle w:val="a3"/>
        <w:spacing w:before="0" w:beforeAutospacing="0" w:after="0" w:afterAutospacing="0"/>
        <w:jc w:val="center"/>
        <w:rPr>
          <w:sz w:val="20"/>
          <w:szCs w:val="20"/>
        </w:rPr>
      </w:pPr>
      <w:r>
        <w:rPr>
          <w:b/>
          <w:bCs/>
          <w:sz w:val="48"/>
          <w:szCs w:val="48"/>
        </w:rPr>
        <w:t>Montrose Environmental Group, Inc</w:t>
      </w:r>
      <w:r>
        <w:rPr>
          <w:b/>
          <w:bCs/>
          <w:sz w:val="48"/>
          <w:szCs w:val="48"/>
        </w:rPr>
        <w:t>.</w:t>
      </w:r>
    </w:p>
    <w:p w:rsidR="00000000" w:rsidRDefault="00A32496">
      <w:pPr>
        <w:pStyle w:val="a3"/>
        <w:spacing w:before="0" w:beforeAutospacing="0" w:after="0" w:afterAutospacing="0"/>
        <w:jc w:val="center"/>
        <w:rPr>
          <w:sz w:val="20"/>
          <w:szCs w:val="20"/>
        </w:rPr>
      </w:pPr>
      <w:r>
        <w:rPr>
          <w:b/>
          <w:bCs/>
          <w:sz w:val="20"/>
          <w:szCs w:val="20"/>
        </w:rPr>
        <w:t>(Exact Name of Registrant as Specified in its Charter</w:t>
      </w:r>
      <w:r>
        <w:rPr>
          <w:b/>
          <w:bCs/>
          <w:sz w:val="20"/>
          <w:szCs w:val="20"/>
        </w:rPr>
        <w:t>)</w:t>
      </w:r>
    </w:p>
    <w:p w:rsidR="00000000" w:rsidRDefault="00A32496">
      <w:pPr>
        <w:pStyle w:val="a3"/>
        <w:pBdr>
          <w:bottom w:val="single" w:sz="4" w:space="1" w:color="auto"/>
        </w:pBdr>
        <w:spacing w:before="60" w:beforeAutospacing="0" w:after="0" w:afterAutospacing="0"/>
        <w:ind w:left="4762" w:right="4762"/>
        <w:jc w:val="center"/>
        <w:rPr>
          <w:sz w:val="20"/>
          <w:szCs w:val="20"/>
        </w:rPr>
      </w:pPr>
      <w:r>
        <w:rPr>
          <w:sz w:val="20"/>
          <w:szCs w:val="20"/>
        </w:rPr>
        <w:t> </w:t>
      </w:r>
    </w:p>
    <w:p w:rsidR="00000000" w:rsidRDefault="00A32496">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53"/>
        <w:gridCol w:w="4153"/>
      </w:tblGrid>
      <w:tr w:rsidR="00000000">
        <w:trPr>
          <w:tblCellSpacing w:w="15" w:type="dxa"/>
        </w:trPr>
        <w:tc>
          <w:tcPr>
            <w:tcW w:w="2500" w:type="pct"/>
            <w:vAlign w:val="center"/>
            <w:hideMark/>
          </w:tcPr>
          <w:p w:rsidR="00000000" w:rsidRDefault="00A32496">
            <w:pPr>
              <w:rPr>
                <w:sz w:val="20"/>
                <w:szCs w:val="20"/>
              </w:rPr>
            </w:pPr>
          </w:p>
        </w:tc>
        <w:tc>
          <w:tcPr>
            <w:tcW w:w="2500" w:type="pct"/>
            <w:vAlign w:val="center"/>
            <w:hideMark/>
          </w:tcPr>
          <w:p w:rsidR="00000000" w:rsidRDefault="00A32496">
            <w:pPr>
              <w:rPr>
                <w:rFonts w:eastAsia="Times New Roman"/>
                <w:sz w:val="20"/>
                <w:szCs w:val="20"/>
              </w:rPr>
            </w:pPr>
          </w:p>
        </w:tc>
      </w:tr>
      <w:tr w:rsidR="00000000">
        <w:trPr>
          <w:trHeight w:val="200"/>
          <w:tblCellSpacing w:w="15" w:type="dxa"/>
        </w:trPr>
        <w:tc>
          <w:tcPr>
            <w:tcW w:w="0" w:type="auto"/>
            <w:vAlign w:val="bottom"/>
            <w:hideMark/>
          </w:tcPr>
          <w:p w:rsidR="00000000" w:rsidRDefault="00A32496">
            <w:pPr>
              <w:pStyle w:val="a3"/>
              <w:spacing w:before="0" w:beforeAutospacing="0" w:after="0" w:afterAutospacing="0"/>
              <w:jc w:val="center"/>
              <w:rPr>
                <w:sz w:val="20"/>
                <w:szCs w:val="20"/>
              </w:rPr>
            </w:pPr>
            <w:r>
              <w:rPr>
                <w:b/>
                <w:bCs/>
                <w:sz w:val="20"/>
                <w:szCs w:val="20"/>
              </w:rPr>
              <w:t>Delawar</w:t>
            </w:r>
            <w:r>
              <w:rPr>
                <w:b/>
                <w:bCs/>
                <w:sz w:val="20"/>
                <w:szCs w:val="20"/>
              </w:rPr>
              <w:t>e</w:t>
            </w:r>
          </w:p>
        </w:tc>
        <w:tc>
          <w:tcPr>
            <w:tcW w:w="0" w:type="auto"/>
            <w:vAlign w:val="bottom"/>
            <w:hideMark/>
          </w:tcPr>
          <w:p w:rsidR="00000000" w:rsidRDefault="00A32496">
            <w:pPr>
              <w:pStyle w:val="a3"/>
              <w:spacing w:before="0" w:beforeAutospacing="0" w:after="0" w:afterAutospacing="0"/>
              <w:jc w:val="center"/>
              <w:rPr>
                <w:sz w:val="20"/>
                <w:szCs w:val="20"/>
              </w:rPr>
            </w:pPr>
            <w:r>
              <w:rPr>
                <w:b/>
                <w:bCs/>
                <w:sz w:val="20"/>
                <w:szCs w:val="20"/>
              </w:rPr>
              <w:t>46-419504</w:t>
            </w:r>
            <w:r>
              <w:rPr>
                <w:b/>
                <w:bCs/>
                <w:sz w:val="20"/>
                <w:szCs w:val="20"/>
              </w:rPr>
              <w:t>4</w:t>
            </w:r>
          </w:p>
        </w:tc>
      </w:tr>
      <w:tr w:rsidR="00000000">
        <w:trPr>
          <w:trHeight w:val="140"/>
          <w:tblCellSpacing w:w="15" w:type="dxa"/>
        </w:trPr>
        <w:tc>
          <w:tcPr>
            <w:tcW w:w="0" w:type="auto"/>
            <w:vAlign w:val="bottom"/>
            <w:hideMark/>
          </w:tcPr>
          <w:p w:rsidR="00000000" w:rsidRDefault="00A32496">
            <w:pPr>
              <w:pStyle w:val="a3"/>
              <w:spacing w:before="0" w:beforeAutospacing="0" w:after="0" w:afterAutospacing="0"/>
              <w:jc w:val="center"/>
              <w:rPr>
                <w:sz w:val="14"/>
                <w:szCs w:val="14"/>
              </w:rPr>
            </w:pPr>
            <w:r>
              <w:rPr>
                <w:b/>
                <w:bCs/>
                <w:sz w:val="14"/>
                <w:szCs w:val="14"/>
              </w:rPr>
              <w:t>( State or other jurisdiction o</w:t>
            </w:r>
            <w:r>
              <w:rPr>
                <w:b/>
                <w:bCs/>
                <w:sz w:val="14"/>
                <w:szCs w:val="14"/>
              </w:rPr>
              <w:t>f</w:t>
            </w:r>
          </w:p>
          <w:p w:rsidR="00000000" w:rsidRDefault="00A32496">
            <w:pPr>
              <w:pStyle w:val="a3"/>
              <w:spacing w:before="0" w:beforeAutospacing="0" w:after="15" w:afterAutospacing="0"/>
              <w:jc w:val="center"/>
              <w:rPr>
                <w:sz w:val="14"/>
                <w:szCs w:val="14"/>
              </w:rPr>
            </w:pPr>
            <w:r>
              <w:rPr>
                <w:b/>
                <w:bCs/>
                <w:sz w:val="14"/>
                <w:szCs w:val="14"/>
              </w:rPr>
              <w:t>incorporation or organization</w:t>
            </w:r>
            <w:r>
              <w:rPr>
                <w:b/>
                <w:bCs/>
                <w:sz w:val="14"/>
                <w:szCs w:val="14"/>
              </w:rPr>
              <w:t>)</w:t>
            </w:r>
          </w:p>
        </w:tc>
        <w:tc>
          <w:tcPr>
            <w:tcW w:w="0" w:type="auto"/>
            <w:vAlign w:val="bottom"/>
            <w:hideMark/>
          </w:tcPr>
          <w:p w:rsidR="00000000" w:rsidRDefault="00A32496">
            <w:pPr>
              <w:pStyle w:val="a3"/>
              <w:spacing w:before="0" w:beforeAutospacing="0" w:after="0" w:afterAutospacing="0"/>
              <w:jc w:val="center"/>
              <w:rPr>
                <w:sz w:val="14"/>
                <w:szCs w:val="14"/>
              </w:rPr>
            </w:pPr>
            <w:r>
              <w:rPr>
                <w:b/>
                <w:bCs/>
                <w:sz w:val="14"/>
                <w:szCs w:val="14"/>
              </w:rPr>
              <w:t>(I.R.S. Employer</w:t>
            </w:r>
            <w:r>
              <w:rPr>
                <w:b/>
                <w:bCs/>
                <w:sz w:val="14"/>
                <w:szCs w:val="14"/>
              </w:rPr>
              <w:br/>
              <w:t>Identification No.</w:t>
            </w:r>
            <w:r>
              <w:rPr>
                <w:b/>
                <w:bCs/>
                <w:sz w:val="14"/>
                <w:szCs w:val="14"/>
              </w:rPr>
              <w:t>)</w:t>
            </w:r>
          </w:p>
        </w:tc>
      </w:tr>
      <w:tr w:rsidR="00000000">
        <w:trPr>
          <w:trHeight w:val="200"/>
          <w:tblCellSpacing w:w="15" w:type="dxa"/>
        </w:trPr>
        <w:tc>
          <w:tcPr>
            <w:tcW w:w="0" w:type="auto"/>
            <w:vAlign w:val="bottom"/>
            <w:hideMark/>
          </w:tcPr>
          <w:p w:rsidR="00000000" w:rsidRDefault="00A32496">
            <w:pPr>
              <w:pStyle w:val="a3"/>
              <w:spacing w:before="0" w:beforeAutospacing="0" w:after="15" w:afterAutospacing="0"/>
              <w:jc w:val="center"/>
              <w:rPr>
                <w:sz w:val="20"/>
                <w:szCs w:val="20"/>
              </w:rPr>
            </w:pPr>
            <w:r>
              <w:rPr>
                <w:b/>
                <w:bCs/>
                <w:sz w:val="20"/>
                <w:szCs w:val="20"/>
              </w:rPr>
              <w:t>5120 Northshore Driv</w:t>
            </w:r>
            <w:r>
              <w:rPr>
                <w:b/>
                <w:bCs/>
                <w:sz w:val="20"/>
                <w:szCs w:val="20"/>
              </w:rPr>
              <w:t>e</w:t>
            </w:r>
            <w:r>
              <w:rPr>
                <w:b/>
                <w:bCs/>
                <w:sz w:val="20"/>
                <w:szCs w:val="20"/>
              </w:rPr>
              <w:t>,</w:t>
            </w:r>
            <w:r>
              <w:rPr>
                <w:b/>
                <w:bCs/>
                <w:sz w:val="20"/>
                <w:szCs w:val="20"/>
              </w:rPr>
              <w:t xml:space="preserve"> </w:t>
            </w:r>
          </w:p>
          <w:p w:rsidR="00000000" w:rsidRDefault="00A32496">
            <w:pPr>
              <w:pStyle w:val="a3"/>
              <w:spacing w:before="0" w:beforeAutospacing="0" w:after="15" w:afterAutospacing="0"/>
              <w:jc w:val="center"/>
              <w:rPr>
                <w:sz w:val="20"/>
                <w:szCs w:val="20"/>
              </w:rPr>
            </w:pPr>
            <w:r>
              <w:rPr>
                <w:b/>
                <w:bCs/>
                <w:sz w:val="20"/>
                <w:szCs w:val="20"/>
              </w:rPr>
              <w:t>North Little Roc</w:t>
            </w:r>
            <w:r>
              <w:rPr>
                <w:b/>
                <w:bCs/>
                <w:sz w:val="20"/>
                <w:szCs w:val="20"/>
              </w:rPr>
              <w:t>k</w:t>
            </w:r>
            <w:r>
              <w:rPr>
                <w:b/>
                <w:bCs/>
                <w:sz w:val="20"/>
                <w:szCs w:val="20"/>
              </w:rPr>
              <w:t>,</w:t>
            </w:r>
            <w:r>
              <w:rPr>
                <w:b/>
                <w:bCs/>
                <w:sz w:val="20"/>
                <w:szCs w:val="20"/>
              </w:rPr>
              <w:t xml:space="preserve"> </w:t>
            </w:r>
            <w:r>
              <w:rPr>
                <w:b/>
                <w:bCs/>
                <w:sz w:val="20"/>
                <w:szCs w:val="20"/>
              </w:rPr>
              <w:t>Arkansa</w:t>
            </w:r>
            <w:r>
              <w:rPr>
                <w:b/>
                <w:bCs/>
                <w:sz w:val="20"/>
                <w:szCs w:val="20"/>
              </w:rPr>
              <w:t>s</w:t>
            </w:r>
          </w:p>
        </w:tc>
        <w:tc>
          <w:tcPr>
            <w:tcW w:w="0" w:type="auto"/>
            <w:vAlign w:val="bottom"/>
            <w:hideMark/>
          </w:tcPr>
          <w:p w:rsidR="00000000" w:rsidRDefault="00A32496">
            <w:pPr>
              <w:pStyle w:val="a3"/>
              <w:spacing w:before="0" w:beforeAutospacing="0" w:after="0" w:afterAutospacing="0"/>
              <w:jc w:val="center"/>
              <w:rPr>
                <w:sz w:val="20"/>
                <w:szCs w:val="20"/>
              </w:rPr>
            </w:pPr>
            <w:r>
              <w:rPr>
                <w:b/>
                <w:bCs/>
                <w:sz w:val="20"/>
                <w:szCs w:val="20"/>
              </w:rPr>
              <w:t>7211</w:t>
            </w:r>
            <w:r>
              <w:rPr>
                <w:b/>
                <w:bCs/>
                <w:sz w:val="20"/>
                <w:szCs w:val="20"/>
              </w:rPr>
              <w:t>8</w:t>
            </w:r>
          </w:p>
        </w:tc>
      </w:tr>
      <w:tr w:rsidR="00000000">
        <w:trPr>
          <w:trHeight w:val="140"/>
          <w:tblCellSpacing w:w="15" w:type="dxa"/>
        </w:trPr>
        <w:tc>
          <w:tcPr>
            <w:tcW w:w="0" w:type="auto"/>
            <w:vAlign w:val="bottom"/>
            <w:hideMark/>
          </w:tcPr>
          <w:p w:rsidR="00000000" w:rsidRDefault="00A32496">
            <w:pPr>
              <w:pStyle w:val="a3"/>
              <w:spacing w:before="0" w:beforeAutospacing="0" w:after="0" w:afterAutospacing="0"/>
              <w:jc w:val="center"/>
              <w:rPr>
                <w:sz w:val="14"/>
                <w:szCs w:val="14"/>
              </w:rPr>
            </w:pPr>
            <w:r>
              <w:rPr>
                <w:b/>
                <w:bCs/>
                <w:sz w:val="14"/>
                <w:szCs w:val="14"/>
              </w:rPr>
              <w:t>(Address of principal executive offices</w:t>
            </w:r>
            <w:r>
              <w:rPr>
                <w:b/>
                <w:bCs/>
                <w:sz w:val="14"/>
                <w:szCs w:val="14"/>
              </w:rPr>
              <w:t>)</w:t>
            </w:r>
          </w:p>
        </w:tc>
        <w:tc>
          <w:tcPr>
            <w:tcW w:w="0" w:type="auto"/>
            <w:vAlign w:val="bottom"/>
            <w:hideMark/>
          </w:tcPr>
          <w:p w:rsidR="00000000" w:rsidRDefault="00A32496">
            <w:pPr>
              <w:pStyle w:val="a3"/>
              <w:spacing w:before="0" w:beforeAutospacing="0" w:after="0" w:afterAutospacing="0"/>
              <w:jc w:val="center"/>
              <w:rPr>
                <w:sz w:val="14"/>
                <w:szCs w:val="14"/>
              </w:rPr>
            </w:pPr>
            <w:r>
              <w:rPr>
                <w:b/>
                <w:bCs/>
                <w:sz w:val="14"/>
                <w:szCs w:val="14"/>
              </w:rPr>
              <w:t>(Zip Code</w:t>
            </w:r>
            <w:r>
              <w:rPr>
                <w:b/>
                <w:bCs/>
                <w:sz w:val="14"/>
                <w:szCs w:val="14"/>
              </w:rPr>
              <w:t>)</w:t>
            </w:r>
          </w:p>
        </w:tc>
      </w:tr>
    </w:tbl>
    <w:p w:rsidR="00000000" w:rsidRDefault="00A32496">
      <w:pPr>
        <w:pStyle w:val="a3"/>
        <w:spacing w:before="0" w:beforeAutospacing="0" w:after="0" w:afterAutospacing="0"/>
        <w:jc w:val="center"/>
        <w:rPr>
          <w:sz w:val="20"/>
          <w:szCs w:val="20"/>
        </w:rPr>
      </w:pPr>
      <w:r>
        <w:rPr>
          <w:b/>
          <w:bCs/>
          <w:sz w:val="20"/>
          <w:szCs w:val="20"/>
        </w:rPr>
        <w:t>Registrant’</w:t>
      </w:r>
      <w:r>
        <w:rPr>
          <w:b/>
          <w:bCs/>
          <w:sz w:val="20"/>
          <w:szCs w:val="20"/>
        </w:rPr>
        <w:t xml:space="preserve">s telephone number, including area code: </w:t>
      </w:r>
      <w:r>
        <w:rPr>
          <w:b/>
          <w:bCs/>
          <w:sz w:val="20"/>
          <w:szCs w:val="20"/>
        </w:rPr>
        <w:t>(</w:t>
      </w:r>
      <w:r>
        <w:rPr>
          <w:b/>
          <w:bCs/>
          <w:sz w:val="20"/>
          <w:szCs w:val="20"/>
        </w:rPr>
        <w:t>50</w:t>
      </w:r>
      <w:r>
        <w:rPr>
          <w:b/>
          <w:bCs/>
          <w:sz w:val="20"/>
          <w:szCs w:val="20"/>
        </w:rPr>
        <w:t>1</w:t>
      </w:r>
      <w:r>
        <w:rPr>
          <w:b/>
          <w:bCs/>
          <w:sz w:val="20"/>
          <w:szCs w:val="20"/>
        </w:rPr>
        <w:t>)</w:t>
      </w:r>
      <w:r>
        <w:rPr>
          <w:b/>
          <w:bCs/>
          <w:sz w:val="20"/>
          <w:szCs w:val="20"/>
        </w:rPr>
        <w:t xml:space="preserve"> </w:t>
      </w:r>
      <w:r>
        <w:rPr>
          <w:b/>
          <w:bCs/>
          <w:sz w:val="20"/>
          <w:szCs w:val="20"/>
        </w:rPr>
        <w:t>900-640</w:t>
      </w:r>
      <w:r>
        <w:rPr>
          <w:b/>
          <w:bCs/>
          <w:sz w:val="20"/>
          <w:szCs w:val="20"/>
        </w:rPr>
        <w:t>0</w:t>
      </w:r>
    </w:p>
    <w:p w:rsidR="00000000" w:rsidRDefault="00A32496">
      <w:pPr>
        <w:pStyle w:val="a3"/>
        <w:pBdr>
          <w:bottom w:val="single" w:sz="4" w:space="1" w:color="auto"/>
        </w:pBdr>
        <w:spacing w:before="60" w:beforeAutospacing="0" w:after="0" w:afterAutospacing="0"/>
        <w:ind w:left="4762" w:right="4762"/>
        <w:jc w:val="center"/>
        <w:rPr>
          <w:sz w:val="20"/>
          <w:szCs w:val="20"/>
        </w:rPr>
      </w:pPr>
      <w:r>
        <w:rPr>
          <w:sz w:val="20"/>
          <w:szCs w:val="20"/>
        </w:rPr>
        <w:t> </w:t>
      </w:r>
    </w:p>
    <w:p w:rsidR="00000000" w:rsidRDefault="00A32496">
      <w:pPr>
        <w:pStyle w:val="a3"/>
        <w:spacing w:before="80" w:beforeAutospacing="0" w:after="0" w:afterAutospacing="0"/>
        <w:ind w:firstLine="653"/>
        <w:rPr>
          <w:sz w:val="20"/>
          <w:szCs w:val="20"/>
        </w:rPr>
      </w:pPr>
      <w:r>
        <w:rPr>
          <w:sz w:val="18"/>
          <w:szCs w:val="18"/>
        </w:rPr>
        <w:t>Securities registered pursuant to Section 12(b) of the Act</w:t>
      </w:r>
      <w:r>
        <w:rPr>
          <w:sz w:val="18"/>
          <w:szCs w:val="18"/>
        </w:rPr>
        <w:t>:</w:t>
      </w:r>
      <w:r>
        <w:rPr>
          <w:sz w:val="18"/>
          <w:szCs w:val="18"/>
        </w:rPr>
        <w:t xml:space="preserve"> </w:t>
      </w:r>
    </w:p>
    <w:p w:rsidR="00000000" w:rsidRDefault="00A32496">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32"/>
        <w:gridCol w:w="112"/>
        <w:gridCol w:w="1249"/>
        <w:gridCol w:w="111"/>
        <w:gridCol w:w="3702"/>
      </w:tblGrid>
      <w:tr w:rsidR="00000000">
        <w:trPr>
          <w:tblCellSpacing w:w="15" w:type="dxa"/>
        </w:trPr>
        <w:tc>
          <w:tcPr>
            <w:tcW w:w="1899" w:type="pct"/>
            <w:vAlign w:val="center"/>
            <w:hideMark/>
          </w:tcPr>
          <w:p w:rsidR="00000000" w:rsidRDefault="00A32496">
            <w:pPr>
              <w:rPr>
                <w:sz w:val="20"/>
                <w:szCs w:val="20"/>
              </w:rPr>
            </w:pPr>
          </w:p>
        </w:tc>
        <w:tc>
          <w:tcPr>
            <w:tcW w:w="50" w:type="pct"/>
            <w:vAlign w:val="center"/>
            <w:hideMark/>
          </w:tcPr>
          <w:p w:rsidR="00000000" w:rsidRDefault="00A32496">
            <w:pPr>
              <w:rPr>
                <w:rFonts w:eastAsia="Times New Roman"/>
                <w:sz w:val="20"/>
                <w:szCs w:val="20"/>
              </w:rPr>
            </w:pPr>
          </w:p>
        </w:tc>
        <w:tc>
          <w:tcPr>
            <w:tcW w:w="750"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2250" w:type="pct"/>
            <w:vAlign w:val="center"/>
            <w:hideMark/>
          </w:tcPr>
          <w:p w:rsidR="00000000" w:rsidRDefault="00A32496">
            <w:pPr>
              <w:rPr>
                <w:rFonts w:eastAsia="Times New Roman"/>
                <w:sz w:val="20"/>
                <w:szCs w:val="20"/>
              </w:rPr>
            </w:pPr>
          </w:p>
        </w:tc>
      </w:tr>
      <w:tr w:rsidR="00000000">
        <w:trPr>
          <w:trHeight w:val="160"/>
          <w:tblCellSpacing w:w="15" w:type="dxa"/>
        </w:trPr>
        <w:tc>
          <w:tcPr>
            <w:tcW w:w="0" w:type="auto"/>
            <w:tcBorders>
              <w:bottom w:val="single" w:sz="4" w:space="0" w:color="auto"/>
            </w:tcBorders>
            <w:vAlign w:val="bottom"/>
            <w:hideMark/>
          </w:tcPr>
          <w:p w:rsidR="00000000" w:rsidRDefault="00A32496">
            <w:pPr>
              <w:pStyle w:val="a3"/>
              <w:spacing w:before="0" w:beforeAutospacing="0" w:after="0" w:afterAutospacing="0"/>
              <w:jc w:val="center"/>
              <w:rPr>
                <w:sz w:val="16"/>
                <w:szCs w:val="16"/>
              </w:rPr>
            </w:pPr>
            <w:r>
              <w:rPr>
                <w:b/>
                <w:bCs/>
                <w:sz w:val="16"/>
                <w:szCs w:val="16"/>
              </w:rPr>
              <w:t>Title of each clas</w:t>
            </w:r>
            <w:r>
              <w:rPr>
                <w:b/>
                <w:bCs/>
                <w:sz w:val="16"/>
                <w:szCs w:val="16"/>
              </w:rPr>
              <w:t>s</w:t>
            </w:r>
          </w:p>
        </w:tc>
        <w:tc>
          <w:tcPr>
            <w:tcW w:w="0" w:type="auto"/>
            <w:vAlign w:val="bottom"/>
            <w:hideMark/>
          </w:tcPr>
          <w:p w:rsidR="00000000" w:rsidRDefault="00A32496">
            <w:pPr>
              <w:pStyle w:val="a3"/>
              <w:spacing w:before="0" w:beforeAutospacing="0" w:after="0" w:afterAutospacing="0"/>
              <w:jc w:val="center"/>
              <w:rPr>
                <w:sz w:val="16"/>
                <w:szCs w:val="16"/>
              </w:rPr>
            </w:pPr>
            <w:r>
              <w:rPr>
                <w:sz w:val="16"/>
                <w:szCs w:val="16"/>
              </w:rPr>
              <w:t> </w:t>
            </w:r>
          </w:p>
        </w:tc>
        <w:tc>
          <w:tcPr>
            <w:tcW w:w="0" w:type="auto"/>
            <w:tcBorders>
              <w:bottom w:val="single" w:sz="4" w:space="0" w:color="auto"/>
            </w:tcBorders>
            <w:vAlign w:val="bottom"/>
            <w:hideMark/>
          </w:tcPr>
          <w:p w:rsidR="00000000" w:rsidRDefault="00A32496">
            <w:pPr>
              <w:pStyle w:val="a3"/>
              <w:spacing w:before="0" w:beforeAutospacing="0" w:after="0" w:afterAutospacing="0"/>
              <w:jc w:val="center"/>
              <w:rPr>
                <w:sz w:val="16"/>
                <w:szCs w:val="16"/>
              </w:rPr>
            </w:pPr>
            <w:r>
              <w:rPr>
                <w:b/>
                <w:bCs/>
                <w:sz w:val="16"/>
                <w:szCs w:val="16"/>
              </w:rPr>
              <w:t>Tradin</w:t>
            </w:r>
            <w:r>
              <w:rPr>
                <w:b/>
                <w:bCs/>
                <w:sz w:val="16"/>
                <w:szCs w:val="16"/>
              </w:rPr>
              <w:t>g</w:t>
            </w:r>
          </w:p>
          <w:p w:rsidR="00000000" w:rsidRDefault="00A32496">
            <w:pPr>
              <w:pStyle w:val="a3"/>
              <w:spacing w:before="0" w:beforeAutospacing="0" w:after="0" w:afterAutospacing="0"/>
              <w:jc w:val="center"/>
              <w:rPr>
                <w:sz w:val="16"/>
                <w:szCs w:val="16"/>
              </w:rPr>
            </w:pPr>
            <w:r>
              <w:rPr>
                <w:b/>
                <w:bCs/>
                <w:sz w:val="16"/>
                <w:szCs w:val="16"/>
              </w:rPr>
              <w:t>Symbol(s</w:t>
            </w:r>
            <w:r>
              <w:rPr>
                <w:b/>
                <w:bCs/>
                <w:sz w:val="16"/>
                <w:szCs w:val="16"/>
              </w:rPr>
              <w:t>)</w:t>
            </w:r>
          </w:p>
        </w:tc>
        <w:tc>
          <w:tcPr>
            <w:tcW w:w="0" w:type="auto"/>
            <w:vAlign w:val="bottom"/>
            <w:hideMark/>
          </w:tcPr>
          <w:p w:rsidR="00000000" w:rsidRDefault="00A32496">
            <w:pPr>
              <w:pStyle w:val="a3"/>
              <w:spacing w:before="0" w:beforeAutospacing="0" w:after="0" w:afterAutospacing="0"/>
              <w:jc w:val="center"/>
              <w:rPr>
                <w:sz w:val="16"/>
                <w:szCs w:val="16"/>
              </w:rPr>
            </w:pPr>
            <w:r>
              <w:rPr>
                <w:sz w:val="16"/>
                <w:szCs w:val="16"/>
              </w:rPr>
              <w:t> </w:t>
            </w:r>
          </w:p>
        </w:tc>
        <w:tc>
          <w:tcPr>
            <w:tcW w:w="0" w:type="auto"/>
            <w:tcBorders>
              <w:bottom w:val="single" w:sz="4" w:space="0" w:color="auto"/>
            </w:tcBorders>
            <w:vAlign w:val="bottom"/>
            <w:hideMark/>
          </w:tcPr>
          <w:p w:rsidR="00000000" w:rsidRDefault="00A32496">
            <w:pPr>
              <w:pStyle w:val="a3"/>
              <w:spacing w:before="0" w:beforeAutospacing="0" w:after="0" w:afterAutospacing="0"/>
              <w:jc w:val="center"/>
              <w:rPr>
                <w:sz w:val="16"/>
                <w:szCs w:val="16"/>
              </w:rPr>
            </w:pPr>
            <w:r>
              <w:rPr>
                <w:b/>
                <w:bCs/>
                <w:sz w:val="16"/>
                <w:szCs w:val="16"/>
              </w:rPr>
              <w:t>Name of each exchange on which registere</w:t>
            </w:r>
            <w:r>
              <w:rPr>
                <w:b/>
                <w:bCs/>
                <w:sz w:val="16"/>
                <w:szCs w:val="16"/>
              </w:rPr>
              <w:t>d</w:t>
            </w:r>
          </w:p>
        </w:tc>
      </w:tr>
      <w:tr w:rsidR="00000000">
        <w:trPr>
          <w:trHeight w:val="259"/>
          <w:tblCellSpacing w:w="15" w:type="dxa"/>
        </w:trPr>
        <w:tc>
          <w:tcPr>
            <w:tcW w:w="0" w:type="auto"/>
            <w:hideMark/>
          </w:tcPr>
          <w:p w:rsidR="00000000" w:rsidRDefault="00A32496">
            <w:pPr>
              <w:pStyle w:val="a3"/>
              <w:spacing w:before="0" w:beforeAutospacing="0" w:after="0" w:afterAutospacing="0"/>
              <w:jc w:val="center"/>
              <w:rPr>
                <w:sz w:val="20"/>
                <w:szCs w:val="20"/>
              </w:rPr>
            </w:pPr>
            <w:r>
              <w:rPr>
                <w:sz w:val="18"/>
                <w:szCs w:val="18"/>
              </w:rPr>
              <w:t>Common Stock, par value $0.000004 per shar</w:t>
            </w:r>
            <w:r>
              <w:rPr>
                <w:sz w:val="18"/>
                <w:szCs w:val="18"/>
              </w:rPr>
              <w:t>e</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20"/>
                <w:szCs w:val="20"/>
              </w:rPr>
            </w:pPr>
            <w:r>
              <w:rPr>
                <w:sz w:val="18"/>
                <w:szCs w:val="18"/>
              </w:rPr>
              <w:t>ME</w:t>
            </w:r>
            <w:r>
              <w:rPr>
                <w:sz w:val="18"/>
                <w:szCs w:val="18"/>
              </w:rPr>
              <w:t>G</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20"/>
                <w:szCs w:val="20"/>
              </w:rPr>
            </w:pPr>
            <w:r>
              <w:rPr>
                <w:sz w:val="18"/>
                <w:szCs w:val="18"/>
              </w:rPr>
              <w:t>The New York Stock Exchang</w:t>
            </w:r>
            <w:r>
              <w:rPr>
                <w:sz w:val="18"/>
                <w:szCs w:val="18"/>
              </w:rPr>
              <w:t>e</w:t>
            </w:r>
          </w:p>
        </w:tc>
      </w:tr>
    </w:tbl>
    <w:p w:rsidR="00000000" w:rsidRDefault="00A32496">
      <w:pPr>
        <w:pStyle w:val="a3"/>
        <w:spacing w:before="120" w:beforeAutospacing="0" w:after="0" w:afterAutospacing="0"/>
        <w:ind w:firstLine="555"/>
        <w:rPr>
          <w:sz w:val="20"/>
          <w:szCs w:val="20"/>
        </w:rPr>
      </w:pPr>
      <w:r>
        <w:rPr>
          <w:sz w:val="18"/>
          <w:szCs w:val="18"/>
        </w:rPr>
        <w:t>Indicate by check mark whether the registrant (1) has filed all reports required to be filed by Section 13 or 15(d) of the Securities Exchange Act of 1934 during the preceding</w:t>
      </w:r>
      <w:r>
        <w:rPr>
          <w:sz w:val="18"/>
          <w:szCs w:val="18"/>
        </w:rPr>
        <w:t xml:space="preserve"> 12 months (or for such shorter period that the registrant was required to file such reports), and (2) has been subject to such filing requirements for the past 90 days.</w:t>
      </w:r>
      <w:r>
        <w:rPr>
          <w:sz w:val="18"/>
          <w:szCs w:val="18"/>
        </w:rPr>
        <w:t xml:space="preserve"> </w:t>
      </w:r>
      <w:r>
        <w:rPr>
          <w:sz w:val="18"/>
          <w:szCs w:val="18"/>
        </w:rPr>
        <w:t>Ye</w:t>
      </w:r>
      <w:r>
        <w:rPr>
          <w:sz w:val="18"/>
          <w:szCs w:val="18"/>
        </w:rPr>
        <w:t>s</w:t>
      </w:r>
      <w:r>
        <w:rPr>
          <w:sz w:val="18"/>
          <w:szCs w:val="18"/>
        </w:rPr>
        <w:t xml:space="preserve"> </w:t>
      </w:r>
      <w:r>
        <w:rPr>
          <w:rFonts w:ascii="Segoe UI Symbol" w:hAnsi="Segoe UI Symbol" w:cs="Segoe UI Symbol"/>
          <w:sz w:val="18"/>
          <w:szCs w:val="18"/>
        </w:rPr>
        <w:t>☒</w:t>
      </w:r>
      <w:r>
        <w:rPr>
          <w:sz w:val="18"/>
          <w:szCs w:val="18"/>
        </w:rPr>
        <w:t xml:space="preserve"> No </w:t>
      </w:r>
      <w:r>
        <w:rPr>
          <w:rFonts w:ascii="Segoe UI Symbol" w:hAnsi="Segoe UI Symbol" w:cs="Segoe UI Symbol"/>
          <w:sz w:val="18"/>
          <w:szCs w:val="18"/>
        </w:rPr>
        <w:t>☐</w:t>
      </w:r>
    </w:p>
    <w:p w:rsidR="00000000" w:rsidRDefault="00A32496">
      <w:pPr>
        <w:pStyle w:val="a3"/>
        <w:spacing w:before="80" w:beforeAutospacing="0" w:after="0" w:afterAutospacing="0"/>
        <w:ind w:firstLine="555"/>
        <w:rPr>
          <w:sz w:val="20"/>
          <w:szCs w:val="20"/>
        </w:rPr>
      </w:pPr>
      <w:r>
        <w:rPr>
          <w:sz w:val="18"/>
          <w:szCs w:val="18"/>
        </w:rPr>
        <w:t xml:space="preserve">Indicate by check mark whether the registrant has submitted electronically </w:t>
      </w:r>
      <w:r>
        <w:rPr>
          <w:sz w:val="18"/>
          <w:szCs w:val="18"/>
        </w:rPr>
        <w:t>every Interactive Data File required to be submitted pursuant to Rule 405 of Regulation S-T (§232.405 of this chapter) during the preceding 12 months (or for such shorter period that the registrant was required to submit such files).</w:t>
      </w:r>
      <w:r>
        <w:rPr>
          <w:sz w:val="18"/>
          <w:szCs w:val="18"/>
        </w:rPr>
        <w:t xml:space="preserve"> </w:t>
      </w:r>
      <w:r>
        <w:rPr>
          <w:sz w:val="18"/>
          <w:szCs w:val="18"/>
        </w:rPr>
        <w:t>Ye</w:t>
      </w:r>
      <w:r>
        <w:rPr>
          <w:sz w:val="18"/>
          <w:szCs w:val="18"/>
        </w:rPr>
        <w:t>s</w:t>
      </w:r>
      <w:r>
        <w:rPr>
          <w:sz w:val="18"/>
          <w:szCs w:val="18"/>
        </w:rPr>
        <w:t xml:space="preserve"> </w:t>
      </w:r>
      <w:r>
        <w:rPr>
          <w:rFonts w:ascii="Segoe UI Symbol" w:hAnsi="Segoe UI Symbol" w:cs="Segoe UI Symbol"/>
          <w:sz w:val="18"/>
          <w:szCs w:val="18"/>
        </w:rPr>
        <w:t>☒</w:t>
      </w:r>
      <w:r>
        <w:rPr>
          <w:sz w:val="18"/>
          <w:szCs w:val="18"/>
        </w:rPr>
        <w:t xml:space="preserve"> No </w:t>
      </w:r>
      <w:r>
        <w:rPr>
          <w:rFonts w:ascii="Segoe UI Symbol" w:hAnsi="Segoe UI Symbol" w:cs="Segoe UI Symbol"/>
          <w:sz w:val="18"/>
          <w:szCs w:val="18"/>
        </w:rPr>
        <w:t>☐</w:t>
      </w:r>
    </w:p>
    <w:p w:rsidR="00000000" w:rsidRDefault="00A32496">
      <w:pPr>
        <w:pStyle w:val="a3"/>
        <w:spacing w:before="80" w:beforeAutospacing="0" w:after="0" w:afterAutospacing="0"/>
        <w:ind w:firstLine="555"/>
        <w:rPr>
          <w:sz w:val="20"/>
          <w:szCs w:val="20"/>
        </w:rPr>
      </w:pPr>
      <w:r>
        <w:rPr>
          <w:sz w:val="18"/>
          <w:szCs w:val="18"/>
        </w:rPr>
        <w:t>Indicate by check mark whether the registrant is a large accelerated filer, an accelerated filer, a non-accelerated filer, smaller reporting company, or an emerging growth company. See the definitions of “large accelerated filer,” “accelerated filer,” “sma</w:t>
      </w:r>
      <w:r>
        <w:rPr>
          <w:sz w:val="18"/>
          <w:szCs w:val="18"/>
        </w:rPr>
        <w:t>ller reporting company,” and “emerging growth company” in Rule 12b-2 of the Exchange Act</w:t>
      </w:r>
      <w:r>
        <w:rPr>
          <w:sz w:val="18"/>
          <w:szCs w:val="18"/>
        </w:rPr>
        <w:t>.</w:t>
      </w:r>
    </w:p>
    <w:p w:rsidR="00000000" w:rsidRDefault="00A32496">
      <w:pPr>
        <w:pStyle w:val="a3"/>
        <w:spacing w:before="0" w:beforeAutospacing="0" w:after="0" w:afterAutospacing="0"/>
        <w:rPr>
          <w:sz w:val="20"/>
          <w:szCs w:val="20"/>
        </w:rPr>
      </w:pPr>
      <w:r>
        <w:rPr>
          <w:sz w:val="20"/>
          <w:szCs w:val="20"/>
        </w:rPr>
        <w:lastRenderedPageBreak/>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65"/>
        <w:gridCol w:w="108"/>
        <w:gridCol w:w="4534"/>
        <w:gridCol w:w="111"/>
        <w:gridCol w:w="1650"/>
        <w:gridCol w:w="108"/>
        <w:gridCol w:w="230"/>
      </w:tblGrid>
      <w:tr w:rsidR="00000000">
        <w:trPr>
          <w:tblCellSpacing w:w="15" w:type="dxa"/>
        </w:trPr>
        <w:tc>
          <w:tcPr>
            <w:tcW w:w="944" w:type="pct"/>
            <w:vAlign w:val="center"/>
            <w:hideMark/>
          </w:tcPr>
          <w:p w:rsidR="00000000" w:rsidRDefault="00A32496">
            <w:pPr>
              <w:rPr>
                <w:sz w:val="20"/>
                <w:szCs w:val="20"/>
              </w:rPr>
            </w:pPr>
          </w:p>
        </w:tc>
        <w:tc>
          <w:tcPr>
            <w:tcW w:w="50" w:type="pct"/>
            <w:vAlign w:val="center"/>
            <w:hideMark/>
          </w:tcPr>
          <w:p w:rsidR="00000000" w:rsidRDefault="00A32496">
            <w:pPr>
              <w:rPr>
                <w:rFonts w:eastAsia="Times New Roman"/>
                <w:sz w:val="20"/>
                <w:szCs w:val="20"/>
              </w:rPr>
            </w:pPr>
          </w:p>
        </w:tc>
        <w:tc>
          <w:tcPr>
            <w:tcW w:w="2792" w:type="pct"/>
            <w:vAlign w:val="center"/>
            <w:hideMark/>
          </w:tcPr>
          <w:p w:rsidR="00000000" w:rsidRDefault="00A32496">
            <w:pPr>
              <w:rPr>
                <w:rFonts w:eastAsia="Times New Roman"/>
                <w:sz w:val="20"/>
                <w:szCs w:val="20"/>
              </w:rPr>
            </w:pPr>
          </w:p>
        </w:tc>
        <w:tc>
          <w:tcPr>
            <w:tcW w:w="52" w:type="pct"/>
            <w:vAlign w:val="center"/>
            <w:hideMark/>
          </w:tcPr>
          <w:p w:rsidR="00000000" w:rsidRDefault="00A32496">
            <w:pPr>
              <w:rPr>
                <w:rFonts w:eastAsia="Times New Roman"/>
                <w:sz w:val="20"/>
                <w:szCs w:val="20"/>
              </w:rPr>
            </w:pPr>
          </w:p>
        </w:tc>
        <w:tc>
          <w:tcPr>
            <w:tcW w:w="1005"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104" w:type="pct"/>
            <w:vAlign w:val="center"/>
            <w:hideMark/>
          </w:tcPr>
          <w:p w:rsidR="00000000" w:rsidRDefault="00A32496">
            <w:pPr>
              <w:rPr>
                <w:rFonts w:eastAsia="Times New Roman"/>
                <w:sz w:val="20"/>
                <w:szCs w:val="20"/>
              </w:rPr>
            </w:pPr>
          </w:p>
        </w:tc>
      </w:tr>
      <w:tr w:rsidR="00000000">
        <w:trPr>
          <w:trHeight w:val="216"/>
          <w:tblCellSpacing w:w="15" w:type="dxa"/>
        </w:trPr>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20"/>
                <w:szCs w:val="20"/>
              </w:rPr>
            </w:pPr>
            <w:r>
              <w:rPr>
                <w:sz w:val="18"/>
                <w:szCs w:val="18"/>
              </w:rPr>
              <w:t>Large accelerated file</w:t>
            </w:r>
            <w:r>
              <w:rPr>
                <w:sz w:val="18"/>
                <w:szCs w:val="18"/>
              </w:rPr>
              <w:t>r</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18"/>
                <w:szCs w:val="18"/>
              </w:rPr>
            </w:pPr>
            <w:r>
              <w:rPr>
                <w:rFonts w:ascii="Segoe UI Symbol" w:hAnsi="Segoe UI Symbol" w:cs="Segoe UI Symbol"/>
                <w:sz w:val="18"/>
                <w:szCs w:val="18"/>
              </w:rPr>
              <w:t>☒</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18"/>
                <w:szCs w:val="18"/>
              </w:rPr>
            </w:pPr>
            <w:r>
              <w:rPr>
                <w:sz w:val="18"/>
                <w:szCs w:val="18"/>
              </w:rPr>
              <w:t>Accelerated file</w:t>
            </w:r>
            <w:r>
              <w:rPr>
                <w:sz w:val="18"/>
                <w:szCs w:val="18"/>
              </w:rPr>
              <w:t>r</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18"/>
                <w:szCs w:val="18"/>
              </w:rPr>
            </w:pPr>
            <w:r>
              <w:rPr>
                <w:rFonts w:ascii="Segoe UI Symbol" w:hAnsi="Segoe UI Symbol" w:cs="Segoe UI Symbol"/>
                <w:sz w:val="18"/>
                <w:szCs w:val="18"/>
              </w:rPr>
              <w:t>☐</w:t>
            </w:r>
          </w:p>
        </w:tc>
      </w:tr>
      <w:tr w:rsidR="00000000">
        <w:trPr>
          <w:trHeight w:val="72"/>
          <w:tblCellSpacing w:w="15" w:type="dxa"/>
        </w:trPr>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4"/>
                <w:szCs w:val="4"/>
              </w:rPr>
            </w:pPr>
            <w:r>
              <w:rPr>
                <w:sz w:val="4"/>
                <w:szCs w:val="4"/>
              </w:rPr>
              <w:t> </w:t>
            </w:r>
          </w:p>
        </w:tc>
        <w:tc>
          <w:tcPr>
            <w:tcW w:w="0" w:type="auto"/>
            <w:gridSpan w:val="2"/>
            <w:tcMar>
              <w:top w:w="14" w:type="dxa"/>
              <w:left w:w="15" w:type="dxa"/>
              <w:bottom w:w="15" w:type="dxa"/>
              <w:right w:w="14" w:type="dxa"/>
            </w:tcMar>
            <w:hideMark/>
          </w:tcPr>
          <w:p w:rsidR="00000000" w:rsidRDefault="00A32496">
            <w:pPr>
              <w:pStyle w:val="a3"/>
              <w:spacing w:before="0" w:beforeAutospacing="0" w:after="0" w:afterAutospacing="0"/>
              <w:rPr>
                <w:sz w:val="4"/>
                <w:szCs w:val="4"/>
              </w:rPr>
            </w:pPr>
            <w:r>
              <w:rPr>
                <w:sz w:val="4"/>
                <w:szCs w:val="4"/>
              </w:rPr>
              <w:t> </w:t>
            </w:r>
          </w:p>
        </w:tc>
        <w:tc>
          <w:tcPr>
            <w:tcW w:w="0" w:type="auto"/>
            <w:gridSpan w:val="2"/>
            <w:tcMar>
              <w:top w:w="14" w:type="dxa"/>
              <w:left w:w="15" w:type="dxa"/>
              <w:bottom w:w="15" w:type="dxa"/>
              <w:right w:w="14" w:type="dxa"/>
            </w:tcMar>
            <w:hideMark/>
          </w:tcPr>
          <w:p w:rsidR="00000000" w:rsidRDefault="00A32496">
            <w:pPr>
              <w:pStyle w:val="a3"/>
              <w:spacing w:before="0" w:beforeAutospacing="0" w:after="0" w:afterAutospacing="0"/>
              <w:rPr>
                <w:sz w:val="4"/>
                <w:szCs w:val="4"/>
              </w:rPr>
            </w:pPr>
            <w:r>
              <w:rPr>
                <w:sz w:val="4"/>
                <w:szCs w:val="4"/>
              </w:rPr>
              <w:t> </w:t>
            </w:r>
          </w:p>
        </w:tc>
        <w:tc>
          <w:tcPr>
            <w:tcW w:w="0" w:type="auto"/>
            <w:gridSpan w:val="2"/>
            <w:tcMar>
              <w:top w:w="14" w:type="dxa"/>
              <w:left w:w="15" w:type="dxa"/>
              <w:bottom w:w="15" w:type="dxa"/>
              <w:right w:w="14" w:type="dxa"/>
            </w:tcMar>
            <w:hideMark/>
          </w:tcPr>
          <w:p w:rsidR="00000000" w:rsidRDefault="00A32496">
            <w:pPr>
              <w:pStyle w:val="a3"/>
              <w:spacing w:before="0" w:beforeAutospacing="0" w:after="0" w:afterAutospacing="0"/>
              <w:rPr>
                <w:sz w:val="4"/>
                <w:szCs w:val="4"/>
              </w:rPr>
            </w:pPr>
            <w:r>
              <w:rPr>
                <w:sz w:val="4"/>
                <w:szCs w:val="4"/>
              </w:rPr>
              <w:t> </w:t>
            </w:r>
          </w:p>
        </w:tc>
      </w:tr>
      <w:tr w:rsidR="00000000">
        <w:trPr>
          <w:trHeight w:val="180"/>
          <w:tblCellSpacing w:w="15" w:type="dxa"/>
        </w:trPr>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18"/>
                <w:szCs w:val="18"/>
              </w:rPr>
            </w:pPr>
            <w:r>
              <w:rPr>
                <w:sz w:val="18"/>
                <w:szCs w:val="18"/>
              </w:rPr>
              <w:t>Non-accelerated file</w:t>
            </w:r>
            <w:r>
              <w:rPr>
                <w:sz w:val="18"/>
                <w:szCs w:val="18"/>
              </w:rPr>
              <w:t>r</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18"/>
                <w:szCs w:val="18"/>
              </w:rPr>
            </w:pPr>
            <w:r>
              <w:rPr>
                <w:rFonts w:ascii="Segoe UI Symbol" w:hAnsi="Segoe UI Symbol" w:cs="Segoe UI Symbol"/>
                <w:sz w:val="18"/>
                <w:szCs w:val="18"/>
              </w:rPr>
              <w:t>☐</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18"/>
                <w:szCs w:val="18"/>
              </w:rPr>
            </w:pPr>
            <w:r>
              <w:rPr>
                <w:sz w:val="18"/>
                <w:szCs w:val="18"/>
              </w:rPr>
              <w:t>Smaller reporting compan</w:t>
            </w:r>
            <w:r>
              <w:rPr>
                <w:sz w:val="18"/>
                <w:szCs w:val="18"/>
              </w:rPr>
              <w:t>y</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20"/>
                <w:szCs w:val="20"/>
              </w:rPr>
            </w:pPr>
            <w:r>
              <w:rPr>
                <w:rFonts w:ascii="Segoe UI Symbol" w:hAnsi="Segoe UI Symbol" w:cs="Segoe UI Symbol"/>
                <w:sz w:val="18"/>
                <w:szCs w:val="18"/>
              </w:rPr>
              <w:t>☐</w:t>
            </w:r>
          </w:p>
        </w:tc>
      </w:tr>
      <w:tr w:rsidR="00000000">
        <w:trPr>
          <w:tblCellSpacing w:w="15" w:type="dxa"/>
        </w:trPr>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4"/>
                <w:szCs w:val="4"/>
              </w:rPr>
            </w:pPr>
            <w:r>
              <w:rPr>
                <w:sz w:val="4"/>
                <w:szCs w:val="4"/>
              </w:rPr>
              <w:t> </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4"/>
                <w:szCs w:val="4"/>
              </w:rPr>
            </w:pPr>
            <w:r>
              <w:rPr>
                <w:sz w:val="4"/>
                <w:szCs w:val="4"/>
              </w:rPr>
              <w:t> </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4"/>
                <w:szCs w:val="4"/>
              </w:rPr>
            </w:pPr>
            <w:r>
              <w:rPr>
                <w:sz w:val="4"/>
                <w:szCs w:val="4"/>
              </w:rPr>
              <w:t> </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4"/>
                <w:szCs w:val="4"/>
              </w:rPr>
            </w:pPr>
            <w:r>
              <w:rPr>
                <w:sz w:val="4"/>
                <w:szCs w:val="4"/>
              </w:rPr>
              <w:t> </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4"/>
                <w:szCs w:val="4"/>
              </w:rPr>
            </w:pPr>
            <w:r>
              <w:rPr>
                <w:sz w:val="4"/>
                <w:szCs w:val="4"/>
              </w:rPr>
              <w:t> </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4"/>
                <w:szCs w:val="4"/>
              </w:rPr>
            </w:pPr>
            <w:r>
              <w:rPr>
                <w:sz w:val="4"/>
                <w:szCs w:val="4"/>
              </w:rPr>
              <w:t> </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4"/>
                <w:szCs w:val="4"/>
              </w:rPr>
            </w:pPr>
            <w:r>
              <w:rPr>
                <w:sz w:val="4"/>
                <w:szCs w:val="4"/>
              </w:rPr>
              <w:t> </w:t>
            </w:r>
          </w:p>
        </w:tc>
      </w:tr>
      <w:tr w:rsidR="00000000">
        <w:trPr>
          <w:trHeight w:val="180"/>
          <w:tblCellSpacing w:w="15" w:type="dxa"/>
        </w:trPr>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18"/>
                <w:szCs w:val="18"/>
              </w:rPr>
            </w:pPr>
            <w:r>
              <w:rPr>
                <w:sz w:val="18"/>
                <w:szCs w:val="18"/>
              </w:rPr>
              <w:t>Emerging growth compan</w:t>
            </w:r>
            <w:r>
              <w:rPr>
                <w:sz w:val="18"/>
                <w:szCs w:val="18"/>
              </w:rPr>
              <w:t>y</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20"/>
                <w:szCs w:val="20"/>
              </w:rPr>
            </w:pPr>
            <w:r>
              <w:rPr>
                <w:rFonts w:ascii="Segoe UI Symbol" w:hAnsi="Segoe UI Symbol" w:cs="Segoe UI Symbol"/>
                <w:sz w:val="18"/>
                <w:szCs w:val="18"/>
              </w:rPr>
              <w:t>☐</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18"/>
                <w:szCs w:val="18"/>
              </w:rPr>
            </w:pPr>
            <w:r>
              <w:rPr>
                <w:sz w:val="18"/>
                <w:szCs w:val="18"/>
              </w:rPr>
              <w:t> </w:t>
            </w:r>
          </w:p>
        </w:tc>
      </w:tr>
    </w:tbl>
    <w:p w:rsidR="00000000" w:rsidRDefault="00A32496">
      <w:pPr>
        <w:pStyle w:val="a3"/>
        <w:spacing w:before="0" w:beforeAutospacing="0" w:after="0" w:afterAutospacing="0"/>
        <w:rPr>
          <w:sz w:val="20"/>
          <w:szCs w:val="20"/>
        </w:rPr>
      </w:pPr>
      <w:r>
        <w:rPr>
          <w:sz w:val="20"/>
          <w:szCs w:val="20"/>
        </w:rPr>
        <w:t> </w:t>
      </w:r>
    </w:p>
    <w:p w:rsidR="00000000" w:rsidRDefault="00A32496">
      <w:pPr>
        <w:pStyle w:val="a3"/>
        <w:spacing w:before="0" w:beforeAutospacing="0" w:after="0" w:afterAutospacing="0"/>
        <w:ind w:firstLine="555"/>
        <w:rPr>
          <w:sz w:val="20"/>
          <w:szCs w:val="20"/>
        </w:rPr>
      </w:pPr>
      <w:r>
        <w:rPr>
          <w:sz w:val="18"/>
          <w:szCs w:val="18"/>
        </w:rPr>
        <w:t xml:space="preserve">If an emerging growth company, indicate by check mark if the registrant has elected not to use the extended transition period for complying with any new or revised financial accounting standards provided pursuant to </w:t>
      </w:r>
      <w:r>
        <w:rPr>
          <w:sz w:val="18"/>
          <w:szCs w:val="18"/>
        </w:rPr>
        <w:t xml:space="preserve">Section 13(a) of the Exchange Act. </w:t>
      </w:r>
      <w:r>
        <w:rPr>
          <w:rFonts w:ascii="Segoe UI Symbol" w:hAnsi="Segoe UI Symbol" w:cs="Segoe UI Symbol"/>
          <w:sz w:val="18"/>
          <w:szCs w:val="18"/>
        </w:rPr>
        <w:t>☐</w:t>
      </w:r>
    </w:p>
    <w:p w:rsidR="00000000" w:rsidRDefault="00A32496">
      <w:pPr>
        <w:pStyle w:val="a3"/>
        <w:spacing w:before="80" w:beforeAutospacing="0" w:after="0" w:afterAutospacing="0"/>
        <w:ind w:firstLine="555"/>
        <w:rPr>
          <w:sz w:val="20"/>
          <w:szCs w:val="20"/>
        </w:rPr>
      </w:pPr>
      <w:r>
        <w:rPr>
          <w:sz w:val="18"/>
          <w:szCs w:val="18"/>
        </w:rPr>
        <w:t>Indicate by check mark whether the registrant is a shell company (as defined in Rule 12b-2 of the Exchange Act). Yes</w:t>
      </w:r>
      <w:r>
        <w:rPr>
          <w:sz w:val="18"/>
          <w:szCs w:val="18"/>
        </w:rPr>
        <w:t xml:space="preserve"> </w:t>
      </w:r>
      <w:r>
        <w:rPr>
          <w:rFonts w:ascii="Segoe UI Symbol" w:hAnsi="Segoe UI Symbol" w:cs="Segoe UI Symbol"/>
          <w:sz w:val="18"/>
          <w:szCs w:val="18"/>
        </w:rPr>
        <w:t>☐</w:t>
      </w:r>
      <w:r>
        <w:rPr>
          <w:sz w:val="18"/>
          <w:szCs w:val="18"/>
        </w:rPr>
        <w:t xml:space="preserve"> No </w:t>
      </w:r>
      <w:r>
        <w:rPr>
          <w:rFonts w:ascii="Segoe UI Symbol" w:hAnsi="Segoe UI Symbol" w:cs="Segoe UI Symbol"/>
          <w:sz w:val="18"/>
          <w:szCs w:val="18"/>
        </w:rPr>
        <w:t>☒</w:t>
      </w:r>
    </w:p>
    <w:p w:rsidR="00000000" w:rsidRDefault="00A32496">
      <w:pPr>
        <w:pStyle w:val="a3"/>
        <w:spacing w:before="80" w:beforeAutospacing="0" w:after="0" w:afterAutospacing="0"/>
        <w:ind w:firstLine="555"/>
        <w:rPr>
          <w:sz w:val="20"/>
          <w:szCs w:val="20"/>
        </w:rPr>
      </w:pPr>
      <w:r>
        <w:rPr>
          <w:sz w:val="18"/>
          <w:szCs w:val="18"/>
        </w:rPr>
        <w:t>As of November 3, 2022, the registrant ha</w:t>
      </w:r>
      <w:r>
        <w:rPr>
          <w:sz w:val="18"/>
          <w:szCs w:val="18"/>
        </w:rPr>
        <w:t>d</w:t>
      </w:r>
      <w:r>
        <w:rPr>
          <w:sz w:val="18"/>
          <w:szCs w:val="18"/>
        </w:rPr>
        <w:t xml:space="preserve"> </w:t>
      </w:r>
      <w:r>
        <w:rPr>
          <w:sz w:val="18"/>
          <w:szCs w:val="18"/>
        </w:rPr>
        <w:t>29,711,56</w:t>
      </w:r>
      <w:r>
        <w:rPr>
          <w:sz w:val="18"/>
          <w:szCs w:val="18"/>
        </w:rPr>
        <w:t>6</w:t>
      </w:r>
      <w:r>
        <w:rPr>
          <w:sz w:val="18"/>
          <w:szCs w:val="18"/>
        </w:rPr>
        <w:t xml:space="preserve"> </w:t>
      </w:r>
      <w:r>
        <w:rPr>
          <w:sz w:val="18"/>
          <w:szCs w:val="18"/>
        </w:rPr>
        <w:t>s</w:t>
      </w:r>
      <w:r>
        <w:rPr>
          <w:sz w:val="18"/>
          <w:szCs w:val="18"/>
        </w:rPr>
        <w:t>hares of common stock, $0.000004 par val</w:t>
      </w:r>
      <w:r>
        <w:rPr>
          <w:sz w:val="18"/>
          <w:szCs w:val="18"/>
        </w:rPr>
        <w:t>ue per share, outstanding</w:t>
      </w:r>
      <w:r>
        <w:rPr>
          <w:sz w:val="18"/>
          <w:szCs w:val="18"/>
        </w:rPr>
        <w:t>.</w:t>
      </w:r>
    </w:p>
    <w:p w:rsidR="00000000" w:rsidRDefault="00A32496">
      <w:pPr>
        <w:pStyle w:val="a3"/>
        <w:pBdr>
          <w:bottom w:val="double" w:sz="6" w:space="1" w:color="auto"/>
        </w:pBdr>
        <w:spacing w:before="0" w:beforeAutospacing="0" w:after="0" w:afterAutospacing="0"/>
        <w:rPr>
          <w:sz w:val="20"/>
          <w:szCs w:val="20"/>
        </w:rPr>
      </w:pPr>
      <w:r>
        <w:rPr>
          <w:sz w:val="20"/>
          <w:szCs w:val="20"/>
        </w:rPr>
        <w:t> </w:t>
      </w:r>
    </w:p>
    <w:p w:rsidR="00000000" w:rsidRDefault="00A32496">
      <w:pPr>
        <w:pStyle w:val="a3"/>
        <w:spacing w:before="0" w:beforeAutospacing="0" w:after="0" w:afterAutospacing="0"/>
        <w:rPr>
          <w:sz w:val="20"/>
          <w:szCs w:val="20"/>
        </w:rPr>
      </w:pPr>
      <w:r>
        <w:rPr>
          <w:sz w:val="20"/>
          <w:szCs w:val="20"/>
        </w:rPr>
        <w:t> </w:t>
      </w:r>
    </w:p>
    <w:p w:rsidR="00000000" w:rsidRDefault="00A32496">
      <w:pPr>
        <w:rPr>
          <w:rFonts w:eastAsia="Times New Roman"/>
        </w:rPr>
      </w:pPr>
      <w:r>
        <w:rPr>
          <w:rFonts w:eastAsia="Times New Roman"/>
        </w:rPr>
        <w:pict>
          <v:rect id="_x0000_i1025" style="width:0;height:1.5pt" o:hralign="center" o:hrstd="t" o:hr="t" fillcolor="#a0a0a0" stroked="f"/>
        </w:pict>
      </w:r>
    </w:p>
    <w:p w:rsidR="00000000" w:rsidRDefault="00A32496">
      <w:pPr>
        <w:pStyle w:val="a3"/>
        <w:spacing w:before="0" w:beforeAutospacing="0" w:after="0" w:afterAutospacing="0"/>
        <w:rPr>
          <w:sz w:val="20"/>
          <w:szCs w:val="20"/>
        </w:rPr>
      </w:pPr>
      <w:r>
        <w:rPr>
          <w:sz w:val="20"/>
          <w:szCs w:val="20"/>
        </w:rPr>
        <w:t> </w:t>
      </w:r>
    </w:p>
    <w:p w:rsidR="00000000" w:rsidRDefault="00A32496">
      <w:pPr>
        <w:pStyle w:val="a3"/>
        <w:spacing w:before="0" w:beforeAutospacing="0" w:after="0" w:afterAutospacing="0"/>
        <w:jc w:val="center"/>
        <w:rPr>
          <w:sz w:val="20"/>
          <w:szCs w:val="20"/>
        </w:rPr>
      </w:pPr>
      <w:r>
        <w:rPr>
          <w:b/>
          <w:bCs/>
          <w:sz w:val="20"/>
          <w:szCs w:val="20"/>
        </w:rPr>
        <w:t>Table of Content</w:t>
      </w:r>
      <w:r>
        <w:rPr>
          <w:b/>
          <w:bCs/>
          <w:sz w:val="20"/>
          <w:szCs w:val="20"/>
        </w:rPr>
        <w:t>s</w:t>
      </w:r>
    </w:p>
    <w:p w:rsidR="00000000" w:rsidRDefault="00A32496">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2"/>
        <w:gridCol w:w="6824"/>
        <w:gridCol w:w="610"/>
      </w:tblGrid>
      <w:tr w:rsidR="00000000">
        <w:trPr>
          <w:tblCellSpacing w:w="15" w:type="dxa"/>
        </w:trPr>
        <w:tc>
          <w:tcPr>
            <w:tcW w:w="505" w:type="pct"/>
            <w:vAlign w:val="center"/>
            <w:hideMark/>
          </w:tcPr>
          <w:p w:rsidR="00000000" w:rsidRDefault="00A32496">
            <w:pPr>
              <w:rPr>
                <w:sz w:val="20"/>
                <w:szCs w:val="20"/>
              </w:rPr>
            </w:pPr>
          </w:p>
        </w:tc>
        <w:tc>
          <w:tcPr>
            <w:tcW w:w="4149" w:type="pct"/>
            <w:vAlign w:val="center"/>
            <w:hideMark/>
          </w:tcPr>
          <w:p w:rsidR="00000000" w:rsidRDefault="00A32496">
            <w:pPr>
              <w:rPr>
                <w:rFonts w:eastAsia="Times New Roman"/>
                <w:sz w:val="20"/>
                <w:szCs w:val="20"/>
              </w:rPr>
            </w:pPr>
          </w:p>
        </w:tc>
        <w:tc>
          <w:tcPr>
            <w:tcW w:w="345" w:type="pct"/>
            <w:vAlign w:val="center"/>
            <w:hideMark/>
          </w:tcPr>
          <w:p w:rsidR="00000000" w:rsidRDefault="00A32496">
            <w:pPr>
              <w:rPr>
                <w:rFonts w:eastAsia="Times New Roman"/>
                <w:sz w:val="20"/>
                <w:szCs w:val="20"/>
              </w:rPr>
            </w:pPr>
          </w:p>
        </w:tc>
      </w:tr>
      <w:tr w:rsidR="00000000">
        <w:trPr>
          <w:trHeight w:val="160"/>
          <w:tblCellSpacing w:w="15" w:type="dxa"/>
        </w:trPr>
        <w:tc>
          <w:tcPr>
            <w:tcW w:w="0" w:type="auto"/>
            <w:tcMar>
              <w:top w:w="14" w:type="dxa"/>
              <w:left w:w="15" w:type="dxa"/>
              <w:bottom w:w="15" w:type="dxa"/>
              <w:right w:w="14" w:type="dxa"/>
            </w:tcMar>
            <w:vAlign w:val="center"/>
            <w:hideMark/>
          </w:tcPr>
          <w:p w:rsidR="00000000" w:rsidRDefault="00A32496">
            <w:pPr>
              <w:pStyle w:val="a3"/>
              <w:spacing w:before="0" w:beforeAutospacing="0" w:after="0" w:afterAutospacing="0"/>
              <w:ind w:left="137"/>
              <w:rPr>
                <w:sz w:val="16"/>
                <w:szCs w:val="16"/>
              </w:rPr>
            </w:pPr>
            <w:r>
              <w:rPr>
                <w:sz w:val="16"/>
                <w:szCs w:val="16"/>
              </w:rPr>
              <w:t> </w:t>
            </w:r>
          </w:p>
        </w:tc>
        <w:tc>
          <w:tcPr>
            <w:tcW w:w="0" w:type="auto"/>
            <w:tcMar>
              <w:top w:w="14" w:type="dxa"/>
              <w:left w:w="15" w:type="dxa"/>
              <w:bottom w:w="15" w:type="dxa"/>
              <w:right w:w="14" w:type="dxa"/>
            </w:tcMar>
            <w:vAlign w:val="center"/>
            <w:hideMark/>
          </w:tcPr>
          <w:p w:rsidR="00000000" w:rsidRDefault="00A32496">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center"/>
            <w:hideMark/>
          </w:tcPr>
          <w:p w:rsidR="00000000" w:rsidRDefault="00A32496">
            <w:pPr>
              <w:pStyle w:val="a3"/>
              <w:spacing w:before="0" w:beforeAutospacing="0" w:after="0" w:afterAutospacing="0"/>
              <w:jc w:val="center"/>
              <w:rPr>
                <w:sz w:val="16"/>
                <w:szCs w:val="16"/>
              </w:rPr>
            </w:pPr>
            <w:r>
              <w:rPr>
                <w:b/>
                <w:bCs/>
                <w:sz w:val="16"/>
                <w:szCs w:val="16"/>
              </w:rPr>
              <w:t>Pag</w:t>
            </w:r>
            <w:r>
              <w:rPr>
                <w:b/>
                <w:bCs/>
                <w:sz w:val="16"/>
                <w:szCs w:val="16"/>
              </w:rPr>
              <w:t>e</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A32496">
            <w:pPr>
              <w:pStyle w:val="a3"/>
              <w:spacing w:before="0" w:beforeAutospacing="0" w:after="0" w:afterAutospacing="0"/>
              <w:rPr>
                <w:sz w:val="20"/>
                <w:szCs w:val="20"/>
              </w:rPr>
            </w:pPr>
            <w:r>
              <w:rPr>
                <w:b/>
                <w:bCs/>
                <w:sz w:val="20"/>
                <w:szCs w:val="20"/>
              </w:rPr>
              <w:t>PART I</w:t>
            </w:r>
            <w:r>
              <w:rPr>
                <w:b/>
                <w:bCs/>
                <w:sz w:val="20"/>
                <w:szCs w:val="20"/>
              </w:rPr>
              <w:t>.</w:t>
            </w:r>
          </w:p>
        </w:tc>
        <w:tc>
          <w:tcPr>
            <w:tcW w:w="0" w:type="auto"/>
            <w:tcMar>
              <w:top w:w="14" w:type="dxa"/>
              <w:left w:w="15" w:type="dxa"/>
              <w:bottom w:w="15" w:type="dxa"/>
              <w:right w:w="14" w:type="dxa"/>
            </w:tcMar>
            <w:vAlign w:val="center"/>
            <w:hideMark/>
          </w:tcPr>
          <w:p w:rsidR="00000000" w:rsidRDefault="00A32496">
            <w:pPr>
              <w:pStyle w:val="a3"/>
              <w:spacing w:before="0" w:beforeAutospacing="0" w:after="0" w:afterAutospacing="0"/>
              <w:rPr>
                <w:sz w:val="20"/>
                <w:szCs w:val="20"/>
              </w:rPr>
            </w:pPr>
            <w:hyperlink w:anchor="part_ifinancial_information" w:history="1">
              <w:r>
                <w:rPr>
                  <w:rStyle w:val="a4"/>
                  <w:sz w:val="20"/>
                  <w:szCs w:val="20"/>
                </w:rPr>
                <w:t>FINANCIAL INFORMATIO</w:t>
              </w:r>
              <w:r>
                <w:rPr>
                  <w:rStyle w:val="a4"/>
                  <w:sz w:val="20"/>
                  <w:szCs w:val="20"/>
                </w:rPr>
                <w:t>N</w:t>
              </w:r>
            </w:hyperlink>
          </w:p>
        </w:tc>
        <w:tc>
          <w:tcPr>
            <w:tcW w:w="0" w:type="auto"/>
            <w:tcMar>
              <w:top w:w="14" w:type="dxa"/>
              <w:left w:w="15" w:type="dxa"/>
              <w:bottom w:w="15" w:type="dxa"/>
              <w:right w:w="14" w:type="dxa"/>
            </w:tcMar>
            <w:vAlign w:val="bottom"/>
            <w:hideMark/>
          </w:tcPr>
          <w:p w:rsidR="00000000" w:rsidRDefault="00A32496">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A32496">
            <w:pPr>
              <w:pStyle w:val="a3"/>
              <w:spacing w:before="0" w:beforeAutospacing="0" w:after="0" w:afterAutospacing="0"/>
              <w:rPr>
                <w:sz w:val="20"/>
                <w:szCs w:val="20"/>
              </w:rPr>
            </w:pPr>
            <w:r>
              <w:rPr>
                <w:sz w:val="20"/>
                <w:szCs w:val="20"/>
              </w:rPr>
              <w:t>Item 1</w:t>
            </w:r>
            <w:r>
              <w:rPr>
                <w:sz w:val="20"/>
                <w:szCs w:val="20"/>
              </w:rPr>
              <w:t>.</w:t>
            </w:r>
          </w:p>
        </w:tc>
        <w:tc>
          <w:tcPr>
            <w:tcW w:w="0" w:type="auto"/>
            <w:tcMar>
              <w:top w:w="14" w:type="dxa"/>
              <w:left w:w="15" w:type="dxa"/>
              <w:bottom w:w="15" w:type="dxa"/>
              <w:right w:w="14" w:type="dxa"/>
            </w:tcMar>
            <w:vAlign w:val="center"/>
            <w:hideMark/>
          </w:tcPr>
          <w:p w:rsidR="00000000" w:rsidRDefault="00A32496">
            <w:pPr>
              <w:pStyle w:val="a3"/>
              <w:spacing w:before="0" w:beforeAutospacing="0" w:after="0" w:afterAutospacing="0"/>
              <w:rPr>
                <w:sz w:val="20"/>
                <w:szCs w:val="20"/>
              </w:rPr>
            </w:pPr>
            <w:hyperlink w:anchor="item_1_financial_statements" w:history="1">
              <w:r>
                <w:rPr>
                  <w:rStyle w:val="a4"/>
                  <w:sz w:val="20"/>
                  <w:szCs w:val="20"/>
                </w:rPr>
                <w:t>Financial Statement</w:t>
              </w:r>
              <w:r>
                <w:rPr>
                  <w:rStyle w:val="a4"/>
                  <w:sz w:val="20"/>
                  <w:szCs w:val="20"/>
                </w:rPr>
                <w:t>s</w:t>
              </w:r>
            </w:hyperlink>
          </w:p>
        </w:tc>
        <w:tc>
          <w:tcPr>
            <w:tcW w:w="0" w:type="auto"/>
            <w:tcMar>
              <w:top w:w="14" w:type="dxa"/>
              <w:left w:w="15" w:type="dxa"/>
              <w:bottom w:w="15" w:type="dxa"/>
              <w:right w:w="14" w:type="dxa"/>
            </w:tcMar>
            <w:vAlign w:val="bottom"/>
            <w:hideMark/>
          </w:tcPr>
          <w:p w:rsidR="00000000" w:rsidRDefault="00A32496">
            <w:pPr>
              <w:pStyle w:val="a3"/>
              <w:spacing w:before="0" w:beforeAutospacing="0" w:after="0" w:afterAutospacing="0"/>
              <w:jc w:val="right"/>
              <w:rPr>
                <w:sz w:val="20"/>
                <w:szCs w:val="20"/>
              </w:rPr>
            </w:pPr>
            <w:r>
              <w:rPr>
                <w:sz w:val="20"/>
                <w:szCs w:val="20"/>
              </w:rPr>
              <w:t>1</w:t>
            </w:r>
          </w:p>
        </w:tc>
      </w:tr>
      <w:tr w:rsidR="00000000">
        <w:trPr>
          <w:trHeight w:val="144"/>
          <w:tblCellSpacing w:w="15" w:type="dxa"/>
        </w:trPr>
        <w:tc>
          <w:tcPr>
            <w:tcW w:w="0" w:type="auto"/>
            <w:tcMar>
              <w:top w:w="14" w:type="dxa"/>
              <w:left w:w="15" w:type="dxa"/>
              <w:bottom w:w="15" w:type="dxa"/>
              <w:right w:w="14" w:type="dxa"/>
            </w:tcMar>
            <w:vAlign w:val="center"/>
            <w:hideMark/>
          </w:tcPr>
          <w:p w:rsidR="00000000" w:rsidRDefault="00A32496">
            <w:pPr>
              <w:pStyle w:val="a3"/>
              <w:spacing w:before="0" w:beforeAutospacing="0" w:after="0" w:afterAutospacing="0"/>
              <w:ind w:left="137"/>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A32496">
            <w:pPr>
              <w:pStyle w:val="a3"/>
              <w:spacing w:before="0" w:beforeAutospacing="0" w:after="0" w:afterAutospacing="0"/>
              <w:rPr>
                <w:sz w:val="20"/>
                <w:szCs w:val="20"/>
              </w:rPr>
            </w:pPr>
            <w:hyperlink w:anchor="unaudited_condensed_consolidated_bs" w:history="1">
              <w:r>
                <w:rPr>
                  <w:rStyle w:val="a4"/>
                  <w:sz w:val="20"/>
                  <w:szCs w:val="20"/>
                </w:rPr>
                <w:t>Unaudited Condensed Consolidated Statements of Financial Positio</w:t>
              </w:r>
              <w:r>
                <w:rPr>
                  <w:rStyle w:val="a4"/>
                  <w:sz w:val="20"/>
                  <w:szCs w:val="20"/>
                </w:rPr>
                <w:t>n</w:t>
              </w:r>
            </w:hyperlink>
          </w:p>
        </w:tc>
        <w:tc>
          <w:tcPr>
            <w:tcW w:w="0" w:type="auto"/>
            <w:tcMar>
              <w:top w:w="14" w:type="dxa"/>
              <w:left w:w="15" w:type="dxa"/>
              <w:bottom w:w="15" w:type="dxa"/>
              <w:right w:w="14" w:type="dxa"/>
            </w:tcMar>
            <w:vAlign w:val="bottom"/>
            <w:hideMark/>
          </w:tcPr>
          <w:p w:rsidR="00000000" w:rsidRDefault="00A32496">
            <w:pPr>
              <w:pStyle w:val="a3"/>
              <w:spacing w:before="0" w:beforeAutospacing="0" w:after="0" w:afterAutospacing="0"/>
              <w:jc w:val="right"/>
              <w:rPr>
                <w:sz w:val="20"/>
                <w:szCs w:val="20"/>
              </w:rPr>
            </w:pPr>
            <w:r>
              <w:rPr>
                <w:sz w:val="20"/>
                <w:szCs w:val="20"/>
              </w:rPr>
              <w:t>1</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A32496">
            <w:pPr>
              <w:pStyle w:val="a3"/>
              <w:spacing w:before="0" w:beforeAutospacing="0" w:after="0" w:afterAutospacing="0"/>
              <w:ind w:left="137"/>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A32496">
            <w:pPr>
              <w:pStyle w:val="a3"/>
              <w:spacing w:before="0" w:beforeAutospacing="0" w:after="0" w:afterAutospacing="0"/>
              <w:rPr>
                <w:sz w:val="20"/>
                <w:szCs w:val="20"/>
              </w:rPr>
            </w:pPr>
            <w:hyperlink w:anchor="unaudited_condensed_consolidated_state" w:history="1">
              <w:r>
                <w:rPr>
                  <w:rStyle w:val="a4"/>
                  <w:sz w:val="20"/>
                  <w:szCs w:val="20"/>
                </w:rPr>
                <w:t>Unaudited Condensed Consolidated Statements of Operations and Comprehensive Los</w:t>
              </w:r>
              <w:r>
                <w:rPr>
                  <w:rStyle w:val="a4"/>
                  <w:sz w:val="20"/>
                  <w:szCs w:val="20"/>
                </w:rPr>
                <w:t>s</w:t>
              </w:r>
              <w:r>
                <w:rPr>
                  <w:rStyle w:val="a4"/>
                  <w:sz w:val="20"/>
                  <w:szCs w:val="20"/>
                </w:rPr>
                <w:t xml:space="preserve"> </w:t>
              </w:r>
            </w:hyperlink>
          </w:p>
        </w:tc>
        <w:tc>
          <w:tcPr>
            <w:tcW w:w="0" w:type="auto"/>
            <w:tcMar>
              <w:top w:w="14" w:type="dxa"/>
              <w:left w:w="15" w:type="dxa"/>
              <w:bottom w:w="15" w:type="dxa"/>
              <w:right w:w="14" w:type="dxa"/>
            </w:tcMar>
            <w:vAlign w:val="bottom"/>
            <w:hideMark/>
          </w:tcPr>
          <w:p w:rsidR="00000000" w:rsidRDefault="00A32496">
            <w:pPr>
              <w:pStyle w:val="a3"/>
              <w:spacing w:before="0" w:beforeAutospacing="0" w:after="0" w:afterAutospacing="0"/>
              <w:jc w:val="right"/>
              <w:rPr>
                <w:sz w:val="20"/>
                <w:szCs w:val="20"/>
              </w:rPr>
            </w:pPr>
            <w:r>
              <w:rPr>
                <w:sz w:val="20"/>
                <w:szCs w:val="20"/>
              </w:rPr>
              <w:t>2</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A32496">
            <w:pPr>
              <w:pStyle w:val="a3"/>
              <w:spacing w:before="0" w:beforeAutospacing="0" w:after="0" w:afterAutospacing="0"/>
              <w:ind w:left="137"/>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A32496">
            <w:pPr>
              <w:pStyle w:val="a3"/>
              <w:spacing w:before="0" w:beforeAutospacing="0" w:after="0" w:afterAutospacing="0"/>
              <w:rPr>
                <w:sz w:val="20"/>
                <w:szCs w:val="20"/>
              </w:rPr>
            </w:pPr>
            <w:hyperlink w:anchor="redeemable_series_a1_preferred_stock" w:history="1">
              <w:r>
                <w:rPr>
                  <w:rStyle w:val="a4"/>
                  <w:sz w:val="20"/>
                  <w:szCs w:val="20"/>
                </w:rPr>
                <w:t>Unaudited Condensed Consolidated Statements of Convertible and Redeemable Series A-2 Preferred Stock and Stock</w:t>
              </w:r>
              <w:r>
                <w:rPr>
                  <w:rStyle w:val="a4"/>
                  <w:sz w:val="20"/>
                  <w:szCs w:val="20"/>
                </w:rPr>
                <w:t>holders’ Equit</w:t>
              </w:r>
              <w:r>
                <w:rPr>
                  <w:rStyle w:val="a4"/>
                  <w:sz w:val="20"/>
                  <w:szCs w:val="20"/>
                </w:rPr>
                <w:t>y</w:t>
              </w:r>
              <w:r>
                <w:rPr>
                  <w:rStyle w:val="a4"/>
                  <w:sz w:val="20"/>
                  <w:szCs w:val="20"/>
                </w:rPr>
                <w:t xml:space="preserve"> </w:t>
              </w:r>
            </w:hyperlink>
          </w:p>
        </w:tc>
        <w:tc>
          <w:tcPr>
            <w:tcW w:w="0" w:type="auto"/>
            <w:tcMar>
              <w:top w:w="14" w:type="dxa"/>
              <w:left w:w="15" w:type="dxa"/>
              <w:bottom w:w="15" w:type="dxa"/>
              <w:right w:w="14" w:type="dxa"/>
            </w:tcMar>
            <w:vAlign w:val="bottom"/>
            <w:hideMark/>
          </w:tcPr>
          <w:p w:rsidR="00000000" w:rsidRDefault="00A32496">
            <w:pPr>
              <w:pStyle w:val="a3"/>
              <w:spacing w:before="0" w:beforeAutospacing="0" w:after="0" w:afterAutospacing="0"/>
              <w:jc w:val="right"/>
              <w:rPr>
                <w:sz w:val="20"/>
                <w:szCs w:val="20"/>
              </w:rPr>
            </w:pPr>
            <w:r>
              <w:rPr>
                <w:sz w:val="20"/>
                <w:szCs w:val="20"/>
              </w:rPr>
              <w:t>3</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A32496">
            <w:pPr>
              <w:pStyle w:val="a3"/>
              <w:spacing w:before="0" w:beforeAutospacing="0" w:after="0" w:afterAutospacing="0"/>
              <w:ind w:left="137"/>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A32496">
            <w:pPr>
              <w:pStyle w:val="a3"/>
              <w:spacing w:before="0" w:beforeAutospacing="0" w:after="0" w:afterAutospacing="0"/>
              <w:rPr>
                <w:sz w:val="20"/>
                <w:szCs w:val="20"/>
              </w:rPr>
            </w:pPr>
            <w:hyperlink w:anchor="cf_2" w:history="1">
              <w:r>
                <w:rPr>
                  <w:rStyle w:val="a4"/>
                  <w:sz w:val="20"/>
                  <w:szCs w:val="20"/>
                </w:rPr>
                <w:t>Unaudited Condensed Consolidated Statements of Cash Flow</w:t>
              </w:r>
              <w:r>
                <w:rPr>
                  <w:rStyle w:val="a4"/>
                  <w:sz w:val="20"/>
                  <w:szCs w:val="20"/>
                </w:rPr>
                <w:t>s</w:t>
              </w:r>
            </w:hyperlink>
          </w:p>
        </w:tc>
        <w:tc>
          <w:tcPr>
            <w:tcW w:w="0" w:type="auto"/>
            <w:tcMar>
              <w:top w:w="14" w:type="dxa"/>
              <w:left w:w="15" w:type="dxa"/>
              <w:bottom w:w="15" w:type="dxa"/>
              <w:right w:w="14" w:type="dxa"/>
            </w:tcMar>
            <w:vAlign w:val="bottom"/>
            <w:hideMark/>
          </w:tcPr>
          <w:p w:rsidR="00000000" w:rsidRDefault="00A32496">
            <w:pPr>
              <w:pStyle w:val="a3"/>
              <w:spacing w:before="0" w:beforeAutospacing="0" w:after="0" w:afterAutospacing="0"/>
              <w:jc w:val="right"/>
              <w:rPr>
                <w:sz w:val="20"/>
                <w:szCs w:val="20"/>
              </w:rPr>
            </w:pPr>
            <w:r>
              <w:rPr>
                <w:sz w:val="20"/>
                <w:szCs w:val="20"/>
              </w:rPr>
              <w:t>4</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A32496">
            <w:pPr>
              <w:pStyle w:val="a3"/>
              <w:spacing w:before="0" w:beforeAutospacing="0" w:after="0" w:afterAutospacing="0"/>
              <w:ind w:left="137"/>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A32496">
            <w:pPr>
              <w:pStyle w:val="a3"/>
              <w:spacing w:before="0" w:beforeAutospacing="0" w:after="0" w:afterAutospacing="0"/>
              <w:rPr>
                <w:sz w:val="20"/>
                <w:szCs w:val="20"/>
              </w:rPr>
            </w:pPr>
            <w:hyperlink w:anchor="notes_to_unaudited_condensed_consolidat" w:history="1">
              <w:r>
                <w:rPr>
                  <w:rStyle w:val="a4"/>
                  <w:sz w:val="20"/>
                  <w:szCs w:val="20"/>
                </w:rPr>
                <w:t>Notes to Unaudited Condensed Consolidated Financial Statement</w:t>
              </w:r>
              <w:r>
                <w:rPr>
                  <w:rStyle w:val="a4"/>
                  <w:sz w:val="20"/>
                  <w:szCs w:val="20"/>
                </w:rPr>
                <w:t>s</w:t>
              </w:r>
            </w:hyperlink>
          </w:p>
        </w:tc>
        <w:tc>
          <w:tcPr>
            <w:tcW w:w="0" w:type="auto"/>
            <w:tcMar>
              <w:top w:w="14" w:type="dxa"/>
              <w:left w:w="15" w:type="dxa"/>
              <w:bottom w:w="15" w:type="dxa"/>
              <w:right w:w="14" w:type="dxa"/>
            </w:tcMar>
            <w:vAlign w:val="bottom"/>
            <w:hideMark/>
          </w:tcPr>
          <w:p w:rsidR="00000000" w:rsidRDefault="00A32496">
            <w:pPr>
              <w:pStyle w:val="a3"/>
              <w:spacing w:before="0" w:beforeAutospacing="0" w:after="0" w:afterAutospacing="0"/>
              <w:jc w:val="right"/>
              <w:rPr>
                <w:sz w:val="20"/>
                <w:szCs w:val="20"/>
              </w:rPr>
            </w:pPr>
            <w:r>
              <w:rPr>
                <w:sz w:val="20"/>
                <w:szCs w:val="20"/>
              </w:rPr>
              <w:t>5</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A32496">
            <w:pPr>
              <w:pStyle w:val="a3"/>
              <w:spacing w:before="0" w:beforeAutospacing="0" w:after="0" w:afterAutospacing="0"/>
              <w:rPr>
                <w:sz w:val="20"/>
                <w:szCs w:val="20"/>
              </w:rPr>
            </w:pPr>
            <w:r>
              <w:rPr>
                <w:sz w:val="20"/>
                <w:szCs w:val="20"/>
              </w:rPr>
              <w:t>Item 2</w:t>
            </w:r>
            <w:r>
              <w:rPr>
                <w:sz w:val="20"/>
                <w:szCs w:val="20"/>
              </w:rPr>
              <w:t>.</w:t>
            </w:r>
          </w:p>
        </w:tc>
        <w:tc>
          <w:tcPr>
            <w:tcW w:w="0" w:type="auto"/>
            <w:tcMar>
              <w:top w:w="14" w:type="dxa"/>
              <w:left w:w="15" w:type="dxa"/>
              <w:bottom w:w="15" w:type="dxa"/>
              <w:right w:w="14" w:type="dxa"/>
            </w:tcMar>
            <w:vAlign w:val="center"/>
            <w:hideMark/>
          </w:tcPr>
          <w:p w:rsidR="00000000" w:rsidRDefault="00A32496">
            <w:pPr>
              <w:pStyle w:val="a3"/>
              <w:spacing w:before="0" w:beforeAutospacing="0" w:after="0" w:afterAutospacing="0"/>
              <w:rPr>
                <w:sz w:val="20"/>
                <w:szCs w:val="20"/>
              </w:rPr>
            </w:pPr>
            <w:hyperlink w:anchor="item_2_managements_discussion_analysis_" w:history="1">
              <w:r>
                <w:rPr>
                  <w:rStyle w:val="a4"/>
                  <w:sz w:val="20"/>
                  <w:szCs w:val="20"/>
                </w:rPr>
                <w:t>Management’s Discussion and Analysis of Financial Condition and Results of Operation</w:t>
              </w:r>
              <w:r>
                <w:rPr>
                  <w:rStyle w:val="a4"/>
                  <w:sz w:val="20"/>
                  <w:szCs w:val="20"/>
                </w:rPr>
                <w:t>s</w:t>
              </w:r>
            </w:hyperlink>
          </w:p>
        </w:tc>
        <w:tc>
          <w:tcPr>
            <w:tcW w:w="0" w:type="auto"/>
            <w:tcMar>
              <w:top w:w="14" w:type="dxa"/>
              <w:left w:w="15" w:type="dxa"/>
              <w:bottom w:w="15" w:type="dxa"/>
              <w:right w:w="14" w:type="dxa"/>
            </w:tcMar>
            <w:vAlign w:val="bottom"/>
            <w:hideMark/>
          </w:tcPr>
          <w:p w:rsidR="00000000" w:rsidRDefault="00A32496">
            <w:pPr>
              <w:pStyle w:val="a3"/>
              <w:spacing w:before="0" w:beforeAutospacing="0" w:after="0" w:afterAutospacing="0"/>
              <w:jc w:val="right"/>
              <w:rPr>
                <w:sz w:val="20"/>
                <w:szCs w:val="20"/>
              </w:rPr>
            </w:pPr>
            <w:r>
              <w:rPr>
                <w:sz w:val="20"/>
                <w:szCs w:val="20"/>
              </w:rPr>
              <w:t>3</w:t>
            </w:r>
            <w:r>
              <w:rPr>
                <w:sz w:val="20"/>
                <w:szCs w:val="20"/>
              </w:rPr>
              <w:t>3</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A32496">
            <w:pPr>
              <w:pStyle w:val="a3"/>
              <w:spacing w:before="0" w:beforeAutospacing="0" w:after="0" w:afterAutospacing="0"/>
              <w:rPr>
                <w:sz w:val="20"/>
                <w:szCs w:val="20"/>
              </w:rPr>
            </w:pPr>
            <w:r>
              <w:rPr>
                <w:sz w:val="20"/>
                <w:szCs w:val="20"/>
              </w:rPr>
              <w:t>Item 3</w:t>
            </w:r>
            <w:r>
              <w:rPr>
                <w:sz w:val="20"/>
                <w:szCs w:val="20"/>
              </w:rPr>
              <w:t>.</w:t>
            </w:r>
          </w:p>
        </w:tc>
        <w:tc>
          <w:tcPr>
            <w:tcW w:w="0" w:type="auto"/>
            <w:tcMar>
              <w:top w:w="14" w:type="dxa"/>
              <w:left w:w="15" w:type="dxa"/>
              <w:bottom w:w="15" w:type="dxa"/>
              <w:right w:w="14" w:type="dxa"/>
            </w:tcMar>
            <w:vAlign w:val="center"/>
            <w:hideMark/>
          </w:tcPr>
          <w:p w:rsidR="00000000" w:rsidRDefault="00A32496">
            <w:pPr>
              <w:pStyle w:val="a3"/>
              <w:spacing w:before="0" w:beforeAutospacing="0" w:after="0" w:afterAutospacing="0"/>
              <w:rPr>
                <w:sz w:val="20"/>
                <w:szCs w:val="20"/>
              </w:rPr>
            </w:pPr>
            <w:hyperlink w:anchor="item_3_quantitative_qualitative_disclos" w:history="1">
              <w:r>
                <w:rPr>
                  <w:rStyle w:val="a4"/>
                  <w:sz w:val="20"/>
                  <w:szCs w:val="20"/>
                </w:rPr>
                <w:t>Quantitative and Qualitative Disclosures About Market Ris</w:t>
              </w:r>
              <w:r>
                <w:rPr>
                  <w:rStyle w:val="a4"/>
                  <w:sz w:val="20"/>
                  <w:szCs w:val="20"/>
                </w:rPr>
                <w:t>k</w:t>
              </w:r>
            </w:hyperlink>
          </w:p>
        </w:tc>
        <w:tc>
          <w:tcPr>
            <w:tcW w:w="0" w:type="auto"/>
            <w:tcMar>
              <w:top w:w="14" w:type="dxa"/>
              <w:left w:w="15" w:type="dxa"/>
              <w:bottom w:w="15" w:type="dxa"/>
              <w:right w:w="14" w:type="dxa"/>
            </w:tcMar>
            <w:vAlign w:val="bottom"/>
            <w:hideMark/>
          </w:tcPr>
          <w:p w:rsidR="00000000" w:rsidRDefault="00A32496">
            <w:pPr>
              <w:pStyle w:val="a3"/>
              <w:spacing w:before="0" w:beforeAutospacing="0" w:after="0" w:afterAutospacing="0"/>
              <w:jc w:val="right"/>
              <w:rPr>
                <w:sz w:val="20"/>
                <w:szCs w:val="20"/>
              </w:rPr>
            </w:pPr>
            <w:r>
              <w:rPr>
                <w:sz w:val="20"/>
                <w:szCs w:val="20"/>
              </w:rPr>
              <w:t>4</w:t>
            </w:r>
            <w:r>
              <w:rPr>
                <w:sz w:val="20"/>
                <w:szCs w:val="20"/>
              </w:rPr>
              <w:t>7</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A32496">
            <w:pPr>
              <w:pStyle w:val="a3"/>
              <w:spacing w:before="0" w:beforeAutospacing="0" w:after="0" w:afterAutospacing="0"/>
              <w:rPr>
                <w:sz w:val="20"/>
                <w:szCs w:val="20"/>
              </w:rPr>
            </w:pPr>
            <w:r>
              <w:rPr>
                <w:sz w:val="20"/>
                <w:szCs w:val="20"/>
              </w:rPr>
              <w:t>Item 4</w:t>
            </w:r>
            <w:r>
              <w:rPr>
                <w:sz w:val="20"/>
                <w:szCs w:val="20"/>
              </w:rPr>
              <w:t>.</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20"/>
                <w:szCs w:val="20"/>
              </w:rPr>
            </w:pPr>
            <w:hyperlink w:anchor="item_4_controls_procedures" w:history="1">
              <w:r>
                <w:rPr>
                  <w:rStyle w:val="a4"/>
                  <w:sz w:val="20"/>
                  <w:szCs w:val="20"/>
                </w:rPr>
                <w:t>Controls and Procedure</w:t>
              </w:r>
              <w:r>
                <w:rPr>
                  <w:rStyle w:val="a4"/>
                  <w:sz w:val="20"/>
                  <w:szCs w:val="20"/>
                </w:rPr>
                <w:t>s</w:t>
              </w:r>
            </w:hyperlink>
          </w:p>
        </w:tc>
        <w:tc>
          <w:tcPr>
            <w:tcW w:w="0" w:type="auto"/>
            <w:tcMar>
              <w:top w:w="14" w:type="dxa"/>
              <w:left w:w="15" w:type="dxa"/>
              <w:bottom w:w="15" w:type="dxa"/>
              <w:right w:w="14" w:type="dxa"/>
            </w:tcMar>
            <w:vAlign w:val="bottom"/>
            <w:hideMark/>
          </w:tcPr>
          <w:p w:rsidR="00000000" w:rsidRDefault="00A32496">
            <w:pPr>
              <w:pStyle w:val="a3"/>
              <w:spacing w:before="0" w:beforeAutospacing="0" w:after="0" w:afterAutospacing="0"/>
              <w:jc w:val="right"/>
              <w:rPr>
                <w:sz w:val="20"/>
                <w:szCs w:val="20"/>
              </w:rPr>
            </w:pPr>
            <w:r>
              <w:rPr>
                <w:sz w:val="20"/>
                <w:szCs w:val="20"/>
              </w:rPr>
              <w:t>4</w:t>
            </w:r>
            <w:r>
              <w:rPr>
                <w:sz w:val="20"/>
                <w:szCs w:val="20"/>
              </w:rPr>
              <w:t>7</w:t>
            </w:r>
          </w:p>
        </w:tc>
      </w:tr>
      <w:tr w:rsidR="00000000">
        <w:trPr>
          <w:tblCellSpacing w:w="15" w:type="dxa"/>
        </w:trPr>
        <w:tc>
          <w:tcPr>
            <w:tcW w:w="0" w:type="auto"/>
            <w:tcMar>
              <w:top w:w="14" w:type="dxa"/>
              <w:left w:w="15" w:type="dxa"/>
              <w:bottom w:w="15" w:type="dxa"/>
              <w:right w:w="14" w:type="dxa"/>
            </w:tcMar>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A32496">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A32496">
            <w:pPr>
              <w:pStyle w:val="a3"/>
              <w:spacing w:before="0" w:beforeAutospacing="0" w:after="0" w:afterAutospacing="0"/>
              <w:rPr>
                <w:sz w:val="20"/>
                <w:szCs w:val="20"/>
              </w:rPr>
            </w:pPr>
            <w:r>
              <w:rPr>
                <w:b/>
                <w:bCs/>
                <w:sz w:val="20"/>
                <w:szCs w:val="20"/>
              </w:rPr>
              <w:t>PART II</w:t>
            </w:r>
            <w:r>
              <w:rPr>
                <w:b/>
                <w:bCs/>
                <w:sz w:val="20"/>
                <w:szCs w:val="20"/>
              </w:rPr>
              <w:t>.</w:t>
            </w:r>
          </w:p>
        </w:tc>
        <w:tc>
          <w:tcPr>
            <w:tcW w:w="0" w:type="auto"/>
            <w:tcMar>
              <w:top w:w="14" w:type="dxa"/>
              <w:left w:w="15" w:type="dxa"/>
              <w:bottom w:w="15" w:type="dxa"/>
              <w:right w:w="14" w:type="dxa"/>
            </w:tcMar>
            <w:vAlign w:val="center"/>
            <w:hideMark/>
          </w:tcPr>
          <w:p w:rsidR="00000000" w:rsidRDefault="00A32496">
            <w:pPr>
              <w:pStyle w:val="a3"/>
              <w:spacing w:before="0" w:beforeAutospacing="0" w:after="0" w:afterAutospacing="0"/>
              <w:rPr>
                <w:sz w:val="20"/>
                <w:szCs w:val="20"/>
              </w:rPr>
            </w:pPr>
            <w:hyperlink w:anchor="part_iior_information" w:history="1">
              <w:r>
                <w:rPr>
                  <w:rStyle w:val="a4"/>
                  <w:sz w:val="20"/>
                  <w:szCs w:val="20"/>
                </w:rPr>
                <w:t>OTHER IN</w:t>
              </w:r>
              <w:r>
                <w:rPr>
                  <w:rStyle w:val="a4"/>
                  <w:sz w:val="20"/>
                  <w:szCs w:val="20"/>
                </w:rPr>
                <w:t>FORMATIO</w:t>
              </w:r>
              <w:r>
                <w:rPr>
                  <w:rStyle w:val="a4"/>
                  <w:sz w:val="20"/>
                  <w:szCs w:val="20"/>
                </w:rPr>
                <w:t>N</w:t>
              </w:r>
            </w:hyperlink>
          </w:p>
        </w:tc>
        <w:tc>
          <w:tcPr>
            <w:tcW w:w="0" w:type="auto"/>
            <w:tcMar>
              <w:top w:w="14" w:type="dxa"/>
              <w:left w:w="15" w:type="dxa"/>
              <w:bottom w:w="15" w:type="dxa"/>
              <w:right w:w="14" w:type="dxa"/>
            </w:tcMar>
            <w:vAlign w:val="bottom"/>
            <w:hideMark/>
          </w:tcPr>
          <w:p w:rsidR="00000000" w:rsidRDefault="00A32496">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A32496">
            <w:pPr>
              <w:pStyle w:val="a3"/>
              <w:spacing w:before="0" w:beforeAutospacing="0" w:after="0" w:afterAutospacing="0"/>
              <w:rPr>
                <w:sz w:val="20"/>
                <w:szCs w:val="20"/>
              </w:rPr>
            </w:pPr>
            <w:r>
              <w:rPr>
                <w:sz w:val="20"/>
                <w:szCs w:val="20"/>
              </w:rPr>
              <w:t>Item 1</w:t>
            </w:r>
            <w:r>
              <w:rPr>
                <w:sz w:val="20"/>
                <w:szCs w:val="20"/>
              </w:rPr>
              <w:t>.</w:t>
            </w:r>
          </w:p>
        </w:tc>
        <w:tc>
          <w:tcPr>
            <w:tcW w:w="0" w:type="auto"/>
            <w:tcMar>
              <w:top w:w="14" w:type="dxa"/>
              <w:left w:w="15" w:type="dxa"/>
              <w:bottom w:w="15" w:type="dxa"/>
              <w:right w:w="14" w:type="dxa"/>
            </w:tcMar>
            <w:vAlign w:val="center"/>
            <w:hideMark/>
          </w:tcPr>
          <w:p w:rsidR="00000000" w:rsidRDefault="00A32496">
            <w:pPr>
              <w:pStyle w:val="a3"/>
              <w:spacing w:before="0" w:beforeAutospacing="0" w:after="0" w:afterAutospacing="0"/>
              <w:rPr>
                <w:sz w:val="20"/>
                <w:szCs w:val="20"/>
              </w:rPr>
            </w:pPr>
            <w:hyperlink w:anchor="item_1_legal_proceedings" w:history="1">
              <w:r>
                <w:rPr>
                  <w:rStyle w:val="a4"/>
                  <w:sz w:val="20"/>
                  <w:szCs w:val="20"/>
                </w:rPr>
                <w:t>Legal Proceeding</w:t>
              </w:r>
              <w:r>
                <w:rPr>
                  <w:rStyle w:val="a4"/>
                  <w:sz w:val="20"/>
                  <w:szCs w:val="20"/>
                </w:rPr>
                <w:t>s</w:t>
              </w:r>
            </w:hyperlink>
          </w:p>
        </w:tc>
        <w:tc>
          <w:tcPr>
            <w:tcW w:w="0" w:type="auto"/>
            <w:tcMar>
              <w:top w:w="14" w:type="dxa"/>
              <w:left w:w="15" w:type="dxa"/>
              <w:bottom w:w="15" w:type="dxa"/>
              <w:right w:w="14" w:type="dxa"/>
            </w:tcMar>
            <w:vAlign w:val="bottom"/>
            <w:hideMark/>
          </w:tcPr>
          <w:p w:rsidR="00000000" w:rsidRDefault="00A32496">
            <w:pPr>
              <w:pStyle w:val="a3"/>
              <w:spacing w:before="0" w:beforeAutospacing="0" w:after="0" w:afterAutospacing="0"/>
              <w:jc w:val="right"/>
              <w:rPr>
                <w:sz w:val="20"/>
                <w:szCs w:val="20"/>
              </w:rPr>
            </w:pPr>
            <w:r>
              <w:rPr>
                <w:sz w:val="20"/>
                <w:szCs w:val="20"/>
              </w:rPr>
              <w:t>4</w:t>
            </w:r>
            <w:r>
              <w:rPr>
                <w:sz w:val="20"/>
                <w:szCs w:val="20"/>
              </w:rPr>
              <w:t>9</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A32496">
            <w:pPr>
              <w:pStyle w:val="a3"/>
              <w:spacing w:before="0" w:beforeAutospacing="0" w:after="0" w:afterAutospacing="0"/>
              <w:rPr>
                <w:sz w:val="20"/>
                <w:szCs w:val="20"/>
              </w:rPr>
            </w:pPr>
            <w:r>
              <w:rPr>
                <w:sz w:val="20"/>
                <w:szCs w:val="20"/>
              </w:rPr>
              <w:t>Item 1A</w:t>
            </w:r>
            <w:r>
              <w:rPr>
                <w:sz w:val="20"/>
                <w:szCs w:val="20"/>
              </w:rPr>
              <w:t>.</w:t>
            </w:r>
          </w:p>
        </w:tc>
        <w:tc>
          <w:tcPr>
            <w:tcW w:w="0" w:type="auto"/>
            <w:tcMar>
              <w:top w:w="14" w:type="dxa"/>
              <w:left w:w="15" w:type="dxa"/>
              <w:bottom w:w="15" w:type="dxa"/>
              <w:right w:w="14" w:type="dxa"/>
            </w:tcMar>
            <w:vAlign w:val="center"/>
            <w:hideMark/>
          </w:tcPr>
          <w:p w:rsidR="00000000" w:rsidRDefault="00A32496">
            <w:pPr>
              <w:pStyle w:val="a3"/>
              <w:spacing w:before="0" w:beforeAutospacing="0" w:after="0" w:afterAutospacing="0"/>
              <w:rPr>
                <w:sz w:val="20"/>
                <w:szCs w:val="20"/>
              </w:rPr>
            </w:pPr>
            <w:hyperlink w:anchor="item_1a_risk_factors" w:history="1">
              <w:r>
                <w:rPr>
                  <w:rStyle w:val="a4"/>
                  <w:sz w:val="20"/>
                  <w:szCs w:val="20"/>
                </w:rPr>
                <w:t>Risk Factor</w:t>
              </w:r>
              <w:r>
                <w:rPr>
                  <w:rStyle w:val="a4"/>
                  <w:sz w:val="20"/>
                  <w:szCs w:val="20"/>
                </w:rPr>
                <w:t>s</w:t>
              </w:r>
            </w:hyperlink>
          </w:p>
        </w:tc>
        <w:tc>
          <w:tcPr>
            <w:tcW w:w="0" w:type="auto"/>
            <w:tcMar>
              <w:top w:w="14" w:type="dxa"/>
              <w:left w:w="15" w:type="dxa"/>
              <w:bottom w:w="15" w:type="dxa"/>
              <w:right w:w="14" w:type="dxa"/>
            </w:tcMar>
            <w:vAlign w:val="bottom"/>
            <w:hideMark/>
          </w:tcPr>
          <w:p w:rsidR="00000000" w:rsidRDefault="00A32496">
            <w:pPr>
              <w:pStyle w:val="a3"/>
              <w:spacing w:before="0" w:beforeAutospacing="0" w:after="0" w:afterAutospacing="0"/>
              <w:jc w:val="right"/>
              <w:rPr>
                <w:sz w:val="20"/>
                <w:szCs w:val="20"/>
              </w:rPr>
            </w:pPr>
            <w:r>
              <w:rPr>
                <w:sz w:val="20"/>
                <w:szCs w:val="20"/>
              </w:rPr>
              <w:t>4</w:t>
            </w:r>
            <w:r>
              <w:rPr>
                <w:sz w:val="20"/>
                <w:szCs w:val="20"/>
              </w:rPr>
              <w:t>9</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A32496">
            <w:pPr>
              <w:pStyle w:val="a3"/>
              <w:spacing w:before="0" w:beforeAutospacing="0" w:after="0" w:afterAutospacing="0"/>
              <w:rPr>
                <w:sz w:val="20"/>
                <w:szCs w:val="20"/>
              </w:rPr>
            </w:pPr>
            <w:r>
              <w:rPr>
                <w:sz w:val="20"/>
                <w:szCs w:val="20"/>
              </w:rPr>
              <w:t>Item 2</w:t>
            </w:r>
            <w:r>
              <w:rPr>
                <w:sz w:val="20"/>
                <w:szCs w:val="20"/>
              </w:rPr>
              <w:t>.</w:t>
            </w:r>
          </w:p>
        </w:tc>
        <w:tc>
          <w:tcPr>
            <w:tcW w:w="0" w:type="auto"/>
            <w:tcMar>
              <w:top w:w="14" w:type="dxa"/>
              <w:left w:w="15" w:type="dxa"/>
              <w:bottom w:w="15" w:type="dxa"/>
              <w:right w:w="14" w:type="dxa"/>
            </w:tcMar>
            <w:vAlign w:val="center"/>
            <w:hideMark/>
          </w:tcPr>
          <w:p w:rsidR="00000000" w:rsidRDefault="00A32496">
            <w:pPr>
              <w:pStyle w:val="a3"/>
              <w:spacing w:before="0" w:beforeAutospacing="0" w:after="0" w:afterAutospacing="0"/>
              <w:rPr>
                <w:sz w:val="20"/>
                <w:szCs w:val="20"/>
              </w:rPr>
            </w:pPr>
            <w:hyperlink w:anchor="item_2_unregistered_sales_equity_securi" w:history="1">
              <w:r>
                <w:rPr>
                  <w:rStyle w:val="a4"/>
                  <w:sz w:val="20"/>
                  <w:szCs w:val="20"/>
                </w:rPr>
                <w:t>Unregistered Sales of Equity Securities and Use of Proceed</w:t>
              </w:r>
              <w:r>
                <w:rPr>
                  <w:rStyle w:val="a4"/>
                  <w:sz w:val="20"/>
                  <w:szCs w:val="20"/>
                </w:rPr>
                <w:t>s</w:t>
              </w:r>
            </w:hyperlink>
          </w:p>
        </w:tc>
        <w:tc>
          <w:tcPr>
            <w:tcW w:w="0" w:type="auto"/>
            <w:tcMar>
              <w:top w:w="14" w:type="dxa"/>
              <w:left w:w="15" w:type="dxa"/>
              <w:bottom w:w="15" w:type="dxa"/>
              <w:right w:w="14" w:type="dxa"/>
            </w:tcMar>
            <w:vAlign w:val="bottom"/>
            <w:hideMark/>
          </w:tcPr>
          <w:p w:rsidR="00000000" w:rsidRDefault="00A32496">
            <w:pPr>
              <w:pStyle w:val="a3"/>
              <w:spacing w:before="0" w:beforeAutospacing="0" w:after="0" w:afterAutospacing="0"/>
              <w:jc w:val="right"/>
              <w:rPr>
                <w:sz w:val="20"/>
                <w:szCs w:val="20"/>
              </w:rPr>
            </w:pPr>
            <w:r>
              <w:rPr>
                <w:sz w:val="20"/>
                <w:szCs w:val="20"/>
              </w:rPr>
              <w:t>4</w:t>
            </w:r>
            <w:r>
              <w:rPr>
                <w:sz w:val="20"/>
                <w:szCs w:val="20"/>
              </w:rPr>
              <w:t>9</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A32496">
            <w:pPr>
              <w:pStyle w:val="a3"/>
              <w:spacing w:before="0" w:beforeAutospacing="0" w:after="0" w:afterAutospacing="0"/>
              <w:rPr>
                <w:sz w:val="20"/>
                <w:szCs w:val="20"/>
              </w:rPr>
            </w:pPr>
            <w:r>
              <w:rPr>
                <w:sz w:val="20"/>
                <w:szCs w:val="20"/>
              </w:rPr>
              <w:t>Item 3</w:t>
            </w:r>
            <w:r>
              <w:rPr>
                <w:sz w:val="20"/>
                <w:szCs w:val="20"/>
              </w:rPr>
              <w:t>.</w:t>
            </w:r>
          </w:p>
        </w:tc>
        <w:tc>
          <w:tcPr>
            <w:tcW w:w="0" w:type="auto"/>
            <w:tcMar>
              <w:top w:w="14" w:type="dxa"/>
              <w:left w:w="15" w:type="dxa"/>
              <w:bottom w:w="15" w:type="dxa"/>
              <w:right w:w="14" w:type="dxa"/>
            </w:tcMar>
            <w:vAlign w:val="center"/>
            <w:hideMark/>
          </w:tcPr>
          <w:p w:rsidR="00000000" w:rsidRDefault="00A32496">
            <w:pPr>
              <w:pStyle w:val="a3"/>
              <w:spacing w:before="0" w:beforeAutospacing="0" w:after="0" w:afterAutospacing="0"/>
              <w:rPr>
                <w:sz w:val="20"/>
                <w:szCs w:val="20"/>
              </w:rPr>
            </w:pPr>
            <w:hyperlink w:anchor="item_3_defaults_upon_senior_securities" w:history="1">
              <w:r>
                <w:rPr>
                  <w:rStyle w:val="a4"/>
                  <w:sz w:val="20"/>
                  <w:szCs w:val="20"/>
                </w:rPr>
                <w:t>Defaults Upon Senior Securitie</w:t>
              </w:r>
              <w:r>
                <w:rPr>
                  <w:rStyle w:val="a4"/>
                  <w:sz w:val="20"/>
                  <w:szCs w:val="20"/>
                </w:rPr>
                <w:t>s</w:t>
              </w:r>
            </w:hyperlink>
          </w:p>
        </w:tc>
        <w:tc>
          <w:tcPr>
            <w:tcW w:w="0" w:type="auto"/>
            <w:tcMar>
              <w:top w:w="14" w:type="dxa"/>
              <w:left w:w="15" w:type="dxa"/>
              <w:bottom w:w="15" w:type="dxa"/>
              <w:right w:w="14" w:type="dxa"/>
            </w:tcMar>
            <w:vAlign w:val="bottom"/>
            <w:hideMark/>
          </w:tcPr>
          <w:p w:rsidR="00000000" w:rsidRDefault="00A32496">
            <w:pPr>
              <w:pStyle w:val="a3"/>
              <w:spacing w:before="0" w:beforeAutospacing="0" w:after="0" w:afterAutospacing="0"/>
              <w:jc w:val="right"/>
              <w:rPr>
                <w:sz w:val="20"/>
                <w:szCs w:val="20"/>
              </w:rPr>
            </w:pPr>
            <w:r>
              <w:rPr>
                <w:sz w:val="20"/>
                <w:szCs w:val="20"/>
              </w:rPr>
              <w:t>4</w:t>
            </w:r>
            <w:r>
              <w:rPr>
                <w:sz w:val="20"/>
                <w:szCs w:val="20"/>
              </w:rPr>
              <w:t>9</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A32496">
            <w:pPr>
              <w:pStyle w:val="a3"/>
              <w:spacing w:before="0" w:beforeAutospacing="0" w:after="0" w:afterAutospacing="0"/>
              <w:rPr>
                <w:sz w:val="20"/>
                <w:szCs w:val="20"/>
              </w:rPr>
            </w:pPr>
            <w:r>
              <w:rPr>
                <w:sz w:val="20"/>
                <w:szCs w:val="20"/>
              </w:rPr>
              <w:t>Item 4</w:t>
            </w:r>
            <w:r>
              <w:rPr>
                <w:sz w:val="20"/>
                <w:szCs w:val="20"/>
              </w:rPr>
              <w:t>.</w:t>
            </w:r>
          </w:p>
        </w:tc>
        <w:tc>
          <w:tcPr>
            <w:tcW w:w="0" w:type="auto"/>
            <w:tcMar>
              <w:top w:w="14" w:type="dxa"/>
              <w:left w:w="15" w:type="dxa"/>
              <w:bottom w:w="15" w:type="dxa"/>
              <w:right w:w="14" w:type="dxa"/>
            </w:tcMar>
            <w:vAlign w:val="center"/>
            <w:hideMark/>
          </w:tcPr>
          <w:p w:rsidR="00000000" w:rsidRDefault="00A32496">
            <w:pPr>
              <w:pStyle w:val="a3"/>
              <w:spacing w:before="0" w:beforeAutospacing="0" w:after="0" w:afterAutospacing="0"/>
              <w:rPr>
                <w:sz w:val="20"/>
                <w:szCs w:val="20"/>
              </w:rPr>
            </w:pPr>
            <w:hyperlink w:anchor="item_4_mine_safety_disclosures" w:history="1">
              <w:r>
                <w:rPr>
                  <w:rStyle w:val="a4"/>
                  <w:sz w:val="20"/>
                  <w:szCs w:val="20"/>
                </w:rPr>
                <w:t>Mine Safety Disclosure</w:t>
              </w:r>
              <w:r>
                <w:rPr>
                  <w:rStyle w:val="a4"/>
                  <w:sz w:val="20"/>
                  <w:szCs w:val="20"/>
                </w:rPr>
                <w:t>s</w:t>
              </w:r>
            </w:hyperlink>
          </w:p>
        </w:tc>
        <w:tc>
          <w:tcPr>
            <w:tcW w:w="0" w:type="auto"/>
            <w:tcMar>
              <w:top w:w="14" w:type="dxa"/>
              <w:left w:w="15" w:type="dxa"/>
              <w:bottom w:w="15" w:type="dxa"/>
              <w:right w:w="14" w:type="dxa"/>
            </w:tcMar>
            <w:vAlign w:val="bottom"/>
            <w:hideMark/>
          </w:tcPr>
          <w:p w:rsidR="00000000" w:rsidRDefault="00A32496">
            <w:pPr>
              <w:pStyle w:val="a3"/>
              <w:spacing w:before="0" w:beforeAutospacing="0" w:after="0" w:afterAutospacing="0"/>
              <w:jc w:val="right"/>
              <w:rPr>
                <w:sz w:val="20"/>
                <w:szCs w:val="20"/>
              </w:rPr>
            </w:pPr>
            <w:r>
              <w:rPr>
                <w:sz w:val="20"/>
                <w:szCs w:val="20"/>
              </w:rPr>
              <w:t>4</w:t>
            </w:r>
            <w:r>
              <w:rPr>
                <w:sz w:val="20"/>
                <w:szCs w:val="20"/>
              </w:rPr>
              <w:t>9</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A32496">
            <w:pPr>
              <w:pStyle w:val="a3"/>
              <w:spacing w:before="0" w:beforeAutospacing="0" w:after="0" w:afterAutospacing="0"/>
              <w:rPr>
                <w:sz w:val="20"/>
                <w:szCs w:val="20"/>
              </w:rPr>
            </w:pPr>
            <w:r>
              <w:rPr>
                <w:sz w:val="20"/>
                <w:szCs w:val="20"/>
              </w:rPr>
              <w:t>Item 5</w:t>
            </w:r>
            <w:r>
              <w:rPr>
                <w:sz w:val="20"/>
                <w:szCs w:val="20"/>
              </w:rPr>
              <w:t>.</w:t>
            </w:r>
          </w:p>
        </w:tc>
        <w:tc>
          <w:tcPr>
            <w:tcW w:w="0" w:type="auto"/>
            <w:tcMar>
              <w:top w:w="14" w:type="dxa"/>
              <w:left w:w="15" w:type="dxa"/>
              <w:bottom w:w="15" w:type="dxa"/>
              <w:right w:w="14" w:type="dxa"/>
            </w:tcMar>
            <w:vAlign w:val="center"/>
            <w:hideMark/>
          </w:tcPr>
          <w:p w:rsidR="00000000" w:rsidRDefault="00A32496">
            <w:pPr>
              <w:pStyle w:val="a3"/>
              <w:spacing w:before="0" w:beforeAutospacing="0" w:after="0" w:afterAutospacing="0"/>
              <w:rPr>
                <w:sz w:val="20"/>
                <w:szCs w:val="20"/>
              </w:rPr>
            </w:pPr>
            <w:hyperlink w:anchor="item_5_or_information" w:history="1">
              <w:r>
                <w:rPr>
                  <w:rStyle w:val="a4"/>
                  <w:sz w:val="20"/>
                  <w:szCs w:val="20"/>
                </w:rPr>
                <w:t>Other Informatio</w:t>
              </w:r>
              <w:r>
                <w:rPr>
                  <w:rStyle w:val="a4"/>
                  <w:sz w:val="20"/>
                  <w:szCs w:val="20"/>
                </w:rPr>
                <w:t>n</w:t>
              </w:r>
            </w:hyperlink>
          </w:p>
        </w:tc>
        <w:tc>
          <w:tcPr>
            <w:tcW w:w="0" w:type="auto"/>
            <w:tcMar>
              <w:top w:w="14" w:type="dxa"/>
              <w:left w:w="15" w:type="dxa"/>
              <w:bottom w:w="15" w:type="dxa"/>
              <w:right w:w="14" w:type="dxa"/>
            </w:tcMar>
            <w:vAlign w:val="bottom"/>
            <w:hideMark/>
          </w:tcPr>
          <w:p w:rsidR="00000000" w:rsidRDefault="00A32496">
            <w:pPr>
              <w:pStyle w:val="a3"/>
              <w:spacing w:before="0" w:beforeAutospacing="0" w:after="0" w:afterAutospacing="0"/>
              <w:jc w:val="right"/>
              <w:rPr>
                <w:sz w:val="20"/>
                <w:szCs w:val="20"/>
              </w:rPr>
            </w:pPr>
            <w:r>
              <w:rPr>
                <w:sz w:val="20"/>
                <w:szCs w:val="20"/>
              </w:rPr>
              <w:t>4</w:t>
            </w:r>
            <w:r>
              <w:rPr>
                <w:sz w:val="20"/>
                <w:szCs w:val="20"/>
              </w:rPr>
              <w:t>9</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A32496">
            <w:pPr>
              <w:pStyle w:val="a3"/>
              <w:spacing w:before="0" w:beforeAutospacing="0" w:after="0" w:afterAutospacing="0"/>
              <w:rPr>
                <w:sz w:val="20"/>
                <w:szCs w:val="20"/>
              </w:rPr>
            </w:pPr>
            <w:r>
              <w:rPr>
                <w:sz w:val="20"/>
                <w:szCs w:val="20"/>
              </w:rPr>
              <w:t>Item 6</w:t>
            </w:r>
            <w:r>
              <w:rPr>
                <w:sz w:val="20"/>
                <w:szCs w:val="20"/>
              </w:rPr>
              <w:t>.</w:t>
            </w:r>
          </w:p>
        </w:tc>
        <w:tc>
          <w:tcPr>
            <w:tcW w:w="0" w:type="auto"/>
            <w:tcMar>
              <w:top w:w="14" w:type="dxa"/>
              <w:left w:w="15" w:type="dxa"/>
              <w:bottom w:w="15" w:type="dxa"/>
              <w:right w:w="14" w:type="dxa"/>
            </w:tcMar>
            <w:vAlign w:val="center"/>
            <w:hideMark/>
          </w:tcPr>
          <w:p w:rsidR="00000000" w:rsidRDefault="00A32496">
            <w:pPr>
              <w:pStyle w:val="a3"/>
              <w:spacing w:before="0" w:beforeAutospacing="0" w:after="0" w:afterAutospacing="0"/>
              <w:rPr>
                <w:sz w:val="20"/>
                <w:szCs w:val="20"/>
              </w:rPr>
            </w:pPr>
            <w:hyperlink w:anchor="item_6_exhibits" w:history="1">
              <w:r>
                <w:rPr>
                  <w:rStyle w:val="a4"/>
                  <w:sz w:val="20"/>
                  <w:szCs w:val="20"/>
                </w:rPr>
                <w:t>Exhibit</w:t>
              </w:r>
              <w:r>
                <w:rPr>
                  <w:rStyle w:val="a4"/>
                  <w:sz w:val="20"/>
                  <w:szCs w:val="20"/>
                </w:rPr>
                <w:t>s</w:t>
              </w:r>
            </w:hyperlink>
          </w:p>
        </w:tc>
        <w:tc>
          <w:tcPr>
            <w:tcW w:w="0" w:type="auto"/>
            <w:tcMar>
              <w:top w:w="14" w:type="dxa"/>
              <w:left w:w="15" w:type="dxa"/>
              <w:bottom w:w="15" w:type="dxa"/>
              <w:right w:w="14" w:type="dxa"/>
            </w:tcMar>
            <w:vAlign w:val="bottom"/>
            <w:hideMark/>
          </w:tcPr>
          <w:p w:rsidR="00000000" w:rsidRDefault="00A32496">
            <w:pPr>
              <w:pStyle w:val="a3"/>
              <w:spacing w:before="0" w:beforeAutospacing="0" w:after="0" w:afterAutospacing="0"/>
              <w:jc w:val="right"/>
              <w:rPr>
                <w:sz w:val="20"/>
                <w:szCs w:val="20"/>
              </w:rPr>
            </w:pPr>
            <w:r>
              <w:rPr>
                <w:sz w:val="20"/>
                <w:szCs w:val="20"/>
              </w:rPr>
              <w:t>5</w:t>
            </w:r>
            <w:r>
              <w:rPr>
                <w:sz w:val="20"/>
                <w:szCs w:val="20"/>
              </w:rPr>
              <w:t>0</w:t>
            </w:r>
          </w:p>
        </w:tc>
      </w:tr>
      <w:tr w:rsidR="00000000">
        <w:trPr>
          <w:trHeight w:val="200"/>
          <w:tblCellSpacing w:w="15" w:type="dxa"/>
        </w:trPr>
        <w:tc>
          <w:tcPr>
            <w:tcW w:w="0" w:type="auto"/>
            <w:gridSpan w:val="2"/>
            <w:tcMar>
              <w:top w:w="14" w:type="dxa"/>
              <w:left w:w="15" w:type="dxa"/>
              <w:bottom w:w="15" w:type="dxa"/>
              <w:right w:w="14" w:type="dxa"/>
            </w:tcMar>
            <w:vAlign w:val="center"/>
            <w:hideMark/>
          </w:tcPr>
          <w:p w:rsidR="00000000" w:rsidRDefault="00A32496">
            <w:pPr>
              <w:pStyle w:val="a3"/>
              <w:spacing w:before="0" w:beforeAutospacing="0" w:after="0" w:afterAutospacing="0"/>
              <w:rPr>
                <w:sz w:val="20"/>
                <w:szCs w:val="20"/>
              </w:rPr>
            </w:pPr>
            <w:hyperlink w:anchor="signatures" w:history="1">
              <w:r>
                <w:rPr>
                  <w:rStyle w:val="a4"/>
                  <w:sz w:val="20"/>
                  <w:szCs w:val="20"/>
                </w:rPr>
                <w:t>Signature</w:t>
              </w:r>
              <w:r>
                <w:rPr>
                  <w:rStyle w:val="a4"/>
                  <w:sz w:val="20"/>
                  <w:szCs w:val="20"/>
                </w:rPr>
                <w:t>s</w:t>
              </w:r>
            </w:hyperlink>
          </w:p>
        </w:tc>
        <w:tc>
          <w:tcPr>
            <w:tcW w:w="0" w:type="auto"/>
            <w:tcMar>
              <w:top w:w="14" w:type="dxa"/>
              <w:left w:w="15" w:type="dxa"/>
              <w:bottom w:w="15" w:type="dxa"/>
              <w:right w:w="14" w:type="dxa"/>
            </w:tcMar>
            <w:vAlign w:val="bottom"/>
            <w:hideMark/>
          </w:tcPr>
          <w:p w:rsidR="00000000" w:rsidRDefault="00A32496">
            <w:pPr>
              <w:pStyle w:val="a3"/>
              <w:spacing w:before="0" w:beforeAutospacing="0" w:after="0" w:afterAutospacing="0"/>
              <w:jc w:val="right"/>
              <w:rPr>
                <w:sz w:val="20"/>
                <w:szCs w:val="20"/>
              </w:rPr>
            </w:pPr>
            <w:r>
              <w:rPr>
                <w:sz w:val="20"/>
                <w:szCs w:val="20"/>
              </w:rPr>
              <w:t>5</w:t>
            </w:r>
            <w:r>
              <w:rPr>
                <w:sz w:val="20"/>
                <w:szCs w:val="20"/>
              </w:rPr>
              <w:t>1</w:t>
            </w:r>
          </w:p>
        </w:tc>
      </w:tr>
    </w:tbl>
    <w:p w:rsidR="00000000" w:rsidRDefault="00A32496">
      <w:pPr>
        <w:pStyle w:val="a3"/>
        <w:spacing w:before="0" w:beforeAutospacing="0" w:after="0" w:afterAutospacing="0"/>
        <w:rPr>
          <w:sz w:val="20"/>
          <w:szCs w:val="20"/>
        </w:rPr>
      </w:pPr>
      <w:r>
        <w:rPr>
          <w:sz w:val="20"/>
          <w:szCs w:val="20"/>
        </w:rPr>
        <w:t> </w:t>
      </w:r>
    </w:p>
    <w:p w:rsidR="00000000" w:rsidRDefault="00A32496">
      <w:pPr>
        <w:pStyle w:val="a3"/>
        <w:spacing w:before="240" w:beforeAutospacing="0" w:after="0" w:afterAutospacing="0"/>
        <w:jc w:val="center"/>
        <w:rPr>
          <w:sz w:val="20"/>
          <w:szCs w:val="20"/>
        </w:rPr>
      </w:pPr>
      <w:r>
        <w:rPr>
          <w:sz w:val="20"/>
          <w:szCs w:val="20"/>
        </w:rPr>
        <w:t>i</w:t>
      </w:r>
    </w:p>
    <w:p w:rsidR="00000000" w:rsidRDefault="00A32496">
      <w:pPr>
        <w:rPr>
          <w:rFonts w:eastAsia="Times New Roman"/>
        </w:rPr>
      </w:pPr>
      <w:r>
        <w:rPr>
          <w:rFonts w:eastAsia="Times New Roman"/>
        </w:rPr>
        <w:pict>
          <v:rect id="_x0000_i1026" style="width:0;height:1.5pt" o:hralign="center" o:hrstd="t" o:hr="t" fillcolor="#a0a0a0" stroked="f"/>
        </w:pict>
      </w:r>
    </w:p>
    <w:p w:rsidR="00000000" w:rsidRDefault="00A32496">
      <w:pPr>
        <w:pStyle w:val="a3"/>
        <w:spacing w:before="0" w:beforeAutospacing="0" w:after="0" w:afterAutospacing="0"/>
        <w:rPr>
          <w:sz w:val="20"/>
          <w:szCs w:val="20"/>
        </w:rPr>
      </w:pPr>
      <w:r>
        <w:rPr>
          <w:sz w:val="20"/>
          <w:szCs w:val="20"/>
        </w:rPr>
        <w:t> </w:t>
      </w:r>
    </w:p>
    <w:p w:rsidR="00000000" w:rsidRDefault="00A32496">
      <w:pPr>
        <w:pStyle w:val="a3"/>
        <w:spacing w:before="0" w:beforeAutospacing="0" w:after="0" w:afterAutospacing="0"/>
        <w:jc w:val="center"/>
        <w:rPr>
          <w:sz w:val="20"/>
          <w:szCs w:val="20"/>
        </w:rPr>
      </w:pPr>
      <w:r>
        <w:rPr>
          <w:b/>
          <w:bCs/>
          <w:sz w:val="20"/>
          <w:szCs w:val="20"/>
        </w:rPr>
        <w:t>PART I—FINANC</w:t>
      </w:r>
      <w:r>
        <w:rPr>
          <w:b/>
          <w:bCs/>
          <w:sz w:val="20"/>
          <w:szCs w:val="20"/>
        </w:rPr>
        <w:t>I</w:t>
      </w:r>
      <w:r>
        <w:rPr>
          <w:b/>
          <w:bCs/>
          <w:sz w:val="20"/>
          <w:szCs w:val="20"/>
        </w:rPr>
        <w:t>AL INFORMATIO</w:t>
      </w:r>
      <w:r>
        <w:rPr>
          <w:b/>
          <w:bCs/>
          <w:sz w:val="20"/>
          <w:szCs w:val="20"/>
        </w:rPr>
        <w:t>N</w:t>
      </w:r>
    </w:p>
    <w:p w:rsidR="00000000" w:rsidRDefault="00A32496">
      <w:pPr>
        <w:pStyle w:val="a3"/>
        <w:spacing w:before="120" w:beforeAutospacing="0" w:after="0" w:afterAutospacing="0"/>
        <w:rPr>
          <w:sz w:val="20"/>
          <w:szCs w:val="20"/>
        </w:rPr>
      </w:pPr>
      <w:r>
        <w:rPr>
          <w:b/>
          <w:bCs/>
          <w:sz w:val="20"/>
          <w:szCs w:val="20"/>
        </w:rPr>
        <w:lastRenderedPageBreak/>
        <w:t>Item 1. Financ</w:t>
      </w:r>
      <w:r>
        <w:rPr>
          <w:b/>
          <w:bCs/>
          <w:sz w:val="20"/>
          <w:szCs w:val="20"/>
        </w:rPr>
        <w:t>i</w:t>
      </w:r>
      <w:r>
        <w:rPr>
          <w:b/>
          <w:bCs/>
          <w:sz w:val="20"/>
          <w:szCs w:val="20"/>
        </w:rPr>
        <w:t>al Statements</w:t>
      </w:r>
      <w:r>
        <w:rPr>
          <w:b/>
          <w:bCs/>
          <w:sz w:val="20"/>
          <w:szCs w:val="20"/>
        </w:rPr>
        <w:t>.</w:t>
      </w:r>
    </w:p>
    <w:p w:rsidR="00000000" w:rsidRDefault="00A32496">
      <w:pPr>
        <w:pStyle w:val="a3"/>
        <w:spacing w:before="120" w:beforeAutospacing="0" w:after="0" w:afterAutospacing="0"/>
        <w:jc w:val="center"/>
        <w:rPr>
          <w:sz w:val="20"/>
          <w:szCs w:val="20"/>
        </w:rPr>
      </w:pPr>
      <w:r>
        <w:rPr>
          <w:b/>
          <w:bCs/>
          <w:sz w:val="20"/>
          <w:szCs w:val="20"/>
        </w:rPr>
        <w:t>MONTROSE ENVIRONMENTAL GROUP, INC</w:t>
      </w:r>
      <w:r>
        <w:rPr>
          <w:b/>
          <w:bCs/>
          <w:sz w:val="20"/>
          <w:szCs w:val="20"/>
        </w:rPr>
        <w:t>.</w:t>
      </w:r>
      <w:r>
        <w:rPr>
          <w:b/>
          <w:bCs/>
          <w:sz w:val="20"/>
          <w:szCs w:val="20"/>
        </w:rPr>
        <w:t xml:space="preserve"> </w:t>
      </w:r>
    </w:p>
    <w:p w:rsidR="00000000" w:rsidRDefault="00A32496">
      <w:pPr>
        <w:pStyle w:val="a3"/>
        <w:spacing w:before="0" w:beforeAutospacing="0" w:after="0" w:afterAutospacing="0"/>
        <w:jc w:val="center"/>
        <w:rPr>
          <w:sz w:val="20"/>
          <w:szCs w:val="20"/>
        </w:rPr>
      </w:pPr>
      <w:r>
        <w:rPr>
          <w:b/>
          <w:bCs/>
          <w:sz w:val="20"/>
          <w:szCs w:val="20"/>
        </w:rPr>
        <w:t>UNAUDITED CONDENSED CONSOLIDATED</w:t>
      </w:r>
      <w:r>
        <w:rPr>
          <w:b/>
          <w:bCs/>
          <w:sz w:val="20"/>
          <w:szCs w:val="20"/>
        </w:rPr>
        <w:t xml:space="preserve"> </w:t>
      </w:r>
      <w:r>
        <w:rPr>
          <w:b/>
          <w:bCs/>
          <w:sz w:val="20"/>
          <w:szCs w:val="20"/>
        </w:rPr>
        <w:t>STATEMENTS OF FINANCIAL POSITIO</w:t>
      </w:r>
      <w:r>
        <w:rPr>
          <w:b/>
          <w:bCs/>
          <w:sz w:val="20"/>
          <w:szCs w:val="20"/>
        </w:rPr>
        <w:t>N</w:t>
      </w:r>
    </w:p>
    <w:p w:rsidR="00000000" w:rsidRDefault="00A32496">
      <w:pPr>
        <w:pStyle w:val="a3"/>
        <w:spacing w:before="0" w:beforeAutospacing="0" w:after="0" w:afterAutospacing="0"/>
        <w:jc w:val="center"/>
        <w:rPr>
          <w:sz w:val="20"/>
          <w:szCs w:val="20"/>
        </w:rPr>
      </w:pPr>
      <w:r>
        <w:rPr>
          <w:b/>
          <w:bCs/>
          <w:sz w:val="20"/>
          <w:szCs w:val="20"/>
        </w:rPr>
        <w:t>(In thousands, except share data</w:t>
      </w:r>
      <w:r>
        <w:rPr>
          <w:b/>
          <w:bCs/>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84"/>
        <w:gridCol w:w="138"/>
        <w:gridCol w:w="141"/>
        <w:gridCol w:w="1063"/>
        <w:gridCol w:w="114"/>
        <w:gridCol w:w="139"/>
        <w:gridCol w:w="140"/>
        <w:gridCol w:w="1058"/>
        <w:gridCol w:w="129"/>
      </w:tblGrid>
      <w:tr w:rsidR="00000000">
        <w:trPr>
          <w:tblCellSpacing w:w="15" w:type="dxa"/>
        </w:trPr>
        <w:tc>
          <w:tcPr>
            <w:tcW w:w="3342" w:type="pct"/>
            <w:vAlign w:val="center"/>
            <w:hideMark/>
          </w:tcPr>
          <w:p w:rsidR="00000000" w:rsidRDefault="00A32496">
            <w:pPr>
              <w:rPr>
                <w:sz w:val="20"/>
                <w:szCs w:val="20"/>
              </w:rPr>
            </w:pPr>
          </w:p>
        </w:tc>
        <w:tc>
          <w:tcPr>
            <w:tcW w:w="76"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654"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76"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650"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r>
      <w:tr w:rsidR="00000000">
        <w:trPr>
          <w:trHeight w:val="160"/>
          <w:tblCellSpacing w:w="15" w:type="dxa"/>
        </w:trPr>
        <w:tc>
          <w:tcPr>
            <w:tcW w:w="0" w:type="auto"/>
            <w:vAlign w:val="bottom"/>
            <w:hideMark/>
          </w:tcPr>
          <w:p w:rsidR="00000000" w:rsidRDefault="00A3249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2496">
            <w:pPr>
              <w:pStyle w:val="a3"/>
              <w:spacing w:before="0" w:beforeAutospacing="0" w:after="0" w:afterAutospacing="0"/>
              <w:jc w:val="center"/>
              <w:rPr>
                <w:sz w:val="16"/>
                <w:szCs w:val="16"/>
              </w:rPr>
            </w:pPr>
            <w:r>
              <w:rPr>
                <w:b/>
                <w:bCs/>
                <w:sz w:val="16"/>
                <w:szCs w:val="16"/>
              </w:rPr>
              <w:t>September 30</w:t>
            </w:r>
            <w:r>
              <w:rPr>
                <w:b/>
                <w:bCs/>
                <w:sz w:val="16"/>
                <w:szCs w:val="16"/>
              </w:rPr>
              <w:t>,</w:t>
            </w:r>
          </w:p>
        </w:tc>
        <w:tc>
          <w:tcPr>
            <w:tcW w:w="0" w:type="auto"/>
            <w:vAlign w:val="bottom"/>
            <w:hideMark/>
          </w:tcPr>
          <w:p w:rsidR="00000000" w:rsidRDefault="00A3249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2496">
            <w:pPr>
              <w:pStyle w:val="a3"/>
              <w:spacing w:before="0" w:beforeAutospacing="0" w:after="0" w:afterAutospacing="0"/>
              <w:jc w:val="center"/>
              <w:rPr>
                <w:sz w:val="16"/>
                <w:szCs w:val="16"/>
              </w:rPr>
            </w:pPr>
            <w:r>
              <w:rPr>
                <w:b/>
                <w:bCs/>
                <w:sz w:val="16"/>
                <w:szCs w:val="16"/>
              </w:rPr>
              <w:t>December 31</w:t>
            </w:r>
            <w:r>
              <w:rPr>
                <w:b/>
                <w:bCs/>
                <w:sz w:val="16"/>
                <w:szCs w:val="16"/>
              </w:rPr>
              <w:t>,</w:t>
            </w:r>
          </w:p>
        </w:tc>
        <w:tc>
          <w:tcPr>
            <w:tcW w:w="0" w:type="auto"/>
            <w:vAlign w:val="bottom"/>
            <w:hideMark/>
          </w:tcPr>
          <w:p w:rsidR="00000000" w:rsidRDefault="00A3249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3249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249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3249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249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3249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hideMark/>
          </w:tcPr>
          <w:p w:rsidR="00000000" w:rsidRDefault="00A32496">
            <w:pPr>
              <w:pStyle w:val="a3"/>
              <w:spacing w:before="0" w:beforeAutospacing="0" w:after="0" w:afterAutospacing="0"/>
              <w:rPr>
                <w:sz w:val="16"/>
                <w:szCs w:val="16"/>
              </w:rPr>
            </w:pPr>
            <w:r>
              <w:rPr>
                <w:b/>
                <w:bCs/>
                <w:sz w:val="16"/>
                <w:szCs w:val="16"/>
              </w:rPr>
              <w:t>ASSET</w:t>
            </w:r>
            <w:r>
              <w:rPr>
                <w:b/>
                <w:bCs/>
                <w:sz w:val="16"/>
                <w:szCs w:val="16"/>
              </w:rPr>
              <w:t>S</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249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249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hideMark/>
          </w:tcPr>
          <w:p w:rsidR="00000000" w:rsidRDefault="00A32496">
            <w:pPr>
              <w:pStyle w:val="a3"/>
              <w:spacing w:before="0" w:beforeAutospacing="0" w:after="0" w:afterAutospacing="0"/>
              <w:rPr>
                <w:sz w:val="16"/>
                <w:szCs w:val="16"/>
              </w:rPr>
            </w:pPr>
            <w:r>
              <w:rPr>
                <w:sz w:val="16"/>
                <w:szCs w:val="16"/>
              </w:rPr>
              <w:t>CURRENT ASSETS</w:t>
            </w:r>
            <w:r>
              <w:rPr>
                <w:sz w:val="16"/>
                <w:szCs w:val="16"/>
              </w:rPr>
              <w:t>:</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249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249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hideMark/>
          </w:tcPr>
          <w:p w:rsidR="00000000" w:rsidRDefault="00A32496">
            <w:pPr>
              <w:pStyle w:val="a3"/>
              <w:spacing w:before="0" w:beforeAutospacing="0" w:after="0" w:afterAutospacing="0"/>
              <w:ind w:left="200"/>
              <w:rPr>
                <w:sz w:val="16"/>
                <w:szCs w:val="16"/>
              </w:rPr>
            </w:pPr>
            <w:r>
              <w:rPr>
                <w:sz w:val="16"/>
                <w:szCs w:val="16"/>
              </w:rPr>
              <w:t>Cash and restricted cas</w:t>
            </w:r>
            <w:r>
              <w:rPr>
                <w:sz w:val="16"/>
                <w:szCs w:val="16"/>
              </w:rPr>
              <w:t>h</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93,56</w:t>
            </w:r>
            <w:r>
              <w:rPr>
                <w:sz w:val="16"/>
                <w:szCs w:val="16"/>
              </w:rPr>
              <w:t>6</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146,74</w:t>
            </w:r>
            <w:r>
              <w:rPr>
                <w:sz w:val="16"/>
                <w:szCs w:val="16"/>
              </w:rPr>
              <w:t>1</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A32496">
            <w:pPr>
              <w:pStyle w:val="a3"/>
              <w:spacing w:before="0" w:beforeAutospacing="0" w:after="0" w:afterAutospacing="0"/>
              <w:ind w:left="200"/>
              <w:rPr>
                <w:sz w:val="16"/>
                <w:szCs w:val="16"/>
              </w:rPr>
            </w:pPr>
            <w:r>
              <w:rPr>
                <w:sz w:val="16"/>
                <w:szCs w:val="16"/>
              </w:rPr>
              <w:t>Accounts receivable—ne</w:t>
            </w:r>
            <w:r>
              <w:rPr>
                <w:sz w:val="16"/>
                <w:szCs w:val="16"/>
              </w:rPr>
              <w:t>t</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80,92</w:t>
            </w:r>
            <w:r>
              <w:rPr>
                <w:sz w:val="16"/>
                <w:szCs w:val="16"/>
              </w:rPr>
              <w:t>7</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98,51</w:t>
            </w:r>
            <w:r>
              <w:rPr>
                <w:sz w:val="16"/>
                <w:szCs w:val="16"/>
              </w:rPr>
              <w:t>3</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A32496">
            <w:pPr>
              <w:pStyle w:val="a3"/>
              <w:spacing w:before="0" w:beforeAutospacing="0" w:after="0" w:afterAutospacing="0"/>
              <w:ind w:left="200"/>
              <w:rPr>
                <w:sz w:val="16"/>
                <w:szCs w:val="16"/>
              </w:rPr>
            </w:pPr>
            <w:r>
              <w:rPr>
                <w:sz w:val="16"/>
                <w:szCs w:val="16"/>
              </w:rPr>
              <w:t>Contract asset</w:t>
            </w:r>
            <w:r>
              <w:rPr>
                <w:sz w:val="16"/>
                <w:szCs w:val="16"/>
              </w:rPr>
              <w:t>s</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60,44</w:t>
            </w:r>
            <w:r>
              <w:rPr>
                <w:sz w:val="16"/>
                <w:szCs w:val="16"/>
              </w:rPr>
              <w:t>4</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40,13</w:t>
            </w:r>
            <w:r>
              <w:rPr>
                <w:sz w:val="16"/>
                <w:szCs w:val="16"/>
              </w:rPr>
              <w:t>9</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A32496">
            <w:pPr>
              <w:pStyle w:val="a3"/>
              <w:spacing w:before="0" w:beforeAutospacing="0" w:after="0" w:afterAutospacing="0"/>
              <w:ind w:left="200"/>
              <w:rPr>
                <w:sz w:val="16"/>
                <w:szCs w:val="16"/>
              </w:rPr>
            </w:pPr>
            <w:r>
              <w:rPr>
                <w:sz w:val="16"/>
                <w:szCs w:val="16"/>
              </w:rPr>
              <w:t>Prepaid and other current asset</w:t>
            </w:r>
            <w:r>
              <w:rPr>
                <w:sz w:val="16"/>
                <w:szCs w:val="16"/>
              </w:rPr>
              <w:t>s</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10,89</w:t>
            </w:r>
            <w:r>
              <w:rPr>
                <w:sz w:val="16"/>
                <w:szCs w:val="16"/>
              </w:rPr>
              <w:t>0</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8,46</w:t>
            </w:r>
            <w:r>
              <w:rPr>
                <w:sz w:val="16"/>
                <w:szCs w:val="16"/>
              </w:rPr>
              <w:t>5</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A32496">
            <w:pPr>
              <w:pStyle w:val="a3"/>
              <w:spacing w:before="0" w:beforeAutospacing="0" w:after="0" w:afterAutospacing="0"/>
              <w:ind w:left="400"/>
              <w:rPr>
                <w:sz w:val="16"/>
                <w:szCs w:val="16"/>
              </w:rPr>
            </w:pPr>
            <w:r>
              <w:rPr>
                <w:sz w:val="16"/>
                <w:szCs w:val="16"/>
              </w:rPr>
              <w:t>Total current asset</w:t>
            </w:r>
            <w:r>
              <w:rPr>
                <w:sz w:val="16"/>
                <w:szCs w:val="16"/>
              </w:rPr>
              <w:t>s</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245,82</w:t>
            </w:r>
            <w:r>
              <w:rPr>
                <w:sz w:val="16"/>
                <w:szCs w:val="16"/>
              </w:rPr>
              <w:t>7</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293,85</w:t>
            </w:r>
            <w:r>
              <w:rPr>
                <w:sz w:val="16"/>
                <w:szCs w:val="16"/>
              </w:rPr>
              <w:t>8</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A32496">
            <w:pPr>
              <w:pStyle w:val="a3"/>
              <w:spacing w:before="0" w:beforeAutospacing="0" w:after="0" w:afterAutospacing="0"/>
              <w:rPr>
                <w:sz w:val="16"/>
                <w:szCs w:val="16"/>
              </w:rPr>
            </w:pPr>
            <w:r>
              <w:rPr>
                <w:sz w:val="16"/>
                <w:szCs w:val="16"/>
              </w:rPr>
              <w:t>NON-CURRENT ASSETS</w:t>
            </w:r>
            <w:r>
              <w:rPr>
                <w:sz w:val="16"/>
                <w:szCs w:val="16"/>
              </w:rPr>
              <w:t>:</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249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249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hideMark/>
          </w:tcPr>
          <w:p w:rsidR="00000000" w:rsidRDefault="00A32496">
            <w:pPr>
              <w:pStyle w:val="a3"/>
              <w:spacing w:before="0" w:beforeAutospacing="0" w:after="0" w:afterAutospacing="0"/>
              <w:ind w:left="200"/>
              <w:rPr>
                <w:sz w:val="16"/>
                <w:szCs w:val="16"/>
              </w:rPr>
            </w:pPr>
            <w:r>
              <w:rPr>
                <w:sz w:val="16"/>
                <w:szCs w:val="16"/>
              </w:rPr>
              <w:t>Property and equipment—ne</w:t>
            </w:r>
            <w:r>
              <w:rPr>
                <w:sz w:val="16"/>
                <w:szCs w:val="16"/>
              </w:rPr>
              <w:t>t</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33,58</w:t>
            </w:r>
            <w:r>
              <w:rPr>
                <w:sz w:val="16"/>
                <w:szCs w:val="16"/>
              </w:rPr>
              <w:t>1</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31,52</w:t>
            </w:r>
            <w:r>
              <w:rPr>
                <w:sz w:val="16"/>
                <w:szCs w:val="16"/>
              </w:rPr>
              <w:t>1</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A32496">
            <w:pPr>
              <w:pStyle w:val="a3"/>
              <w:spacing w:before="0" w:beforeAutospacing="0" w:after="0" w:afterAutospacing="0"/>
              <w:ind w:left="200"/>
              <w:rPr>
                <w:sz w:val="16"/>
                <w:szCs w:val="16"/>
              </w:rPr>
            </w:pPr>
            <w:r>
              <w:rPr>
                <w:sz w:val="16"/>
                <w:szCs w:val="16"/>
              </w:rPr>
              <w:t>Operating lease right-of-use asset—ne</w:t>
            </w:r>
            <w:r>
              <w:rPr>
                <w:sz w:val="16"/>
                <w:szCs w:val="16"/>
              </w:rPr>
              <w:t>t</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28,45</w:t>
            </w:r>
            <w:r>
              <w:rPr>
                <w:sz w:val="16"/>
                <w:szCs w:val="16"/>
              </w:rPr>
              <w:t>3</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23,53</w:t>
            </w:r>
            <w:r>
              <w:rPr>
                <w:sz w:val="16"/>
                <w:szCs w:val="16"/>
              </w:rPr>
              <w:t>2</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A32496">
            <w:pPr>
              <w:pStyle w:val="a3"/>
              <w:spacing w:before="0" w:beforeAutospacing="0" w:after="0" w:afterAutospacing="0"/>
              <w:ind w:left="200"/>
              <w:rPr>
                <w:sz w:val="16"/>
                <w:szCs w:val="16"/>
              </w:rPr>
            </w:pPr>
            <w:r>
              <w:rPr>
                <w:sz w:val="16"/>
                <w:szCs w:val="16"/>
              </w:rPr>
              <w:t>Finance lease right-of-use asset—ne</w:t>
            </w:r>
            <w:r>
              <w:rPr>
                <w:sz w:val="16"/>
                <w:szCs w:val="16"/>
              </w:rPr>
              <w:t>t</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9,86</w:t>
            </w:r>
            <w:r>
              <w:rPr>
                <w:sz w:val="16"/>
                <w:szCs w:val="16"/>
              </w:rPr>
              <w:t>9</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8,94</w:t>
            </w:r>
            <w:r>
              <w:rPr>
                <w:sz w:val="16"/>
                <w:szCs w:val="16"/>
              </w:rPr>
              <w:t>4</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A32496">
            <w:pPr>
              <w:pStyle w:val="a3"/>
              <w:spacing w:before="0" w:beforeAutospacing="0" w:after="0" w:afterAutospacing="0"/>
              <w:ind w:left="200"/>
              <w:rPr>
                <w:sz w:val="16"/>
                <w:szCs w:val="16"/>
              </w:rPr>
            </w:pPr>
            <w:r>
              <w:rPr>
                <w:sz w:val="16"/>
                <w:szCs w:val="16"/>
              </w:rPr>
              <w:t>Goodwil</w:t>
            </w:r>
            <w:r>
              <w:rPr>
                <w:sz w:val="16"/>
                <w:szCs w:val="16"/>
              </w:rPr>
              <w:t>l</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318,41</w:t>
            </w:r>
            <w:r>
              <w:rPr>
                <w:sz w:val="16"/>
                <w:szCs w:val="16"/>
              </w:rPr>
              <w:t>3</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311,94</w:t>
            </w:r>
            <w:r>
              <w:rPr>
                <w:sz w:val="16"/>
                <w:szCs w:val="16"/>
              </w:rPr>
              <w:t>4</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A32496">
            <w:pPr>
              <w:pStyle w:val="a3"/>
              <w:spacing w:before="0" w:beforeAutospacing="0" w:after="0" w:afterAutospacing="0"/>
              <w:ind w:left="200"/>
              <w:rPr>
                <w:sz w:val="16"/>
                <w:szCs w:val="16"/>
              </w:rPr>
            </w:pPr>
            <w:r>
              <w:rPr>
                <w:sz w:val="16"/>
                <w:szCs w:val="16"/>
              </w:rPr>
              <w:t>Other intangible assets—ne</w:t>
            </w:r>
            <w:r>
              <w:rPr>
                <w:sz w:val="16"/>
                <w:szCs w:val="16"/>
              </w:rPr>
              <w:t>t</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146,26</w:t>
            </w:r>
            <w:r>
              <w:rPr>
                <w:sz w:val="16"/>
                <w:szCs w:val="16"/>
              </w:rPr>
              <w:t>8</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160,99</w:t>
            </w:r>
            <w:r>
              <w:rPr>
                <w:sz w:val="16"/>
                <w:szCs w:val="16"/>
              </w:rPr>
              <w:t>7</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A32496">
            <w:pPr>
              <w:pStyle w:val="a3"/>
              <w:spacing w:before="0" w:beforeAutospacing="0" w:after="0" w:afterAutospacing="0"/>
              <w:ind w:left="200"/>
              <w:rPr>
                <w:sz w:val="16"/>
                <w:szCs w:val="16"/>
              </w:rPr>
            </w:pPr>
            <w:r>
              <w:rPr>
                <w:sz w:val="16"/>
                <w:szCs w:val="16"/>
              </w:rPr>
              <w:t>Other asset</w:t>
            </w:r>
            <w:r>
              <w:rPr>
                <w:sz w:val="16"/>
                <w:szCs w:val="16"/>
              </w:rPr>
              <w:t>s</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6,69</w:t>
            </w:r>
            <w:r>
              <w:rPr>
                <w:sz w:val="16"/>
                <w:szCs w:val="16"/>
              </w:rPr>
              <w:t>4</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2,29</w:t>
            </w:r>
            <w:r>
              <w:rPr>
                <w:sz w:val="16"/>
                <w:szCs w:val="16"/>
              </w:rPr>
              <w:t>8</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A32496">
            <w:pPr>
              <w:pStyle w:val="a3"/>
              <w:spacing w:before="0" w:beforeAutospacing="0" w:after="0" w:afterAutospacing="0"/>
              <w:rPr>
                <w:sz w:val="16"/>
                <w:szCs w:val="16"/>
              </w:rPr>
            </w:pPr>
            <w:r>
              <w:rPr>
                <w:sz w:val="16"/>
                <w:szCs w:val="16"/>
              </w:rPr>
              <w:t>TOTAL ASSET</w:t>
            </w:r>
            <w:r>
              <w:rPr>
                <w:sz w:val="16"/>
                <w:szCs w:val="16"/>
              </w:rPr>
              <w:t>S</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789,10</w:t>
            </w:r>
            <w:r>
              <w:rPr>
                <w:sz w:val="16"/>
                <w:szCs w:val="16"/>
              </w:rPr>
              <w:t>5</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833,09</w:t>
            </w:r>
            <w:r>
              <w:rPr>
                <w:sz w:val="16"/>
                <w:szCs w:val="16"/>
              </w:rPr>
              <w:t>4</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A32496">
            <w:pPr>
              <w:pStyle w:val="a3"/>
              <w:spacing w:before="0" w:beforeAutospacing="0" w:after="0" w:afterAutospacing="0"/>
              <w:rPr>
                <w:sz w:val="16"/>
                <w:szCs w:val="16"/>
              </w:rPr>
            </w:pPr>
            <w:r>
              <w:rPr>
                <w:b/>
                <w:bCs/>
                <w:sz w:val="16"/>
                <w:szCs w:val="16"/>
              </w:rPr>
              <w:t>LIABILITIES, CONVERTIBLE AND REDEEMABLE SERIES A-2 PREFERRED STOCK AND</w:t>
            </w:r>
            <w:r>
              <w:rPr>
                <w:b/>
                <w:bCs/>
                <w:sz w:val="16"/>
                <w:szCs w:val="16"/>
              </w:rPr>
              <w:br/>
              <w:t>   STOCKHOLDERS’ EQUIT</w:t>
            </w:r>
            <w:r>
              <w:rPr>
                <w:b/>
                <w:bCs/>
                <w:sz w:val="16"/>
                <w:szCs w:val="16"/>
              </w:rPr>
              <w:t>Y</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249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249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hideMark/>
          </w:tcPr>
          <w:p w:rsidR="00000000" w:rsidRDefault="00A32496">
            <w:pPr>
              <w:pStyle w:val="a3"/>
              <w:spacing w:before="0" w:beforeAutospacing="0" w:after="0" w:afterAutospacing="0"/>
              <w:rPr>
                <w:sz w:val="16"/>
                <w:szCs w:val="16"/>
              </w:rPr>
            </w:pPr>
            <w:r>
              <w:rPr>
                <w:sz w:val="16"/>
                <w:szCs w:val="16"/>
              </w:rPr>
              <w:t>CURRENT LIABILITIES</w:t>
            </w:r>
            <w:r>
              <w:rPr>
                <w:sz w:val="16"/>
                <w:szCs w:val="16"/>
              </w:rPr>
              <w:t>:</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249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249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hideMark/>
          </w:tcPr>
          <w:p w:rsidR="00000000" w:rsidRDefault="00A32496">
            <w:pPr>
              <w:pStyle w:val="a3"/>
              <w:spacing w:before="0" w:beforeAutospacing="0" w:after="0" w:afterAutospacing="0"/>
              <w:ind w:left="200"/>
              <w:rPr>
                <w:sz w:val="16"/>
                <w:szCs w:val="16"/>
              </w:rPr>
            </w:pPr>
            <w:r>
              <w:rPr>
                <w:sz w:val="16"/>
                <w:szCs w:val="16"/>
              </w:rPr>
              <w:t>Accounts payable and other accrued liabilitie</w:t>
            </w:r>
            <w:r>
              <w:rPr>
                <w:sz w:val="16"/>
                <w:szCs w:val="16"/>
              </w:rPr>
              <w:t>s</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58,31</w:t>
            </w:r>
            <w:r>
              <w:rPr>
                <w:sz w:val="16"/>
                <w:szCs w:val="16"/>
              </w:rPr>
              <w:t>6</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68,93</w:t>
            </w:r>
            <w:r>
              <w:rPr>
                <w:sz w:val="16"/>
                <w:szCs w:val="16"/>
              </w:rPr>
              <w:t>6</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A32496">
            <w:pPr>
              <w:pStyle w:val="a3"/>
              <w:spacing w:before="0" w:beforeAutospacing="0" w:after="0" w:afterAutospacing="0"/>
              <w:ind w:left="200"/>
              <w:rPr>
                <w:sz w:val="16"/>
                <w:szCs w:val="16"/>
              </w:rPr>
            </w:pPr>
            <w:r>
              <w:rPr>
                <w:sz w:val="16"/>
                <w:szCs w:val="16"/>
              </w:rPr>
              <w:t>Accrued payroll and benefit</w:t>
            </w:r>
            <w:r>
              <w:rPr>
                <w:sz w:val="16"/>
                <w:szCs w:val="16"/>
              </w:rPr>
              <w:t>s</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20,47</w:t>
            </w:r>
            <w:r>
              <w:rPr>
                <w:sz w:val="16"/>
                <w:szCs w:val="16"/>
              </w:rPr>
              <w:t>7</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25,97</w:t>
            </w:r>
            <w:r>
              <w:rPr>
                <w:sz w:val="16"/>
                <w:szCs w:val="16"/>
              </w:rPr>
              <w:t>1</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A32496">
            <w:pPr>
              <w:pStyle w:val="a3"/>
              <w:spacing w:before="0" w:beforeAutospacing="0" w:after="0" w:afterAutospacing="0"/>
              <w:ind w:left="200"/>
              <w:rPr>
                <w:sz w:val="16"/>
                <w:szCs w:val="16"/>
              </w:rPr>
            </w:pPr>
            <w:r>
              <w:rPr>
                <w:sz w:val="16"/>
                <w:szCs w:val="16"/>
              </w:rPr>
              <w:t>Business acquisitions contingent consideration, curren</w:t>
            </w:r>
            <w:r>
              <w:rPr>
                <w:sz w:val="16"/>
                <w:szCs w:val="16"/>
              </w:rPr>
              <w:t>t</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3,96</w:t>
            </w:r>
            <w:r>
              <w:rPr>
                <w:sz w:val="16"/>
                <w:szCs w:val="16"/>
              </w:rPr>
              <w:t>7</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31,45</w:t>
            </w:r>
            <w:r>
              <w:rPr>
                <w:sz w:val="16"/>
                <w:szCs w:val="16"/>
              </w:rPr>
              <w:t>0</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A32496">
            <w:pPr>
              <w:pStyle w:val="a3"/>
              <w:spacing w:before="0" w:beforeAutospacing="0" w:after="0" w:afterAutospacing="0"/>
              <w:ind w:left="200"/>
              <w:rPr>
                <w:sz w:val="16"/>
                <w:szCs w:val="16"/>
              </w:rPr>
            </w:pPr>
            <w:r>
              <w:rPr>
                <w:sz w:val="16"/>
                <w:szCs w:val="16"/>
              </w:rPr>
              <w:t>Current portion of operating lease liabilitie</w:t>
            </w:r>
            <w:r>
              <w:rPr>
                <w:sz w:val="16"/>
                <w:szCs w:val="16"/>
              </w:rPr>
              <w:t>s</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8,13</w:t>
            </w:r>
            <w:r>
              <w:rPr>
                <w:sz w:val="16"/>
                <w:szCs w:val="16"/>
              </w:rPr>
              <w:t>0</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6,88</w:t>
            </w:r>
            <w:r>
              <w:rPr>
                <w:sz w:val="16"/>
                <w:szCs w:val="16"/>
              </w:rPr>
              <w:t>8</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A32496">
            <w:pPr>
              <w:pStyle w:val="a3"/>
              <w:spacing w:before="0" w:beforeAutospacing="0" w:after="0" w:afterAutospacing="0"/>
              <w:ind w:left="200"/>
              <w:rPr>
                <w:sz w:val="16"/>
                <w:szCs w:val="16"/>
              </w:rPr>
            </w:pPr>
            <w:r>
              <w:rPr>
                <w:sz w:val="16"/>
                <w:szCs w:val="16"/>
              </w:rPr>
              <w:t>Current portion of finance lease liabilitie</w:t>
            </w:r>
            <w:r>
              <w:rPr>
                <w:sz w:val="16"/>
                <w:szCs w:val="16"/>
              </w:rPr>
              <w:t>s</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3,76</w:t>
            </w:r>
            <w:r>
              <w:rPr>
                <w:sz w:val="16"/>
                <w:szCs w:val="16"/>
              </w:rPr>
              <w:t>3</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3,51</w:t>
            </w:r>
            <w:r>
              <w:rPr>
                <w:sz w:val="16"/>
                <w:szCs w:val="16"/>
              </w:rPr>
              <w:t>2</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A32496">
            <w:pPr>
              <w:pStyle w:val="a3"/>
              <w:spacing w:before="0" w:beforeAutospacing="0" w:after="0" w:afterAutospacing="0"/>
              <w:ind w:left="200"/>
              <w:rPr>
                <w:sz w:val="16"/>
                <w:szCs w:val="16"/>
              </w:rPr>
            </w:pPr>
            <w:r>
              <w:rPr>
                <w:sz w:val="16"/>
                <w:szCs w:val="16"/>
              </w:rPr>
              <w:t>Current portion of long-term deb</w:t>
            </w:r>
            <w:r>
              <w:rPr>
                <w:sz w:val="16"/>
                <w:szCs w:val="16"/>
              </w:rPr>
              <w:t>t</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8,75</w:t>
            </w:r>
            <w:r>
              <w:rPr>
                <w:sz w:val="16"/>
                <w:szCs w:val="16"/>
              </w:rPr>
              <w:t>0</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10,93</w:t>
            </w:r>
            <w:r>
              <w:rPr>
                <w:sz w:val="16"/>
                <w:szCs w:val="16"/>
              </w:rPr>
              <w:t>8</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A32496">
            <w:pPr>
              <w:pStyle w:val="a3"/>
              <w:spacing w:before="0" w:beforeAutospacing="0" w:after="0" w:afterAutospacing="0"/>
              <w:ind w:left="400"/>
              <w:rPr>
                <w:sz w:val="16"/>
                <w:szCs w:val="16"/>
              </w:rPr>
            </w:pPr>
            <w:r>
              <w:rPr>
                <w:sz w:val="16"/>
                <w:szCs w:val="16"/>
              </w:rPr>
              <w:t>Total current liabilitie</w:t>
            </w:r>
            <w:r>
              <w:rPr>
                <w:sz w:val="16"/>
                <w:szCs w:val="16"/>
              </w:rPr>
              <w:t>s</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103,40</w:t>
            </w:r>
            <w:r>
              <w:rPr>
                <w:sz w:val="16"/>
                <w:szCs w:val="16"/>
              </w:rPr>
              <w:t>3</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147,69</w:t>
            </w:r>
            <w:r>
              <w:rPr>
                <w:sz w:val="16"/>
                <w:szCs w:val="16"/>
              </w:rPr>
              <w:t>5</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A32496">
            <w:pPr>
              <w:pStyle w:val="a3"/>
              <w:spacing w:before="0" w:beforeAutospacing="0" w:after="0" w:afterAutospacing="0"/>
              <w:rPr>
                <w:sz w:val="16"/>
                <w:szCs w:val="16"/>
              </w:rPr>
            </w:pPr>
            <w:r>
              <w:rPr>
                <w:sz w:val="16"/>
                <w:szCs w:val="16"/>
              </w:rPr>
              <w:t>NON-CURRENT LIABILITIES</w:t>
            </w:r>
            <w:r>
              <w:rPr>
                <w:sz w:val="16"/>
                <w:szCs w:val="16"/>
              </w:rPr>
              <w:t>:</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249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249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hideMark/>
          </w:tcPr>
          <w:p w:rsidR="00000000" w:rsidRDefault="00A32496">
            <w:pPr>
              <w:pStyle w:val="a3"/>
              <w:spacing w:before="0" w:beforeAutospacing="0" w:after="0" w:afterAutospacing="0"/>
              <w:ind w:left="200"/>
              <w:rPr>
                <w:sz w:val="16"/>
                <w:szCs w:val="16"/>
              </w:rPr>
            </w:pPr>
            <w:r>
              <w:rPr>
                <w:sz w:val="16"/>
                <w:szCs w:val="16"/>
              </w:rPr>
              <w:t>Business acquisitions contingent consideration, long-ter</w:t>
            </w:r>
            <w:r>
              <w:rPr>
                <w:sz w:val="16"/>
                <w:szCs w:val="16"/>
              </w:rPr>
              <w:t>m</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2,81</w:t>
            </w:r>
            <w:r>
              <w:rPr>
                <w:sz w:val="16"/>
                <w:szCs w:val="16"/>
              </w:rPr>
              <w:t>0</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4,35</w:t>
            </w:r>
            <w:r>
              <w:rPr>
                <w:sz w:val="16"/>
                <w:szCs w:val="16"/>
              </w:rPr>
              <w:t>0</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A32496">
            <w:pPr>
              <w:pStyle w:val="a3"/>
              <w:spacing w:before="0" w:beforeAutospacing="0" w:after="0" w:afterAutospacing="0"/>
              <w:ind w:left="200"/>
              <w:rPr>
                <w:sz w:val="16"/>
                <w:szCs w:val="16"/>
              </w:rPr>
            </w:pPr>
            <w:r>
              <w:rPr>
                <w:sz w:val="16"/>
                <w:szCs w:val="16"/>
              </w:rPr>
              <w:t>Other non-current liabilitie</w:t>
            </w:r>
            <w:r>
              <w:rPr>
                <w:sz w:val="16"/>
                <w:szCs w:val="16"/>
              </w:rPr>
              <w:t>s</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2</w:t>
            </w:r>
            <w:r>
              <w:rPr>
                <w:sz w:val="16"/>
                <w:szCs w:val="16"/>
              </w:rPr>
              <w:t>2</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10</w:t>
            </w:r>
            <w:r>
              <w:rPr>
                <w:sz w:val="16"/>
                <w:szCs w:val="16"/>
              </w:rPr>
              <w:t>0</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A32496">
            <w:pPr>
              <w:pStyle w:val="a3"/>
              <w:spacing w:before="0" w:beforeAutospacing="0" w:after="0" w:afterAutospacing="0"/>
              <w:ind w:left="200"/>
              <w:rPr>
                <w:sz w:val="16"/>
                <w:szCs w:val="16"/>
              </w:rPr>
            </w:pPr>
            <w:r>
              <w:rPr>
                <w:sz w:val="16"/>
                <w:szCs w:val="16"/>
              </w:rPr>
              <w:t>Deferred tax liabilities—ne</w:t>
            </w:r>
            <w:r>
              <w:rPr>
                <w:sz w:val="16"/>
                <w:szCs w:val="16"/>
              </w:rPr>
              <w:t>t</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5,76</w:t>
            </w:r>
            <w:r>
              <w:rPr>
                <w:sz w:val="16"/>
                <w:szCs w:val="16"/>
              </w:rPr>
              <w:t>6</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4,00</w:t>
            </w:r>
            <w:r>
              <w:rPr>
                <w:sz w:val="16"/>
                <w:szCs w:val="16"/>
              </w:rPr>
              <w:t>6</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A32496">
            <w:pPr>
              <w:pStyle w:val="a3"/>
              <w:spacing w:before="0" w:beforeAutospacing="0" w:after="0" w:afterAutospacing="0"/>
              <w:ind w:left="200"/>
              <w:rPr>
                <w:sz w:val="16"/>
                <w:szCs w:val="16"/>
              </w:rPr>
            </w:pPr>
            <w:r>
              <w:rPr>
                <w:sz w:val="16"/>
                <w:szCs w:val="16"/>
              </w:rPr>
              <w:t>Conversion optio</w:t>
            </w:r>
            <w:r>
              <w:rPr>
                <w:sz w:val="16"/>
                <w:szCs w:val="16"/>
              </w:rPr>
              <w:t>n</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24,73</w:t>
            </w:r>
            <w:r>
              <w:rPr>
                <w:sz w:val="16"/>
                <w:szCs w:val="16"/>
              </w:rPr>
              <w:t>0</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23,08</w:t>
            </w:r>
            <w:r>
              <w:rPr>
                <w:sz w:val="16"/>
                <w:szCs w:val="16"/>
              </w:rPr>
              <w:t>1</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A32496">
            <w:pPr>
              <w:pStyle w:val="a3"/>
              <w:spacing w:before="0" w:beforeAutospacing="0" w:after="0" w:afterAutospacing="0"/>
              <w:ind w:left="200"/>
              <w:rPr>
                <w:sz w:val="16"/>
                <w:szCs w:val="16"/>
              </w:rPr>
            </w:pPr>
            <w:r>
              <w:rPr>
                <w:sz w:val="16"/>
                <w:szCs w:val="16"/>
              </w:rPr>
              <w:t>Operating lease liability—net of current portio</w:t>
            </w:r>
            <w:r>
              <w:rPr>
                <w:sz w:val="16"/>
                <w:szCs w:val="16"/>
              </w:rPr>
              <w:t>n</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20,84</w:t>
            </w:r>
            <w:r>
              <w:rPr>
                <w:sz w:val="16"/>
                <w:szCs w:val="16"/>
              </w:rPr>
              <w:t>1</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16,85</w:t>
            </w:r>
            <w:r>
              <w:rPr>
                <w:sz w:val="16"/>
                <w:szCs w:val="16"/>
              </w:rPr>
              <w:t>9</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A32496">
            <w:pPr>
              <w:pStyle w:val="a3"/>
              <w:spacing w:before="0" w:beforeAutospacing="0" w:after="0" w:afterAutospacing="0"/>
              <w:ind w:left="200"/>
              <w:rPr>
                <w:sz w:val="16"/>
                <w:szCs w:val="16"/>
              </w:rPr>
            </w:pPr>
            <w:r>
              <w:rPr>
                <w:sz w:val="16"/>
                <w:szCs w:val="16"/>
              </w:rPr>
              <w:t>Finance lease liability—net of current portio</w:t>
            </w:r>
            <w:r>
              <w:rPr>
                <w:sz w:val="16"/>
                <w:szCs w:val="16"/>
              </w:rPr>
              <w:t>n</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6,56</w:t>
            </w:r>
            <w:r>
              <w:rPr>
                <w:sz w:val="16"/>
                <w:szCs w:val="16"/>
              </w:rPr>
              <w:t>2</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5,75</w:t>
            </w:r>
            <w:r>
              <w:rPr>
                <w:sz w:val="16"/>
                <w:szCs w:val="16"/>
              </w:rPr>
              <w:t>6</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A32496">
            <w:pPr>
              <w:pStyle w:val="a3"/>
              <w:spacing w:before="0" w:beforeAutospacing="0" w:after="0" w:afterAutospacing="0"/>
              <w:ind w:left="200"/>
              <w:rPr>
                <w:sz w:val="16"/>
                <w:szCs w:val="16"/>
              </w:rPr>
            </w:pPr>
            <w:r>
              <w:rPr>
                <w:sz w:val="16"/>
                <w:szCs w:val="16"/>
              </w:rPr>
              <w:t>Long-term debt—</w:t>
            </w:r>
            <w:r>
              <w:rPr>
                <w:sz w:val="16"/>
                <w:szCs w:val="16"/>
              </w:rPr>
              <w:t>net of deferred financing fee</w:t>
            </w:r>
            <w:r>
              <w:rPr>
                <w:sz w:val="16"/>
                <w:szCs w:val="16"/>
              </w:rPr>
              <w:t>s</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155,64</w:t>
            </w:r>
            <w:r>
              <w:rPr>
                <w:sz w:val="16"/>
                <w:szCs w:val="16"/>
              </w:rPr>
              <w:t>5</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161,81</w:t>
            </w:r>
            <w:r>
              <w:rPr>
                <w:sz w:val="16"/>
                <w:szCs w:val="16"/>
              </w:rPr>
              <w:t>8</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A32496">
            <w:pPr>
              <w:pStyle w:val="a3"/>
              <w:spacing w:before="0" w:beforeAutospacing="0" w:after="0" w:afterAutospacing="0"/>
              <w:ind w:left="400"/>
              <w:rPr>
                <w:sz w:val="16"/>
                <w:szCs w:val="16"/>
              </w:rPr>
            </w:pPr>
            <w:r>
              <w:rPr>
                <w:sz w:val="16"/>
                <w:szCs w:val="16"/>
              </w:rPr>
              <w:t>Total liabilitie</w:t>
            </w:r>
            <w:r>
              <w:rPr>
                <w:sz w:val="16"/>
                <w:szCs w:val="16"/>
              </w:rPr>
              <w:t>s</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319,77</w:t>
            </w:r>
            <w:r>
              <w:rPr>
                <w:sz w:val="16"/>
                <w:szCs w:val="16"/>
              </w:rPr>
              <w:t>9</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363,66</w:t>
            </w:r>
            <w:r>
              <w:rPr>
                <w:sz w:val="16"/>
                <w:szCs w:val="16"/>
              </w:rPr>
              <w:t>5</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A32496">
            <w:pPr>
              <w:pStyle w:val="a3"/>
              <w:spacing w:before="0" w:beforeAutospacing="0" w:after="0" w:afterAutospacing="0"/>
              <w:rPr>
                <w:sz w:val="20"/>
                <w:szCs w:val="20"/>
              </w:rPr>
            </w:pPr>
            <w:r>
              <w:rPr>
                <w:sz w:val="16"/>
                <w:szCs w:val="16"/>
              </w:rPr>
              <w:t>COMMITMENTS AND CONTINGENCIE</w:t>
            </w:r>
            <w:r>
              <w:rPr>
                <w:sz w:val="16"/>
                <w:szCs w:val="16"/>
              </w:rPr>
              <w:t>S</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249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249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hideMark/>
          </w:tcPr>
          <w:p w:rsidR="00000000" w:rsidRDefault="00A32496">
            <w:pPr>
              <w:pStyle w:val="a3"/>
              <w:spacing w:before="0" w:beforeAutospacing="0" w:after="0" w:afterAutospacing="0"/>
              <w:rPr>
                <w:sz w:val="20"/>
                <w:szCs w:val="20"/>
              </w:rPr>
            </w:pPr>
            <w:r>
              <w:rPr>
                <w:sz w:val="16"/>
                <w:szCs w:val="16"/>
              </w:rPr>
              <w:t xml:space="preserve">CONVERTIBLE AND REDEEMABLE SERIES A-2 PREFERRED STOCK </w:t>
            </w:r>
            <w:r>
              <w:rPr>
                <w:sz w:val="16"/>
                <w:szCs w:val="16"/>
              </w:rPr>
              <w:t>$</w:t>
            </w:r>
            <w:r>
              <w:rPr>
                <w:sz w:val="16"/>
                <w:szCs w:val="16"/>
              </w:rPr>
              <w:t>0.000</w:t>
            </w:r>
            <w:r>
              <w:rPr>
                <w:sz w:val="16"/>
                <w:szCs w:val="16"/>
              </w:rPr>
              <w:t>1</w:t>
            </w:r>
            <w:r>
              <w:rPr>
                <w:sz w:val="16"/>
                <w:szCs w:val="16"/>
              </w:rPr>
              <w:br/>
              <w:t>   PAR VALUE</w:t>
            </w:r>
            <w:r>
              <w:rPr>
                <w:sz w:val="16"/>
                <w:szCs w:val="16"/>
              </w:rPr>
              <w:t>—</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249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249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hideMark/>
          </w:tcPr>
          <w:p w:rsidR="00000000" w:rsidRDefault="00A32496">
            <w:pPr>
              <w:pStyle w:val="a3"/>
              <w:spacing w:before="0" w:beforeAutospacing="0" w:after="0" w:afterAutospacing="0"/>
              <w:ind w:left="200"/>
              <w:rPr>
                <w:sz w:val="20"/>
                <w:szCs w:val="20"/>
              </w:rPr>
            </w:pPr>
            <w:r>
              <w:rPr>
                <w:sz w:val="16"/>
                <w:szCs w:val="16"/>
              </w:rPr>
              <w:t>Authorize</w:t>
            </w:r>
            <w:r>
              <w:rPr>
                <w:sz w:val="16"/>
                <w:szCs w:val="16"/>
              </w:rPr>
              <w:t>d</w:t>
            </w:r>
            <w:r>
              <w:rPr>
                <w:sz w:val="16"/>
                <w:szCs w:val="16"/>
              </w:rPr>
              <w:t>, issued and outstanding shares:</w:t>
            </w:r>
            <w:r>
              <w:rPr>
                <w:sz w:val="16"/>
                <w:szCs w:val="16"/>
              </w:rPr>
              <w:t xml:space="preserve"> </w:t>
            </w:r>
            <w:r>
              <w:rPr>
                <w:sz w:val="16"/>
                <w:szCs w:val="16"/>
              </w:rPr>
              <w:t>17,50</w:t>
            </w:r>
            <w:r>
              <w:rPr>
                <w:sz w:val="16"/>
                <w:szCs w:val="16"/>
              </w:rPr>
              <w:t>0</w:t>
            </w:r>
            <w:r>
              <w:rPr>
                <w:sz w:val="16"/>
                <w:szCs w:val="16"/>
              </w:rPr>
              <w:t xml:space="preserve"> at September 30, 2022 and </w:t>
            </w:r>
            <w:r>
              <w:rPr>
                <w:sz w:val="16"/>
                <w:szCs w:val="16"/>
              </w:rPr>
              <w:br/>
              <w:t xml:space="preserve">   December 31, 2021; aggregate liquidation preference of </w:t>
            </w:r>
            <w:r>
              <w:rPr>
                <w:sz w:val="16"/>
                <w:szCs w:val="16"/>
              </w:rPr>
              <w:t>$</w:t>
            </w:r>
            <w:r>
              <w:rPr>
                <w:sz w:val="16"/>
                <w:szCs w:val="16"/>
              </w:rPr>
              <w:t>182.</w:t>
            </w:r>
            <w:r>
              <w:rPr>
                <w:sz w:val="16"/>
                <w:szCs w:val="16"/>
              </w:rPr>
              <w:t>2</w:t>
            </w:r>
            <w:r>
              <w:rPr>
                <w:sz w:val="16"/>
                <w:szCs w:val="16"/>
              </w:rPr>
              <w:t> million at September 30</w:t>
            </w:r>
            <w:r>
              <w:rPr>
                <w:sz w:val="16"/>
                <w:szCs w:val="16"/>
              </w:rPr>
              <w:t xml:space="preserve">, 2022 and </w:t>
            </w:r>
            <w:r>
              <w:rPr>
                <w:sz w:val="16"/>
                <w:szCs w:val="16"/>
              </w:rPr>
              <w:br/>
              <w:t>   December 31, 202</w:t>
            </w:r>
            <w:r>
              <w:rPr>
                <w:sz w:val="16"/>
                <w:szCs w:val="16"/>
              </w:rPr>
              <w:t>1</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152,92</w:t>
            </w:r>
            <w:r>
              <w:rPr>
                <w:sz w:val="16"/>
                <w:szCs w:val="16"/>
              </w:rPr>
              <w:t>8</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152,92</w:t>
            </w:r>
            <w:r>
              <w:rPr>
                <w:sz w:val="16"/>
                <w:szCs w:val="16"/>
              </w:rPr>
              <w:t>8</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A32496">
            <w:pPr>
              <w:pStyle w:val="a3"/>
              <w:spacing w:before="0" w:beforeAutospacing="0" w:after="0" w:afterAutospacing="0"/>
              <w:rPr>
                <w:sz w:val="16"/>
                <w:szCs w:val="16"/>
              </w:rPr>
            </w:pPr>
            <w:r>
              <w:rPr>
                <w:sz w:val="16"/>
                <w:szCs w:val="16"/>
              </w:rPr>
              <w:t>STOCKHOLDERS’ EQUITY</w:t>
            </w:r>
            <w:r>
              <w:rPr>
                <w:sz w:val="16"/>
                <w:szCs w:val="16"/>
              </w:rPr>
              <w:t>:</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249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249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hideMark/>
          </w:tcPr>
          <w:p w:rsidR="00000000" w:rsidRDefault="00A32496">
            <w:pPr>
              <w:pStyle w:val="a3"/>
              <w:spacing w:before="0" w:beforeAutospacing="0" w:after="0" w:afterAutospacing="0"/>
              <w:ind w:left="200"/>
              <w:rPr>
                <w:sz w:val="20"/>
                <w:szCs w:val="20"/>
              </w:rPr>
            </w:pPr>
            <w:r>
              <w:rPr>
                <w:sz w:val="16"/>
                <w:szCs w:val="16"/>
              </w:rPr>
              <w:t xml:space="preserve">Common stock, </w:t>
            </w:r>
            <w:r>
              <w:rPr>
                <w:sz w:val="16"/>
                <w:szCs w:val="16"/>
              </w:rPr>
              <w:t>$</w:t>
            </w:r>
            <w:r>
              <w:rPr>
                <w:sz w:val="16"/>
                <w:szCs w:val="16"/>
              </w:rPr>
              <w:t>0.00000</w:t>
            </w:r>
            <w:r>
              <w:rPr>
                <w:sz w:val="16"/>
                <w:szCs w:val="16"/>
              </w:rPr>
              <w:t>4</w:t>
            </w:r>
            <w:r>
              <w:rPr>
                <w:sz w:val="16"/>
                <w:szCs w:val="16"/>
              </w:rPr>
              <w:t> par value; authorized shares:</w:t>
            </w:r>
            <w:r>
              <w:rPr>
                <w:sz w:val="16"/>
                <w:szCs w:val="16"/>
              </w:rPr>
              <w:t xml:space="preserve"> </w:t>
            </w:r>
            <w:r>
              <w:rPr>
                <w:sz w:val="16"/>
                <w:szCs w:val="16"/>
              </w:rPr>
              <w:t>190,000,00</w:t>
            </w:r>
            <w:r>
              <w:rPr>
                <w:sz w:val="16"/>
                <w:szCs w:val="16"/>
              </w:rPr>
              <w:t>0</w:t>
            </w:r>
            <w:r>
              <w:rPr>
                <w:sz w:val="16"/>
                <w:szCs w:val="16"/>
              </w:rPr>
              <w:t xml:space="preserve"> at </w:t>
            </w:r>
            <w:r>
              <w:rPr>
                <w:sz w:val="16"/>
                <w:szCs w:val="16"/>
              </w:rPr>
              <w:br/>
              <w:t>   </w:t>
            </w:r>
            <w:r>
              <w:rPr>
                <w:sz w:val="16"/>
                <w:szCs w:val="16"/>
              </w:rPr>
              <w:t>September 30, 2022 and December 31, 2021; issued and outstanding shares:</w:t>
            </w:r>
            <w:r>
              <w:rPr>
                <w:sz w:val="16"/>
                <w:szCs w:val="16"/>
              </w:rPr>
              <w:t xml:space="preserve"> </w:t>
            </w:r>
            <w:r>
              <w:rPr>
                <w:sz w:val="16"/>
                <w:szCs w:val="16"/>
              </w:rPr>
              <w:t>29,707,50</w:t>
            </w:r>
            <w:r>
              <w:rPr>
                <w:sz w:val="16"/>
                <w:szCs w:val="16"/>
              </w:rPr>
              <w:t>3</w:t>
            </w:r>
            <w:r>
              <w:rPr>
                <w:sz w:val="16"/>
                <w:szCs w:val="16"/>
              </w:rPr>
              <w:t> and</w:t>
            </w:r>
            <w:r>
              <w:rPr>
                <w:sz w:val="16"/>
                <w:szCs w:val="16"/>
              </w:rPr>
              <w:br/>
              <w:t>  </w:t>
            </w:r>
            <w:r>
              <w:rPr>
                <w:sz w:val="16"/>
                <w:szCs w:val="16"/>
              </w:rPr>
              <w:t> </w:t>
            </w:r>
            <w:r>
              <w:rPr>
                <w:sz w:val="16"/>
                <w:szCs w:val="16"/>
              </w:rPr>
              <w:t>29,619,92</w:t>
            </w:r>
            <w:r>
              <w:rPr>
                <w:sz w:val="16"/>
                <w:szCs w:val="16"/>
              </w:rPr>
              <w:t>1</w:t>
            </w:r>
            <w:r>
              <w:rPr>
                <w:sz w:val="16"/>
                <w:szCs w:val="16"/>
              </w:rPr>
              <w:t> at September 30, 2022 and December 31, 2021, respectivel</w:t>
            </w:r>
            <w:r>
              <w:rPr>
                <w:sz w:val="16"/>
                <w:szCs w:val="16"/>
              </w:rPr>
              <w:t>y</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A32496">
            <w:pPr>
              <w:pStyle w:val="a3"/>
              <w:spacing w:before="0" w:beforeAutospacing="0" w:after="0" w:afterAutospacing="0"/>
              <w:ind w:left="200"/>
              <w:rPr>
                <w:sz w:val="16"/>
                <w:szCs w:val="16"/>
              </w:rPr>
            </w:pPr>
            <w:r>
              <w:rPr>
                <w:sz w:val="16"/>
                <w:szCs w:val="16"/>
              </w:rPr>
              <w:t>Additional paid-in-capita</w:t>
            </w:r>
            <w:r>
              <w:rPr>
                <w:sz w:val="16"/>
                <w:szCs w:val="16"/>
              </w:rPr>
              <w:t>l</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485,03</w:t>
            </w:r>
            <w:r>
              <w:rPr>
                <w:sz w:val="16"/>
                <w:szCs w:val="16"/>
              </w:rPr>
              <w:t>0</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464,14</w:t>
            </w:r>
            <w:r>
              <w:rPr>
                <w:sz w:val="16"/>
                <w:szCs w:val="16"/>
              </w:rPr>
              <w:t>3</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A32496">
            <w:pPr>
              <w:pStyle w:val="a3"/>
              <w:spacing w:before="0" w:beforeAutospacing="0" w:after="0" w:afterAutospacing="0"/>
              <w:ind w:left="200"/>
              <w:rPr>
                <w:sz w:val="16"/>
                <w:szCs w:val="16"/>
              </w:rPr>
            </w:pPr>
            <w:r>
              <w:rPr>
                <w:sz w:val="16"/>
                <w:szCs w:val="16"/>
              </w:rPr>
              <w:t>Accumulated defici</w:t>
            </w:r>
            <w:r>
              <w:rPr>
                <w:sz w:val="16"/>
                <w:szCs w:val="16"/>
              </w:rPr>
              <w:t>t</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w:t>
            </w:r>
            <w:r>
              <w:rPr>
                <w:sz w:val="16"/>
                <w:szCs w:val="16"/>
              </w:rPr>
              <w:t>168,68</w:t>
            </w:r>
            <w:r>
              <w:rPr>
                <w:sz w:val="16"/>
                <w:szCs w:val="16"/>
              </w:rPr>
              <w:t>5</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w:t>
            </w:r>
            <w:r>
              <w:rPr>
                <w:sz w:val="16"/>
                <w:szCs w:val="16"/>
              </w:rPr>
              <w:t>147,67</w:t>
            </w:r>
            <w:r>
              <w:rPr>
                <w:sz w:val="16"/>
                <w:szCs w:val="16"/>
              </w:rPr>
              <w:t>8</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hideMark/>
          </w:tcPr>
          <w:p w:rsidR="00000000" w:rsidRDefault="00A32496">
            <w:pPr>
              <w:pStyle w:val="a3"/>
              <w:spacing w:before="0" w:beforeAutospacing="0" w:after="0" w:afterAutospacing="0"/>
              <w:ind w:left="200"/>
              <w:rPr>
                <w:sz w:val="16"/>
                <w:szCs w:val="16"/>
              </w:rPr>
            </w:pPr>
            <w:r>
              <w:rPr>
                <w:sz w:val="16"/>
                <w:szCs w:val="16"/>
              </w:rPr>
              <w:t>Accumulated other comprehensive incom</w:t>
            </w:r>
            <w:r>
              <w:rPr>
                <w:sz w:val="16"/>
                <w:szCs w:val="16"/>
              </w:rPr>
              <w:t>e</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5</w:t>
            </w:r>
            <w:r>
              <w:rPr>
                <w:sz w:val="16"/>
                <w:szCs w:val="16"/>
              </w:rPr>
              <w:t>3</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3</w:t>
            </w:r>
            <w:r>
              <w:rPr>
                <w:sz w:val="16"/>
                <w:szCs w:val="16"/>
              </w:rPr>
              <w:t>6</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A32496">
            <w:pPr>
              <w:pStyle w:val="a3"/>
              <w:spacing w:before="0" w:beforeAutospacing="0" w:after="0" w:afterAutospacing="0"/>
              <w:ind w:left="400"/>
              <w:rPr>
                <w:sz w:val="16"/>
                <w:szCs w:val="16"/>
              </w:rPr>
            </w:pPr>
            <w:r>
              <w:rPr>
                <w:sz w:val="16"/>
                <w:szCs w:val="16"/>
              </w:rPr>
              <w:t>Total stockholders’ equit</w:t>
            </w:r>
            <w:r>
              <w:rPr>
                <w:sz w:val="16"/>
                <w:szCs w:val="16"/>
              </w:rPr>
              <w:t>y</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316,39</w:t>
            </w:r>
            <w:r>
              <w:rPr>
                <w:sz w:val="16"/>
                <w:szCs w:val="16"/>
              </w:rPr>
              <w:t>8</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316,50</w:t>
            </w:r>
            <w:r>
              <w:rPr>
                <w:sz w:val="16"/>
                <w:szCs w:val="16"/>
              </w:rPr>
              <w:t>1</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A32496">
            <w:pPr>
              <w:pStyle w:val="a3"/>
              <w:spacing w:before="0" w:beforeAutospacing="0" w:after="0" w:afterAutospacing="0"/>
              <w:rPr>
                <w:sz w:val="16"/>
                <w:szCs w:val="16"/>
              </w:rPr>
            </w:pPr>
            <w:r>
              <w:rPr>
                <w:sz w:val="16"/>
                <w:szCs w:val="16"/>
              </w:rPr>
              <w:lastRenderedPageBreak/>
              <w:t xml:space="preserve">TOTAL LIABILITIES, CONVERTIBLE AND REDEEMABLE SERIES A-2 PREFERRED STOCK </w:t>
            </w:r>
            <w:r>
              <w:rPr>
                <w:sz w:val="16"/>
                <w:szCs w:val="16"/>
              </w:rPr>
              <w:br/>
              <w:t>   AND STOCKHOLDERS’ EQUIT</w:t>
            </w:r>
            <w:r>
              <w:rPr>
                <w:sz w:val="16"/>
                <w:szCs w:val="16"/>
              </w:rPr>
              <w:t>Y</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789,10</w:t>
            </w:r>
            <w:r>
              <w:rPr>
                <w:sz w:val="16"/>
                <w:szCs w:val="16"/>
              </w:rPr>
              <w:t>5</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6"/>
                <w:szCs w:val="16"/>
              </w:rPr>
              <w:t>833,09</w:t>
            </w:r>
            <w:r>
              <w:rPr>
                <w:sz w:val="16"/>
                <w:szCs w:val="16"/>
              </w:rPr>
              <w:t>4</w:t>
            </w:r>
          </w:p>
        </w:tc>
        <w:tc>
          <w:tcPr>
            <w:tcW w:w="0" w:type="auto"/>
            <w:noWrap/>
            <w:vAlign w:val="bottom"/>
            <w:hideMark/>
          </w:tcPr>
          <w:p w:rsidR="00000000" w:rsidRDefault="00A32496">
            <w:pPr>
              <w:pStyle w:val="a3"/>
              <w:spacing w:before="0" w:beforeAutospacing="0" w:after="0" w:afterAutospacing="0"/>
              <w:rPr>
                <w:sz w:val="16"/>
                <w:szCs w:val="16"/>
              </w:rPr>
            </w:pPr>
            <w:r>
              <w:rPr>
                <w:sz w:val="16"/>
                <w:szCs w:val="16"/>
              </w:rPr>
              <w:t> </w:t>
            </w:r>
          </w:p>
        </w:tc>
      </w:tr>
    </w:tbl>
    <w:p w:rsidR="00000000" w:rsidRDefault="00A32496">
      <w:pPr>
        <w:pStyle w:val="a3"/>
        <w:spacing w:before="0" w:beforeAutospacing="0" w:after="0" w:afterAutospacing="0"/>
        <w:jc w:val="center"/>
        <w:rPr>
          <w:sz w:val="20"/>
          <w:szCs w:val="20"/>
        </w:rPr>
      </w:pPr>
      <w:r>
        <w:rPr>
          <w:sz w:val="20"/>
          <w:szCs w:val="20"/>
        </w:rPr>
        <w:t> </w:t>
      </w:r>
    </w:p>
    <w:p w:rsidR="00000000" w:rsidRDefault="00A32496">
      <w:pPr>
        <w:pStyle w:val="a3"/>
        <w:spacing w:before="0" w:beforeAutospacing="0" w:after="0" w:afterAutospacing="0"/>
        <w:jc w:val="center"/>
        <w:rPr>
          <w:sz w:val="20"/>
          <w:szCs w:val="20"/>
        </w:rPr>
      </w:pPr>
      <w:r>
        <w:rPr>
          <w:sz w:val="20"/>
          <w:szCs w:val="20"/>
        </w:rPr>
        <w:t>The accompanying notes are an integral part of these unaudited condensed consolidated financial statements</w:t>
      </w:r>
      <w:r>
        <w:rPr>
          <w:sz w:val="20"/>
          <w:szCs w:val="20"/>
        </w:rPr>
        <w:t>.</w:t>
      </w:r>
    </w:p>
    <w:p w:rsidR="00000000" w:rsidRDefault="00A32496">
      <w:pPr>
        <w:pStyle w:val="a3"/>
        <w:spacing w:before="0" w:beforeAutospacing="0" w:after="0" w:afterAutospacing="0"/>
        <w:jc w:val="center"/>
        <w:rPr>
          <w:sz w:val="20"/>
          <w:szCs w:val="20"/>
        </w:rPr>
      </w:pPr>
      <w:r>
        <w:rPr>
          <w:sz w:val="20"/>
          <w:szCs w:val="20"/>
        </w:rPr>
        <w:t>1</w:t>
      </w:r>
    </w:p>
    <w:p w:rsidR="00000000" w:rsidRDefault="00A32496">
      <w:pPr>
        <w:rPr>
          <w:rFonts w:eastAsia="Times New Roman"/>
        </w:rPr>
      </w:pPr>
      <w:r>
        <w:rPr>
          <w:rFonts w:eastAsia="Times New Roman"/>
        </w:rPr>
        <w:pict>
          <v:rect id="_x0000_i1027" style="width:0;height:1.5pt" o:hralign="center" o:hrstd="t" o:hr="t" fillcolor="#a0a0a0" stroked="f"/>
        </w:pict>
      </w:r>
    </w:p>
    <w:p w:rsidR="00000000" w:rsidRDefault="00A32496">
      <w:pPr>
        <w:pStyle w:val="a3"/>
        <w:spacing w:before="0" w:beforeAutospacing="0" w:after="0" w:afterAutospacing="0"/>
        <w:rPr>
          <w:sz w:val="20"/>
          <w:szCs w:val="20"/>
        </w:rPr>
      </w:pPr>
      <w:r>
        <w:rPr>
          <w:sz w:val="20"/>
          <w:szCs w:val="20"/>
        </w:rPr>
        <w:t> </w:t>
      </w:r>
    </w:p>
    <w:p w:rsidR="00000000" w:rsidRDefault="00A32496">
      <w:pPr>
        <w:pStyle w:val="a3"/>
        <w:spacing w:before="0" w:beforeAutospacing="0" w:after="0" w:afterAutospacing="0"/>
        <w:jc w:val="center"/>
        <w:rPr>
          <w:sz w:val="20"/>
          <w:szCs w:val="20"/>
        </w:rPr>
      </w:pPr>
      <w:r>
        <w:rPr>
          <w:b/>
          <w:bCs/>
          <w:sz w:val="20"/>
          <w:szCs w:val="20"/>
        </w:rPr>
        <w:t>MONTROSE ENVIRONMENTAL GROUP, INC</w:t>
      </w:r>
      <w:r>
        <w:rPr>
          <w:b/>
          <w:bCs/>
          <w:sz w:val="20"/>
          <w:szCs w:val="20"/>
        </w:rPr>
        <w:t>.</w:t>
      </w:r>
      <w:r>
        <w:rPr>
          <w:b/>
          <w:bCs/>
          <w:sz w:val="20"/>
          <w:szCs w:val="20"/>
        </w:rPr>
        <w:t xml:space="preserve"> </w:t>
      </w:r>
    </w:p>
    <w:p w:rsidR="00000000" w:rsidRDefault="00A32496">
      <w:pPr>
        <w:pStyle w:val="a3"/>
        <w:spacing w:before="0" w:beforeAutospacing="0" w:after="0" w:afterAutospacing="0"/>
        <w:jc w:val="center"/>
        <w:rPr>
          <w:sz w:val="20"/>
          <w:szCs w:val="20"/>
        </w:rPr>
      </w:pPr>
      <w:r>
        <w:rPr>
          <w:b/>
          <w:bCs/>
          <w:sz w:val="20"/>
          <w:szCs w:val="20"/>
        </w:rPr>
        <w:t>UNAUDITED CONDENSED CONSOLIDAT</w:t>
      </w:r>
      <w:r>
        <w:rPr>
          <w:b/>
          <w:bCs/>
          <w:sz w:val="20"/>
          <w:szCs w:val="20"/>
        </w:rPr>
        <w:t>E</w:t>
      </w:r>
      <w:r>
        <w:rPr>
          <w:b/>
          <w:bCs/>
          <w:sz w:val="20"/>
          <w:szCs w:val="20"/>
        </w:rPr>
        <w:t>D STATEMENTS OF OPERATIONS AN</w:t>
      </w:r>
      <w:r>
        <w:rPr>
          <w:b/>
          <w:bCs/>
          <w:sz w:val="20"/>
          <w:szCs w:val="20"/>
        </w:rPr>
        <w:t>D</w:t>
      </w:r>
    </w:p>
    <w:p w:rsidR="00000000" w:rsidRDefault="00A32496">
      <w:pPr>
        <w:pStyle w:val="a3"/>
        <w:spacing w:before="0" w:beforeAutospacing="0" w:after="0" w:afterAutospacing="0"/>
        <w:jc w:val="center"/>
        <w:rPr>
          <w:sz w:val="20"/>
          <w:szCs w:val="20"/>
        </w:rPr>
      </w:pPr>
      <w:r>
        <w:rPr>
          <w:b/>
          <w:bCs/>
          <w:sz w:val="20"/>
          <w:szCs w:val="20"/>
        </w:rPr>
        <w:t>COMPREHENSIVE (LOSS) INCOM</w:t>
      </w:r>
      <w:r>
        <w:rPr>
          <w:b/>
          <w:bCs/>
          <w:sz w:val="20"/>
          <w:szCs w:val="20"/>
        </w:rPr>
        <w:t>E</w:t>
      </w:r>
    </w:p>
    <w:p w:rsidR="00000000" w:rsidRDefault="00A32496">
      <w:pPr>
        <w:pStyle w:val="a3"/>
        <w:spacing w:before="0" w:beforeAutospacing="0" w:after="0" w:afterAutospacing="0"/>
        <w:jc w:val="center"/>
        <w:rPr>
          <w:sz w:val="20"/>
          <w:szCs w:val="20"/>
        </w:rPr>
      </w:pPr>
      <w:r>
        <w:rPr>
          <w:b/>
          <w:bCs/>
          <w:sz w:val="20"/>
          <w:szCs w:val="20"/>
        </w:rPr>
        <w:t>(In thousands, except per share data</w:t>
      </w:r>
      <w:r>
        <w:rPr>
          <w:b/>
          <w:bCs/>
          <w:sz w:val="20"/>
          <w:szCs w:val="20"/>
        </w:rPr>
        <w:t>)</w:t>
      </w:r>
    </w:p>
    <w:p w:rsidR="00000000" w:rsidRDefault="00A32496">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63"/>
        <w:gridCol w:w="110"/>
        <w:gridCol w:w="160"/>
        <w:gridCol w:w="710"/>
        <w:gridCol w:w="127"/>
        <w:gridCol w:w="110"/>
        <w:gridCol w:w="160"/>
        <w:gridCol w:w="710"/>
        <w:gridCol w:w="127"/>
        <w:gridCol w:w="110"/>
        <w:gridCol w:w="160"/>
        <w:gridCol w:w="710"/>
        <w:gridCol w:w="127"/>
        <w:gridCol w:w="110"/>
        <w:gridCol w:w="160"/>
        <w:gridCol w:w="710"/>
        <w:gridCol w:w="142"/>
      </w:tblGrid>
      <w:tr w:rsidR="00000000">
        <w:trPr>
          <w:tblCellSpacing w:w="15" w:type="dxa"/>
        </w:trPr>
        <w:tc>
          <w:tcPr>
            <w:tcW w:w="2543" w:type="pct"/>
            <w:vAlign w:val="center"/>
            <w:hideMark/>
          </w:tcPr>
          <w:p w:rsidR="00000000" w:rsidRDefault="00A32496">
            <w:pPr>
              <w:rPr>
                <w:sz w:val="20"/>
                <w:szCs w:val="20"/>
              </w:rPr>
            </w:pPr>
          </w:p>
        </w:tc>
        <w:tc>
          <w:tcPr>
            <w:tcW w:w="56"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452"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6"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462"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6"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452"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6"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462"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r>
      <w:tr w:rsidR="00000000">
        <w:trPr>
          <w:trHeight w:val="160"/>
          <w:tblCellSpacing w:w="15" w:type="dxa"/>
        </w:trPr>
        <w:tc>
          <w:tcPr>
            <w:tcW w:w="0" w:type="auto"/>
            <w:vAlign w:val="bottom"/>
            <w:hideMark/>
          </w:tcPr>
          <w:p w:rsidR="00000000" w:rsidRDefault="00A3249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32496">
            <w:pPr>
              <w:pStyle w:val="a3"/>
              <w:spacing w:before="0" w:beforeAutospacing="0" w:after="0" w:afterAutospacing="0"/>
              <w:jc w:val="center"/>
              <w:rPr>
                <w:sz w:val="16"/>
                <w:szCs w:val="16"/>
              </w:rPr>
            </w:pPr>
            <w:r>
              <w:rPr>
                <w:b/>
                <w:bCs/>
                <w:sz w:val="16"/>
                <w:szCs w:val="16"/>
              </w:rPr>
              <w:t>Three Months Ende</w:t>
            </w:r>
            <w:r>
              <w:rPr>
                <w:b/>
                <w:bCs/>
                <w:sz w:val="16"/>
                <w:szCs w:val="16"/>
              </w:rPr>
              <w:t>d</w:t>
            </w:r>
          </w:p>
        </w:tc>
        <w:tc>
          <w:tcPr>
            <w:tcW w:w="0" w:type="auto"/>
            <w:vAlign w:val="bottom"/>
            <w:hideMark/>
          </w:tcPr>
          <w:p w:rsidR="00000000" w:rsidRDefault="00A3249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32496">
            <w:pPr>
              <w:pStyle w:val="a3"/>
              <w:spacing w:before="0" w:beforeAutospacing="0" w:after="0" w:afterAutospacing="0"/>
              <w:jc w:val="center"/>
              <w:rPr>
                <w:sz w:val="16"/>
                <w:szCs w:val="16"/>
              </w:rPr>
            </w:pPr>
            <w:r>
              <w:rPr>
                <w:b/>
                <w:bCs/>
                <w:sz w:val="16"/>
                <w:szCs w:val="16"/>
              </w:rPr>
              <w:t>Nine Months Ende</w:t>
            </w:r>
            <w:r>
              <w:rPr>
                <w:b/>
                <w:bCs/>
                <w:sz w:val="16"/>
                <w:szCs w:val="16"/>
              </w:rPr>
              <w:t>d</w:t>
            </w:r>
          </w:p>
        </w:tc>
        <w:tc>
          <w:tcPr>
            <w:tcW w:w="0" w:type="auto"/>
            <w:vAlign w:val="bottom"/>
            <w:hideMark/>
          </w:tcPr>
          <w:p w:rsidR="00000000" w:rsidRDefault="00A3249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3249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32496">
            <w:pPr>
              <w:pStyle w:val="a3"/>
              <w:spacing w:before="0" w:beforeAutospacing="0" w:after="0" w:afterAutospacing="0"/>
              <w:jc w:val="center"/>
              <w:rPr>
                <w:sz w:val="16"/>
                <w:szCs w:val="16"/>
              </w:rPr>
            </w:pPr>
            <w:r>
              <w:rPr>
                <w:b/>
                <w:bCs/>
                <w:sz w:val="16"/>
                <w:szCs w:val="16"/>
              </w:rPr>
              <w:t>September 30</w:t>
            </w:r>
            <w:r>
              <w:rPr>
                <w:b/>
                <w:bCs/>
                <w:sz w:val="16"/>
                <w:szCs w:val="16"/>
              </w:rPr>
              <w:t>,</w:t>
            </w:r>
          </w:p>
        </w:tc>
        <w:tc>
          <w:tcPr>
            <w:tcW w:w="0" w:type="auto"/>
            <w:vAlign w:val="bottom"/>
            <w:hideMark/>
          </w:tcPr>
          <w:p w:rsidR="00000000" w:rsidRDefault="00A3249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32496">
            <w:pPr>
              <w:pStyle w:val="a3"/>
              <w:spacing w:before="0" w:beforeAutospacing="0" w:after="0" w:afterAutospacing="0"/>
              <w:jc w:val="center"/>
              <w:rPr>
                <w:sz w:val="16"/>
                <w:szCs w:val="16"/>
              </w:rPr>
            </w:pPr>
            <w:r>
              <w:rPr>
                <w:b/>
                <w:bCs/>
                <w:sz w:val="16"/>
                <w:szCs w:val="16"/>
              </w:rPr>
              <w:t>September 30</w:t>
            </w:r>
            <w:r>
              <w:rPr>
                <w:b/>
                <w:bCs/>
                <w:sz w:val="16"/>
                <w:szCs w:val="16"/>
              </w:rPr>
              <w:t>,</w:t>
            </w:r>
          </w:p>
        </w:tc>
        <w:tc>
          <w:tcPr>
            <w:tcW w:w="0" w:type="auto"/>
            <w:vAlign w:val="bottom"/>
            <w:hideMark/>
          </w:tcPr>
          <w:p w:rsidR="00000000" w:rsidRDefault="00A3249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3249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gridSpan w:val="2"/>
            <w:vAlign w:val="center"/>
            <w:hideMark/>
          </w:tcPr>
          <w:p w:rsidR="00000000" w:rsidRDefault="00A3249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center"/>
            <w:hideMark/>
          </w:tcPr>
          <w:p w:rsidR="00000000" w:rsidRDefault="00A3249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249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3249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gridSpan w:val="2"/>
            <w:vAlign w:val="center"/>
            <w:hideMark/>
          </w:tcPr>
          <w:p w:rsidR="00000000" w:rsidRDefault="00A3249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center"/>
            <w:hideMark/>
          </w:tcPr>
          <w:p w:rsidR="00000000" w:rsidRDefault="00A3249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249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32496">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A32496">
            <w:pPr>
              <w:pStyle w:val="a3"/>
              <w:spacing w:before="0" w:beforeAutospacing="0" w:after="0" w:afterAutospacing="0"/>
              <w:rPr>
                <w:sz w:val="20"/>
                <w:szCs w:val="20"/>
              </w:rPr>
            </w:pPr>
            <w:r>
              <w:rPr>
                <w:sz w:val="20"/>
                <w:szCs w:val="20"/>
              </w:rPr>
              <w:t>REVENUE</w:t>
            </w:r>
            <w:r>
              <w:rPr>
                <w:sz w:val="20"/>
                <w:szCs w:val="20"/>
              </w:rPr>
              <w:t>S</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130,31</w:t>
            </w:r>
            <w:r>
              <w:rPr>
                <w:sz w:val="20"/>
                <w:szCs w:val="20"/>
              </w:rPr>
              <w:t>2</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132,57</w:t>
            </w:r>
            <w:r>
              <w:rPr>
                <w:sz w:val="20"/>
                <w:szCs w:val="20"/>
              </w:rPr>
              <w:t>8</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404,90</w:t>
            </w:r>
            <w:r>
              <w:rPr>
                <w:sz w:val="20"/>
                <w:szCs w:val="20"/>
              </w:rPr>
              <w:t>2</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402,61</w:t>
            </w:r>
            <w:r>
              <w:rPr>
                <w:sz w:val="20"/>
                <w:szCs w:val="20"/>
              </w:rPr>
              <w:t>9</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32496">
            <w:pPr>
              <w:pStyle w:val="a3"/>
              <w:spacing w:before="0" w:beforeAutospacing="0" w:after="0" w:afterAutospacing="0"/>
              <w:rPr>
                <w:sz w:val="20"/>
                <w:szCs w:val="20"/>
              </w:rPr>
            </w:pPr>
            <w:r>
              <w:rPr>
                <w:sz w:val="20"/>
                <w:szCs w:val="20"/>
              </w:rPr>
              <w:t>COST OF REVENUES (exclusive of depreciation and</w:t>
            </w:r>
            <w:r>
              <w:rPr>
                <w:sz w:val="20"/>
                <w:szCs w:val="20"/>
              </w:rPr>
              <w:br/>
              <w:t>   amortization shown below</w:t>
            </w:r>
            <w:r>
              <w:rPr>
                <w:sz w:val="20"/>
                <w:szCs w:val="20"/>
              </w:rPr>
              <w:t>)</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82,23</w:t>
            </w:r>
            <w:r>
              <w:rPr>
                <w:sz w:val="20"/>
                <w:szCs w:val="20"/>
              </w:rPr>
              <w:t>4</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85,24</w:t>
            </w:r>
            <w:r>
              <w:rPr>
                <w:sz w:val="20"/>
                <w:szCs w:val="20"/>
              </w:rPr>
              <w:t>2</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261,04</w:t>
            </w:r>
            <w:r>
              <w:rPr>
                <w:sz w:val="20"/>
                <w:szCs w:val="20"/>
              </w:rPr>
              <w:t>9</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272,66</w:t>
            </w:r>
            <w:r>
              <w:rPr>
                <w:sz w:val="20"/>
                <w:szCs w:val="20"/>
              </w:rPr>
              <w:t>2</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32496">
            <w:pPr>
              <w:pStyle w:val="a3"/>
              <w:spacing w:before="0" w:beforeAutospacing="0" w:after="0" w:afterAutospacing="0"/>
              <w:rPr>
                <w:sz w:val="20"/>
                <w:szCs w:val="20"/>
              </w:rPr>
            </w:pPr>
            <w:r>
              <w:rPr>
                <w:sz w:val="20"/>
                <w:szCs w:val="20"/>
              </w:rPr>
              <w:t>SELLING, GENERAL AND ADMINISTRATIVE EXPENS</w:t>
            </w:r>
            <w:r>
              <w:rPr>
                <w:sz w:val="20"/>
                <w:szCs w:val="20"/>
              </w:rPr>
              <w:t>E</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42,85</w:t>
            </w:r>
            <w:r>
              <w:rPr>
                <w:sz w:val="20"/>
                <w:szCs w:val="20"/>
              </w:rPr>
              <w:t>7</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30,49</w:t>
            </w:r>
            <w:r>
              <w:rPr>
                <w:sz w:val="20"/>
                <w:szCs w:val="20"/>
              </w:rPr>
              <w:t>9</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131,12</w:t>
            </w:r>
            <w:r>
              <w:rPr>
                <w:sz w:val="20"/>
                <w:szCs w:val="20"/>
              </w:rPr>
              <w:t>0</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82,86</w:t>
            </w:r>
            <w:r>
              <w:rPr>
                <w:sz w:val="20"/>
                <w:szCs w:val="20"/>
              </w:rPr>
              <w:t>5</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32496">
            <w:pPr>
              <w:pStyle w:val="a3"/>
              <w:spacing w:before="0" w:beforeAutospacing="0" w:after="0" w:afterAutospacing="0"/>
              <w:rPr>
                <w:sz w:val="20"/>
                <w:szCs w:val="20"/>
              </w:rPr>
            </w:pPr>
            <w:r>
              <w:rPr>
                <w:sz w:val="20"/>
                <w:szCs w:val="20"/>
              </w:rPr>
              <w:t>FAIR VALUE CHANGES IN BUSINESS ACQUISITION</w:t>
            </w:r>
            <w:r>
              <w:rPr>
                <w:sz w:val="20"/>
                <w:szCs w:val="20"/>
              </w:rPr>
              <w:br/>
              <w:t>   CONTINGENCIE</w:t>
            </w:r>
            <w:r>
              <w:rPr>
                <w:sz w:val="20"/>
                <w:szCs w:val="20"/>
              </w:rPr>
              <w:t>S</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5</w:t>
            </w:r>
            <w:r>
              <w:rPr>
                <w:sz w:val="20"/>
                <w:szCs w:val="20"/>
              </w:rPr>
              <w:t>9</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w:t>
            </w:r>
            <w:r>
              <w:rPr>
                <w:sz w:val="20"/>
                <w:szCs w:val="20"/>
              </w:rPr>
              <w:t>3,47</w:t>
            </w:r>
            <w:r>
              <w:rPr>
                <w:sz w:val="20"/>
                <w:szCs w:val="20"/>
              </w:rPr>
              <w:t>2</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24,03</w:t>
            </w:r>
            <w:r>
              <w:rPr>
                <w:sz w:val="20"/>
                <w:szCs w:val="20"/>
              </w:rPr>
              <w:t>5</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32496">
            <w:pPr>
              <w:pStyle w:val="a3"/>
              <w:spacing w:before="0" w:beforeAutospacing="0" w:after="0" w:afterAutospacing="0"/>
              <w:rPr>
                <w:sz w:val="20"/>
                <w:szCs w:val="20"/>
              </w:rPr>
            </w:pPr>
            <w:r>
              <w:rPr>
                <w:sz w:val="20"/>
                <w:szCs w:val="20"/>
              </w:rPr>
              <w:t>DEPRECIATION AND AMORTIZATIO</w:t>
            </w:r>
            <w:r>
              <w:rPr>
                <w:sz w:val="20"/>
                <w:szCs w:val="20"/>
              </w:rPr>
              <w:t>N</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11,50</w:t>
            </w:r>
            <w:r>
              <w:rPr>
                <w:sz w:val="20"/>
                <w:szCs w:val="20"/>
              </w:rPr>
              <w:t>4</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11,47</w:t>
            </w:r>
            <w:r>
              <w:rPr>
                <w:sz w:val="20"/>
                <w:szCs w:val="20"/>
              </w:rPr>
              <w:t>1</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35,92</w:t>
            </w:r>
            <w:r>
              <w:rPr>
                <w:sz w:val="20"/>
                <w:szCs w:val="20"/>
              </w:rPr>
              <w:t>8</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33,14</w:t>
            </w:r>
            <w:r>
              <w:rPr>
                <w:sz w:val="20"/>
                <w:szCs w:val="20"/>
              </w:rPr>
              <w:t>5</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32496">
            <w:pPr>
              <w:pStyle w:val="a3"/>
              <w:spacing w:before="0" w:beforeAutospacing="0" w:after="0" w:afterAutospacing="0"/>
              <w:rPr>
                <w:sz w:val="20"/>
                <w:szCs w:val="20"/>
              </w:rPr>
            </w:pPr>
            <w:r>
              <w:rPr>
                <w:sz w:val="20"/>
                <w:szCs w:val="20"/>
              </w:rPr>
              <w:t>(LOSS) INCOME FROM OPERATION</w:t>
            </w:r>
            <w:r>
              <w:rPr>
                <w:sz w:val="20"/>
                <w:szCs w:val="20"/>
              </w:rPr>
              <w:t>S</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w:t>
            </w:r>
            <w:r>
              <w:rPr>
                <w:sz w:val="20"/>
                <w:szCs w:val="20"/>
              </w:rPr>
              <w:t>6,34</w:t>
            </w:r>
            <w:r>
              <w:rPr>
                <w:sz w:val="20"/>
                <w:szCs w:val="20"/>
              </w:rPr>
              <w:t>2</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5,36</w:t>
            </w:r>
            <w:r>
              <w:rPr>
                <w:sz w:val="20"/>
                <w:szCs w:val="20"/>
              </w:rPr>
              <w:t>6</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w:t>
            </w:r>
            <w:r>
              <w:rPr>
                <w:sz w:val="20"/>
                <w:szCs w:val="20"/>
              </w:rPr>
              <w:t>19,72</w:t>
            </w:r>
            <w:r>
              <w:rPr>
                <w:sz w:val="20"/>
                <w:szCs w:val="20"/>
              </w:rPr>
              <w:t>3</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w:t>
            </w:r>
            <w:r>
              <w:rPr>
                <w:sz w:val="20"/>
                <w:szCs w:val="20"/>
              </w:rPr>
              <w:t>10,08</w:t>
            </w:r>
            <w:r>
              <w:rPr>
                <w:sz w:val="20"/>
                <w:szCs w:val="20"/>
              </w:rPr>
              <w:t>8</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32496">
            <w:pPr>
              <w:pStyle w:val="a3"/>
              <w:spacing w:before="0" w:beforeAutospacing="0" w:after="0" w:afterAutospacing="0"/>
              <w:rPr>
                <w:sz w:val="20"/>
                <w:szCs w:val="20"/>
              </w:rPr>
            </w:pPr>
            <w:r>
              <w:rPr>
                <w:sz w:val="20"/>
                <w:szCs w:val="20"/>
              </w:rPr>
              <w:t>OTHER INCOME (EXPENSE</w:t>
            </w:r>
            <w:r>
              <w:rPr>
                <w:sz w:val="20"/>
                <w:szCs w:val="20"/>
              </w:rPr>
              <w:t>)</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249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249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249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249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A32496">
            <w:pPr>
              <w:pStyle w:val="a3"/>
              <w:spacing w:before="0" w:beforeAutospacing="0" w:after="0" w:afterAutospacing="0"/>
              <w:ind w:left="200"/>
              <w:rPr>
                <w:sz w:val="20"/>
                <w:szCs w:val="20"/>
              </w:rPr>
            </w:pPr>
            <w:r>
              <w:rPr>
                <w:sz w:val="20"/>
                <w:szCs w:val="20"/>
              </w:rPr>
              <w:t>Other income (expense</w:t>
            </w:r>
            <w:r>
              <w:rPr>
                <w:sz w:val="20"/>
                <w:szCs w:val="20"/>
              </w:rPr>
              <w:t>)</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1,81</w:t>
            </w:r>
            <w:r>
              <w:rPr>
                <w:sz w:val="20"/>
                <w:szCs w:val="20"/>
              </w:rPr>
              <w:t>4</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w:t>
            </w:r>
            <w:r>
              <w:rPr>
                <w:sz w:val="20"/>
                <w:szCs w:val="20"/>
              </w:rPr>
              <w:t>51</w:t>
            </w:r>
            <w:r>
              <w:rPr>
                <w:sz w:val="20"/>
                <w:szCs w:val="20"/>
              </w:rPr>
              <w:t>6</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4,61</w:t>
            </w:r>
            <w:r>
              <w:rPr>
                <w:sz w:val="20"/>
                <w:szCs w:val="20"/>
              </w:rPr>
              <w:t>8</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w:t>
            </w:r>
            <w:r>
              <w:rPr>
                <w:sz w:val="20"/>
                <w:szCs w:val="20"/>
              </w:rPr>
              <w:t>1,90</w:t>
            </w:r>
            <w:r>
              <w:rPr>
                <w:sz w:val="20"/>
                <w:szCs w:val="20"/>
              </w:rPr>
              <w:t>9</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32496">
            <w:pPr>
              <w:pStyle w:val="a3"/>
              <w:spacing w:before="0" w:beforeAutospacing="0" w:after="0" w:afterAutospacing="0"/>
              <w:ind w:left="200"/>
              <w:rPr>
                <w:sz w:val="20"/>
                <w:szCs w:val="20"/>
              </w:rPr>
            </w:pPr>
            <w:r>
              <w:rPr>
                <w:sz w:val="20"/>
                <w:szCs w:val="20"/>
              </w:rPr>
              <w:t>Interest expense—ne</w:t>
            </w:r>
            <w:r>
              <w:rPr>
                <w:sz w:val="20"/>
                <w:szCs w:val="20"/>
              </w:rPr>
              <w:t>t</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w:t>
            </w:r>
            <w:r>
              <w:rPr>
                <w:sz w:val="20"/>
                <w:szCs w:val="20"/>
              </w:rPr>
              <w:t>1,40</w:t>
            </w:r>
            <w:r>
              <w:rPr>
                <w:sz w:val="20"/>
                <w:szCs w:val="20"/>
              </w:rPr>
              <w:t>0</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w:t>
            </w:r>
            <w:r>
              <w:rPr>
                <w:sz w:val="20"/>
                <w:szCs w:val="20"/>
              </w:rPr>
              <w:t>1,72</w:t>
            </w:r>
            <w:r>
              <w:rPr>
                <w:sz w:val="20"/>
                <w:szCs w:val="20"/>
              </w:rPr>
              <w:t>2</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w:t>
            </w:r>
            <w:r>
              <w:rPr>
                <w:sz w:val="20"/>
                <w:szCs w:val="20"/>
              </w:rPr>
              <w:t>4,01</w:t>
            </w:r>
            <w:r>
              <w:rPr>
                <w:sz w:val="20"/>
                <w:szCs w:val="20"/>
              </w:rPr>
              <w:t>0</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w:t>
            </w:r>
            <w:r>
              <w:rPr>
                <w:sz w:val="20"/>
                <w:szCs w:val="20"/>
              </w:rPr>
              <w:t>11,20</w:t>
            </w:r>
            <w:r>
              <w:rPr>
                <w:sz w:val="20"/>
                <w:szCs w:val="20"/>
              </w:rPr>
              <w:t>8</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32496">
            <w:pPr>
              <w:pStyle w:val="a3"/>
              <w:spacing w:before="0" w:beforeAutospacing="0" w:after="0" w:afterAutospacing="0"/>
              <w:ind w:left="400"/>
              <w:rPr>
                <w:sz w:val="20"/>
                <w:szCs w:val="20"/>
              </w:rPr>
            </w:pPr>
            <w:r>
              <w:rPr>
                <w:sz w:val="20"/>
                <w:szCs w:val="20"/>
              </w:rPr>
              <w:t>Total other income (expense)—ne</w:t>
            </w:r>
            <w:r>
              <w:rPr>
                <w:sz w:val="20"/>
                <w:szCs w:val="20"/>
              </w:rPr>
              <w:t>t</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41</w:t>
            </w:r>
            <w:r>
              <w:rPr>
                <w:sz w:val="20"/>
                <w:szCs w:val="20"/>
              </w:rPr>
              <w:t>4</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w:t>
            </w:r>
            <w:r>
              <w:rPr>
                <w:sz w:val="20"/>
                <w:szCs w:val="20"/>
              </w:rPr>
              <w:t>2,23</w:t>
            </w:r>
            <w:r>
              <w:rPr>
                <w:sz w:val="20"/>
                <w:szCs w:val="20"/>
              </w:rPr>
              <w:t>8</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60</w:t>
            </w:r>
            <w:r>
              <w:rPr>
                <w:sz w:val="20"/>
                <w:szCs w:val="20"/>
              </w:rPr>
              <w:t>8</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w:t>
            </w:r>
            <w:r>
              <w:rPr>
                <w:sz w:val="20"/>
                <w:szCs w:val="20"/>
              </w:rPr>
              <w:t>13,11</w:t>
            </w:r>
            <w:r>
              <w:rPr>
                <w:sz w:val="20"/>
                <w:szCs w:val="20"/>
              </w:rPr>
              <w:t>7</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32496">
            <w:pPr>
              <w:pStyle w:val="a3"/>
              <w:spacing w:before="0" w:beforeAutospacing="0" w:after="0" w:afterAutospacing="0"/>
              <w:rPr>
                <w:sz w:val="20"/>
                <w:szCs w:val="20"/>
              </w:rPr>
            </w:pPr>
            <w:r>
              <w:rPr>
                <w:sz w:val="20"/>
                <w:szCs w:val="20"/>
              </w:rPr>
              <w:t>(LOSS) INCOME BEFORE (BENEFIT) EXPENSE FROM</w:t>
            </w:r>
            <w:r>
              <w:rPr>
                <w:sz w:val="20"/>
                <w:szCs w:val="20"/>
              </w:rPr>
              <w:br/>
              <w:t>   INCOME TAXE</w:t>
            </w:r>
            <w:r>
              <w:rPr>
                <w:sz w:val="20"/>
                <w:szCs w:val="20"/>
              </w:rPr>
              <w:t>S</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w:t>
            </w:r>
            <w:r>
              <w:rPr>
                <w:sz w:val="20"/>
                <w:szCs w:val="20"/>
              </w:rPr>
              <w:t>5,92</w:t>
            </w:r>
            <w:r>
              <w:rPr>
                <w:sz w:val="20"/>
                <w:szCs w:val="20"/>
              </w:rPr>
              <w:t>8</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3,12</w:t>
            </w:r>
            <w:r>
              <w:rPr>
                <w:sz w:val="20"/>
                <w:szCs w:val="20"/>
              </w:rPr>
              <w:t>8</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w:t>
            </w:r>
            <w:r>
              <w:rPr>
                <w:sz w:val="20"/>
                <w:szCs w:val="20"/>
              </w:rPr>
              <w:t>19,11</w:t>
            </w:r>
            <w:r>
              <w:rPr>
                <w:sz w:val="20"/>
                <w:szCs w:val="20"/>
              </w:rPr>
              <w:t>5</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w:t>
            </w:r>
            <w:r>
              <w:rPr>
                <w:sz w:val="20"/>
                <w:szCs w:val="20"/>
              </w:rPr>
              <w:t>23,20</w:t>
            </w:r>
            <w:r>
              <w:rPr>
                <w:sz w:val="20"/>
                <w:szCs w:val="20"/>
              </w:rPr>
              <w:t>5</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32496">
            <w:pPr>
              <w:pStyle w:val="a3"/>
              <w:spacing w:before="0" w:beforeAutospacing="0" w:after="0" w:afterAutospacing="0"/>
              <w:rPr>
                <w:sz w:val="20"/>
                <w:szCs w:val="20"/>
              </w:rPr>
            </w:pPr>
            <w:r>
              <w:rPr>
                <w:sz w:val="20"/>
                <w:szCs w:val="20"/>
              </w:rPr>
              <w:t>INCOME TAX (BENEFIT) EXPENS</w:t>
            </w:r>
            <w:r>
              <w:rPr>
                <w:sz w:val="20"/>
                <w:szCs w:val="20"/>
              </w:rPr>
              <w:t>E</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w:t>
            </w:r>
            <w:r>
              <w:rPr>
                <w:sz w:val="20"/>
                <w:szCs w:val="20"/>
              </w:rPr>
              <w:t>20</w:t>
            </w:r>
            <w:r>
              <w:rPr>
                <w:sz w:val="20"/>
                <w:szCs w:val="20"/>
              </w:rPr>
              <w:t>8</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90</w:t>
            </w:r>
            <w:r>
              <w:rPr>
                <w:sz w:val="20"/>
                <w:szCs w:val="20"/>
              </w:rPr>
              <w:t>2</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1,89</w:t>
            </w:r>
            <w:r>
              <w:rPr>
                <w:sz w:val="20"/>
                <w:szCs w:val="20"/>
              </w:rPr>
              <w:t>2</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64</w:t>
            </w:r>
            <w:r>
              <w:rPr>
                <w:sz w:val="20"/>
                <w:szCs w:val="20"/>
              </w:rPr>
              <w:t>8</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32496">
            <w:pPr>
              <w:pStyle w:val="a3"/>
              <w:spacing w:before="0" w:beforeAutospacing="0" w:after="0" w:afterAutospacing="0"/>
              <w:rPr>
                <w:sz w:val="20"/>
                <w:szCs w:val="20"/>
              </w:rPr>
            </w:pPr>
            <w:r>
              <w:rPr>
                <w:b/>
                <w:bCs/>
                <w:sz w:val="20"/>
                <w:szCs w:val="20"/>
              </w:rPr>
              <w:t>NET (LOSS) INCOM</w:t>
            </w:r>
            <w:r>
              <w:rPr>
                <w:b/>
                <w:bCs/>
                <w:sz w:val="20"/>
                <w:szCs w:val="20"/>
              </w:rPr>
              <w:t>E</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A32496">
            <w:pPr>
              <w:pStyle w:val="a3"/>
              <w:spacing w:before="0" w:beforeAutospacing="0" w:after="0" w:afterAutospacing="0"/>
              <w:jc w:val="right"/>
              <w:rPr>
                <w:sz w:val="20"/>
                <w:szCs w:val="20"/>
              </w:rPr>
            </w:pPr>
            <w:r>
              <w:rPr>
                <w:b/>
                <w:bCs/>
                <w:sz w:val="20"/>
                <w:szCs w:val="20"/>
              </w:rPr>
              <w:t>(</w:t>
            </w:r>
            <w:r>
              <w:rPr>
                <w:b/>
                <w:bCs/>
                <w:sz w:val="20"/>
                <w:szCs w:val="20"/>
              </w:rPr>
              <w:t>5,72</w:t>
            </w:r>
            <w:r>
              <w:rPr>
                <w:b/>
                <w:bCs/>
                <w:sz w:val="20"/>
                <w:szCs w:val="20"/>
              </w:rPr>
              <w:t>0</w:t>
            </w:r>
          </w:p>
        </w:tc>
        <w:tc>
          <w:tcPr>
            <w:tcW w:w="0" w:type="auto"/>
            <w:noWrap/>
            <w:vAlign w:val="bottom"/>
            <w:hideMark/>
          </w:tcPr>
          <w:p w:rsidR="00000000" w:rsidRDefault="00A3249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A32496">
            <w:pPr>
              <w:pStyle w:val="a3"/>
              <w:spacing w:before="0" w:beforeAutospacing="0" w:after="0" w:afterAutospacing="0"/>
              <w:jc w:val="right"/>
              <w:rPr>
                <w:sz w:val="20"/>
                <w:szCs w:val="20"/>
              </w:rPr>
            </w:pPr>
            <w:r>
              <w:rPr>
                <w:b/>
                <w:bCs/>
                <w:sz w:val="20"/>
                <w:szCs w:val="20"/>
              </w:rPr>
              <w:t>2,22</w:t>
            </w:r>
            <w:r>
              <w:rPr>
                <w:b/>
                <w:bCs/>
                <w:sz w:val="20"/>
                <w:szCs w:val="20"/>
              </w:rPr>
              <w:t>6</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A32496">
            <w:pPr>
              <w:pStyle w:val="a3"/>
              <w:spacing w:before="0" w:beforeAutospacing="0" w:after="0" w:afterAutospacing="0"/>
              <w:jc w:val="right"/>
              <w:rPr>
                <w:sz w:val="20"/>
                <w:szCs w:val="20"/>
              </w:rPr>
            </w:pPr>
            <w:r>
              <w:rPr>
                <w:b/>
                <w:bCs/>
                <w:sz w:val="20"/>
                <w:szCs w:val="20"/>
              </w:rPr>
              <w:t>(</w:t>
            </w:r>
            <w:r>
              <w:rPr>
                <w:b/>
                <w:bCs/>
                <w:sz w:val="20"/>
                <w:szCs w:val="20"/>
              </w:rPr>
              <w:t>21,00</w:t>
            </w:r>
            <w:r>
              <w:rPr>
                <w:b/>
                <w:bCs/>
                <w:sz w:val="20"/>
                <w:szCs w:val="20"/>
              </w:rPr>
              <w:t>7</w:t>
            </w:r>
          </w:p>
        </w:tc>
        <w:tc>
          <w:tcPr>
            <w:tcW w:w="0" w:type="auto"/>
            <w:noWrap/>
            <w:vAlign w:val="bottom"/>
            <w:hideMark/>
          </w:tcPr>
          <w:p w:rsidR="00000000" w:rsidRDefault="00A3249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A32496">
            <w:pPr>
              <w:pStyle w:val="a3"/>
              <w:spacing w:before="0" w:beforeAutospacing="0" w:after="0" w:afterAutospacing="0"/>
              <w:jc w:val="right"/>
              <w:rPr>
                <w:sz w:val="20"/>
                <w:szCs w:val="20"/>
              </w:rPr>
            </w:pPr>
            <w:r>
              <w:rPr>
                <w:b/>
                <w:bCs/>
                <w:sz w:val="20"/>
                <w:szCs w:val="20"/>
              </w:rPr>
              <w:t>(</w:t>
            </w:r>
            <w:r>
              <w:rPr>
                <w:b/>
                <w:bCs/>
                <w:sz w:val="20"/>
                <w:szCs w:val="20"/>
              </w:rPr>
              <w:t>23,85</w:t>
            </w:r>
            <w:r>
              <w:rPr>
                <w:b/>
                <w:bCs/>
                <w:sz w:val="20"/>
                <w:szCs w:val="20"/>
              </w:rPr>
              <w:t>3</w:t>
            </w:r>
          </w:p>
        </w:tc>
        <w:tc>
          <w:tcPr>
            <w:tcW w:w="0" w:type="auto"/>
            <w:noWrap/>
            <w:vAlign w:val="bottom"/>
            <w:hideMark/>
          </w:tcPr>
          <w:p w:rsidR="00000000" w:rsidRDefault="00A32496">
            <w:pPr>
              <w:pStyle w:val="a3"/>
              <w:spacing w:before="0" w:beforeAutospacing="0" w:after="0" w:afterAutospacing="0"/>
              <w:rPr>
                <w:sz w:val="20"/>
                <w:szCs w:val="20"/>
              </w:rPr>
            </w:pPr>
            <w:r>
              <w:rPr>
                <w:b/>
                <w:bCs/>
                <w:sz w:val="20"/>
                <w:szCs w:val="20"/>
              </w:rPr>
              <w:t>)</w:t>
            </w:r>
          </w:p>
        </w:tc>
      </w:tr>
      <w:tr w:rsidR="00000000">
        <w:trPr>
          <w:trHeight w:val="200"/>
          <w:tblCellSpacing w:w="15" w:type="dxa"/>
        </w:trPr>
        <w:tc>
          <w:tcPr>
            <w:tcW w:w="0" w:type="auto"/>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249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249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249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249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A32496">
            <w:pPr>
              <w:pStyle w:val="a3"/>
              <w:spacing w:before="0" w:beforeAutospacing="0" w:after="0" w:afterAutospacing="0"/>
              <w:rPr>
                <w:sz w:val="20"/>
                <w:szCs w:val="20"/>
              </w:rPr>
            </w:pPr>
            <w:r>
              <w:rPr>
                <w:sz w:val="20"/>
                <w:szCs w:val="20"/>
              </w:rPr>
              <w:t xml:space="preserve">EQUITY ADJUSTMENT FROM FOREIGN </w:t>
            </w:r>
            <w:r>
              <w:rPr>
                <w:sz w:val="20"/>
                <w:szCs w:val="20"/>
              </w:rPr>
              <w:br/>
              <w:t>   CURRENCY TRANSLATIO</w:t>
            </w:r>
            <w:r>
              <w:rPr>
                <w:sz w:val="20"/>
                <w:szCs w:val="20"/>
              </w:rPr>
              <w:t>N</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2</w:t>
            </w:r>
            <w:r>
              <w:rPr>
                <w:sz w:val="20"/>
                <w:szCs w:val="20"/>
              </w:rPr>
              <w:t>0</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w:t>
            </w:r>
            <w:r>
              <w:rPr>
                <w:sz w:val="20"/>
                <w:szCs w:val="20"/>
              </w:rPr>
              <w:t>7</w:t>
            </w:r>
            <w:r>
              <w:rPr>
                <w:sz w:val="20"/>
                <w:szCs w:val="20"/>
              </w:rPr>
              <w:t>4</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1</w:t>
            </w:r>
            <w:r>
              <w:rPr>
                <w:sz w:val="20"/>
                <w:szCs w:val="20"/>
              </w:rPr>
              <w:t>7</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w:t>
            </w:r>
            <w:r>
              <w:rPr>
                <w:sz w:val="20"/>
                <w:szCs w:val="20"/>
              </w:rPr>
              <w:t>1</w:t>
            </w:r>
            <w:r>
              <w:rPr>
                <w:sz w:val="20"/>
                <w:szCs w:val="20"/>
              </w:rPr>
              <w:t>7</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32496">
            <w:pPr>
              <w:pStyle w:val="a3"/>
              <w:spacing w:before="0" w:beforeAutospacing="0" w:after="0" w:afterAutospacing="0"/>
              <w:rPr>
                <w:sz w:val="20"/>
                <w:szCs w:val="20"/>
              </w:rPr>
            </w:pPr>
            <w:r>
              <w:rPr>
                <w:sz w:val="20"/>
                <w:szCs w:val="20"/>
              </w:rPr>
              <w:t>COMPREHENSIVE (LOSS) INCOM</w:t>
            </w:r>
            <w:r>
              <w:rPr>
                <w:sz w:val="20"/>
                <w:szCs w:val="20"/>
              </w:rPr>
              <w:t>E</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w:t>
            </w:r>
            <w:r>
              <w:rPr>
                <w:sz w:val="20"/>
                <w:szCs w:val="20"/>
              </w:rPr>
              <w:t>5,70</w:t>
            </w:r>
            <w:r>
              <w:rPr>
                <w:sz w:val="20"/>
                <w:szCs w:val="20"/>
              </w:rPr>
              <w:t>0</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2,15</w:t>
            </w:r>
            <w:r>
              <w:rPr>
                <w:sz w:val="20"/>
                <w:szCs w:val="20"/>
              </w:rPr>
              <w:t>2</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w:t>
            </w:r>
            <w:r>
              <w:rPr>
                <w:sz w:val="20"/>
                <w:szCs w:val="20"/>
              </w:rPr>
              <w:t>20,99</w:t>
            </w:r>
            <w:r>
              <w:rPr>
                <w:sz w:val="20"/>
                <w:szCs w:val="20"/>
              </w:rPr>
              <w:t>0</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w:t>
            </w:r>
            <w:r>
              <w:rPr>
                <w:sz w:val="20"/>
                <w:szCs w:val="20"/>
              </w:rPr>
              <w:t>23,87</w:t>
            </w:r>
            <w:r>
              <w:rPr>
                <w:sz w:val="20"/>
                <w:szCs w:val="20"/>
              </w:rPr>
              <w:t>0</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32496">
            <w:pPr>
              <w:pStyle w:val="a3"/>
              <w:spacing w:before="0" w:beforeAutospacing="0" w:after="0" w:afterAutospacing="0"/>
              <w:rPr>
                <w:sz w:val="20"/>
                <w:szCs w:val="20"/>
              </w:rPr>
            </w:pPr>
            <w:r>
              <w:rPr>
                <w:sz w:val="20"/>
                <w:szCs w:val="20"/>
              </w:rPr>
              <w:t xml:space="preserve">CONVERTIBLE AND REDEEMABLE SERIES A-2 </w:t>
            </w:r>
            <w:r>
              <w:rPr>
                <w:sz w:val="20"/>
                <w:szCs w:val="20"/>
              </w:rPr>
              <w:br/>
              <w:t>   PREFERRED STOCK DIVIDEN</w:t>
            </w:r>
            <w:r>
              <w:rPr>
                <w:sz w:val="20"/>
                <w:szCs w:val="20"/>
              </w:rPr>
              <w:t>D</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w:t>
            </w:r>
            <w:r>
              <w:rPr>
                <w:sz w:val="20"/>
                <w:szCs w:val="20"/>
              </w:rPr>
              <w:t>4,10</w:t>
            </w:r>
            <w:r>
              <w:rPr>
                <w:sz w:val="20"/>
                <w:szCs w:val="20"/>
              </w:rPr>
              <w:t>0</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w:t>
            </w:r>
            <w:r>
              <w:rPr>
                <w:sz w:val="20"/>
                <w:szCs w:val="20"/>
              </w:rPr>
              <w:t>4,10</w:t>
            </w:r>
            <w:r>
              <w:rPr>
                <w:sz w:val="20"/>
                <w:szCs w:val="20"/>
              </w:rPr>
              <w:t>0</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w:t>
            </w:r>
            <w:r>
              <w:rPr>
                <w:sz w:val="20"/>
                <w:szCs w:val="20"/>
              </w:rPr>
              <w:t>12,30</w:t>
            </w:r>
            <w:r>
              <w:rPr>
                <w:sz w:val="20"/>
                <w:szCs w:val="20"/>
              </w:rPr>
              <w:t>0</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w:t>
            </w:r>
            <w:r>
              <w:rPr>
                <w:sz w:val="20"/>
                <w:szCs w:val="20"/>
              </w:rPr>
              <w:t>12,30</w:t>
            </w:r>
            <w:r>
              <w:rPr>
                <w:sz w:val="20"/>
                <w:szCs w:val="20"/>
              </w:rPr>
              <w:t>0</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32496">
            <w:pPr>
              <w:pStyle w:val="a3"/>
              <w:spacing w:before="0" w:beforeAutospacing="0" w:after="0" w:afterAutospacing="0"/>
              <w:rPr>
                <w:sz w:val="20"/>
                <w:szCs w:val="20"/>
              </w:rPr>
            </w:pPr>
            <w:r>
              <w:rPr>
                <w:b/>
                <w:bCs/>
                <w:sz w:val="20"/>
                <w:szCs w:val="20"/>
              </w:rPr>
              <w:t xml:space="preserve">NET LOSS ATTRIBUTABLE TO </w:t>
            </w:r>
            <w:r>
              <w:rPr>
                <w:b/>
                <w:bCs/>
                <w:sz w:val="20"/>
                <w:szCs w:val="20"/>
              </w:rPr>
              <w:br/>
              <w:t>   COMMON STOCKHOLDER</w:t>
            </w:r>
            <w:r>
              <w:rPr>
                <w:b/>
                <w:bCs/>
                <w:sz w:val="20"/>
                <w:szCs w:val="20"/>
              </w:rPr>
              <w:t>S</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b/>
                <w:bCs/>
                <w:sz w:val="20"/>
                <w:szCs w:val="20"/>
              </w:rPr>
              <w:t>(</w:t>
            </w:r>
            <w:r>
              <w:rPr>
                <w:b/>
                <w:bCs/>
                <w:sz w:val="20"/>
                <w:szCs w:val="20"/>
              </w:rPr>
              <w:t>9,82</w:t>
            </w:r>
            <w:r>
              <w:rPr>
                <w:b/>
                <w:bCs/>
                <w:sz w:val="20"/>
                <w:szCs w:val="20"/>
              </w:rPr>
              <w:t>0</w:t>
            </w:r>
          </w:p>
        </w:tc>
        <w:tc>
          <w:tcPr>
            <w:tcW w:w="0" w:type="auto"/>
            <w:noWrap/>
            <w:vAlign w:val="bottom"/>
            <w:hideMark/>
          </w:tcPr>
          <w:p w:rsidR="00000000" w:rsidRDefault="00A3249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b/>
                <w:bCs/>
                <w:sz w:val="20"/>
                <w:szCs w:val="20"/>
              </w:rPr>
              <w:t>(</w:t>
            </w:r>
            <w:r>
              <w:rPr>
                <w:b/>
                <w:bCs/>
                <w:sz w:val="20"/>
                <w:szCs w:val="20"/>
              </w:rPr>
              <w:t>1,87</w:t>
            </w:r>
            <w:r>
              <w:rPr>
                <w:b/>
                <w:bCs/>
                <w:sz w:val="20"/>
                <w:szCs w:val="20"/>
              </w:rPr>
              <w:t>4</w:t>
            </w:r>
          </w:p>
        </w:tc>
        <w:tc>
          <w:tcPr>
            <w:tcW w:w="0" w:type="auto"/>
            <w:noWrap/>
            <w:vAlign w:val="bottom"/>
            <w:hideMark/>
          </w:tcPr>
          <w:p w:rsidR="00000000" w:rsidRDefault="00A3249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b/>
                <w:bCs/>
                <w:sz w:val="20"/>
                <w:szCs w:val="20"/>
              </w:rPr>
              <w:t>(</w:t>
            </w:r>
            <w:r>
              <w:rPr>
                <w:b/>
                <w:bCs/>
                <w:sz w:val="20"/>
                <w:szCs w:val="20"/>
              </w:rPr>
              <w:t>33,30</w:t>
            </w:r>
            <w:r>
              <w:rPr>
                <w:b/>
                <w:bCs/>
                <w:sz w:val="20"/>
                <w:szCs w:val="20"/>
              </w:rPr>
              <w:t>7</w:t>
            </w:r>
          </w:p>
        </w:tc>
        <w:tc>
          <w:tcPr>
            <w:tcW w:w="0" w:type="auto"/>
            <w:noWrap/>
            <w:vAlign w:val="bottom"/>
            <w:hideMark/>
          </w:tcPr>
          <w:p w:rsidR="00000000" w:rsidRDefault="00A3249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b/>
                <w:bCs/>
                <w:sz w:val="20"/>
                <w:szCs w:val="20"/>
              </w:rPr>
              <w:t>(</w:t>
            </w:r>
            <w:r>
              <w:rPr>
                <w:b/>
                <w:bCs/>
                <w:sz w:val="20"/>
                <w:szCs w:val="20"/>
              </w:rPr>
              <w:t>36,15</w:t>
            </w:r>
            <w:r>
              <w:rPr>
                <w:b/>
                <w:bCs/>
                <w:sz w:val="20"/>
                <w:szCs w:val="20"/>
              </w:rPr>
              <w:t>3</w:t>
            </w:r>
          </w:p>
        </w:tc>
        <w:tc>
          <w:tcPr>
            <w:tcW w:w="0" w:type="auto"/>
            <w:noWrap/>
            <w:vAlign w:val="bottom"/>
            <w:hideMark/>
          </w:tcPr>
          <w:p w:rsidR="00000000" w:rsidRDefault="00A32496">
            <w:pPr>
              <w:pStyle w:val="a3"/>
              <w:spacing w:before="0" w:beforeAutospacing="0" w:after="0" w:afterAutospacing="0"/>
              <w:rPr>
                <w:sz w:val="20"/>
                <w:szCs w:val="20"/>
              </w:rPr>
            </w:pPr>
            <w:r>
              <w:rPr>
                <w:b/>
                <w:bCs/>
                <w:sz w:val="20"/>
                <w:szCs w:val="20"/>
              </w:rPr>
              <w:t>)</w:t>
            </w:r>
          </w:p>
        </w:tc>
      </w:tr>
      <w:tr w:rsidR="00000000">
        <w:trPr>
          <w:trHeight w:val="200"/>
          <w:tblCellSpacing w:w="15" w:type="dxa"/>
        </w:trPr>
        <w:tc>
          <w:tcPr>
            <w:tcW w:w="0" w:type="auto"/>
            <w:hideMark/>
          </w:tcPr>
          <w:p w:rsidR="00000000" w:rsidRDefault="00A32496">
            <w:pPr>
              <w:pStyle w:val="a3"/>
              <w:spacing w:before="0" w:beforeAutospacing="0" w:after="0" w:afterAutospacing="0"/>
              <w:rPr>
                <w:sz w:val="20"/>
                <w:szCs w:val="20"/>
              </w:rPr>
            </w:pPr>
            <w:r>
              <w:rPr>
                <w:sz w:val="20"/>
                <w:szCs w:val="20"/>
              </w:rPr>
              <w:t>WEIGHTED AVERAGE COMMON SHARES</w:t>
            </w:r>
            <w:r>
              <w:rPr>
                <w:sz w:val="20"/>
                <w:szCs w:val="20"/>
              </w:rPr>
              <w:br/>
              <w:t>   OUTSTANDING— BASIC AND DILUTE</w:t>
            </w:r>
            <w:r>
              <w:rPr>
                <w:sz w:val="20"/>
                <w:szCs w:val="20"/>
              </w:rPr>
              <w:t>D</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29,69</w:t>
            </w:r>
            <w:r>
              <w:rPr>
                <w:sz w:val="20"/>
                <w:szCs w:val="20"/>
              </w:rPr>
              <w:t>1</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26,22</w:t>
            </w:r>
            <w:r>
              <w:rPr>
                <w:sz w:val="20"/>
                <w:szCs w:val="20"/>
              </w:rPr>
              <w:t>0</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29,67</w:t>
            </w:r>
            <w:r>
              <w:rPr>
                <w:sz w:val="20"/>
                <w:szCs w:val="20"/>
              </w:rPr>
              <w:t>7</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25,79</w:t>
            </w:r>
            <w:r>
              <w:rPr>
                <w:sz w:val="20"/>
                <w:szCs w:val="20"/>
              </w:rPr>
              <w:t>8</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32496">
            <w:pPr>
              <w:pStyle w:val="a3"/>
              <w:spacing w:before="0" w:beforeAutospacing="0" w:after="0" w:afterAutospacing="0"/>
              <w:rPr>
                <w:sz w:val="20"/>
                <w:szCs w:val="20"/>
              </w:rPr>
            </w:pPr>
            <w:r>
              <w:rPr>
                <w:b/>
                <w:bCs/>
                <w:sz w:val="20"/>
                <w:szCs w:val="20"/>
              </w:rPr>
              <w:t xml:space="preserve">NET LOSS PER SHARE ATTRIBUTABLE TO </w:t>
            </w:r>
            <w:r>
              <w:rPr>
                <w:b/>
                <w:bCs/>
                <w:sz w:val="20"/>
                <w:szCs w:val="20"/>
              </w:rPr>
              <w:br/>
              <w:t>   COMMON STOCKHOLDERS— BASIC AND DILUTE</w:t>
            </w:r>
            <w:r>
              <w:rPr>
                <w:b/>
                <w:bCs/>
                <w:sz w:val="20"/>
                <w:szCs w:val="20"/>
              </w:rPr>
              <w:t>D</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A32496">
            <w:pPr>
              <w:pStyle w:val="a3"/>
              <w:spacing w:before="0" w:beforeAutospacing="0" w:after="0" w:afterAutospacing="0"/>
              <w:jc w:val="right"/>
              <w:rPr>
                <w:sz w:val="20"/>
                <w:szCs w:val="20"/>
              </w:rPr>
            </w:pPr>
            <w:r>
              <w:rPr>
                <w:b/>
                <w:bCs/>
                <w:sz w:val="20"/>
                <w:szCs w:val="20"/>
              </w:rPr>
              <w:t>(</w:t>
            </w:r>
            <w:r>
              <w:rPr>
                <w:b/>
                <w:bCs/>
                <w:sz w:val="20"/>
                <w:szCs w:val="20"/>
              </w:rPr>
              <w:t>0.3</w:t>
            </w:r>
            <w:r>
              <w:rPr>
                <w:b/>
                <w:bCs/>
                <w:sz w:val="20"/>
                <w:szCs w:val="20"/>
              </w:rPr>
              <w:t>3</w:t>
            </w:r>
          </w:p>
        </w:tc>
        <w:tc>
          <w:tcPr>
            <w:tcW w:w="0" w:type="auto"/>
            <w:noWrap/>
            <w:vAlign w:val="bottom"/>
            <w:hideMark/>
          </w:tcPr>
          <w:p w:rsidR="00000000" w:rsidRDefault="00A3249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A32496">
            <w:pPr>
              <w:pStyle w:val="a3"/>
              <w:spacing w:before="0" w:beforeAutospacing="0" w:after="0" w:afterAutospacing="0"/>
              <w:jc w:val="right"/>
              <w:rPr>
                <w:sz w:val="20"/>
                <w:szCs w:val="20"/>
              </w:rPr>
            </w:pPr>
            <w:r>
              <w:rPr>
                <w:b/>
                <w:bCs/>
                <w:sz w:val="20"/>
                <w:szCs w:val="20"/>
              </w:rPr>
              <w:t>(</w:t>
            </w:r>
            <w:r>
              <w:rPr>
                <w:b/>
                <w:bCs/>
                <w:sz w:val="20"/>
                <w:szCs w:val="20"/>
              </w:rPr>
              <w:t>0.0</w:t>
            </w:r>
            <w:r>
              <w:rPr>
                <w:b/>
                <w:bCs/>
                <w:sz w:val="20"/>
                <w:szCs w:val="20"/>
              </w:rPr>
              <w:t>7</w:t>
            </w:r>
          </w:p>
        </w:tc>
        <w:tc>
          <w:tcPr>
            <w:tcW w:w="0" w:type="auto"/>
            <w:noWrap/>
            <w:vAlign w:val="bottom"/>
            <w:hideMark/>
          </w:tcPr>
          <w:p w:rsidR="00000000" w:rsidRDefault="00A3249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A32496">
            <w:pPr>
              <w:pStyle w:val="a3"/>
              <w:spacing w:before="0" w:beforeAutospacing="0" w:after="0" w:afterAutospacing="0"/>
              <w:jc w:val="right"/>
              <w:rPr>
                <w:sz w:val="20"/>
                <w:szCs w:val="20"/>
              </w:rPr>
            </w:pPr>
            <w:r>
              <w:rPr>
                <w:b/>
                <w:bCs/>
                <w:sz w:val="20"/>
                <w:szCs w:val="20"/>
              </w:rPr>
              <w:t>(</w:t>
            </w:r>
            <w:r>
              <w:rPr>
                <w:b/>
                <w:bCs/>
                <w:sz w:val="20"/>
                <w:szCs w:val="20"/>
              </w:rPr>
              <w:t>1.1</w:t>
            </w:r>
            <w:r>
              <w:rPr>
                <w:b/>
                <w:bCs/>
                <w:sz w:val="20"/>
                <w:szCs w:val="20"/>
              </w:rPr>
              <w:t>2</w:t>
            </w:r>
          </w:p>
        </w:tc>
        <w:tc>
          <w:tcPr>
            <w:tcW w:w="0" w:type="auto"/>
            <w:noWrap/>
            <w:vAlign w:val="bottom"/>
            <w:hideMark/>
          </w:tcPr>
          <w:p w:rsidR="00000000" w:rsidRDefault="00A3249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3249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A32496">
            <w:pPr>
              <w:pStyle w:val="a3"/>
              <w:spacing w:before="0" w:beforeAutospacing="0" w:after="0" w:afterAutospacing="0"/>
              <w:jc w:val="right"/>
              <w:rPr>
                <w:sz w:val="20"/>
                <w:szCs w:val="20"/>
              </w:rPr>
            </w:pPr>
            <w:r>
              <w:rPr>
                <w:b/>
                <w:bCs/>
                <w:sz w:val="20"/>
                <w:szCs w:val="20"/>
              </w:rPr>
              <w:t>(</w:t>
            </w:r>
            <w:r>
              <w:rPr>
                <w:b/>
                <w:bCs/>
                <w:sz w:val="20"/>
                <w:szCs w:val="20"/>
              </w:rPr>
              <w:t>1.4</w:t>
            </w:r>
            <w:r>
              <w:rPr>
                <w:b/>
                <w:bCs/>
                <w:sz w:val="20"/>
                <w:szCs w:val="20"/>
              </w:rPr>
              <w:t>0</w:t>
            </w:r>
          </w:p>
        </w:tc>
        <w:tc>
          <w:tcPr>
            <w:tcW w:w="0" w:type="auto"/>
            <w:noWrap/>
            <w:vAlign w:val="bottom"/>
            <w:hideMark/>
          </w:tcPr>
          <w:p w:rsidR="00000000" w:rsidRDefault="00A32496">
            <w:pPr>
              <w:pStyle w:val="a3"/>
              <w:spacing w:before="0" w:beforeAutospacing="0" w:after="0" w:afterAutospacing="0"/>
              <w:rPr>
                <w:sz w:val="20"/>
                <w:szCs w:val="20"/>
              </w:rPr>
            </w:pPr>
            <w:r>
              <w:rPr>
                <w:b/>
                <w:bCs/>
                <w:sz w:val="20"/>
                <w:szCs w:val="20"/>
              </w:rPr>
              <w:t>)</w:t>
            </w:r>
          </w:p>
        </w:tc>
      </w:tr>
    </w:tbl>
    <w:p w:rsidR="00000000" w:rsidRDefault="00A32496">
      <w:pPr>
        <w:pStyle w:val="a3"/>
        <w:spacing w:before="0" w:beforeAutospacing="0" w:after="0" w:afterAutospacing="0"/>
        <w:jc w:val="center"/>
        <w:rPr>
          <w:sz w:val="20"/>
          <w:szCs w:val="20"/>
        </w:rPr>
      </w:pPr>
      <w:r>
        <w:rPr>
          <w:sz w:val="20"/>
          <w:szCs w:val="20"/>
        </w:rPr>
        <w:lastRenderedPageBreak/>
        <w:t> </w:t>
      </w:r>
    </w:p>
    <w:p w:rsidR="00000000" w:rsidRDefault="00A32496">
      <w:pPr>
        <w:pStyle w:val="a3"/>
        <w:spacing w:before="0" w:beforeAutospacing="0" w:after="0" w:afterAutospacing="0"/>
        <w:rPr>
          <w:sz w:val="20"/>
          <w:szCs w:val="20"/>
        </w:rPr>
      </w:pPr>
      <w:r>
        <w:rPr>
          <w:sz w:val="20"/>
          <w:szCs w:val="20"/>
        </w:rPr>
        <w:t> </w:t>
      </w:r>
    </w:p>
    <w:p w:rsidR="00000000" w:rsidRDefault="00A32496">
      <w:pPr>
        <w:pStyle w:val="a3"/>
        <w:spacing w:before="40" w:beforeAutospacing="0" w:after="0" w:afterAutospacing="0"/>
        <w:jc w:val="center"/>
        <w:rPr>
          <w:sz w:val="20"/>
          <w:szCs w:val="20"/>
        </w:rPr>
      </w:pPr>
      <w:r>
        <w:rPr>
          <w:sz w:val="20"/>
          <w:szCs w:val="20"/>
        </w:rPr>
        <w:t>The accompanying notes are an integral part of these unaudited condensed consolidated financial statements</w:t>
      </w:r>
      <w:r>
        <w:rPr>
          <w:sz w:val="20"/>
          <w:szCs w:val="20"/>
        </w:rPr>
        <w:t>.</w:t>
      </w:r>
    </w:p>
    <w:p w:rsidR="00000000" w:rsidRDefault="00A32496">
      <w:pPr>
        <w:pStyle w:val="a3"/>
        <w:spacing w:before="240" w:beforeAutospacing="0" w:after="0" w:afterAutospacing="0"/>
        <w:jc w:val="center"/>
        <w:rPr>
          <w:sz w:val="20"/>
          <w:szCs w:val="20"/>
        </w:rPr>
      </w:pPr>
      <w:r>
        <w:rPr>
          <w:sz w:val="20"/>
          <w:szCs w:val="20"/>
        </w:rPr>
        <w:t>2</w:t>
      </w:r>
    </w:p>
    <w:p w:rsidR="00000000" w:rsidRDefault="00A32496">
      <w:pPr>
        <w:rPr>
          <w:rFonts w:eastAsia="Times New Roman"/>
        </w:rPr>
      </w:pPr>
      <w:r>
        <w:rPr>
          <w:rFonts w:eastAsia="Times New Roman"/>
        </w:rPr>
        <w:pict>
          <v:rect id="_x0000_i1028" style="width:0;height:1.5pt" o:hralign="center" o:hrstd="t" o:hr="t" fillcolor="#a0a0a0" stroked="f"/>
        </w:pict>
      </w:r>
    </w:p>
    <w:p w:rsidR="00000000" w:rsidRDefault="00A32496">
      <w:pPr>
        <w:pStyle w:val="a3"/>
        <w:spacing w:before="0" w:beforeAutospacing="0" w:after="0" w:afterAutospacing="0"/>
        <w:rPr>
          <w:sz w:val="20"/>
          <w:szCs w:val="20"/>
        </w:rPr>
      </w:pPr>
      <w:r>
        <w:rPr>
          <w:sz w:val="20"/>
          <w:szCs w:val="20"/>
        </w:rPr>
        <w:t> </w:t>
      </w:r>
    </w:p>
    <w:p w:rsidR="00000000" w:rsidRDefault="00A32496">
      <w:pPr>
        <w:pStyle w:val="a3"/>
        <w:spacing w:before="0" w:beforeAutospacing="0" w:after="0" w:afterAutospacing="0"/>
        <w:jc w:val="center"/>
        <w:rPr>
          <w:sz w:val="20"/>
          <w:szCs w:val="20"/>
        </w:rPr>
      </w:pPr>
      <w:r>
        <w:rPr>
          <w:b/>
          <w:bCs/>
          <w:sz w:val="18"/>
          <w:szCs w:val="18"/>
        </w:rPr>
        <w:t>MONTROSE ENVIRONMENTAL GROUP, INC</w:t>
      </w:r>
      <w:r>
        <w:rPr>
          <w:b/>
          <w:bCs/>
          <w:sz w:val="18"/>
          <w:szCs w:val="18"/>
        </w:rPr>
        <w:t>.</w:t>
      </w:r>
    </w:p>
    <w:p w:rsidR="00000000" w:rsidRDefault="00A32496">
      <w:pPr>
        <w:pStyle w:val="a3"/>
        <w:spacing w:before="0" w:beforeAutospacing="0" w:after="0" w:afterAutospacing="0"/>
        <w:jc w:val="center"/>
        <w:rPr>
          <w:sz w:val="20"/>
          <w:szCs w:val="20"/>
        </w:rPr>
      </w:pPr>
      <w:r>
        <w:rPr>
          <w:b/>
          <w:bCs/>
          <w:sz w:val="18"/>
          <w:szCs w:val="18"/>
        </w:rPr>
        <w:t>UNAUDITED CON</w:t>
      </w:r>
      <w:r>
        <w:rPr>
          <w:b/>
          <w:bCs/>
          <w:sz w:val="18"/>
          <w:szCs w:val="18"/>
        </w:rPr>
        <w:t>D</w:t>
      </w:r>
      <w:r>
        <w:rPr>
          <w:b/>
          <w:bCs/>
          <w:sz w:val="18"/>
          <w:szCs w:val="18"/>
        </w:rPr>
        <w:t>ENSED CONSOLIDATED STATEMENTS OF CONVERTIBLE AND REDEEMABLE SERIES A-2 PREFERRED STOCK AND STOCKHOLDERS’ EQUIT</w:t>
      </w:r>
      <w:r>
        <w:rPr>
          <w:b/>
          <w:bCs/>
          <w:sz w:val="18"/>
          <w:szCs w:val="18"/>
        </w:rPr>
        <w:t>Y</w:t>
      </w:r>
    </w:p>
    <w:p w:rsidR="00000000" w:rsidRDefault="00A32496">
      <w:pPr>
        <w:pStyle w:val="a3"/>
        <w:spacing w:before="40" w:beforeAutospacing="0" w:after="0" w:afterAutospacing="0"/>
        <w:jc w:val="center"/>
        <w:rPr>
          <w:sz w:val="20"/>
          <w:szCs w:val="20"/>
        </w:rPr>
      </w:pPr>
      <w:r>
        <w:rPr>
          <w:b/>
          <w:bCs/>
          <w:sz w:val="18"/>
          <w:szCs w:val="18"/>
        </w:rPr>
        <w:t>(In thousands, except share data</w:t>
      </w:r>
      <w:r>
        <w:rPr>
          <w:b/>
          <w:bCs/>
          <w:sz w:val="18"/>
          <w:szCs w:val="18"/>
        </w:rPr>
        <w:t>)</w:t>
      </w:r>
    </w:p>
    <w:p w:rsidR="00000000" w:rsidRDefault="00A32496">
      <w:pPr>
        <w:pStyle w:val="a3"/>
        <w:spacing w:before="0" w:beforeAutospacing="0" w:after="0" w:afterAutospacing="0"/>
        <w:jc w:val="center"/>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45"/>
        <w:gridCol w:w="95"/>
        <w:gridCol w:w="95"/>
        <w:gridCol w:w="445"/>
        <w:gridCol w:w="95"/>
        <w:gridCol w:w="130"/>
        <w:gridCol w:w="515"/>
        <w:gridCol w:w="95"/>
        <w:gridCol w:w="95"/>
        <w:gridCol w:w="690"/>
        <w:gridCol w:w="95"/>
        <w:gridCol w:w="131"/>
        <w:gridCol w:w="462"/>
        <w:gridCol w:w="95"/>
        <w:gridCol w:w="131"/>
        <w:gridCol w:w="589"/>
        <w:gridCol w:w="107"/>
        <w:gridCol w:w="131"/>
        <w:gridCol w:w="726"/>
        <w:gridCol w:w="107"/>
        <w:gridCol w:w="133"/>
        <w:gridCol w:w="861"/>
        <w:gridCol w:w="107"/>
        <w:gridCol w:w="131"/>
        <w:gridCol w:w="778"/>
        <w:gridCol w:w="122"/>
      </w:tblGrid>
      <w:tr w:rsidR="00000000">
        <w:trPr>
          <w:tblCellSpacing w:w="15" w:type="dxa"/>
        </w:trPr>
        <w:tc>
          <w:tcPr>
            <w:tcW w:w="984" w:type="pct"/>
            <w:vAlign w:val="center"/>
            <w:hideMark/>
          </w:tcPr>
          <w:p w:rsidR="00000000" w:rsidRDefault="00A32496">
            <w:pPr>
              <w:rPr>
                <w:sz w:val="20"/>
                <w:szCs w:val="20"/>
              </w:rPr>
            </w:pPr>
          </w:p>
        </w:tc>
        <w:tc>
          <w:tcPr>
            <w:tcW w:w="98"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327"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383"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372"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369"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355"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356"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404"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47"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r>
      <w:tr w:rsidR="00000000">
        <w:trPr>
          <w:trHeight w:val="140"/>
          <w:tblCellSpacing w:w="15" w:type="dxa"/>
        </w:trPr>
        <w:tc>
          <w:tcPr>
            <w:tcW w:w="0" w:type="auto"/>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gridSpan w:val="5"/>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A32496">
            <w:pPr>
              <w:pStyle w:val="a3"/>
              <w:spacing w:before="0" w:beforeAutospacing="0" w:after="0" w:afterAutospacing="0"/>
              <w:jc w:val="center"/>
              <w:rPr>
                <w:sz w:val="14"/>
                <w:szCs w:val="14"/>
              </w:rPr>
            </w:pPr>
            <w:r>
              <w:rPr>
                <w:b/>
                <w:bCs/>
                <w:sz w:val="14"/>
                <w:szCs w:val="14"/>
              </w:rPr>
              <w:t>Accumulate</w:t>
            </w:r>
            <w:r>
              <w:rPr>
                <w:b/>
                <w:bCs/>
                <w:sz w:val="14"/>
                <w:szCs w:val="14"/>
              </w:rPr>
              <w:t>d</w:t>
            </w:r>
          </w:p>
        </w:tc>
        <w:tc>
          <w:tcPr>
            <w:tcW w:w="0" w:type="auto"/>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center"/>
              <w:rPr>
                <w:sz w:val="14"/>
                <w:szCs w:val="14"/>
              </w:rPr>
            </w:pPr>
            <w:r>
              <w:rPr>
                <w:sz w:val="14"/>
                <w:szCs w:val="14"/>
              </w:rPr>
              <w:t> </w:t>
            </w:r>
          </w:p>
        </w:tc>
      </w:tr>
      <w:tr w:rsidR="00000000">
        <w:trPr>
          <w:trHeight w:val="140"/>
          <w:tblCellSpacing w:w="15" w:type="dxa"/>
        </w:trPr>
        <w:tc>
          <w:tcPr>
            <w:tcW w:w="0" w:type="auto"/>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A32496">
            <w:pPr>
              <w:pStyle w:val="a3"/>
              <w:spacing w:before="0" w:beforeAutospacing="0" w:after="0" w:afterAutospacing="0"/>
              <w:jc w:val="center"/>
              <w:rPr>
                <w:sz w:val="14"/>
                <w:szCs w:val="14"/>
              </w:rPr>
            </w:pPr>
            <w:r>
              <w:rPr>
                <w:b/>
                <w:bCs/>
                <w:sz w:val="14"/>
                <w:szCs w:val="14"/>
              </w:rPr>
              <w:t>Othe</w:t>
            </w:r>
            <w:r>
              <w:rPr>
                <w:b/>
                <w:bCs/>
                <w:sz w:val="14"/>
                <w:szCs w:val="14"/>
              </w:rPr>
              <w:t>r</w:t>
            </w:r>
          </w:p>
        </w:tc>
        <w:tc>
          <w:tcPr>
            <w:tcW w:w="0" w:type="auto"/>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center"/>
              <w:rPr>
                <w:sz w:val="14"/>
                <w:szCs w:val="14"/>
              </w:rPr>
            </w:pPr>
            <w:r>
              <w:rPr>
                <w:sz w:val="14"/>
                <w:szCs w:val="14"/>
              </w:rPr>
              <w:t> </w:t>
            </w:r>
          </w:p>
        </w:tc>
      </w:tr>
      <w:tr w:rsidR="00000000">
        <w:trPr>
          <w:trHeight w:val="140"/>
          <w:tblCellSpacing w:w="15" w:type="dxa"/>
        </w:trPr>
        <w:tc>
          <w:tcPr>
            <w:tcW w:w="0" w:type="auto"/>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gridSpan w:val="5"/>
            <w:vAlign w:val="bottom"/>
            <w:hideMark/>
          </w:tcPr>
          <w:p w:rsidR="00000000" w:rsidRDefault="00A32496">
            <w:pPr>
              <w:pStyle w:val="a3"/>
              <w:spacing w:before="0" w:beforeAutospacing="0" w:after="0" w:afterAutospacing="0"/>
              <w:jc w:val="center"/>
              <w:rPr>
                <w:sz w:val="14"/>
                <w:szCs w:val="14"/>
              </w:rPr>
            </w:pPr>
            <w:r>
              <w:rPr>
                <w:b/>
                <w:bCs/>
                <w:sz w:val="14"/>
                <w:szCs w:val="14"/>
              </w:rPr>
              <w:t>Convertible and Redeemabl</w:t>
            </w:r>
            <w:r>
              <w:rPr>
                <w:b/>
                <w:bCs/>
                <w:sz w:val="14"/>
                <w:szCs w:val="14"/>
              </w:rPr>
              <w:t>e</w:t>
            </w:r>
          </w:p>
        </w:tc>
        <w:tc>
          <w:tcPr>
            <w:tcW w:w="0" w:type="auto"/>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A32496">
            <w:pPr>
              <w:pStyle w:val="a3"/>
              <w:spacing w:before="0" w:beforeAutospacing="0" w:after="0" w:afterAutospacing="0"/>
              <w:jc w:val="center"/>
              <w:rPr>
                <w:sz w:val="14"/>
                <w:szCs w:val="14"/>
              </w:rPr>
            </w:pPr>
            <w:r>
              <w:rPr>
                <w:b/>
                <w:bCs/>
                <w:sz w:val="14"/>
                <w:szCs w:val="14"/>
              </w:rPr>
              <w:t>Comprehensiv</w:t>
            </w:r>
            <w:r>
              <w:rPr>
                <w:b/>
                <w:bCs/>
                <w:sz w:val="14"/>
                <w:szCs w:val="14"/>
              </w:rPr>
              <w:t>e</w:t>
            </w:r>
          </w:p>
        </w:tc>
        <w:tc>
          <w:tcPr>
            <w:tcW w:w="0" w:type="auto"/>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A32496">
            <w:pPr>
              <w:pStyle w:val="a3"/>
              <w:spacing w:before="0" w:beforeAutospacing="0" w:after="0" w:afterAutospacing="0"/>
              <w:jc w:val="center"/>
              <w:rPr>
                <w:sz w:val="14"/>
                <w:szCs w:val="14"/>
              </w:rPr>
            </w:pPr>
            <w:r>
              <w:rPr>
                <w:b/>
                <w:bCs/>
                <w:sz w:val="14"/>
                <w:szCs w:val="14"/>
              </w:rPr>
              <w:t>Tota</w:t>
            </w:r>
            <w:r>
              <w:rPr>
                <w:b/>
                <w:bCs/>
                <w:sz w:val="14"/>
                <w:szCs w:val="14"/>
              </w:rPr>
              <w:t>l</w:t>
            </w:r>
          </w:p>
        </w:tc>
        <w:tc>
          <w:tcPr>
            <w:tcW w:w="0" w:type="auto"/>
            <w:vAlign w:val="bottom"/>
            <w:hideMark/>
          </w:tcPr>
          <w:p w:rsidR="00000000" w:rsidRDefault="00A32496">
            <w:pPr>
              <w:pStyle w:val="a3"/>
              <w:spacing w:before="0" w:beforeAutospacing="0" w:after="0" w:afterAutospacing="0"/>
              <w:jc w:val="center"/>
              <w:rPr>
                <w:sz w:val="14"/>
                <w:szCs w:val="14"/>
              </w:rPr>
            </w:pPr>
            <w:r>
              <w:rPr>
                <w:sz w:val="14"/>
                <w:szCs w:val="14"/>
              </w:rPr>
              <w:t> </w:t>
            </w:r>
          </w:p>
        </w:tc>
      </w:tr>
      <w:tr w:rsidR="00000000">
        <w:trPr>
          <w:trHeight w:val="140"/>
          <w:tblCellSpacing w:w="15" w:type="dxa"/>
        </w:trPr>
        <w:tc>
          <w:tcPr>
            <w:tcW w:w="0" w:type="auto"/>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gridSpan w:val="5"/>
            <w:vAlign w:val="bottom"/>
            <w:hideMark/>
          </w:tcPr>
          <w:p w:rsidR="00000000" w:rsidRDefault="00A32496">
            <w:pPr>
              <w:pStyle w:val="a3"/>
              <w:spacing w:before="0" w:beforeAutospacing="0" w:after="0" w:afterAutospacing="0"/>
              <w:jc w:val="center"/>
              <w:rPr>
                <w:sz w:val="14"/>
                <w:szCs w:val="14"/>
              </w:rPr>
            </w:pPr>
            <w:r>
              <w:rPr>
                <w:b/>
                <w:bCs/>
                <w:sz w:val="14"/>
                <w:szCs w:val="14"/>
              </w:rPr>
              <w:t>Series A-2 Preferred Stoc</w:t>
            </w:r>
            <w:r>
              <w:rPr>
                <w:b/>
                <w:bCs/>
                <w:sz w:val="14"/>
                <w:szCs w:val="14"/>
              </w:rPr>
              <w:t>k</w:t>
            </w:r>
          </w:p>
        </w:tc>
        <w:tc>
          <w:tcPr>
            <w:tcW w:w="0" w:type="auto"/>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gridSpan w:val="5"/>
            <w:vAlign w:val="bottom"/>
            <w:hideMark/>
          </w:tcPr>
          <w:p w:rsidR="00000000" w:rsidRDefault="00A32496">
            <w:pPr>
              <w:pStyle w:val="a3"/>
              <w:spacing w:before="0" w:beforeAutospacing="0" w:after="0" w:afterAutospacing="0"/>
              <w:jc w:val="center"/>
              <w:rPr>
                <w:sz w:val="14"/>
                <w:szCs w:val="14"/>
              </w:rPr>
            </w:pPr>
            <w:r>
              <w:rPr>
                <w:b/>
                <w:bCs/>
                <w:sz w:val="14"/>
                <w:szCs w:val="14"/>
              </w:rPr>
              <w:t>Common Stoc</w:t>
            </w:r>
            <w:r>
              <w:rPr>
                <w:b/>
                <w:bCs/>
                <w:sz w:val="14"/>
                <w:szCs w:val="14"/>
              </w:rPr>
              <w:t>k</w:t>
            </w:r>
          </w:p>
        </w:tc>
        <w:tc>
          <w:tcPr>
            <w:tcW w:w="0" w:type="auto"/>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A32496">
            <w:pPr>
              <w:pStyle w:val="a3"/>
              <w:spacing w:before="0" w:beforeAutospacing="0" w:after="0" w:afterAutospacing="0"/>
              <w:jc w:val="center"/>
              <w:rPr>
                <w:sz w:val="14"/>
                <w:szCs w:val="14"/>
              </w:rPr>
            </w:pPr>
            <w:r>
              <w:rPr>
                <w:b/>
                <w:bCs/>
                <w:sz w:val="14"/>
                <w:szCs w:val="14"/>
              </w:rPr>
              <w:t>Additiona</w:t>
            </w:r>
            <w:r>
              <w:rPr>
                <w:b/>
                <w:bCs/>
                <w:sz w:val="14"/>
                <w:szCs w:val="14"/>
              </w:rPr>
              <w:t>l</w:t>
            </w:r>
          </w:p>
        </w:tc>
        <w:tc>
          <w:tcPr>
            <w:tcW w:w="0" w:type="auto"/>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A32496">
            <w:pPr>
              <w:pStyle w:val="a3"/>
              <w:spacing w:before="0" w:beforeAutospacing="0" w:after="0" w:afterAutospacing="0"/>
              <w:jc w:val="center"/>
              <w:rPr>
                <w:sz w:val="14"/>
                <w:szCs w:val="14"/>
              </w:rPr>
            </w:pPr>
            <w:r>
              <w:rPr>
                <w:b/>
                <w:bCs/>
                <w:sz w:val="14"/>
                <w:szCs w:val="14"/>
              </w:rPr>
              <w:t>Accumulate</w:t>
            </w:r>
            <w:r>
              <w:rPr>
                <w:b/>
                <w:bCs/>
                <w:sz w:val="14"/>
                <w:szCs w:val="14"/>
              </w:rPr>
              <w:t>d</w:t>
            </w:r>
          </w:p>
        </w:tc>
        <w:tc>
          <w:tcPr>
            <w:tcW w:w="0" w:type="auto"/>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A32496">
            <w:pPr>
              <w:pStyle w:val="a3"/>
              <w:spacing w:before="0" w:beforeAutospacing="0" w:after="0" w:afterAutospacing="0"/>
              <w:jc w:val="center"/>
              <w:rPr>
                <w:sz w:val="14"/>
                <w:szCs w:val="14"/>
              </w:rPr>
            </w:pPr>
            <w:r>
              <w:rPr>
                <w:b/>
                <w:bCs/>
                <w:sz w:val="14"/>
                <w:szCs w:val="14"/>
              </w:rPr>
              <w:t>Incom</w:t>
            </w:r>
            <w:r>
              <w:rPr>
                <w:b/>
                <w:bCs/>
                <w:sz w:val="14"/>
                <w:szCs w:val="14"/>
              </w:rPr>
              <w:t>e</w:t>
            </w:r>
          </w:p>
        </w:tc>
        <w:tc>
          <w:tcPr>
            <w:tcW w:w="0" w:type="auto"/>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A32496">
            <w:pPr>
              <w:pStyle w:val="a3"/>
              <w:spacing w:before="0" w:beforeAutospacing="0" w:after="0" w:afterAutospacing="0"/>
              <w:jc w:val="center"/>
              <w:rPr>
                <w:sz w:val="14"/>
                <w:szCs w:val="14"/>
              </w:rPr>
            </w:pPr>
            <w:r>
              <w:rPr>
                <w:b/>
                <w:bCs/>
                <w:sz w:val="14"/>
                <w:szCs w:val="14"/>
              </w:rPr>
              <w:t>Stockholders</w:t>
            </w:r>
            <w:r>
              <w:rPr>
                <w:b/>
                <w:bCs/>
                <w:sz w:val="14"/>
                <w:szCs w:val="14"/>
              </w:rPr>
              <w:t>'</w:t>
            </w:r>
          </w:p>
        </w:tc>
        <w:tc>
          <w:tcPr>
            <w:tcW w:w="0" w:type="auto"/>
            <w:vAlign w:val="bottom"/>
            <w:hideMark/>
          </w:tcPr>
          <w:p w:rsidR="00000000" w:rsidRDefault="00A32496">
            <w:pPr>
              <w:pStyle w:val="a3"/>
              <w:spacing w:before="0" w:beforeAutospacing="0" w:after="0" w:afterAutospacing="0"/>
              <w:jc w:val="center"/>
              <w:rPr>
                <w:sz w:val="14"/>
                <w:szCs w:val="14"/>
              </w:rPr>
            </w:pPr>
            <w:r>
              <w:rPr>
                <w:sz w:val="14"/>
                <w:szCs w:val="14"/>
              </w:rPr>
              <w:t> </w:t>
            </w:r>
          </w:p>
        </w:tc>
      </w:tr>
      <w:tr w:rsidR="00000000">
        <w:trPr>
          <w:trHeight w:val="140"/>
          <w:tblCellSpacing w:w="15" w:type="dxa"/>
        </w:trPr>
        <w:tc>
          <w:tcPr>
            <w:tcW w:w="0" w:type="auto"/>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A32496">
            <w:pPr>
              <w:pStyle w:val="a3"/>
              <w:spacing w:before="0" w:beforeAutospacing="0" w:after="0" w:afterAutospacing="0"/>
              <w:jc w:val="center"/>
              <w:rPr>
                <w:sz w:val="14"/>
                <w:szCs w:val="14"/>
              </w:rPr>
            </w:pPr>
            <w:r>
              <w:rPr>
                <w:b/>
                <w:bCs/>
                <w:sz w:val="14"/>
                <w:szCs w:val="14"/>
              </w:rPr>
              <w:t>Share</w:t>
            </w:r>
            <w:r>
              <w:rPr>
                <w:b/>
                <w:bCs/>
                <w:sz w:val="14"/>
                <w:szCs w:val="14"/>
              </w:rPr>
              <w:t>s</w:t>
            </w:r>
          </w:p>
        </w:tc>
        <w:tc>
          <w:tcPr>
            <w:tcW w:w="0" w:type="auto"/>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A32496">
            <w:pPr>
              <w:pStyle w:val="a3"/>
              <w:spacing w:before="0" w:beforeAutospacing="0" w:after="0" w:afterAutospacing="0"/>
              <w:jc w:val="center"/>
              <w:rPr>
                <w:sz w:val="14"/>
                <w:szCs w:val="14"/>
              </w:rPr>
            </w:pPr>
            <w:r>
              <w:rPr>
                <w:b/>
                <w:bCs/>
                <w:sz w:val="14"/>
                <w:szCs w:val="14"/>
              </w:rPr>
              <w:t>Amoun</w:t>
            </w:r>
            <w:r>
              <w:rPr>
                <w:b/>
                <w:bCs/>
                <w:sz w:val="14"/>
                <w:szCs w:val="14"/>
              </w:rPr>
              <w:t>t</w:t>
            </w:r>
          </w:p>
        </w:tc>
        <w:tc>
          <w:tcPr>
            <w:tcW w:w="0" w:type="auto"/>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A32496">
            <w:pPr>
              <w:pStyle w:val="a3"/>
              <w:spacing w:before="0" w:beforeAutospacing="0" w:after="0" w:afterAutospacing="0"/>
              <w:jc w:val="center"/>
              <w:rPr>
                <w:sz w:val="14"/>
                <w:szCs w:val="14"/>
              </w:rPr>
            </w:pPr>
            <w:r>
              <w:rPr>
                <w:b/>
                <w:bCs/>
                <w:sz w:val="14"/>
                <w:szCs w:val="14"/>
              </w:rPr>
              <w:t>Share</w:t>
            </w:r>
            <w:r>
              <w:rPr>
                <w:b/>
                <w:bCs/>
                <w:sz w:val="14"/>
                <w:szCs w:val="14"/>
              </w:rPr>
              <w:t>s</w:t>
            </w:r>
          </w:p>
        </w:tc>
        <w:tc>
          <w:tcPr>
            <w:tcW w:w="0" w:type="auto"/>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A32496">
            <w:pPr>
              <w:pStyle w:val="a3"/>
              <w:spacing w:before="0" w:beforeAutospacing="0" w:after="0" w:afterAutospacing="0"/>
              <w:jc w:val="center"/>
              <w:rPr>
                <w:sz w:val="14"/>
                <w:szCs w:val="14"/>
              </w:rPr>
            </w:pPr>
            <w:r>
              <w:rPr>
                <w:b/>
                <w:bCs/>
                <w:sz w:val="14"/>
                <w:szCs w:val="14"/>
              </w:rPr>
              <w:t>Amoun</w:t>
            </w:r>
            <w:r>
              <w:rPr>
                <w:b/>
                <w:bCs/>
                <w:sz w:val="14"/>
                <w:szCs w:val="14"/>
              </w:rPr>
              <w:t>t</w:t>
            </w:r>
          </w:p>
        </w:tc>
        <w:tc>
          <w:tcPr>
            <w:tcW w:w="0" w:type="auto"/>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A32496">
            <w:pPr>
              <w:pStyle w:val="a3"/>
              <w:spacing w:before="0" w:beforeAutospacing="0" w:after="0" w:afterAutospacing="0"/>
              <w:jc w:val="center"/>
              <w:rPr>
                <w:sz w:val="14"/>
                <w:szCs w:val="14"/>
              </w:rPr>
            </w:pPr>
            <w:r>
              <w:rPr>
                <w:b/>
                <w:bCs/>
                <w:sz w:val="14"/>
                <w:szCs w:val="14"/>
              </w:rPr>
              <w:t>Paid-In Capita</w:t>
            </w:r>
            <w:r>
              <w:rPr>
                <w:b/>
                <w:bCs/>
                <w:sz w:val="14"/>
                <w:szCs w:val="14"/>
              </w:rPr>
              <w:t>l</w:t>
            </w:r>
          </w:p>
        </w:tc>
        <w:tc>
          <w:tcPr>
            <w:tcW w:w="0" w:type="auto"/>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A32496">
            <w:pPr>
              <w:pStyle w:val="a3"/>
              <w:spacing w:before="0" w:beforeAutospacing="0" w:after="0" w:afterAutospacing="0"/>
              <w:jc w:val="center"/>
              <w:rPr>
                <w:sz w:val="14"/>
                <w:szCs w:val="14"/>
              </w:rPr>
            </w:pPr>
            <w:r>
              <w:rPr>
                <w:b/>
                <w:bCs/>
                <w:sz w:val="14"/>
                <w:szCs w:val="14"/>
              </w:rPr>
              <w:t>Defici</w:t>
            </w:r>
            <w:r>
              <w:rPr>
                <w:b/>
                <w:bCs/>
                <w:sz w:val="14"/>
                <w:szCs w:val="14"/>
              </w:rPr>
              <w:t>t</w:t>
            </w:r>
          </w:p>
        </w:tc>
        <w:tc>
          <w:tcPr>
            <w:tcW w:w="0" w:type="auto"/>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A32496">
            <w:pPr>
              <w:pStyle w:val="a3"/>
              <w:spacing w:before="0" w:beforeAutospacing="0" w:after="0" w:afterAutospacing="0"/>
              <w:jc w:val="center"/>
              <w:rPr>
                <w:sz w:val="14"/>
                <w:szCs w:val="14"/>
              </w:rPr>
            </w:pPr>
            <w:r>
              <w:rPr>
                <w:b/>
                <w:bCs/>
                <w:sz w:val="14"/>
                <w:szCs w:val="14"/>
              </w:rPr>
              <w:t>(Loss</w:t>
            </w:r>
            <w:r>
              <w:rPr>
                <w:b/>
                <w:bCs/>
                <w:sz w:val="14"/>
                <w:szCs w:val="14"/>
              </w:rPr>
              <w:t>)</w:t>
            </w:r>
          </w:p>
        </w:tc>
        <w:tc>
          <w:tcPr>
            <w:tcW w:w="0" w:type="auto"/>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A32496">
            <w:pPr>
              <w:pStyle w:val="a3"/>
              <w:spacing w:before="0" w:beforeAutospacing="0" w:after="0" w:afterAutospacing="0"/>
              <w:jc w:val="center"/>
              <w:rPr>
                <w:sz w:val="14"/>
                <w:szCs w:val="14"/>
              </w:rPr>
            </w:pPr>
            <w:r>
              <w:rPr>
                <w:b/>
                <w:bCs/>
                <w:sz w:val="14"/>
                <w:szCs w:val="14"/>
              </w:rPr>
              <w:t>Equit</w:t>
            </w:r>
            <w:r>
              <w:rPr>
                <w:b/>
                <w:bCs/>
                <w:sz w:val="14"/>
                <w:szCs w:val="14"/>
              </w:rPr>
              <w:t>y</w:t>
            </w:r>
          </w:p>
        </w:tc>
        <w:tc>
          <w:tcPr>
            <w:tcW w:w="0" w:type="auto"/>
            <w:vAlign w:val="bottom"/>
            <w:hideMark/>
          </w:tcPr>
          <w:p w:rsidR="00000000" w:rsidRDefault="00A32496">
            <w:pPr>
              <w:pStyle w:val="a3"/>
              <w:spacing w:before="0" w:beforeAutospacing="0" w:after="0" w:afterAutospacing="0"/>
              <w:jc w:val="center"/>
              <w:rPr>
                <w:sz w:val="14"/>
                <w:szCs w:val="14"/>
              </w:rPr>
            </w:pPr>
            <w:r>
              <w:rPr>
                <w:sz w:val="14"/>
                <w:szCs w:val="14"/>
              </w:rPr>
              <w:t> </w:t>
            </w:r>
          </w:p>
        </w:tc>
      </w:tr>
      <w:tr w:rsidR="00000000">
        <w:trPr>
          <w:trHeight w:val="140"/>
          <w:tblCellSpacing w:w="15" w:type="dxa"/>
        </w:trPr>
        <w:tc>
          <w:tcPr>
            <w:tcW w:w="0" w:type="auto"/>
            <w:hideMark/>
          </w:tcPr>
          <w:p w:rsidR="00000000" w:rsidRDefault="00A32496">
            <w:pPr>
              <w:pStyle w:val="a3"/>
              <w:spacing w:before="0" w:beforeAutospacing="0" w:after="0" w:afterAutospacing="0"/>
              <w:rPr>
                <w:sz w:val="14"/>
                <w:szCs w:val="14"/>
              </w:rPr>
            </w:pPr>
            <w:r>
              <w:rPr>
                <w:sz w:val="14"/>
                <w:szCs w:val="14"/>
              </w:rPr>
              <w:t>BALANCE—December 31, 202</w:t>
            </w:r>
            <w:r>
              <w:rPr>
                <w:sz w:val="14"/>
                <w:szCs w:val="14"/>
              </w:rPr>
              <w:t>0</w:t>
            </w:r>
          </w:p>
        </w:tc>
        <w:tc>
          <w:tcPr>
            <w:tcW w:w="0" w:type="auto"/>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17,50</w:t>
            </w:r>
            <w:r>
              <w:rPr>
                <w:sz w:val="14"/>
                <w:szCs w:val="14"/>
              </w:rPr>
              <w:t>0</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152,92</w:t>
            </w:r>
            <w:r>
              <w:rPr>
                <w:sz w:val="14"/>
                <w:szCs w:val="14"/>
              </w:rPr>
              <w:t>8</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24,932,52</w:t>
            </w:r>
            <w:r>
              <w:rPr>
                <w:sz w:val="14"/>
                <w:szCs w:val="14"/>
              </w:rPr>
              <w:t>7</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259,42</w:t>
            </w:r>
            <w:r>
              <w:rPr>
                <w:sz w:val="14"/>
                <w:szCs w:val="14"/>
              </w:rPr>
              <w:t>7</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w:t>
            </w:r>
            <w:r>
              <w:rPr>
                <w:sz w:val="14"/>
                <w:szCs w:val="14"/>
              </w:rPr>
              <w:t>122,35</w:t>
            </w:r>
            <w:r>
              <w:rPr>
                <w:sz w:val="14"/>
                <w:szCs w:val="14"/>
              </w:rPr>
              <w:t>3</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7</w:t>
            </w:r>
            <w:r>
              <w:rPr>
                <w:sz w:val="14"/>
                <w:szCs w:val="14"/>
              </w:rPr>
              <w:t>1</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137,14</w:t>
            </w:r>
            <w:r>
              <w:rPr>
                <w:sz w:val="14"/>
                <w:szCs w:val="14"/>
              </w:rPr>
              <w:t>5</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A32496">
            <w:pPr>
              <w:pStyle w:val="a3"/>
              <w:spacing w:before="0" w:beforeAutospacing="0" w:after="0" w:afterAutospacing="0"/>
              <w:rPr>
                <w:sz w:val="14"/>
                <w:szCs w:val="14"/>
              </w:rPr>
            </w:pPr>
            <w:r>
              <w:rPr>
                <w:sz w:val="14"/>
                <w:szCs w:val="14"/>
              </w:rPr>
              <w:t>Net los</w:t>
            </w:r>
            <w:r>
              <w:rPr>
                <w:sz w:val="14"/>
                <w:szCs w:val="14"/>
              </w:rPr>
              <w:t>s</w:t>
            </w:r>
          </w:p>
        </w:tc>
        <w:tc>
          <w:tcPr>
            <w:tcW w:w="0" w:type="auto"/>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w:t>
            </w:r>
            <w:r>
              <w:rPr>
                <w:sz w:val="14"/>
                <w:szCs w:val="14"/>
              </w:rPr>
              <w:t>12,93</w:t>
            </w:r>
            <w:r>
              <w:rPr>
                <w:sz w:val="14"/>
                <w:szCs w:val="14"/>
              </w:rPr>
              <w:t>1</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w:t>
            </w:r>
            <w:r>
              <w:rPr>
                <w:sz w:val="14"/>
                <w:szCs w:val="14"/>
              </w:rPr>
              <w:t>12,93</w:t>
            </w:r>
            <w:r>
              <w:rPr>
                <w:sz w:val="14"/>
                <w:szCs w:val="14"/>
              </w:rPr>
              <w:t>1</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A32496">
            <w:pPr>
              <w:pStyle w:val="a3"/>
              <w:spacing w:before="0" w:beforeAutospacing="0" w:after="0" w:afterAutospacing="0"/>
              <w:rPr>
                <w:sz w:val="14"/>
                <w:szCs w:val="14"/>
              </w:rPr>
            </w:pPr>
            <w:r>
              <w:rPr>
                <w:sz w:val="14"/>
                <w:szCs w:val="14"/>
              </w:rPr>
              <w:t>Stock-based compensatio</w:t>
            </w:r>
            <w:r>
              <w:rPr>
                <w:sz w:val="14"/>
                <w:szCs w:val="14"/>
              </w:rPr>
              <w:t>n</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1,80</w:t>
            </w:r>
            <w:r>
              <w:rPr>
                <w:sz w:val="14"/>
                <w:szCs w:val="14"/>
              </w:rPr>
              <w:t>5</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1,80</w:t>
            </w:r>
            <w:r>
              <w:rPr>
                <w:sz w:val="14"/>
                <w:szCs w:val="14"/>
              </w:rPr>
              <w:t>5</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A32496">
            <w:pPr>
              <w:pStyle w:val="a3"/>
              <w:spacing w:before="0" w:beforeAutospacing="0" w:after="0" w:afterAutospacing="0"/>
              <w:rPr>
                <w:sz w:val="14"/>
                <w:szCs w:val="14"/>
              </w:rPr>
            </w:pPr>
            <w:r>
              <w:rPr>
                <w:sz w:val="14"/>
                <w:szCs w:val="14"/>
              </w:rPr>
              <w:t>Dividend payment to the Series A-2</w:t>
            </w:r>
            <w:r>
              <w:rPr>
                <w:sz w:val="14"/>
                <w:szCs w:val="14"/>
              </w:rPr>
              <w:br/>
              <w:t>   preferred shareholder</w:t>
            </w:r>
            <w:r>
              <w:rPr>
                <w:sz w:val="14"/>
                <w:szCs w:val="14"/>
              </w:rPr>
              <w:t>s</w:t>
            </w:r>
          </w:p>
        </w:tc>
        <w:tc>
          <w:tcPr>
            <w:tcW w:w="0" w:type="auto"/>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w:t>
            </w:r>
            <w:r>
              <w:rPr>
                <w:sz w:val="14"/>
                <w:szCs w:val="14"/>
              </w:rPr>
              <w:t>4,10</w:t>
            </w:r>
            <w:r>
              <w:rPr>
                <w:sz w:val="14"/>
                <w:szCs w:val="14"/>
              </w:rPr>
              <w:t>0</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w:t>
            </w:r>
            <w:r>
              <w:rPr>
                <w:sz w:val="14"/>
                <w:szCs w:val="14"/>
              </w:rPr>
              <w:t>4,10</w:t>
            </w:r>
            <w:r>
              <w:rPr>
                <w:sz w:val="14"/>
                <w:szCs w:val="14"/>
              </w:rPr>
              <w:t>0</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A32496">
            <w:pPr>
              <w:pStyle w:val="a3"/>
              <w:spacing w:before="0" w:beforeAutospacing="0" w:after="0" w:afterAutospacing="0"/>
              <w:rPr>
                <w:sz w:val="14"/>
                <w:szCs w:val="14"/>
              </w:rPr>
            </w:pPr>
            <w:r>
              <w:rPr>
                <w:sz w:val="14"/>
                <w:szCs w:val="14"/>
              </w:rPr>
              <w:t>Common stock issue</w:t>
            </w:r>
            <w:r>
              <w:rPr>
                <w:sz w:val="14"/>
                <w:szCs w:val="14"/>
              </w:rPr>
              <w:t>d</w:t>
            </w:r>
          </w:p>
        </w:tc>
        <w:tc>
          <w:tcPr>
            <w:tcW w:w="0" w:type="auto"/>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506,33</w:t>
            </w:r>
            <w:r>
              <w:rPr>
                <w:sz w:val="14"/>
                <w:szCs w:val="14"/>
              </w:rPr>
              <w:t>0</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4,45</w:t>
            </w:r>
            <w:r>
              <w:rPr>
                <w:sz w:val="14"/>
                <w:szCs w:val="14"/>
              </w:rPr>
              <w:t>6</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4,45</w:t>
            </w:r>
            <w:r>
              <w:rPr>
                <w:sz w:val="14"/>
                <w:szCs w:val="14"/>
              </w:rPr>
              <w:t>6</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A32496">
            <w:pPr>
              <w:pStyle w:val="a3"/>
              <w:spacing w:before="0" w:beforeAutospacing="0" w:after="0" w:afterAutospacing="0"/>
              <w:rPr>
                <w:sz w:val="14"/>
                <w:szCs w:val="14"/>
              </w:rPr>
            </w:pPr>
            <w:r>
              <w:rPr>
                <w:sz w:val="14"/>
                <w:szCs w:val="14"/>
              </w:rPr>
              <w:t>Accumulated other comprehensive incom</w:t>
            </w:r>
            <w:r>
              <w:rPr>
                <w:sz w:val="14"/>
                <w:szCs w:val="14"/>
              </w:rPr>
              <w:t>e</w:t>
            </w:r>
          </w:p>
        </w:tc>
        <w:tc>
          <w:tcPr>
            <w:tcW w:w="0" w:type="auto"/>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2</w:t>
            </w:r>
            <w:r>
              <w:rPr>
                <w:sz w:val="14"/>
                <w:szCs w:val="14"/>
              </w:rPr>
              <w:t>9</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2</w:t>
            </w:r>
            <w:r>
              <w:rPr>
                <w:sz w:val="14"/>
                <w:szCs w:val="14"/>
              </w:rPr>
              <w:t>9</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A32496">
            <w:pPr>
              <w:pStyle w:val="a3"/>
              <w:spacing w:before="0" w:beforeAutospacing="0" w:after="0" w:afterAutospacing="0"/>
              <w:rPr>
                <w:sz w:val="14"/>
                <w:szCs w:val="14"/>
              </w:rPr>
            </w:pPr>
            <w:r>
              <w:rPr>
                <w:b/>
                <w:bCs/>
                <w:sz w:val="14"/>
                <w:szCs w:val="14"/>
              </w:rPr>
              <w:t>BALANCE—March 31, 202</w:t>
            </w:r>
            <w:r>
              <w:rPr>
                <w:b/>
                <w:bCs/>
                <w:sz w:val="14"/>
                <w:szCs w:val="14"/>
              </w:rPr>
              <w:t>1</w:t>
            </w:r>
          </w:p>
        </w:tc>
        <w:tc>
          <w:tcPr>
            <w:tcW w:w="0" w:type="auto"/>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b/>
                <w:bCs/>
                <w:sz w:val="14"/>
                <w:szCs w:val="14"/>
              </w:rPr>
              <w:t>17,50</w:t>
            </w:r>
            <w:r>
              <w:rPr>
                <w:b/>
                <w:bCs/>
                <w:sz w:val="14"/>
                <w:szCs w:val="14"/>
              </w:rPr>
              <w:t>0</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A32496">
            <w:pPr>
              <w:pStyle w:val="a3"/>
              <w:spacing w:before="0" w:beforeAutospacing="0" w:after="0" w:afterAutospacing="0"/>
              <w:jc w:val="right"/>
              <w:rPr>
                <w:sz w:val="20"/>
                <w:szCs w:val="20"/>
              </w:rPr>
            </w:pPr>
            <w:r>
              <w:rPr>
                <w:b/>
                <w:bCs/>
                <w:sz w:val="14"/>
                <w:szCs w:val="14"/>
              </w:rPr>
              <w:t>152,92</w:t>
            </w:r>
            <w:r>
              <w:rPr>
                <w:b/>
                <w:bCs/>
                <w:sz w:val="14"/>
                <w:szCs w:val="14"/>
              </w:rPr>
              <w:t>8</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b/>
                <w:bCs/>
                <w:sz w:val="14"/>
                <w:szCs w:val="14"/>
              </w:rPr>
              <w:t>25,438,85</w:t>
            </w:r>
            <w:r>
              <w:rPr>
                <w:b/>
                <w:bCs/>
                <w:sz w:val="14"/>
                <w:szCs w:val="14"/>
              </w:rPr>
              <w:t>7</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A3249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A32496">
            <w:pPr>
              <w:pStyle w:val="a3"/>
              <w:spacing w:before="0" w:beforeAutospacing="0" w:after="0" w:afterAutospacing="0"/>
              <w:jc w:val="right"/>
              <w:rPr>
                <w:sz w:val="20"/>
                <w:szCs w:val="20"/>
              </w:rPr>
            </w:pPr>
            <w:r>
              <w:rPr>
                <w:b/>
                <w:bCs/>
                <w:sz w:val="14"/>
                <w:szCs w:val="14"/>
              </w:rPr>
              <w:t>261,58</w:t>
            </w:r>
            <w:r>
              <w:rPr>
                <w:b/>
                <w:bCs/>
                <w:sz w:val="14"/>
                <w:szCs w:val="14"/>
              </w:rPr>
              <w:t>8</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A32496">
            <w:pPr>
              <w:pStyle w:val="a3"/>
              <w:spacing w:before="0" w:beforeAutospacing="0" w:after="0" w:afterAutospacing="0"/>
              <w:jc w:val="right"/>
              <w:rPr>
                <w:sz w:val="20"/>
                <w:szCs w:val="20"/>
              </w:rPr>
            </w:pPr>
            <w:r>
              <w:rPr>
                <w:b/>
                <w:bCs/>
                <w:sz w:val="14"/>
                <w:szCs w:val="14"/>
              </w:rPr>
              <w:t>(</w:t>
            </w:r>
            <w:r>
              <w:rPr>
                <w:b/>
                <w:bCs/>
                <w:sz w:val="14"/>
                <w:szCs w:val="14"/>
              </w:rPr>
              <w:t>135,28</w:t>
            </w:r>
            <w:r>
              <w:rPr>
                <w:b/>
                <w:bCs/>
                <w:sz w:val="14"/>
                <w:szCs w:val="14"/>
              </w:rPr>
              <w:t>4</w:t>
            </w:r>
          </w:p>
        </w:tc>
        <w:tc>
          <w:tcPr>
            <w:tcW w:w="0" w:type="auto"/>
            <w:noWrap/>
            <w:vAlign w:val="bottom"/>
            <w:hideMark/>
          </w:tcPr>
          <w:p w:rsidR="00000000" w:rsidRDefault="00A32496">
            <w:pPr>
              <w:pStyle w:val="a3"/>
              <w:spacing w:before="0" w:beforeAutospacing="0" w:after="0" w:afterAutospacing="0"/>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A32496">
            <w:pPr>
              <w:pStyle w:val="a3"/>
              <w:spacing w:before="0" w:beforeAutospacing="0" w:after="0" w:afterAutospacing="0"/>
              <w:jc w:val="right"/>
              <w:rPr>
                <w:sz w:val="20"/>
                <w:szCs w:val="20"/>
              </w:rPr>
            </w:pPr>
            <w:r>
              <w:rPr>
                <w:b/>
                <w:bCs/>
                <w:sz w:val="14"/>
                <w:szCs w:val="14"/>
              </w:rPr>
              <w:t>10</w:t>
            </w:r>
            <w:r>
              <w:rPr>
                <w:b/>
                <w:bCs/>
                <w:sz w:val="14"/>
                <w:szCs w:val="14"/>
              </w:rPr>
              <w:t>0</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A32496">
            <w:pPr>
              <w:pStyle w:val="a3"/>
              <w:spacing w:before="0" w:beforeAutospacing="0" w:after="0" w:afterAutospacing="0"/>
              <w:jc w:val="right"/>
              <w:rPr>
                <w:sz w:val="20"/>
                <w:szCs w:val="20"/>
              </w:rPr>
            </w:pPr>
            <w:r>
              <w:rPr>
                <w:b/>
                <w:bCs/>
                <w:sz w:val="14"/>
                <w:szCs w:val="14"/>
              </w:rPr>
              <w:t>126,40</w:t>
            </w:r>
            <w:r>
              <w:rPr>
                <w:b/>
                <w:bCs/>
                <w:sz w:val="14"/>
                <w:szCs w:val="14"/>
              </w:rPr>
              <w:t>4</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A32496">
            <w:pPr>
              <w:pStyle w:val="a3"/>
              <w:spacing w:before="0" w:beforeAutospacing="0" w:after="0" w:afterAutospacing="0"/>
              <w:rPr>
                <w:sz w:val="14"/>
                <w:szCs w:val="14"/>
              </w:rPr>
            </w:pPr>
            <w:r>
              <w:rPr>
                <w:sz w:val="14"/>
                <w:szCs w:val="14"/>
              </w:rPr>
              <w:t>Net los</w:t>
            </w:r>
            <w:r>
              <w:rPr>
                <w:sz w:val="14"/>
                <w:szCs w:val="14"/>
              </w:rPr>
              <w:t>s</w:t>
            </w:r>
          </w:p>
        </w:tc>
        <w:tc>
          <w:tcPr>
            <w:tcW w:w="0" w:type="auto"/>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w:t>
            </w:r>
            <w:r>
              <w:rPr>
                <w:sz w:val="14"/>
                <w:szCs w:val="14"/>
              </w:rPr>
              <w:t>13,14</w:t>
            </w:r>
            <w:r>
              <w:rPr>
                <w:sz w:val="14"/>
                <w:szCs w:val="14"/>
              </w:rPr>
              <w:t>8</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w:t>
            </w:r>
            <w:r>
              <w:rPr>
                <w:sz w:val="14"/>
                <w:szCs w:val="14"/>
              </w:rPr>
              <w:t>13,14</w:t>
            </w:r>
            <w:r>
              <w:rPr>
                <w:sz w:val="14"/>
                <w:szCs w:val="14"/>
              </w:rPr>
              <w:t>8</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A32496">
            <w:pPr>
              <w:pStyle w:val="a3"/>
              <w:spacing w:before="0" w:beforeAutospacing="0" w:after="0" w:afterAutospacing="0"/>
              <w:rPr>
                <w:sz w:val="14"/>
                <w:szCs w:val="14"/>
              </w:rPr>
            </w:pPr>
            <w:r>
              <w:rPr>
                <w:sz w:val="14"/>
                <w:szCs w:val="14"/>
              </w:rPr>
              <w:t>Stock-based compensatio</w:t>
            </w:r>
            <w:r>
              <w:rPr>
                <w:sz w:val="14"/>
                <w:szCs w:val="14"/>
              </w:rPr>
              <w:t>n</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2,41</w:t>
            </w:r>
            <w:r>
              <w:rPr>
                <w:sz w:val="14"/>
                <w:szCs w:val="14"/>
              </w:rPr>
              <w:t>7</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2,41</w:t>
            </w:r>
            <w:r>
              <w:rPr>
                <w:sz w:val="14"/>
                <w:szCs w:val="14"/>
              </w:rPr>
              <w:t>7</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A32496">
            <w:pPr>
              <w:pStyle w:val="a3"/>
              <w:spacing w:before="0" w:beforeAutospacing="0" w:after="0" w:afterAutospacing="0"/>
              <w:rPr>
                <w:sz w:val="14"/>
                <w:szCs w:val="14"/>
              </w:rPr>
            </w:pPr>
            <w:r>
              <w:rPr>
                <w:sz w:val="14"/>
                <w:szCs w:val="14"/>
              </w:rPr>
              <w:t>Dividend payment to the Series A-2</w:t>
            </w:r>
            <w:r>
              <w:rPr>
                <w:sz w:val="14"/>
                <w:szCs w:val="14"/>
              </w:rPr>
              <w:br/>
              <w:t>   preferred shareholder</w:t>
            </w:r>
            <w:r>
              <w:rPr>
                <w:sz w:val="14"/>
                <w:szCs w:val="14"/>
              </w:rPr>
              <w:t>s</w:t>
            </w:r>
          </w:p>
        </w:tc>
        <w:tc>
          <w:tcPr>
            <w:tcW w:w="0" w:type="auto"/>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w:t>
            </w:r>
            <w:r>
              <w:rPr>
                <w:sz w:val="14"/>
                <w:szCs w:val="14"/>
              </w:rPr>
              <w:t>4,10</w:t>
            </w:r>
            <w:r>
              <w:rPr>
                <w:sz w:val="14"/>
                <w:szCs w:val="14"/>
              </w:rPr>
              <w:t>0</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w:t>
            </w:r>
            <w:r>
              <w:rPr>
                <w:sz w:val="14"/>
                <w:szCs w:val="14"/>
              </w:rPr>
              <w:t>4,10</w:t>
            </w:r>
            <w:r>
              <w:rPr>
                <w:sz w:val="14"/>
                <w:szCs w:val="14"/>
              </w:rPr>
              <w:t>0</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A32496">
            <w:pPr>
              <w:pStyle w:val="a3"/>
              <w:spacing w:before="0" w:beforeAutospacing="0" w:after="0" w:afterAutospacing="0"/>
              <w:rPr>
                <w:sz w:val="14"/>
                <w:szCs w:val="14"/>
              </w:rPr>
            </w:pPr>
            <w:r>
              <w:rPr>
                <w:sz w:val="14"/>
                <w:szCs w:val="14"/>
              </w:rPr>
              <w:t>Common stock issue</w:t>
            </w:r>
            <w:r>
              <w:rPr>
                <w:sz w:val="14"/>
                <w:szCs w:val="14"/>
              </w:rPr>
              <w:t>d</w:t>
            </w:r>
          </w:p>
        </w:tc>
        <w:tc>
          <w:tcPr>
            <w:tcW w:w="0" w:type="auto"/>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669,33</w:t>
            </w:r>
            <w:r>
              <w:rPr>
                <w:sz w:val="14"/>
                <w:szCs w:val="14"/>
              </w:rPr>
              <w:t>1</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27,46</w:t>
            </w:r>
            <w:r>
              <w:rPr>
                <w:sz w:val="14"/>
                <w:szCs w:val="14"/>
              </w:rPr>
              <w:t>0</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27,46</w:t>
            </w:r>
            <w:r>
              <w:rPr>
                <w:sz w:val="14"/>
                <w:szCs w:val="14"/>
              </w:rPr>
              <w:t>0</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A32496">
            <w:pPr>
              <w:pStyle w:val="a3"/>
              <w:spacing w:before="0" w:beforeAutospacing="0" w:after="0" w:afterAutospacing="0"/>
              <w:rPr>
                <w:sz w:val="14"/>
                <w:szCs w:val="14"/>
              </w:rPr>
            </w:pPr>
            <w:r>
              <w:rPr>
                <w:sz w:val="14"/>
                <w:szCs w:val="14"/>
              </w:rPr>
              <w:t>Accumulated other comprehensive incom</w:t>
            </w:r>
            <w:r>
              <w:rPr>
                <w:sz w:val="14"/>
                <w:szCs w:val="14"/>
              </w:rPr>
              <w:t>e</w:t>
            </w:r>
          </w:p>
        </w:tc>
        <w:tc>
          <w:tcPr>
            <w:tcW w:w="0" w:type="auto"/>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2</w:t>
            </w:r>
            <w:r>
              <w:rPr>
                <w:sz w:val="14"/>
                <w:szCs w:val="14"/>
              </w:rPr>
              <w:t>8</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2</w:t>
            </w:r>
            <w:r>
              <w:rPr>
                <w:sz w:val="14"/>
                <w:szCs w:val="14"/>
              </w:rPr>
              <w:t>8</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A32496">
            <w:pPr>
              <w:pStyle w:val="a3"/>
              <w:spacing w:before="0" w:beforeAutospacing="0" w:after="0" w:afterAutospacing="0"/>
              <w:rPr>
                <w:sz w:val="14"/>
                <w:szCs w:val="14"/>
              </w:rPr>
            </w:pPr>
            <w:r>
              <w:rPr>
                <w:b/>
                <w:bCs/>
                <w:sz w:val="14"/>
                <w:szCs w:val="14"/>
              </w:rPr>
              <w:t>BALANCE—June 30, 202</w:t>
            </w:r>
            <w:r>
              <w:rPr>
                <w:b/>
                <w:bCs/>
                <w:sz w:val="14"/>
                <w:szCs w:val="14"/>
              </w:rPr>
              <w:t>1</w:t>
            </w:r>
          </w:p>
        </w:tc>
        <w:tc>
          <w:tcPr>
            <w:tcW w:w="0" w:type="auto"/>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b/>
                <w:bCs/>
                <w:sz w:val="14"/>
                <w:szCs w:val="14"/>
              </w:rPr>
              <w:t>17,50</w:t>
            </w:r>
            <w:r>
              <w:rPr>
                <w:b/>
                <w:bCs/>
                <w:sz w:val="14"/>
                <w:szCs w:val="14"/>
              </w:rPr>
              <w:t>0</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A32496">
            <w:pPr>
              <w:pStyle w:val="a3"/>
              <w:spacing w:before="0" w:beforeAutospacing="0" w:after="0" w:afterAutospacing="0"/>
              <w:jc w:val="right"/>
              <w:rPr>
                <w:sz w:val="20"/>
                <w:szCs w:val="20"/>
              </w:rPr>
            </w:pPr>
            <w:r>
              <w:rPr>
                <w:b/>
                <w:bCs/>
                <w:sz w:val="14"/>
                <w:szCs w:val="14"/>
              </w:rPr>
              <w:t>152,92</w:t>
            </w:r>
            <w:r>
              <w:rPr>
                <w:b/>
                <w:bCs/>
                <w:sz w:val="14"/>
                <w:szCs w:val="14"/>
              </w:rPr>
              <w:t>8</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b/>
                <w:bCs/>
                <w:sz w:val="14"/>
                <w:szCs w:val="14"/>
              </w:rPr>
              <w:t>26,108,18</w:t>
            </w:r>
            <w:r>
              <w:rPr>
                <w:b/>
                <w:bCs/>
                <w:sz w:val="14"/>
                <w:szCs w:val="14"/>
              </w:rPr>
              <w:t>8</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A3249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A32496">
            <w:pPr>
              <w:pStyle w:val="a3"/>
              <w:spacing w:before="0" w:beforeAutospacing="0" w:after="0" w:afterAutospacing="0"/>
              <w:jc w:val="right"/>
              <w:rPr>
                <w:sz w:val="20"/>
                <w:szCs w:val="20"/>
              </w:rPr>
            </w:pPr>
            <w:r>
              <w:rPr>
                <w:b/>
                <w:bCs/>
                <w:sz w:val="14"/>
                <w:szCs w:val="14"/>
              </w:rPr>
              <w:t>287,36</w:t>
            </w:r>
            <w:r>
              <w:rPr>
                <w:b/>
                <w:bCs/>
                <w:sz w:val="14"/>
                <w:szCs w:val="14"/>
              </w:rPr>
              <w:t>5</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A32496">
            <w:pPr>
              <w:pStyle w:val="a3"/>
              <w:spacing w:before="0" w:beforeAutospacing="0" w:after="0" w:afterAutospacing="0"/>
              <w:jc w:val="right"/>
              <w:rPr>
                <w:sz w:val="20"/>
                <w:szCs w:val="20"/>
              </w:rPr>
            </w:pPr>
            <w:r>
              <w:rPr>
                <w:b/>
                <w:bCs/>
                <w:sz w:val="14"/>
                <w:szCs w:val="14"/>
              </w:rPr>
              <w:t>(</w:t>
            </w:r>
            <w:r>
              <w:rPr>
                <w:b/>
                <w:bCs/>
                <w:sz w:val="14"/>
                <w:szCs w:val="14"/>
              </w:rPr>
              <w:t>148,43</w:t>
            </w:r>
            <w:r>
              <w:rPr>
                <w:b/>
                <w:bCs/>
                <w:sz w:val="14"/>
                <w:szCs w:val="14"/>
              </w:rPr>
              <w:t>2</w:t>
            </w:r>
          </w:p>
        </w:tc>
        <w:tc>
          <w:tcPr>
            <w:tcW w:w="0" w:type="auto"/>
            <w:noWrap/>
            <w:vAlign w:val="bottom"/>
            <w:hideMark/>
          </w:tcPr>
          <w:p w:rsidR="00000000" w:rsidRDefault="00A32496">
            <w:pPr>
              <w:pStyle w:val="a3"/>
              <w:spacing w:before="0" w:beforeAutospacing="0" w:after="0" w:afterAutospacing="0"/>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A32496">
            <w:pPr>
              <w:pStyle w:val="a3"/>
              <w:spacing w:before="0" w:beforeAutospacing="0" w:after="0" w:afterAutospacing="0"/>
              <w:jc w:val="right"/>
              <w:rPr>
                <w:sz w:val="20"/>
                <w:szCs w:val="20"/>
              </w:rPr>
            </w:pPr>
            <w:r>
              <w:rPr>
                <w:b/>
                <w:bCs/>
                <w:sz w:val="14"/>
                <w:szCs w:val="14"/>
              </w:rPr>
              <w:t>12</w:t>
            </w:r>
            <w:r>
              <w:rPr>
                <w:b/>
                <w:bCs/>
                <w:sz w:val="14"/>
                <w:szCs w:val="14"/>
              </w:rPr>
              <w:t>8</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A32496">
            <w:pPr>
              <w:pStyle w:val="a3"/>
              <w:spacing w:before="0" w:beforeAutospacing="0" w:after="0" w:afterAutospacing="0"/>
              <w:jc w:val="right"/>
              <w:rPr>
                <w:sz w:val="20"/>
                <w:szCs w:val="20"/>
              </w:rPr>
            </w:pPr>
            <w:r>
              <w:rPr>
                <w:b/>
                <w:bCs/>
                <w:sz w:val="14"/>
                <w:szCs w:val="14"/>
              </w:rPr>
              <w:t>139,06</w:t>
            </w:r>
            <w:r>
              <w:rPr>
                <w:b/>
                <w:bCs/>
                <w:sz w:val="14"/>
                <w:szCs w:val="14"/>
              </w:rPr>
              <w:t>1</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A32496">
            <w:pPr>
              <w:pStyle w:val="a3"/>
              <w:spacing w:before="0" w:beforeAutospacing="0" w:after="0" w:afterAutospacing="0"/>
              <w:rPr>
                <w:sz w:val="14"/>
                <w:szCs w:val="14"/>
              </w:rPr>
            </w:pPr>
            <w:r>
              <w:rPr>
                <w:sz w:val="14"/>
                <w:szCs w:val="14"/>
              </w:rPr>
              <w:t>Net los</w:t>
            </w:r>
            <w:r>
              <w:rPr>
                <w:sz w:val="14"/>
                <w:szCs w:val="14"/>
              </w:rPr>
              <w:t>s</w:t>
            </w:r>
          </w:p>
        </w:tc>
        <w:tc>
          <w:tcPr>
            <w:tcW w:w="0" w:type="auto"/>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3249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2,22</w:t>
            </w:r>
            <w:r>
              <w:rPr>
                <w:sz w:val="14"/>
                <w:szCs w:val="14"/>
              </w:rPr>
              <w:t>6</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2,22</w:t>
            </w:r>
            <w:r>
              <w:rPr>
                <w:sz w:val="14"/>
                <w:szCs w:val="14"/>
              </w:rPr>
              <w:t>6</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A32496">
            <w:pPr>
              <w:pStyle w:val="a3"/>
              <w:spacing w:before="0" w:beforeAutospacing="0" w:after="0" w:afterAutospacing="0"/>
              <w:rPr>
                <w:sz w:val="14"/>
                <w:szCs w:val="14"/>
              </w:rPr>
            </w:pPr>
            <w:r>
              <w:rPr>
                <w:sz w:val="14"/>
                <w:szCs w:val="14"/>
              </w:rPr>
              <w:t>Stock-based compensatio</w:t>
            </w:r>
            <w:r>
              <w:rPr>
                <w:sz w:val="14"/>
                <w:szCs w:val="14"/>
              </w:rPr>
              <w:t>n</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2,36</w:t>
            </w:r>
            <w:r>
              <w:rPr>
                <w:sz w:val="14"/>
                <w:szCs w:val="14"/>
              </w:rPr>
              <w:t>5</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2,36</w:t>
            </w:r>
            <w:r>
              <w:rPr>
                <w:sz w:val="14"/>
                <w:szCs w:val="14"/>
              </w:rPr>
              <w:t>5</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A32496">
            <w:pPr>
              <w:pStyle w:val="a3"/>
              <w:spacing w:before="0" w:beforeAutospacing="0" w:after="0" w:afterAutospacing="0"/>
              <w:rPr>
                <w:sz w:val="14"/>
                <w:szCs w:val="14"/>
              </w:rPr>
            </w:pPr>
            <w:r>
              <w:rPr>
                <w:sz w:val="14"/>
                <w:szCs w:val="14"/>
              </w:rPr>
              <w:t>Dividend payment to the Series A-2</w:t>
            </w:r>
            <w:r>
              <w:rPr>
                <w:sz w:val="14"/>
                <w:szCs w:val="14"/>
              </w:rPr>
              <w:br/>
              <w:t>   preferred shareholder</w:t>
            </w:r>
            <w:r>
              <w:rPr>
                <w:sz w:val="14"/>
                <w:szCs w:val="14"/>
              </w:rPr>
              <w:t>s</w:t>
            </w:r>
          </w:p>
        </w:tc>
        <w:tc>
          <w:tcPr>
            <w:tcW w:w="0" w:type="auto"/>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w:t>
            </w:r>
            <w:r>
              <w:rPr>
                <w:sz w:val="14"/>
                <w:szCs w:val="14"/>
              </w:rPr>
              <w:t>4,10</w:t>
            </w:r>
            <w:r>
              <w:rPr>
                <w:sz w:val="14"/>
                <w:szCs w:val="14"/>
              </w:rPr>
              <w:t>0</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w:t>
            </w:r>
            <w:r>
              <w:rPr>
                <w:sz w:val="14"/>
                <w:szCs w:val="14"/>
              </w:rPr>
              <w:t>4,10</w:t>
            </w:r>
            <w:r>
              <w:rPr>
                <w:sz w:val="14"/>
                <w:szCs w:val="14"/>
              </w:rPr>
              <w:t>0</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A32496">
            <w:pPr>
              <w:pStyle w:val="a3"/>
              <w:spacing w:before="0" w:beforeAutospacing="0" w:after="0" w:afterAutospacing="0"/>
              <w:rPr>
                <w:sz w:val="14"/>
                <w:szCs w:val="14"/>
              </w:rPr>
            </w:pPr>
            <w:r>
              <w:rPr>
                <w:sz w:val="14"/>
                <w:szCs w:val="14"/>
              </w:rPr>
              <w:t>Common stock issue</w:t>
            </w:r>
            <w:r>
              <w:rPr>
                <w:sz w:val="14"/>
                <w:szCs w:val="14"/>
              </w:rPr>
              <w:t>d</w:t>
            </w:r>
          </w:p>
        </w:tc>
        <w:tc>
          <w:tcPr>
            <w:tcW w:w="0" w:type="auto"/>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417,65</w:t>
            </w:r>
            <w:r>
              <w:rPr>
                <w:sz w:val="14"/>
                <w:szCs w:val="14"/>
              </w:rPr>
              <w:t>6</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6,22</w:t>
            </w:r>
            <w:r>
              <w:rPr>
                <w:sz w:val="14"/>
                <w:szCs w:val="14"/>
              </w:rPr>
              <w:t>0</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6,22</w:t>
            </w:r>
            <w:r>
              <w:rPr>
                <w:sz w:val="14"/>
                <w:szCs w:val="14"/>
              </w:rPr>
              <w:t>0</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A32496">
            <w:pPr>
              <w:pStyle w:val="a3"/>
              <w:spacing w:before="0" w:beforeAutospacing="0" w:after="0" w:afterAutospacing="0"/>
              <w:rPr>
                <w:sz w:val="14"/>
                <w:szCs w:val="14"/>
              </w:rPr>
            </w:pPr>
            <w:r>
              <w:rPr>
                <w:sz w:val="14"/>
                <w:szCs w:val="14"/>
              </w:rPr>
              <w:t>Accumulated other comprehensive incom</w:t>
            </w:r>
            <w:r>
              <w:rPr>
                <w:sz w:val="14"/>
                <w:szCs w:val="14"/>
              </w:rPr>
              <w:t>e</w:t>
            </w:r>
          </w:p>
        </w:tc>
        <w:tc>
          <w:tcPr>
            <w:tcW w:w="0" w:type="auto"/>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w:t>
            </w:r>
            <w:r>
              <w:rPr>
                <w:sz w:val="14"/>
                <w:szCs w:val="14"/>
              </w:rPr>
              <w:t>7</w:t>
            </w:r>
            <w:r>
              <w:rPr>
                <w:sz w:val="14"/>
                <w:szCs w:val="14"/>
              </w:rPr>
              <w:t>4</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w:t>
            </w:r>
            <w:r>
              <w:rPr>
                <w:sz w:val="14"/>
                <w:szCs w:val="14"/>
              </w:rPr>
              <w:t>7</w:t>
            </w:r>
            <w:r>
              <w:rPr>
                <w:sz w:val="14"/>
                <w:szCs w:val="14"/>
              </w:rPr>
              <w:t>4</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A32496">
            <w:pPr>
              <w:pStyle w:val="a3"/>
              <w:spacing w:before="0" w:beforeAutospacing="0" w:after="0" w:afterAutospacing="0"/>
              <w:rPr>
                <w:sz w:val="14"/>
                <w:szCs w:val="14"/>
              </w:rPr>
            </w:pPr>
            <w:r>
              <w:rPr>
                <w:b/>
                <w:bCs/>
                <w:sz w:val="14"/>
                <w:szCs w:val="14"/>
              </w:rPr>
              <w:t>BALANCE—September 30, 202</w:t>
            </w:r>
            <w:r>
              <w:rPr>
                <w:b/>
                <w:bCs/>
                <w:sz w:val="14"/>
                <w:szCs w:val="14"/>
              </w:rPr>
              <w:t>1</w:t>
            </w:r>
          </w:p>
        </w:tc>
        <w:tc>
          <w:tcPr>
            <w:tcW w:w="0" w:type="auto"/>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b/>
                <w:bCs/>
                <w:sz w:val="14"/>
                <w:szCs w:val="14"/>
              </w:rPr>
              <w:t>17,50</w:t>
            </w:r>
            <w:r>
              <w:rPr>
                <w:b/>
                <w:bCs/>
                <w:sz w:val="14"/>
                <w:szCs w:val="14"/>
              </w:rPr>
              <w:t>0</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b/>
                <w:bCs/>
                <w:sz w:val="14"/>
                <w:szCs w:val="14"/>
              </w:rPr>
              <w:t>152,92</w:t>
            </w:r>
            <w:r>
              <w:rPr>
                <w:b/>
                <w:bCs/>
                <w:sz w:val="14"/>
                <w:szCs w:val="14"/>
              </w:rPr>
              <w:t>8</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b/>
                <w:bCs/>
                <w:sz w:val="14"/>
                <w:szCs w:val="14"/>
              </w:rPr>
              <w:t>26,525,84</w:t>
            </w:r>
            <w:r>
              <w:rPr>
                <w:b/>
                <w:bCs/>
                <w:sz w:val="14"/>
                <w:szCs w:val="14"/>
              </w:rPr>
              <w:t>4</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b/>
                <w:bCs/>
                <w:sz w:val="14"/>
                <w:szCs w:val="14"/>
              </w:rPr>
              <w:t>291,85</w:t>
            </w:r>
            <w:r>
              <w:rPr>
                <w:b/>
                <w:bCs/>
                <w:sz w:val="14"/>
                <w:szCs w:val="14"/>
              </w:rPr>
              <w:t>0</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b/>
                <w:bCs/>
                <w:sz w:val="14"/>
                <w:szCs w:val="14"/>
              </w:rPr>
              <w:t>(</w:t>
            </w:r>
            <w:r>
              <w:rPr>
                <w:b/>
                <w:bCs/>
                <w:sz w:val="14"/>
                <w:szCs w:val="14"/>
              </w:rPr>
              <w:t>146,20</w:t>
            </w:r>
            <w:r>
              <w:rPr>
                <w:b/>
                <w:bCs/>
                <w:sz w:val="14"/>
                <w:szCs w:val="14"/>
              </w:rPr>
              <w:t>6</w:t>
            </w:r>
          </w:p>
        </w:tc>
        <w:tc>
          <w:tcPr>
            <w:tcW w:w="0" w:type="auto"/>
            <w:noWrap/>
            <w:vAlign w:val="bottom"/>
            <w:hideMark/>
          </w:tcPr>
          <w:p w:rsidR="00000000" w:rsidRDefault="00A32496">
            <w:pPr>
              <w:pStyle w:val="a3"/>
              <w:spacing w:before="0" w:beforeAutospacing="0" w:after="0" w:afterAutospacing="0"/>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b/>
                <w:bCs/>
                <w:sz w:val="14"/>
                <w:szCs w:val="14"/>
              </w:rPr>
              <w:t>5</w:t>
            </w:r>
            <w:r>
              <w:rPr>
                <w:b/>
                <w:bCs/>
                <w:sz w:val="14"/>
                <w:szCs w:val="14"/>
              </w:rPr>
              <w:t>4</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b/>
                <w:bCs/>
                <w:sz w:val="14"/>
                <w:szCs w:val="14"/>
              </w:rPr>
              <w:t>145,69</w:t>
            </w:r>
            <w:r>
              <w:rPr>
                <w:b/>
                <w:bCs/>
                <w:sz w:val="14"/>
                <w:szCs w:val="14"/>
              </w:rPr>
              <w:t>8</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r>
      <w:tr w:rsidR="00000000">
        <w:trPr>
          <w:tblCellSpacing w:w="15" w:type="dxa"/>
        </w:trPr>
        <w:tc>
          <w:tcPr>
            <w:tcW w:w="0" w:type="auto"/>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3249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 </w:t>
            </w:r>
          </w:p>
        </w:tc>
        <w:tc>
          <w:tcPr>
            <w:tcW w:w="0" w:type="auto"/>
            <w:gridSpan w:val="2"/>
            <w:vAlign w:val="bottom"/>
            <w:hideMark/>
          </w:tcPr>
          <w:p w:rsidR="00000000" w:rsidRDefault="00A3249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 </w:t>
            </w:r>
          </w:p>
        </w:tc>
        <w:tc>
          <w:tcPr>
            <w:tcW w:w="0" w:type="auto"/>
            <w:gridSpan w:val="2"/>
            <w:vAlign w:val="bottom"/>
            <w:hideMark/>
          </w:tcPr>
          <w:p w:rsidR="00000000" w:rsidRDefault="00A3249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 </w:t>
            </w:r>
          </w:p>
        </w:tc>
        <w:tc>
          <w:tcPr>
            <w:tcW w:w="0" w:type="auto"/>
            <w:gridSpan w:val="2"/>
            <w:vAlign w:val="bottom"/>
            <w:hideMark/>
          </w:tcPr>
          <w:p w:rsidR="00000000" w:rsidRDefault="00A3249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 </w:t>
            </w:r>
          </w:p>
        </w:tc>
        <w:tc>
          <w:tcPr>
            <w:tcW w:w="0" w:type="auto"/>
            <w:gridSpan w:val="2"/>
            <w:vAlign w:val="bottom"/>
            <w:hideMark/>
          </w:tcPr>
          <w:p w:rsidR="00000000" w:rsidRDefault="00A3249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 </w:t>
            </w:r>
          </w:p>
        </w:tc>
        <w:tc>
          <w:tcPr>
            <w:tcW w:w="0" w:type="auto"/>
            <w:gridSpan w:val="2"/>
            <w:vAlign w:val="bottom"/>
            <w:hideMark/>
          </w:tcPr>
          <w:p w:rsidR="00000000" w:rsidRDefault="00A3249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 </w:t>
            </w:r>
          </w:p>
        </w:tc>
        <w:tc>
          <w:tcPr>
            <w:tcW w:w="0" w:type="auto"/>
            <w:gridSpan w:val="2"/>
            <w:vAlign w:val="bottom"/>
            <w:hideMark/>
          </w:tcPr>
          <w:p w:rsidR="00000000" w:rsidRDefault="00A3249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 </w:t>
            </w:r>
          </w:p>
        </w:tc>
        <w:tc>
          <w:tcPr>
            <w:tcW w:w="0" w:type="auto"/>
            <w:gridSpan w:val="2"/>
            <w:vAlign w:val="bottom"/>
            <w:hideMark/>
          </w:tcPr>
          <w:p w:rsidR="00000000" w:rsidRDefault="00A3249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 </w:t>
            </w:r>
          </w:p>
        </w:tc>
      </w:tr>
      <w:tr w:rsidR="00000000">
        <w:trPr>
          <w:tblCellSpacing w:w="15" w:type="dxa"/>
        </w:trPr>
        <w:tc>
          <w:tcPr>
            <w:tcW w:w="0" w:type="auto"/>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A3249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center"/>
              <w:rPr>
                <w:sz w:val="14"/>
                <w:szCs w:val="14"/>
              </w:rPr>
            </w:pPr>
            <w:r>
              <w:rPr>
                <w:sz w:val="14"/>
                <w:szCs w:val="14"/>
              </w:rPr>
              <w:t> </w:t>
            </w:r>
          </w:p>
        </w:tc>
      </w:tr>
      <w:tr w:rsidR="00000000">
        <w:trPr>
          <w:trHeight w:val="140"/>
          <w:tblCellSpacing w:w="15" w:type="dxa"/>
        </w:trPr>
        <w:tc>
          <w:tcPr>
            <w:tcW w:w="0" w:type="auto"/>
            <w:hideMark/>
          </w:tcPr>
          <w:p w:rsidR="00000000" w:rsidRDefault="00A32496">
            <w:pPr>
              <w:pStyle w:val="a3"/>
              <w:spacing w:before="0" w:beforeAutospacing="0" w:after="0" w:afterAutospacing="0"/>
              <w:rPr>
                <w:sz w:val="14"/>
                <w:szCs w:val="14"/>
              </w:rPr>
            </w:pPr>
            <w:r>
              <w:rPr>
                <w:sz w:val="14"/>
                <w:szCs w:val="14"/>
              </w:rPr>
              <w:t>BALANCE—December 31, 202</w:t>
            </w:r>
            <w:r>
              <w:rPr>
                <w:sz w:val="14"/>
                <w:szCs w:val="14"/>
              </w:rPr>
              <w:t>1</w:t>
            </w:r>
          </w:p>
        </w:tc>
        <w:tc>
          <w:tcPr>
            <w:tcW w:w="0" w:type="auto"/>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17,50</w:t>
            </w:r>
            <w:r>
              <w:rPr>
                <w:sz w:val="14"/>
                <w:szCs w:val="14"/>
              </w:rPr>
              <w:t>0</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152,92</w:t>
            </w:r>
            <w:r>
              <w:rPr>
                <w:sz w:val="14"/>
                <w:szCs w:val="14"/>
              </w:rPr>
              <w:t>8</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29,619,92</w:t>
            </w:r>
            <w:r>
              <w:rPr>
                <w:sz w:val="14"/>
                <w:szCs w:val="14"/>
              </w:rPr>
              <w:t>1</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464,14</w:t>
            </w:r>
            <w:r>
              <w:rPr>
                <w:sz w:val="14"/>
                <w:szCs w:val="14"/>
              </w:rPr>
              <w:t>3</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w:t>
            </w:r>
            <w:r>
              <w:rPr>
                <w:sz w:val="14"/>
                <w:szCs w:val="14"/>
              </w:rPr>
              <w:t>147,67</w:t>
            </w:r>
            <w:r>
              <w:rPr>
                <w:sz w:val="14"/>
                <w:szCs w:val="14"/>
              </w:rPr>
              <w:t>8</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3</w:t>
            </w:r>
            <w:r>
              <w:rPr>
                <w:sz w:val="14"/>
                <w:szCs w:val="14"/>
              </w:rPr>
              <w:t>6</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316,50</w:t>
            </w:r>
            <w:r>
              <w:rPr>
                <w:sz w:val="14"/>
                <w:szCs w:val="14"/>
              </w:rPr>
              <w:t>1</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A32496">
            <w:pPr>
              <w:pStyle w:val="a3"/>
              <w:spacing w:before="0" w:beforeAutospacing="0" w:after="0" w:afterAutospacing="0"/>
              <w:rPr>
                <w:sz w:val="14"/>
                <w:szCs w:val="14"/>
              </w:rPr>
            </w:pPr>
            <w:r>
              <w:rPr>
                <w:sz w:val="14"/>
                <w:szCs w:val="14"/>
              </w:rPr>
              <w:t>Net los</w:t>
            </w:r>
            <w:r>
              <w:rPr>
                <w:sz w:val="14"/>
                <w:szCs w:val="14"/>
              </w:rPr>
              <w:t>s</w:t>
            </w:r>
          </w:p>
        </w:tc>
        <w:tc>
          <w:tcPr>
            <w:tcW w:w="0" w:type="auto"/>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w:t>
            </w:r>
            <w:r>
              <w:rPr>
                <w:sz w:val="14"/>
                <w:szCs w:val="14"/>
              </w:rPr>
              <w:t>7,53</w:t>
            </w:r>
            <w:r>
              <w:rPr>
                <w:sz w:val="14"/>
                <w:szCs w:val="14"/>
              </w:rPr>
              <w:t>6</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w:t>
            </w:r>
            <w:r>
              <w:rPr>
                <w:sz w:val="14"/>
                <w:szCs w:val="14"/>
              </w:rPr>
              <w:t>7,53</w:t>
            </w:r>
            <w:r>
              <w:rPr>
                <w:sz w:val="14"/>
                <w:szCs w:val="14"/>
              </w:rPr>
              <w:t>6</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A32496">
            <w:pPr>
              <w:pStyle w:val="a3"/>
              <w:spacing w:before="0" w:beforeAutospacing="0" w:after="0" w:afterAutospacing="0"/>
              <w:rPr>
                <w:sz w:val="14"/>
                <w:szCs w:val="14"/>
              </w:rPr>
            </w:pPr>
            <w:r>
              <w:rPr>
                <w:sz w:val="14"/>
                <w:szCs w:val="14"/>
              </w:rPr>
              <w:t>Stock-based compensatio</w:t>
            </w:r>
            <w:r>
              <w:rPr>
                <w:sz w:val="14"/>
                <w:szCs w:val="14"/>
              </w:rPr>
              <w:t>n</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10,42</w:t>
            </w:r>
            <w:r>
              <w:rPr>
                <w:sz w:val="14"/>
                <w:szCs w:val="14"/>
              </w:rPr>
              <w:t>5</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10,42</w:t>
            </w:r>
            <w:r>
              <w:rPr>
                <w:sz w:val="14"/>
                <w:szCs w:val="14"/>
              </w:rPr>
              <w:t>5</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A32496">
            <w:pPr>
              <w:pStyle w:val="a3"/>
              <w:spacing w:before="0" w:beforeAutospacing="0" w:after="0" w:afterAutospacing="0"/>
              <w:rPr>
                <w:sz w:val="14"/>
                <w:szCs w:val="14"/>
              </w:rPr>
            </w:pPr>
            <w:r>
              <w:rPr>
                <w:sz w:val="14"/>
                <w:szCs w:val="14"/>
              </w:rPr>
              <w:lastRenderedPageBreak/>
              <w:t>Dividend payment to the Series A-2</w:t>
            </w:r>
            <w:r>
              <w:rPr>
                <w:sz w:val="14"/>
                <w:szCs w:val="14"/>
              </w:rPr>
              <w:br/>
              <w:t>   preferred shareholder</w:t>
            </w:r>
            <w:r>
              <w:rPr>
                <w:sz w:val="14"/>
                <w:szCs w:val="14"/>
              </w:rPr>
              <w:t>s</w:t>
            </w:r>
          </w:p>
        </w:tc>
        <w:tc>
          <w:tcPr>
            <w:tcW w:w="0" w:type="auto"/>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w:t>
            </w:r>
            <w:r>
              <w:rPr>
                <w:sz w:val="14"/>
                <w:szCs w:val="14"/>
              </w:rPr>
              <w:t>4,10</w:t>
            </w:r>
            <w:r>
              <w:rPr>
                <w:sz w:val="14"/>
                <w:szCs w:val="14"/>
              </w:rPr>
              <w:t>0</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w:t>
            </w:r>
            <w:r>
              <w:rPr>
                <w:sz w:val="14"/>
                <w:szCs w:val="14"/>
              </w:rPr>
              <w:t>4,10</w:t>
            </w:r>
            <w:r>
              <w:rPr>
                <w:sz w:val="14"/>
                <w:szCs w:val="14"/>
              </w:rPr>
              <w:t>0</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A32496">
            <w:pPr>
              <w:pStyle w:val="a3"/>
              <w:spacing w:before="0" w:beforeAutospacing="0" w:after="0" w:afterAutospacing="0"/>
              <w:rPr>
                <w:sz w:val="14"/>
                <w:szCs w:val="14"/>
              </w:rPr>
            </w:pPr>
            <w:r>
              <w:rPr>
                <w:sz w:val="14"/>
                <w:szCs w:val="14"/>
              </w:rPr>
              <w:t>Common stock issue</w:t>
            </w:r>
            <w:r>
              <w:rPr>
                <w:sz w:val="14"/>
                <w:szCs w:val="14"/>
              </w:rPr>
              <w:t>d</w:t>
            </w:r>
          </w:p>
        </w:tc>
        <w:tc>
          <w:tcPr>
            <w:tcW w:w="0" w:type="auto"/>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55,89</w:t>
            </w:r>
            <w:r>
              <w:rPr>
                <w:sz w:val="14"/>
                <w:szCs w:val="14"/>
              </w:rPr>
              <w:t>6</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42</w:t>
            </w:r>
            <w:r>
              <w:rPr>
                <w:sz w:val="14"/>
                <w:szCs w:val="14"/>
              </w:rPr>
              <w:t>9</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42</w:t>
            </w:r>
            <w:r>
              <w:rPr>
                <w:sz w:val="14"/>
                <w:szCs w:val="14"/>
              </w:rPr>
              <w:t>9</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A32496">
            <w:pPr>
              <w:pStyle w:val="a3"/>
              <w:spacing w:before="0" w:beforeAutospacing="0" w:after="0" w:afterAutospacing="0"/>
              <w:rPr>
                <w:sz w:val="14"/>
                <w:szCs w:val="14"/>
              </w:rPr>
            </w:pPr>
            <w:r>
              <w:rPr>
                <w:sz w:val="14"/>
                <w:szCs w:val="14"/>
              </w:rPr>
              <w:t>Accumulated other comprehensive incom</w:t>
            </w:r>
            <w:r>
              <w:rPr>
                <w:sz w:val="14"/>
                <w:szCs w:val="14"/>
              </w:rPr>
              <w:t>e</w:t>
            </w:r>
          </w:p>
        </w:tc>
        <w:tc>
          <w:tcPr>
            <w:tcW w:w="0" w:type="auto"/>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4</w:t>
            </w:r>
            <w:r>
              <w:rPr>
                <w:sz w:val="14"/>
                <w:szCs w:val="14"/>
              </w:rPr>
              <w:t>5</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4</w:t>
            </w:r>
            <w:r>
              <w:rPr>
                <w:sz w:val="14"/>
                <w:szCs w:val="14"/>
              </w:rPr>
              <w:t>5</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A32496">
            <w:pPr>
              <w:pStyle w:val="a3"/>
              <w:spacing w:before="0" w:beforeAutospacing="0" w:after="0" w:afterAutospacing="0"/>
              <w:rPr>
                <w:sz w:val="14"/>
                <w:szCs w:val="14"/>
              </w:rPr>
            </w:pPr>
            <w:r>
              <w:rPr>
                <w:b/>
                <w:bCs/>
                <w:sz w:val="14"/>
                <w:szCs w:val="14"/>
              </w:rPr>
              <w:t>BALANCE—March 31, 202</w:t>
            </w:r>
            <w:r>
              <w:rPr>
                <w:b/>
                <w:bCs/>
                <w:sz w:val="14"/>
                <w:szCs w:val="14"/>
              </w:rPr>
              <w:t>2</w:t>
            </w:r>
          </w:p>
        </w:tc>
        <w:tc>
          <w:tcPr>
            <w:tcW w:w="0" w:type="auto"/>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b/>
                <w:bCs/>
                <w:sz w:val="14"/>
                <w:szCs w:val="14"/>
              </w:rPr>
              <w:t>17,50</w:t>
            </w:r>
            <w:r>
              <w:rPr>
                <w:b/>
                <w:bCs/>
                <w:sz w:val="14"/>
                <w:szCs w:val="14"/>
              </w:rPr>
              <w:t>0</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A32496">
            <w:pPr>
              <w:pStyle w:val="a3"/>
              <w:spacing w:before="0" w:beforeAutospacing="0" w:after="0" w:afterAutospacing="0"/>
              <w:jc w:val="right"/>
              <w:rPr>
                <w:sz w:val="20"/>
                <w:szCs w:val="20"/>
              </w:rPr>
            </w:pPr>
            <w:r>
              <w:rPr>
                <w:b/>
                <w:bCs/>
                <w:sz w:val="14"/>
                <w:szCs w:val="14"/>
              </w:rPr>
              <w:t>152,92</w:t>
            </w:r>
            <w:r>
              <w:rPr>
                <w:b/>
                <w:bCs/>
                <w:sz w:val="14"/>
                <w:szCs w:val="14"/>
              </w:rPr>
              <w:t>8</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b/>
                <w:bCs/>
                <w:sz w:val="14"/>
                <w:szCs w:val="14"/>
              </w:rPr>
              <w:t>29,675,81</w:t>
            </w:r>
            <w:r>
              <w:rPr>
                <w:b/>
                <w:bCs/>
                <w:sz w:val="14"/>
                <w:szCs w:val="14"/>
              </w:rPr>
              <w:t>7</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A3249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A32496">
            <w:pPr>
              <w:pStyle w:val="a3"/>
              <w:spacing w:before="0" w:beforeAutospacing="0" w:after="0" w:afterAutospacing="0"/>
              <w:jc w:val="right"/>
              <w:rPr>
                <w:sz w:val="20"/>
                <w:szCs w:val="20"/>
              </w:rPr>
            </w:pPr>
            <w:r>
              <w:rPr>
                <w:b/>
                <w:bCs/>
                <w:sz w:val="14"/>
                <w:szCs w:val="14"/>
              </w:rPr>
              <w:t>470,89</w:t>
            </w:r>
            <w:r>
              <w:rPr>
                <w:b/>
                <w:bCs/>
                <w:sz w:val="14"/>
                <w:szCs w:val="14"/>
              </w:rPr>
              <w:t>7</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A32496">
            <w:pPr>
              <w:pStyle w:val="a3"/>
              <w:spacing w:before="0" w:beforeAutospacing="0" w:after="0" w:afterAutospacing="0"/>
              <w:jc w:val="right"/>
              <w:rPr>
                <w:sz w:val="20"/>
                <w:szCs w:val="20"/>
              </w:rPr>
            </w:pPr>
            <w:r>
              <w:rPr>
                <w:b/>
                <w:bCs/>
                <w:sz w:val="14"/>
                <w:szCs w:val="14"/>
              </w:rPr>
              <w:t>(</w:t>
            </w:r>
            <w:r>
              <w:rPr>
                <w:b/>
                <w:bCs/>
                <w:sz w:val="14"/>
                <w:szCs w:val="14"/>
              </w:rPr>
              <w:t>155,21</w:t>
            </w:r>
            <w:r>
              <w:rPr>
                <w:b/>
                <w:bCs/>
                <w:sz w:val="14"/>
                <w:szCs w:val="14"/>
              </w:rPr>
              <w:t>4</w:t>
            </w:r>
          </w:p>
        </w:tc>
        <w:tc>
          <w:tcPr>
            <w:tcW w:w="0" w:type="auto"/>
            <w:noWrap/>
            <w:vAlign w:val="bottom"/>
            <w:hideMark/>
          </w:tcPr>
          <w:p w:rsidR="00000000" w:rsidRDefault="00A32496">
            <w:pPr>
              <w:pStyle w:val="a3"/>
              <w:spacing w:before="0" w:beforeAutospacing="0" w:after="0" w:afterAutospacing="0"/>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A32496">
            <w:pPr>
              <w:pStyle w:val="a3"/>
              <w:spacing w:before="0" w:beforeAutospacing="0" w:after="0" w:afterAutospacing="0"/>
              <w:jc w:val="right"/>
              <w:rPr>
                <w:sz w:val="20"/>
                <w:szCs w:val="20"/>
              </w:rPr>
            </w:pPr>
            <w:r>
              <w:rPr>
                <w:b/>
                <w:bCs/>
                <w:sz w:val="14"/>
                <w:szCs w:val="14"/>
              </w:rPr>
              <w:t>8</w:t>
            </w:r>
            <w:r>
              <w:rPr>
                <w:b/>
                <w:bCs/>
                <w:sz w:val="14"/>
                <w:szCs w:val="14"/>
              </w:rPr>
              <w:t>1</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A32496">
            <w:pPr>
              <w:pStyle w:val="a3"/>
              <w:spacing w:before="0" w:beforeAutospacing="0" w:after="0" w:afterAutospacing="0"/>
              <w:jc w:val="right"/>
              <w:rPr>
                <w:sz w:val="20"/>
                <w:szCs w:val="20"/>
              </w:rPr>
            </w:pPr>
            <w:r>
              <w:rPr>
                <w:b/>
                <w:bCs/>
                <w:sz w:val="14"/>
                <w:szCs w:val="14"/>
              </w:rPr>
              <w:t>315,76</w:t>
            </w:r>
            <w:r>
              <w:rPr>
                <w:b/>
                <w:bCs/>
                <w:sz w:val="14"/>
                <w:szCs w:val="14"/>
              </w:rPr>
              <w:t>4</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A32496">
            <w:pPr>
              <w:pStyle w:val="a3"/>
              <w:spacing w:before="0" w:beforeAutospacing="0" w:after="0" w:afterAutospacing="0"/>
              <w:rPr>
                <w:sz w:val="14"/>
                <w:szCs w:val="14"/>
              </w:rPr>
            </w:pPr>
            <w:r>
              <w:rPr>
                <w:sz w:val="14"/>
                <w:szCs w:val="14"/>
              </w:rPr>
              <w:t>Net los</w:t>
            </w:r>
            <w:r>
              <w:rPr>
                <w:sz w:val="14"/>
                <w:szCs w:val="14"/>
              </w:rPr>
              <w:t>s</w:t>
            </w:r>
          </w:p>
        </w:tc>
        <w:tc>
          <w:tcPr>
            <w:tcW w:w="0" w:type="auto"/>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w:t>
            </w:r>
            <w:r>
              <w:rPr>
                <w:sz w:val="14"/>
                <w:szCs w:val="14"/>
              </w:rPr>
              <w:t>7,75</w:t>
            </w:r>
            <w:r>
              <w:rPr>
                <w:sz w:val="14"/>
                <w:szCs w:val="14"/>
              </w:rPr>
              <w:t>1</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w:t>
            </w:r>
            <w:r>
              <w:rPr>
                <w:sz w:val="14"/>
                <w:szCs w:val="14"/>
              </w:rPr>
              <w:t>7,75</w:t>
            </w:r>
            <w:r>
              <w:rPr>
                <w:sz w:val="14"/>
                <w:szCs w:val="14"/>
              </w:rPr>
              <w:t>1</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A32496">
            <w:pPr>
              <w:pStyle w:val="a3"/>
              <w:spacing w:before="0" w:beforeAutospacing="0" w:after="0" w:afterAutospacing="0"/>
              <w:rPr>
                <w:sz w:val="14"/>
                <w:szCs w:val="14"/>
              </w:rPr>
            </w:pPr>
            <w:r>
              <w:rPr>
                <w:sz w:val="14"/>
                <w:szCs w:val="14"/>
              </w:rPr>
              <w:t>Stock-based compensatio</w:t>
            </w:r>
            <w:r>
              <w:rPr>
                <w:sz w:val="14"/>
                <w:szCs w:val="14"/>
              </w:rPr>
              <w:t>n</w:t>
            </w:r>
          </w:p>
        </w:tc>
        <w:tc>
          <w:tcPr>
            <w:tcW w:w="0" w:type="auto"/>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10,93</w:t>
            </w:r>
            <w:r>
              <w:rPr>
                <w:sz w:val="14"/>
                <w:szCs w:val="14"/>
              </w:rPr>
              <w:t>2</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10,93</w:t>
            </w:r>
            <w:r>
              <w:rPr>
                <w:sz w:val="14"/>
                <w:szCs w:val="14"/>
              </w:rPr>
              <w:t>2</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A32496">
            <w:pPr>
              <w:pStyle w:val="a3"/>
              <w:spacing w:before="0" w:beforeAutospacing="0" w:after="0" w:afterAutospacing="0"/>
              <w:rPr>
                <w:sz w:val="14"/>
                <w:szCs w:val="14"/>
              </w:rPr>
            </w:pPr>
            <w:r>
              <w:rPr>
                <w:sz w:val="14"/>
                <w:szCs w:val="14"/>
              </w:rPr>
              <w:t>Dividend payment to the Series A-2</w:t>
            </w:r>
            <w:r>
              <w:rPr>
                <w:sz w:val="14"/>
                <w:szCs w:val="14"/>
              </w:rPr>
              <w:br/>
              <w:t>   preferred shareholder</w:t>
            </w:r>
            <w:r>
              <w:rPr>
                <w:sz w:val="14"/>
                <w:szCs w:val="14"/>
              </w:rPr>
              <w:t>s</w:t>
            </w:r>
          </w:p>
        </w:tc>
        <w:tc>
          <w:tcPr>
            <w:tcW w:w="0" w:type="auto"/>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w:t>
            </w:r>
            <w:r>
              <w:rPr>
                <w:sz w:val="14"/>
                <w:szCs w:val="14"/>
              </w:rPr>
              <w:t>4,10</w:t>
            </w:r>
            <w:r>
              <w:rPr>
                <w:sz w:val="14"/>
                <w:szCs w:val="14"/>
              </w:rPr>
              <w:t>0</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w:t>
            </w:r>
            <w:r>
              <w:rPr>
                <w:sz w:val="14"/>
                <w:szCs w:val="14"/>
              </w:rPr>
              <w:t>4,10</w:t>
            </w:r>
            <w:r>
              <w:rPr>
                <w:sz w:val="14"/>
                <w:szCs w:val="14"/>
              </w:rPr>
              <w:t>0</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A32496">
            <w:pPr>
              <w:pStyle w:val="a3"/>
              <w:spacing w:before="0" w:beforeAutospacing="0" w:after="0" w:afterAutospacing="0"/>
              <w:rPr>
                <w:sz w:val="14"/>
                <w:szCs w:val="14"/>
              </w:rPr>
            </w:pPr>
            <w:r>
              <w:rPr>
                <w:sz w:val="14"/>
                <w:szCs w:val="14"/>
              </w:rPr>
              <w:t>Common stock issue</w:t>
            </w:r>
            <w:r>
              <w:rPr>
                <w:sz w:val="14"/>
                <w:szCs w:val="14"/>
              </w:rPr>
              <w:t>d</w:t>
            </w:r>
          </w:p>
        </w:tc>
        <w:tc>
          <w:tcPr>
            <w:tcW w:w="0" w:type="auto"/>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3,57</w:t>
            </w:r>
            <w:r>
              <w:rPr>
                <w:sz w:val="14"/>
                <w:szCs w:val="14"/>
              </w:rPr>
              <w:t>5</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5</w:t>
            </w:r>
            <w:r>
              <w:rPr>
                <w:sz w:val="14"/>
                <w:szCs w:val="14"/>
              </w:rPr>
              <w:t>4</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5</w:t>
            </w:r>
            <w:r>
              <w:rPr>
                <w:sz w:val="14"/>
                <w:szCs w:val="14"/>
              </w:rPr>
              <w:t>4</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A32496">
            <w:pPr>
              <w:pStyle w:val="a3"/>
              <w:spacing w:before="0" w:beforeAutospacing="0" w:after="0" w:afterAutospacing="0"/>
              <w:rPr>
                <w:sz w:val="14"/>
                <w:szCs w:val="14"/>
              </w:rPr>
            </w:pPr>
            <w:r>
              <w:rPr>
                <w:sz w:val="14"/>
                <w:szCs w:val="14"/>
              </w:rPr>
              <w:t>Accumulated other comprehensive los</w:t>
            </w:r>
            <w:r>
              <w:rPr>
                <w:sz w:val="14"/>
                <w:szCs w:val="14"/>
              </w:rPr>
              <w:t>s</w:t>
            </w:r>
          </w:p>
        </w:tc>
        <w:tc>
          <w:tcPr>
            <w:tcW w:w="0" w:type="auto"/>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w:t>
            </w:r>
            <w:r>
              <w:rPr>
                <w:sz w:val="14"/>
                <w:szCs w:val="14"/>
              </w:rPr>
              <w:t>4</w:t>
            </w:r>
            <w:r>
              <w:rPr>
                <w:sz w:val="14"/>
                <w:szCs w:val="14"/>
              </w:rPr>
              <w:t>8</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w:t>
            </w:r>
            <w:r>
              <w:rPr>
                <w:sz w:val="14"/>
                <w:szCs w:val="14"/>
              </w:rPr>
              <w:t>4</w:t>
            </w:r>
            <w:r>
              <w:rPr>
                <w:sz w:val="14"/>
                <w:szCs w:val="14"/>
              </w:rPr>
              <w:t>8</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A32496">
            <w:pPr>
              <w:pStyle w:val="a3"/>
              <w:spacing w:before="0" w:beforeAutospacing="0" w:after="0" w:afterAutospacing="0"/>
              <w:rPr>
                <w:sz w:val="14"/>
                <w:szCs w:val="14"/>
              </w:rPr>
            </w:pPr>
            <w:r>
              <w:rPr>
                <w:b/>
                <w:bCs/>
                <w:sz w:val="14"/>
                <w:szCs w:val="14"/>
              </w:rPr>
              <w:t>BALANCE—June 30, 202</w:t>
            </w:r>
            <w:r>
              <w:rPr>
                <w:b/>
                <w:bCs/>
                <w:sz w:val="14"/>
                <w:szCs w:val="14"/>
              </w:rPr>
              <w:t>2</w:t>
            </w:r>
          </w:p>
        </w:tc>
        <w:tc>
          <w:tcPr>
            <w:tcW w:w="0" w:type="auto"/>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b/>
                <w:bCs/>
                <w:sz w:val="14"/>
                <w:szCs w:val="14"/>
              </w:rPr>
              <w:t>17,50</w:t>
            </w:r>
            <w:r>
              <w:rPr>
                <w:b/>
                <w:bCs/>
                <w:sz w:val="14"/>
                <w:szCs w:val="14"/>
              </w:rPr>
              <w:t>0</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A32496">
            <w:pPr>
              <w:pStyle w:val="a3"/>
              <w:spacing w:before="0" w:beforeAutospacing="0" w:after="0" w:afterAutospacing="0"/>
              <w:jc w:val="right"/>
              <w:rPr>
                <w:sz w:val="20"/>
                <w:szCs w:val="20"/>
              </w:rPr>
            </w:pPr>
            <w:r>
              <w:rPr>
                <w:b/>
                <w:bCs/>
                <w:sz w:val="14"/>
                <w:szCs w:val="14"/>
              </w:rPr>
              <w:t>152,92</w:t>
            </w:r>
            <w:r>
              <w:rPr>
                <w:b/>
                <w:bCs/>
                <w:sz w:val="14"/>
                <w:szCs w:val="14"/>
              </w:rPr>
              <w:t>8</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b/>
                <w:bCs/>
                <w:sz w:val="14"/>
                <w:szCs w:val="14"/>
              </w:rPr>
              <w:t>29,679,39</w:t>
            </w:r>
            <w:r>
              <w:rPr>
                <w:b/>
                <w:bCs/>
                <w:sz w:val="14"/>
                <w:szCs w:val="14"/>
              </w:rPr>
              <w:t>2</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A3249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A32496">
            <w:pPr>
              <w:pStyle w:val="a3"/>
              <w:spacing w:before="0" w:beforeAutospacing="0" w:after="0" w:afterAutospacing="0"/>
              <w:jc w:val="right"/>
              <w:rPr>
                <w:sz w:val="20"/>
                <w:szCs w:val="20"/>
              </w:rPr>
            </w:pPr>
            <w:r>
              <w:rPr>
                <w:b/>
                <w:bCs/>
                <w:sz w:val="14"/>
                <w:szCs w:val="14"/>
              </w:rPr>
              <w:t>477,78</w:t>
            </w:r>
            <w:r>
              <w:rPr>
                <w:b/>
                <w:bCs/>
                <w:sz w:val="14"/>
                <w:szCs w:val="14"/>
              </w:rPr>
              <w:t>3</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A32496">
            <w:pPr>
              <w:pStyle w:val="a3"/>
              <w:spacing w:before="0" w:beforeAutospacing="0" w:after="0" w:afterAutospacing="0"/>
              <w:jc w:val="right"/>
              <w:rPr>
                <w:sz w:val="20"/>
                <w:szCs w:val="20"/>
              </w:rPr>
            </w:pPr>
            <w:r>
              <w:rPr>
                <w:b/>
                <w:bCs/>
                <w:sz w:val="14"/>
                <w:szCs w:val="14"/>
              </w:rPr>
              <w:t>(</w:t>
            </w:r>
            <w:r>
              <w:rPr>
                <w:b/>
                <w:bCs/>
                <w:sz w:val="14"/>
                <w:szCs w:val="14"/>
              </w:rPr>
              <w:t>162,96</w:t>
            </w:r>
            <w:r>
              <w:rPr>
                <w:b/>
                <w:bCs/>
                <w:sz w:val="14"/>
                <w:szCs w:val="14"/>
              </w:rPr>
              <w:t>5</w:t>
            </w:r>
          </w:p>
        </w:tc>
        <w:tc>
          <w:tcPr>
            <w:tcW w:w="0" w:type="auto"/>
            <w:noWrap/>
            <w:vAlign w:val="bottom"/>
            <w:hideMark/>
          </w:tcPr>
          <w:p w:rsidR="00000000" w:rsidRDefault="00A32496">
            <w:pPr>
              <w:pStyle w:val="a3"/>
              <w:spacing w:before="0" w:beforeAutospacing="0" w:after="0" w:afterAutospacing="0"/>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A32496">
            <w:pPr>
              <w:pStyle w:val="a3"/>
              <w:spacing w:before="0" w:beforeAutospacing="0" w:after="0" w:afterAutospacing="0"/>
              <w:jc w:val="right"/>
              <w:rPr>
                <w:sz w:val="20"/>
                <w:szCs w:val="20"/>
              </w:rPr>
            </w:pPr>
            <w:r>
              <w:rPr>
                <w:b/>
                <w:bCs/>
                <w:sz w:val="14"/>
                <w:szCs w:val="14"/>
              </w:rPr>
              <w:t>3</w:t>
            </w:r>
            <w:r>
              <w:rPr>
                <w:b/>
                <w:bCs/>
                <w:sz w:val="14"/>
                <w:szCs w:val="14"/>
              </w:rPr>
              <w:t>3</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A32496">
            <w:pPr>
              <w:pStyle w:val="a3"/>
              <w:spacing w:before="0" w:beforeAutospacing="0" w:after="0" w:afterAutospacing="0"/>
              <w:jc w:val="right"/>
              <w:rPr>
                <w:sz w:val="20"/>
                <w:szCs w:val="20"/>
              </w:rPr>
            </w:pPr>
            <w:r>
              <w:rPr>
                <w:b/>
                <w:bCs/>
                <w:sz w:val="14"/>
                <w:szCs w:val="14"/>
              </w:rPr>
              <w:t>314,85</w:t>
            </w:r>
            <w:r>
              <w:rPr>
                <w:b/>
                <w:bCs/>
                <w:sz w:val="14"/>
                <w:szCs w:val="14"/>
              </w:rPr>
              <w:t>1</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A32496">
            <w:pPr>
              <w:pStyle w:val="a3"/>
              <w:spacing w:before="0" w:beforeAutospacing="0" w:after="0" w:afterAutospacing="0"/>
              <w:rPr>
                <w:sz w:val="14"/>
                <w:szCs w:val="14"/>
              </w:rPr>
            </w:pPr>
            <w:r>
              <w:rPr>
                <w:sz w:val="14"/>
                <w:szCs w:val="14"/>
              </w:rPr>
              <w:t>Net los</w:t>
            </w:r>
            <w:r>
              <w:rPr>
                <w:sz w:val="14"/>
                <w:szCs w:val="14"/>
              </w:rPr>
              <w:t>s</w:t>
            </w:r>
          </w:p>
        </w:tc>
        <w:tc>
          <w:tcPr>
            <w:tcW w:w="0" w:type="auto"/>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w:t>
            </w:r>
            <w:r>
              <w:rPr>
                <w:sz w:val="14"/>
                <w:szCs w:val="14"/>
              </w:rPr>
              <w:t>5,72</w:t>
            </w:r>
            <w:r>
              <w:rPr>
                <w:sz w:val="14"/>
                <w:szCs w:val="14"/>
              </w:rPr>
              <w:t>0</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w:t>
            </w:r>
            <w:r>
              <w:rPr>
                <w:sz w:val="14"/>
                <w:szCs w:val="14"/>
              </w:rPr>
              <w:t>5,72</w:t>
            </w:r>
            <w:r>
              <w:rPr>
                <w:sz w:val="14"/>
                <w:szCs w:val="14"/>
              </w:rPr>
              <w:t>0</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A32496">
            <w:pPr>
              <w:pStyle w:val="a3"/>
              <w:spacing w:before="0" w:beforeAutospacing="0" w:after="0" w:afterAutospacing="0"/>
              <w:rPr>
                <w:sz w:val="14"/>
                <w:szCs w:val="14"/>
              </w:rPr>
            </w:pPr>
            <w:r>
              <w:rPr>
                <w:sz w:val="14"/>
                <w:szCs w:val="14"/>
              </w:rPr>
              <w:t>Stock-based compensatio</w:t>
            </w:r>
            <w:r>
              <w:rPr>
                <w:sz w:val="14"/>
                <w:szCs w:val="14"/>
              </w:rPr>
              <w:t>n</w:t>
            </w:r>
          </w:p>
        </w:tc>
        <w:tc>
          <w:tcPr>
            <w:tcW w:w="0" w:type="auto"/>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11,01</w:t>
            </w:r>
            <w:r>
              <w:rPr>
                <w:sz w:val="14"/>
                <w:szCs w:val="14"/>
              </w:rPr>
              <w:t>8</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11,01</w:t>
            </w:r>
            <w:r>
              <w:rPr>
                <w:sz w:val="14"/>
                <w:szCs w:val="14"/>
              </w:rPr>
              <w:t>8</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A32496">
            <w:pPr>
              <w:pStyle w:val="a3"/>
              <w:spacing w:before="0" w:beforeAutospacing="0" w:after="0" w:afterAutospacing="0"/>
              <w:rPr>
                <w:sz w:val="14"/>
                <w:szCs w:val="14"/>
              </w:rPr>
            </w:pPr>
            <w:r>
              <w:rPr>
                <w:sz w:val="14"/>
                <w:szCs w:val="14"/>
              </w:rPr>
              <w:t>Dividend payment to the Series A-2</w:t>
            </w:r>
            <w:r>
              <w:rPr>
                <w:sz w:val="14"/>
                <w:szCs w:val="14"/>
              </w:rPr>
              <w:br/>
              <w:t>   preferred shareholder</w:t>
            </w:r>
            <w:r>
              <w:rPr>
                <w:sz w:val="14"/>
                <w:szCs w:val="14"/>
              </w:rPr>
              <w:t>s</w:t>
            </w:r>
          </w:p>
        </w:tc>
        <w:tc>
          <w:tcPr>
            <w:tcW w:w="0" w:type="auto"/>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w:t>
            </w:r>
            <w:r>
              <w:rPr>
                <w:sz w:val="14"/>
                <w:szCs w:val="14"/>
              </w:rPr>
              <w:t>4,10</w:t>
            </w:r>
            <w:r>
              <w:rPr>
                <w:sz w:val="14"/>
                <w:szCs w:val="14"/>
              </w:rPr>
              <w:t>0</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w:t>
            </w:r>
            <w:r>
              <w:rPr>
                <w:sz w:val="14"/>
                <w:szCs w:val="14"/>
              </w:rPr>
              <w:t>4,10</w:t>
            </w:r>
            <w:r>
              <w:rPr>
                <w:sz w:val="14"/>
                <w:szCs w:val="14"/>
              </w:rPr>
              <w:t>0</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A32496">
            <w:pPr>
              <w:pStyle w:val="a3"/>
              <w:spacing w:before="0" w:beforeAutospacing="0" w:after="0" w:afterAutospacing="0"/>
              <w:rPr>
                <w:sz w:val="14"/>
                <w:szCs w:val="14"/>
              </w:rPr>
            </w:pPr>
            <w:r>
              <w:rPr>
                <w:sz w:val="14"/>
                <w:szCs w:val="14"/>
              </w:rPr>
              <w:t>Common stock issue</w:t>
            </w:r>
            <w:r>
              <w:rPr>
                <w:sz w:val="14"/>
                <w:szCs w:val="14"/>
              </w:rPr>
              <w:t>d</w:t>
            </w:r>
          </w:p>
        </w:tc>
        <w:tc>
          <w:tcPr>
            <w:tcW w:w="0" w:type="auto"/>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28,11</w:t>
            </w:r>
            <w:r>
              <w:rPr>
                <w:sz w:val="14"/>
                <w:szCs w:val="14"/>
              </w:rPr>
              <w:t>1</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32</w:t>
            </w:r>
            <w:r>
              <w:rPr>
                <w:sz w:val="14"/>
                <w:szCs w:val="14"/>
              </w:rPr>
              <w:t>9</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32</w:t>
            </w:r>
            <w:r>
              <w:rPr>
                <w:sz w:val="14"/>
                <w:szCs w:val="14"/>
              </w:rPr>
              <w:t>9</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A32496">
            <w:pPr>
              <w:pStyle w:val="a3"/>
              <w:spacing w:before="0" w:beforeAutospacing="0" w:after="0" w:afterAutospacing="0"/>
              <w:rPr>
                <w:sz w:val="14"/>
                <w:szCs w:val="14"/>
              </w:rPr>
            </w:pPr>
            <w:r>
              <w:rPr>
                <w:sz w:val="14"/>
                <w:szCs w:val="14"/>
              </w:rPr>
              <w:t>Accumulated other comprehensive incom</w:t>
            </w:r>
            <w:r>
              <w:rPr>
                <w:sz w:val="14"/>
                <w:szCs w:val="14"/>
              </w:rPr>
              <w:t>e</w:t>
            </w:r>
          </w:p>
        </w:tc>
        <w:tc>
          <w:tcPr>
            <w:tcW w:w="0" w:type="auto"/>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2</w:t>
            </w:r>
            <w:r>
              <w:rPr>
                <w:sz w:val="14"/>
                <w:szCs w:val="14"/>
              </w:rPr>
              <w:t>0</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4"/>
                <w:szCs w:val="14"/>
              </w:rPr>
              <w:t>2</w:t>
            </w:r>
            <w:r>
              <w:rPr>
                <w:sz w:val="14"/>
                <w:szCs w:val="14"/>
              </w:rPr>
              <w:t>0</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A32496">
            <w:pPr>
              <w:pStyle w:val="a3"/>
              <w:spacing w:before="0" w:beforeAutospacing="0" w:after="0" w:afterAutospacing="0"/>
              <w:rPr>
                <w:sz w:val="14"/>
                <w:szCs w:val="14"/>
              </w:rPr>
            </w:pPr>
            <w:r>
              <w:rPr>
                <w:b/>
                <w:bCs/>
                <w:sz w:val="14"/>
                <w:szCs w:val="14"/>
              </w:rPr>
              <w:t>BALANCE—September 30, 202</w:t>
            </w:r>
            <w:r>
              <w:rPr>
                <w:b/>
                <w:bCs/>
                <w:sz w:val="14"/>
                <w:szCs w:val="14"/>
              </w:rPr>
              <w:t>2</w:t>
            </w:r>
          </w:p>
        </w:tc>
        <w:tc>
          <w:tcPr>
            <w:tcW w:w="0" w:type="auto"/>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b/>
                <w:bCs/>
                <w:sz w:val="14"/>
                <w:szCs w:val="14"/>
              </w:rPr>
              <w:t>17,50</w:t>
            </w:r>
            <w:r>
              <w:rPr>
                <w:b/>
                <w:bCs/>
                <w:sz w:val="14"/>
                <w:szCs w:val="14"/>
              </w:rPr>
              <w:t>0</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A32496">
            <w:pPr>
              <w:pStyle w:val="a3"/>
              <w:spacing w:before="0" w:beforeAutospacing="0" w:after="0" w:afterAutospacing="0"/>
              <w:jc w:val="right"/>
              <w:rPr>
                <w:sz w:val="20"/>
                <w:szCs w:val="20"/>
              </w:rPr>
            </w:pPr>
            <w:r>
              <w:rPr>
                <w:b/>
                <w:bCs/>
                <w:sz w:val="14"/>
                <w:szCs w:val="14"/>
              </w:rPr>
              <w:t>152,92</w:t>
            </w:r>
            <w:r>
              <w:rPr>
                <w:b/>
                <w:bCs/>
                <w:sz w:val="14"/>
                <w:szCs w:val="14"/>
              </w:rPr>
              <w:t>8</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jc w:val="right"/>
              <w:rPr>
                <w:sz w:val="20"/>
                <w:szCs w:val="20"/>
              </w:rPr>
            </w:pPr>
            <w:r>
              <w:rPr>
                <w:b/>
                <w:bCs/>
                <w:sz w:val="14"/>
                <w:szCs w:val="14"/>
              </w:rPr>
              <w:t>29,707,50</w:t>
            </w:r>
            <w:r>
              <w:rPr>
                <w:b/>
                <w:bCs/>
                <w:sz w:val="14"/>
                <w:szCs w:val="14"/>
              </w:rPr>
              <w:t>3</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A3249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A32496">
            <w:pPr>
              <w:pStyle w:val="a3"/>
              <w:spacing w:before="0" w:beforeAutospacing="0" w:after="0" w:afterAutospacing="0"/>
              <w:jc w:val="right"/>
              <w:rPr>
                <w:sz w:val="20"/>
                <w:szCs w:val="20"/>
              </w:rPr>
            </w:pPr>
            <w:r>
              <w:rPr>
                <w:b/>
                <w:bCs/>
                <w:sz w:val="14"/>
                <w:szCs w:val="14"/>
              </w:rPr>
              <w:t>485,03</w:t>
            </w:r>
            <w:r>
              <w:rPr>
                <w:b/>
                <w:bCs/>
                <w:sz w:val="14"/>
                <w:szCs w:val="14"/>
              </w:rPr>
              <w:t>0</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A32496">
            <w:pPr>
              <w:pStyle w:val="a3"/>
              <w:spacing w:before="0" w:beforeAutospacing="0" w:after="0" w:afterAutospacing="0"/>
              <w:jc w:val="right"/>
              <w:rPr>
                <w:sz w:val="20"/>
                <w:szCs w:val="20"/>
              </w:rPr>
            </w:pPr>
            <w:r>
              <w:rPr>
                <w:b/>
                <w:bCs/>
                <w:sz w:val="14"/>
                <w:szCs w:val="14"/>
              </w:rPr>
              <w:t>(</w:t>
            </w:r>
            <w:r>
              <w:rPr>
                <w:b/>
                <w:bCs/>
                <w:sz w:val="14"/>
                <w:szCs w:val="14"/>
              </w:rPr>
              <w:t>168,68</w:t>
            </w:r>
            <w:r>
              <w:rPr>
                <w:b/>
                <w:bCs/>
                <w:sz w:val="14"/>
                <w:szCs w:val="14"/>
              </w:rPr>
              <w:t>5</w:t>
            </w:r>
          </w:p>
        </w:tc>
        <w:tc>
          <w:tcPr>
            <w:tcW w:w="0" w:type="auto"/>
            <w:noWrap/>
            <w:vAlign w:val="bottom"/>
            <w:hideMark/>
          </w:tcPr>
          <w:p w:rsidR="00000000" w:rsidRDefault="00A32496">
            <w:pPr>
              <w:pStyle w:val="a3"/>
              <w:spacing w:before="0" w:beforeAutospacing="0" w:after="0" w:afterAutospacing="0"/>
              <w:rPr>
                <w:sz w:val="14"/>
                <w:szCs w:val="14"/>
              </w:rPr>
            </w:pPr>
            <w:r>
              <w:rPr>
                <w:b/>
                <w:bCs/>
                <w:sz w:val="14"/>
                <w:szCs w:val="14"/>
              </w:rPr>
              <w:t>)</w:t>
            </w:r>
          </w:p>
        </w:tc>
        <w:tc>
          <w:tcPr>
            <w:tcW w:w="0" w:type="auto"/>
            <w:noWrap/>
            <w:vAlign w:val="bottom"/>
            <w:hideMark/>
          </w:tcPr>
          <w:p w:rsidR="00000000" w:rsidRDefault="00A3249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A32496">
            <w:pPr>
              <w:pStyle w:val="a3"/>
              <w:spacing w:before="0" w:beforeAutospacing="0" w:after="0" w:afterAutospacing="0"/>
              <w:jc w:val="right"/>
              <w:rPr>
                <w:sz w:val="20"/>
                <w:szCs w:val="20"/>
              </w:rPr>
            </w:pPr>
            <w:r>
              <w:rPr>
                <w:b/>
                <w:bCs/>
                <w:sz w:val="14"/>
                <w:szCs w:val="14"/>
              </w:rPr>
              <w:t>5</w:t>
            </w:r>
            <w:r>
              <w:rPr>
                <w:b/>
                <w:bCs/>
                <w:sz w:val="14"/>
                <w:szCs w:val="14"/>
              </w:rPr>
              <w:t>3</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A3249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A32496">
            <w:pPr>
              <w:pStyle w:val="a3"/>
              <w:spacing w:before="0" w:beforeAutospacing="0" w:after="0" w:afterAutospacing="0"/>
              <w:jc w:val="right"/>
              <w:rPr>
                <w:sz w:val="20"/>
                <w:szCs w:val="20"/>
              </w:rPr>
            </w:pPr>
            <w:r>
              <w:rPr>
                <w:b/>
                <w:bCs/>
                <w:sz w:val="14"/>
                <w:szCs w:val="14"/>
              </w:rPr>
              <w:t>316,39</w:t>
            </w:r>
            <w:r>
              <w:rPr>
                <w:b/>
                <w:bCs/>
                <w:sz w:val="14"/>
                <w:szCs w:val="14"/>
              </w:rPr>
              <w:t>8</w:t>
            </w:r>
          </w:p>
        </w:tc>
        <w:tc>
          <w:tcPr>
            <w:tcW w:w="0" w:type="auto"/>
            <w:noWrap/>
            <w:vAlign w:val="bottom"/>
            <w:hideMark/>
          </w:tcPr>
          <w:p w:rsidR="00000000" w:rsidRDefault="00A32496">
            <w:pPr>
              <w:pStyle w:val="a3"/>
              <w:spacing w:before="0" w:beforeAutospacing="0" w:after="0" w:afterAutospacing="0"/>
              <w:rPr>
                <w:sz w:val="14"/>
                <w:szCs w:val="14"/>
              </w:rPr>
            </w:pPr>
            <w:r>
              <w:rPr>
                <w:sz w:val="14"/>
                <w:szCs w:val="14"/>
              </w:rPr>
              <w:t> </w:t>
            </w:r>
          </w:p>
        </w:tc>
      </w:tr>
    </w:tbl>
    <w:p w:rsidR="00000000" w:rsidRDefault="00A32496">
      <w:pPr>
        <w:pStyle w:val="a3"/>
        <w:spacing w:before="0" w:beforeAutospacing="0" w:after="0" w:afterAutospacing="0"/>
        <w:jc w:val="center"/>
        <w:rPr>
          <w:sz w:val="20"/>
          <w:szCs w:val="20"/>
        </w:rPr>
      </w:pPr>
      <w:r>
        <w:rPr>
          <w:sz w:val="20"/>
          <w:szCs w:val="20"/>
        </w:rPr>
        <w:t>The accompanying notes are an integral part of these unaudited condensed consolidated financial statements</w:t>
      </w:r>
      <w:r>
        <w:rPr>
          <w:sz w:val="20"/>
          <w:szCs w:val="20"/>
        </w:rPr>
        <w:t>.</w:t>
      </w:r>
    </w:p>
    <w:p w:rsidR="00000000" w:rsidRDefault="00A32496">
      <w:pPr>
        <w:pStyle w:val="a3"/>
        <w:spacing w:before="240" w:beforeAutospacing="0" w:after="0" w:afterAutospacing="0"/>
        <w:jc w:val="center"/>
        <w:rPr>
          <w:sz w:val="20"/>
          <w:szCs w:val="20"/>
        </w:rPr>
      </w:pPr>
      <w:r>
        <w:rPr>
          <w:sz w:val="20"/>
          <w:szCs w:val="20"/>
        </w:rPr>
        <w:t>3</w:t>
      </w:r>
    </w:p>
    <w:p w:rsidR="00000000" w:rsidRDefault="00A32496">
      <w:pPr>
        <w:rPr>
          <w:rFonts w:eastAsia="Times New Roman"/>
        </w:rPr>
      </w:pPr>
      <w:r>
        <w:rPr>
          <w:rFonts w:eastAsia="Times New Roman"/>
        </w:rPr>
        <w:pict>
          <v:rect id="_x0000_i1029" style="width:0;height:1.5pt" o:hralign="center" o:hrstd="t" o:hr="t" fillcolor="#a0a0a0" stroked="f"/>
        </w:pict>
      </w:r>
    </w:p>
    <w:p w:rsidR="00000000" w:rsidRDefault="00A32496">
      <w:pPr>
        <w:pStyle w:val="a3"/>
        <w:spacing w:before="0" w:beforeAutospacing="0" w:after="0" w:afterAutospacing="0"/>
        <w:rPr>
          <w:sz w:val="20"/>
          <w:szCs w:val="20"/>
        </w:rPr>
      </w:pPr>
      <w:r>
        <w:rPr>
          <w:sz w:val="20"/>
          <w:szCs w:val="20"/>
        </w:rPr>
        <w:t> </w:t>
      </w:r>
    </w:p>
    <w:p w:rsidR="00000000" w:rsidRDefault="00A32496">
      <w:pPr>
        <w:pStyle w:val="a3"/>
        <w:spacing w:before="0" w:beforeAutospacing="0" w:after="0" w:afterAutospacing="0"/>
        <w:jc w:val="center"/>
        <w:rPr>
          <w:sz w:val="20"/>
          <w:szCs w:val="20"/>
        </w:rPr>
      </w:pPr>
      <w:r>
        <w:rPr>
          <w:b/>
          <w:bCs/>
          <w:sz w:val="20"/>
          <w:szCs w:val="20"/>
        </w:rPr>
        <w:t>MONTROSE ENVIRONMENTAL GROUP, INC</w:t>
      </w:r>
      <w:r>
        <w:rPr>
          <w:b/>
          <w:bCs/>
          <w:sz w:val="20"/>
          <w:szCs w:val="20"/>
        </w:rPr>
        <w:t>.</w:t>
      </w:r>
      <w:r>
        <w:rPr>
          <w:b/>
          <w:bCs/>
          <w:sz w:val="20"/>
          <w:szCs w:val="20"/>
        </w:rPr>
        <w:t xml:space="preserve"> </w:t>
      </w:r>
    </w:p>
    <w:p w:rsidR="00000000" w:rsidRDefault="00A32496">
      <w:pPr>
        <w:pStyle w:val="a3"/>
        <w:spacing w:before="0" w:beforeAutospacing="0" w:after="0" w:afterAutospacing="0"/>
        <w:jc w:val="center"/>
        <w:rPr>
          <w:sz w:val="20"/>
          <w:szCs w:val="20"/>
        </w:rPr>
      </w:pPr>
      <w:r>
        <w:rPr>
          <w:b/>
          <w:bCs/>
          <w:sz w:val="20"/>
          <w:szCs w:val="20"/>
        </w:rPr>
        <w:t>UNAU</w:t>
      </w:r>
      <w:r>
        <w:rPr>
          <w:b/>
          <w:bCs/>
          <w:sz w:val="20"/>
          <w:szCs w:val="20"/>
        </w:rPr>
        <w:t>D</w:t>
      </w:r>
      <w:r>
        <w:rPr>
          <w:b/>
          <w:bCs/>
          <w:sz w:val="20"/>
          <w:szCs w:val="20"/>
        </w:rPr>
        <w:t>ITED CONDENSED CONSOLID</w:t>
      </w:r>
      <w:r>
        <w:rPr>
          <w:b/>
          <w:bCs/>
          <w:sz w:val="20"/>
          <w:szCs w:val="20"/>
        </w:rPr>
        <w:t>A</w:t>
      </w:r>
      <w:r>
        <w:rPr>
          <w:b/>
          <w:bCs/>
          <w:sz w:val="20"/>
          <w:szCs w:val="20"/>
        </w:rPr>
        <w:t>TED STATEMENTS OF CASH FLOW</w:t>
      </w:r>
      <w:r>
        <w:rPr>
          <w:b/>
          <w:bCs/>
          <w:sz w:val="20"/>
          <w:szCs w:val="20"/>
        </w:rPr>
        <w:t>S</w:t>
      </w:r>
    </w:p>
    <w:p w:rsidR="00000000" w:rsidRDefault="00A32496">
      <w:pPr>
        <w:pStyle w:val="a3"/>
        <w:spacing w:before="0" w:beforeAutospacing="0" w:after="0" w:afterAutospacing="0"/>
        <w:jc w:val="center"/>
        <w:rPr>
          <w:sz w:val="20"/>
          <w:szCs w:val="20"/>
        </w:rPr>
      </w:pPr>
      <w:r>
        <w:rPr>
          <w:b/>
          <w:bCs/>
          <w:sz w:val="20"/>
          <w:szCs w:val="20"/>
        </w:rPr>
        <w:t>(In thousands</w:t>
      </w:r>
      <w:r>
        <w:rPr>
          <w:b/>
          <w:bCs/>
          <w:sz w:val="20"/>
          <w:szCs w:val="20"/>
        </w:rPr>
        <w:t>)</w:t>
      </w:r>
    </w:p>
    <w:p w:rsidR="00000000" w:rsidRDefault="00A32496">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97"/>
        <w:gridCol w:w="136"/>
        <w:gridCol w:w="150"/>
        <w:gridCol w:w="1029"/>
        <w:gridCol w:w="120"/>
        <w:gridCol w:w="137"/>
        <w:gridCol w:w="150"/>
        <w:gridCol w:w="1052"/>
        <w:gridCol w:w="135"/>
      </w:tblGrid>
      <w:tr w:rsidR="00000000">
        <w:trPr>
          <w:tblCellSpacing w:w="15" w:type="dxa"/>
        </w:trPr>
        <w:tc>
          <w:tcPr>
            <w:tcW w:w="3353" w:type="pct"/>
            <w:vAlign w:val="center"/>
            <w:hideMark/>
          </w:tcPr>
          <w:p w:rsidR="00000000" w:rsidRDefault="00A32496">
            <w:pPr>
              <w:rPr>
                <w:sz w:val="20"/>
                <w:szCs w:val="20"/>
              </w:rPr>
            </w:pPr>
          </w:p>
        </w:tc>
        <w:tc>
          <w:tcPr>
            <w:tcW w:w="79"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636"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79"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650"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r>
      <w:tr w:rsidR="00000000">
        <w:trPr>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6"/>
            <w:vAlign w:val="bottom"/>
            <w:hideMark/>
          </w:tcPr>
          <w:p w:rsidR="00000000" w:rsidRDefault="00A32496">
            <w:pPr>
              <w:pStyle w:val="a3"/>
              <w:spacing w:before="0" w:beforeAutospacing="0" w:after="0" w:afterAutospacing="0"/>
              <w:jc w:val="center"/>
              <w:rPr>
                <w:sz w:val="18"/>
                <w:szCs w:val="18"/>
              </w:rPr>
            </w:pPr>
            <w:r>
              <w:rPr>
                <w:b/>
                <w:bCs/>
                <w:sz w:val="18"/>
                <w:szCs w:val="18"/>
              </w:rPr>
              <w:t>Nine Months Ended September 30</w:t>
            </w:r>
            <w:r>
              <w:rPr>
                <w:b/>
                <w:bCs/>
                <w:sz w:val="18"/>
                <w:szCs w:val="18"/>
              </w:rPr>
              <w: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center"/>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center"/>
            <w:hideMark/>
          </w:tcPr>
          <w:p w:rsidR="00000000" w:rsidRDefault="00A32496">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OPERATING ACTIVITIES</w:t>
            </w: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ind w:left="200"/>
              <w:rPr>
                <w:sz w:val="18"/>
                <w:szCs w:val="18"/>
              </w:rPr>
            </w:pPr>
            <w:r>
              <w:rPr>
                <w:sz w:val="18"/>
                <w:szCs w:val="18"/>
              </w:rPr>
              <w:t>Net los</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21,00</w:t>
            </w:r>
            <w:r>
              <w:rPr>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23,85</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A32496">
            <w:pPr>
              <w:pStyle w:val="a3"/>
              <w:spacing w:before="0" w:beforeAutospacing="0" w:after="0" w:afterAutospacing="0"/>
              <w:ind w:left="200"/>
              <w:rPr>
                <w:sz w:val="18"/>
                <w:szCs w:val="18"/>
              </w:rPr>
            </w:pPr>
            <w:r>
              <w:rPr>
                <w:sz w:val="18"/>
                <w:szCs w:val="18"/>
              </w:rPr>
              <w:t>Adjustments to reconcile net loss to net cash used in operating activities</w:t>
            </w: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ind w:left="400"/>
              <w:rPr>
                <w:sz w:val="18"/>
                <w:szCs w:val="18"/>
              </w:rPr>
            </w:pPr>
            <w:r>
              <w:rPr>
                <w:sz w:val="18"/>
                <w:szCs w:val="18"/>
              </w:rPr>
              <w:t>(Recovery) provision for bad deb</w:t>
            </w:r>
            <w:r>
              <w:rPr>
                <w:sz w:val="18"/>
                <w:szCs w:val="18"/>
              </w:rPr>
              <w:t>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82</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80</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ind w:left="400"/>
              <w:rPr>
                <w:sz w:val="18"/>
                <w:szCs w:val="18"/>
              </w:rPr>
            </w:pPr>
            <w:r>
              <w:rPr>
                <w:sz w:val="18"/>
                <w:szCs w:val="18"/>
              </w:rPr>
              <w:t>Depreciation and amortizatio</w:t>
            </w:r>
            <w:r>
              <w:rPr>
                <w:sz w:val="18"/>
                <w:szCs w:val="18"/>
              </w:rPr>
              <w:t>n</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35,92</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33,14</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ind w:left="400"/>
              <w:rPr>
                <w:sz w:val="18"/>
                <w:szCs w:val="18"/>
              </w:rPr>
            </w:pPr>
            <w:r>
              <w:rPr>
                <w:sz w:val="18"/>
                <w:szCs w:val="18"/>
              </w:rPr>
              <w:t>Amortization of right-of-use asse</w:t>
            </w:r>
            <w:r>
              <w:rPr>
                <w:sz w:val="18"/>
                <w:szCs w:val="18"/>
              </w:rPr>
              <w:t>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6,93</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5,94</w:t>
            </w:r>
            <w:r>
              <w:rPr>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ind w:left="400"/>
              <w:rPr>
                <w:sz w:val="18"/>
                <w:szCs w:val="18"/>
              </w:rPr>
            </w:pPr>
            <w:r>
              <w:rPr>
                <w:sz w:val="18"/>
                <w:szCs w:val="18"/>
              </w:rPr>
              <w:t>Stock-based compensation expens</w:t>
            </w:r>
            <w:r>
              <w:rPr>
                <w:sz w:val="18"/>
                <w:szCs w:val="18"/>
              </w:rPr>
              <w:t>e</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32,37</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6,58</w:t>
            </w:r>
            <w:r>
              <w:rPr>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ind w:left="400"/>
              <w:rPr>
                <w:sz w:val="18"/>
                <w:szCs w:val="18"/>
              </w:rPr>
            </w:pPr>
            <w:r>
              <w:rPr>
                <w:sz w:val="18"/>
                <w:szCs w:val="18"/>
              </w:rPr>
              <w:t>Fair value changes in financial instrument</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4,66</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1,65</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ind w:left="400"/>
              <w:rPr>
                <w:sz w:val="18"/>
                <w:szCs w:val="18"/>
              </w:rPr>
            </w:pPr>
            <w:r>
              <w:rPr>
                <w:sz w:val="18"/>
                <w:szCs w:val="18"/>
              </w:rPr>
              <w:t>Fair value changes in business acquisition contingencie</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3,47</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24,03</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ind w:left="400"/>
              <w:rPr>
                <w:sz w:val="18"/>
                <w:szCs w:val="18"/>
              </w:rPr>
            </w:pPr>
            <w:r>
              <w:rPr>
                <w:sz w:val="18"/>
                <w:szCs w:val="18"/>
              </w:rPr>
              <w:t>Deferred income taxe</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1,89</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23</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ind w:left="400"/>
              <w:rPr>
                <w:sz w:val="18"/>
                <w:szCs w:val="18"/>
              </w:rPr>
            </w:pPr>
            <w:r>
              <w:rPr>
                <w:sz w:val="18"/>
                <w:szCs w:val="18"/>
              </w:rPr>
              <w:t>Debt extinguishment cost</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4,05</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ind w:left="400"/>
              <w:rPr>
                <w:sz w:val="18"/>
                <w:szCs w:val="18"/>
              </w:rPr>
            </w:pPr>
            <w:r>
              <w:rPr>
                <w:sz w:val="18"/>
                <w:szCs w:val="18"/>
              </w:rPr>
              <w:t>Othe</w:t>
            </w:r>
            <w:r>
              <w:rPr>
                <w:sz w:val="18"/>
                <w:szCs w:val="18"/>
              </w:rPr>
              <w:t>r</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46</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6</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ind w:left="400"/>
              <w:rPr>
                <w:sz w:val="18"/>
                <w:szCs w:val="18"/>
              </w:rPr>
            </w:pPr>
            <w:r>
              <w:rPr>
                <w:sz w:val="18"/>
                <w:szCs w:val="18"/>
              </w:rPr>
              <w:t>Changes in operating assets and liabilities—net of acquisitions</w:t>
            </w: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ind w:left="600"/>
              <w:rPr>
                <w:sz w:val="18"/>
                <w:szCs w:val="18"/>
              </w:rPr>
            </w:pPr>
            <w:r>
              <w:rPr>
                <w:sz w:val="18"/>
                <w:szCs w:val="18"/>
              </w:rPr>
              <w:t>Accounts receivable and contract asset</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7,30</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12,50</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A32496">
            <w:pPr>
              <w:pStyle w:val="a3"/>
              <w:spacing w:before="0" w:beforeAutospacing="0" w:after="0" w:afterAutospacing="0"/>
              <w:ind w:left="600"/>
              <w:rPr>
                <w:sz w:val="18"/>
                <w:szCs w:val="18"/>
              </w:rPr>
            </w:pPr>
            <w:r>
              <w:rPr>
                <w:sz w:val="18"/>
                <w:szCs w:val="18"/>
              </w:rPr>
              <w:t>Prepaid expenses and other current asset</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1,36</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1,78</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A32496">
            <w:pPr>
              <w:pStyle w:val="a3"/>
              <w:spacing w:before="0" w:beforeAutospacing="0" w:after="0" w:afterAutospacing="0"/>
              <w:ind w:left="600"/>
              <w:rPr>
                <w:sz w:val="18"/>
                <w:szCs w:val="18"/>
              </w:rPr>
            </w:pPr>
            <w:r>
              <w:rPr>
                <w:sz w:val="18"/>
                <w:szCs w:val="18"/>
              </w:rPr>
              <w:t>Accounts payable and other accrued liabilitie</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12,94</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3,42</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A32496">
            <w:pPr>
              <w:pStyle w:val="a3"/>
              <w:spacing w:before="0" w:beforeAutospacing="0" w:after="0" w:afterAutospacing="0"/>
              <w:ind w:left="600"/>
              <w:rPr>
                <w:sz w:val="18"/>
                <w:szCs w:val="18"/>
              </w:rPr>
            </w:pPr>
            <w:r>
              <w:rPr>
                <w:sz w:val="18"/>
                <w:szCs w:val="18"/>
              </w:rPr>
              <w:t>Accrued payroll and benefit</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6,36</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6</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ind w:left="600"/>
              <w:rPr>
                <w:sz w:val="18"/>
                <w:szCs w:val="18"/>
              </w:rPr>
            </w:pPr>
            <w:r>
              <w:rPr>
                <w:sz w:val="18"/>
                <w:szCs w:val="18"/>
              </w:rPr>
              <w:t>Payment of contingent consideratio</w:t>
            </w:r>
            <w:r>
              <w:rPr>
                <w:sz w:val="18"/>
                <w:szCs w:val="18"/>
              </w:rPr>
              <w:t>n</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19,45</w:t>
            </w:r>
            <w:r>
              <w:rPr>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15,54</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A32496">
            <w:pPr>
              <w:pStyle w:val="a3"/>
              <w:spacing w:before="0" w:beforeAutospacing="0" w:after="0" w:afterAutospacing="0"/>
              <w:ind w:left="600"/>
              <w:rPr>
                <w:sz w:val="18"/>
                <w:szCs w:val="18"/>
              </w:rPr>
            </w:pPr>
            <w:r>
              <w:rPr>
                <w:sz w:val="18"/>
                <w:szCs w:val="18"/>
              </w:rPr>
              <w:t>Change in operating lease</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6,63</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5,76</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A32496">
            <w:pPr>
              <w:pStyle w:val="a3"/>
              <w:spacing w:before="0" w:beforeAutospacing="0" w:after="0" w:afterAutospacing="0"/>
              <w:ind w:left="800"/>
              <w:rPr>
                <w:sz w:val="18"/>
                <w:szCs w:val="18"/>
              </w:rPr>
            </w:pPr>
            <w:r>
              <w:rPr>
                <w:sz w:val="18"/>
                <w:szCs w:val="18"/>
              </w:rPr>
              <w:t>Net cash provided by operating activitie</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8,16</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13,70</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INVESTING ACTIVITIES</w:t>
            </w: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ind w:left="400"/>
              <w:rPr>
                <w:sz w:val="18"/>
                <w:szCs w:val="18"/>
              </w:rPr>
            </w:pPr>
            <w:r>
              <w:rPr>
                <w:sz w:val="18"/>
                <w:szCs w:val="18"/>
              </w:rPr>
              <w:t>Purchases of property and equipmen</w:t>
            </w:r>
            <w:r>
              <w:rPr>
                <w:sz w:val="18"/>
                <w:szCs w:val="18"/>
              </w:rPr>
              <w:t>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5,41</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5,40</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A32496">
            <w:pPr>
              <w:pStyle w:val="a3"/>
              <w:spacing w:before="0" w:beforeAutospacing="0" w:after="0" w:afterAutospacing="0"/>
              <w:ind w:left="400"/>
              <w:rPr>
                <w:sz w:val="18"/>
                <w:szCs w:val="18"/>
              </w:rPr>
            </w:pPr>
            <w:r>
              <w:rPr>
                <w:sz w:val="18"/>
                <w:szCs w:val="18"/>
              </w:rPr>
              <w:t>Proceeds received from corporate owned insuranc</w:t>
            </w:r>
            <w:r>
              <w:rPr>
                <w:sz w:val="18"/>
                <w:szCs w:val="18"/>
              </w:rPr>
              <w:t>e</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27</w:t>
            </w:r>
            <w:r>
              <w:rPr>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ind w:left="400"/>
              <w:rPr>
                <w:sz w:val="18"/>
                <w:szCs w:val="18"/>
              </w:rPr>
            </w:pPr>
            <w:r>
              <w:rPr>
                <w:sz w:val="18"/>
                <w:szCs w:val="18"/>
              </w:rPr>
              <w:t>Proprietary software development and other software cost</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39</w:t>
            </w:r>
            <w:r>
              <w:rPr>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24</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A32496">
            <w:pPr>
              <w:pStyle w:val="a3"/>
              <w:spacing w:before="0" w:beforeAutospacing="0" w:after="0" w:afterAutospacing="0"/>
              <w:ind w:left="400"/>
              <w:rPr>
                <w:sz w:val="18"/>
                <w:szCs w:val="18"/>
              </w:rPr>
            </w:pPr>
            <w:r>
              <w:rPr>
                <w:sz w:val="18"/>
                <w:szCs w:val="18"/>
              </w:rPr>
              <w:t>Purchase price true up</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43</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8,56</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A32496">
            <w:pPr>
              <w:pStyle w:val="a3"/>
              <w:spacing w:before="0" w:beforeAutospacing="0" w:after="0" w:afterAutospacing="0"/>
              <w:ind w:left="400"/>
              <w:rPr>
                <w:sz w:val="18"/>
                <w:szCs w:val="18"/>
              </w:rPr>
            </w:pPr>
            <w:r>
              <w:rPr>
                <w:sz w:val="18"/>
                <w:szCs w:val="18"/>
              </w:rPr>
              <w:t>Cash paid for acquisitions—</w:t>
            </w:r>
            <w:r>
              <w:rPr>
                <w:sz w:val="18"/>
                <w:szCs w:val="18"/>
              </w:rPr>
              <w:t>net of cash acquire</w:t>
            </w:r>
            <w:r>
              <w:rPr>
                <w:sz w:val="18"/>
                <w:szCs w:val="18"/>
              </w:rPr>
              <w:t>d</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21,34</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36,48</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A32496">
            <w:pPr>
              <w:pStyle w:val="a3"/>
              <w:spacing w:before="0" w:beforeAutospacing="0" w:after="0" w:afterAutospacing="0"/>
              <w:ind w:left="800"/>
              <w:rPr>
                <w:sz w:val="18"/>
                <w:szCs w:val="18"/>
              </w:rPr>
            </w:pPr>
            <w:r>
              <w:rPr>
                <w:sz w:val="18"/>
                <w:szCs w:val="18"/>
              </w:rPr>
              <w:t>Net cash used in investing activitie</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27,31</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50,68</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FINANCING ACTIVITIES</w:t>
            </w: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ind w:left="400"/>
              <w:rPr>
                <w:sz w:val="18"/>
                <w:szCs w:val="18"/>
              </w:rPr>
            </w:pPr>
            <w:r>
              <w:rPr>
                <w:sz w:val="18"/>
                <w:szCs w:val="18"/>
              </w:rPr>
              <w:t>Proceeds from line of credi</w:t>
            </w:r>
            <w:r>
              <w:rPr>
                <w:sz w:val="18"/>
                <w:szCs w:val="18"/>
              </w:rPr>
              <w:t>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109,00</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ind w:left="400"/>
              <w:rPr>
                <w:sz w:val="18"/>
                <w:szCs w:val="18"/>
              </w:rPr>
            </w:pPr>
            <w:r>
              <w:rPr>
                <w:sz w:val="18"/>
                <w:szCs w:val="18"/>
              </w:rPr>
              <w:t>Payments on line of credi</w:t>
            </w:r>
            <w:r>
              <w:rPr>
                <w:sz w:val="18"/>
                <w:szCs w:val="18"/>
              </w:rPr>
              <w:t>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72,00</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A32496">
            <w:pPr>
              <w:pStyle w:val="a3"/>
              <w:spacing w:before="0" w:beforeAutospacing="0" w:after="0" w:afterAutospacing="0"/>
              <w:ind w:left="400"/>
              <w:rPr>
                <w:sz w:val="18"/>
                <w:szCs w:val="18"/>
              </w:rPr>
            </w:pPr>
            <w:r>
              <w:rPr>
                <w:sz w:val="18"/>
                <w:szCs w:val="18"/>
              </w:rPr>
              <w:t>Proceeds from term loan</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175,00</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ind w:left="400"/>
              <w:rPr>
                <w:sz w:val="18"/>
                <w:szCs w:val="18"/>
              </w:rPr>
            </w:pPr>
            <w:r>
              <w:rPr>
                <w:sz w:val="18"/>
                <w:szCs w:val="18"/>
              </w:rPr>
              <w:t>Repayment of term loa</w:t>
            </w:r>
            <w:r>
              <w:rPr>
                <w:sz w:val="18"/>
                <w:szCs w:val="18"/>
              </w:rPr>
              <w:t>n</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8,75</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173,90</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A32496">
            <w:pPr>
              <w:pStyle w:val="a3"/>
              <w:spacing w:before="0" w:beforeAutospacing="0" w:after="0" w:afterAutospacing="0"/>
              <w:ind w:left="400"/>
              <w:rPr>
                <w:sz w:val="18"/>
                <w:szCs w:val="18"/>
              </w:rPr>
            </w:pPr>
            <w:r>
              <w:rPr>
                <w:sz w:val="18"/>
                <w:szCs w:val="18"/>
              </w:rPr>
              <w:t>Payment of contingent consideratio</w:t>
            </w:r>
            <w:r>
              <w:rPr>
                <w:sz w:val="18"/>
                <w:szCs w:val="18"/>
              </w:rPr>
              <w:t>n</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10,72</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9,60</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A32496">
            <w:pPr>
              <w:pStyle w:val="a3"/>
              <w:spacing w:before="0" w:beforeAutospacing="0" w:after="0" w:afterAutospacing="0"/>
              <w:ind w:left="400"/>
              <w:rPr>
                <w:sz w:val="18"/>
                <w:szCs w:val="18"/>
              </w:rPr>
            </w:pPr>
            <w:r>
              <w:rPr>
                <w:sz w:val="18"/>
                <w:szCs w:val="18"/>
              </w:rPr>
              <w:t>Repayment of finance lease</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2,90</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1,88</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A32496">
            <w:pPr>
              <w:pStyle w:val="a3"/>
              <w:spacing w:before="0" w:beforeAutospacing="0" w:after="0" w:afterAutospacing="0"/>
              <w:ind w:left="400"/>
              <w:rPr>
                <w:sz w:val="18"/>
                <w:szCs w:val="18"/>
              </w:rPr>
            </w:pPr>
            <w:r>
              <w:rPr>
                <w:sz w:val="18"/>
                <w:szCs w:val="18"/>
              </w:rPr>
              <w:t>Debt issuance cost</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2,59</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A32496">
            <w:pPr>
              <w:pStyle w:val="a3"/>
              <w:spacing w:before="0" w:beforeAutospacing="0" w:after="0" w:afterAutospacing="0"/>
              <w:ind w:left="400"/>
              <w:rPr>
                <w:sz w:val="18"/>
                <w:szCs w:val="18"/>
              </w:rPr>
            </w:pPr>
            <w:r>
              <w:rPr>
                <w:sz w:val="18"/>
                <w:szCs w:val="18"/>
              </w:rPr>
              <w:t>Proceeds from issuance of common stock for exercised stock option</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81</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6,03</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ind w:left="400"/>
              <w:rPr>
                <w:sz w:val="18"/>
                <w:szCs w:val="18"/>
              </w:rPr>
            </w:pPr>
            <w:r>
              <w:rPr>
                <w:sz w:val="18"/>
                <w:szCs w:val="18"/>
              </w:rPr>
              <w:t>Dividend payment to the Series A-2 shareholder</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12,30</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12,30</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A32496">
            <w:pPr>
              <w:pStyle w:val="a3"/>
              <w:spacing w:before="0" w:beforeAutospacing="0" w:after="0" w:afterAutospacing="0"/>
              <w:ind w:left="400"/>
              <w:rPr>
                <w:sz w:val="18"/>
                <w:szCs w:val="18"/>
              </w:rPr>
            </w:pPr>
            <w:r>
              <w:rPr>
                <w:sz w:val="18"/>
                <w:szCs w:val="18"/>
              </w:rPr>
              <w:t>Payments of deferred offering cost</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18</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ind w:left="800"/>
              <w:rPr>
                <w:sz w:val="18"/>
                <w:szCs w:val="18"/>
              </w:rPr>
            </w:pPr>
            <w:r>
              <w:rPr>
                <w:sz w:val="18"/>
                <w:szCs w:val="18"/>
              </w:rPr>
              <w:t>Net cash (used in) provided by financing activitie</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34,05</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17,74</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CHANGE IN CASH, CASH EQUIVALENTS AND RESTRICTED CAS</w:t>
            </w:r>
            <w:r>
              <w:rPr>
                <w:sz w:val="18"/>
                <w:szCs w:val="18"/>
              </w:rPr>
              <w:t>H</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53,20</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19,23</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A32496">
            <w:pPr>
              <w:pStyle w:val="a3"/>
              <w:spacing w:before="0" w:beforeAutospacing="0" w:after="0" w:afterAutospacing="0"/>
              <w:ind w:left="400"/>
              <w:rPr>
                <w:sz w:val="18"/>
                <w:szCs w:val="18"/>
              </w:rPr>
            </w:pPr>
            <w:r>
              <w:rPr>
                <w:sz w:val="18"/>
                <w:szCs w:val="18"/>
              </w:rPr>
              <w:t>Foreign exchange impact on cash balanc</w:t>
            </w:r>
            <w:r>
              <w:rPr>
                <w:sz w:val="18"/>
                <w:szCs w:val="18"/>
              </w:rPr>
              <w:t>e</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35</w:t>
            </w:r>
            <w:r>
              <w:rPr>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CASH, CASH EQUIVALENTS AND RESTRICTED CASH</w:t>
            </w: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ind w:left="400"/>
              <w:rPr>
                <w:sz w:val="18"/>
                <w:szCs w:val="18"/>
              </w:rPr>
            </w:pPr>
            <w:r>
              <w:rPr>
                <w:sz w:val="18"/>
                <w:szCs w:val="18"/>
              </w:rPr>
              <w:t>Beginning of yea</w:t>
            </w:r>
            <w:r>
              <w:rPr>
                <w:sz w:val="18"/>
                <w:szCs w:val="18"/>
              </w:rPr>
              <w:t>r</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146,74</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34,88</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ind w:left="400"/>
              <w:rPr>
                <w:sz w:val="18"/>
                <w:szCs w:val="18"/>
              </w:rPr>
            </w:pPr>
            <w:r>
              <w:rPr>
                <w:sz w:val="18"/>
                <w:szCs w:val="18"/>
              </w:rPr>
              <w:t>End of perio</w:t>
            </w:r>
            <w:r>
              <w:rPr>
                <w:sz w:val="18"/>
                <w:szCs w:val="18"/>
              </w:rPr>
              <w:t>d</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93,56</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16,00</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SUPPLEMENTAL DISCLOSURES OF CASH FLOWS INFORMATION</w:t>
            </w: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ind w:left="400"/>
              <w:rPr>
                <w:sz w:val="18"/>
                <w:szCs w:val="18"/>
              </w:rPr>
            </w:pPr>
            <w:r>
              <w:rPr>
                <w:sz w:val="18"/>
                <w:szCs w:val="18"/>
              </w:rPr>
              <w:t>Cash paid for interes</w:t>
            </w:r>
            <w:r>
              <w:rPr>
                <w:sz w:val="18"/>
                <w:szCs w:val="18"/>
              </w:rPr>
              <w:t>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4,85</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4,64</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ind w:left="400"/>
              <w:rPr>
                <w:sz w:val="18"/>
                <w:szCs w:val="18"/>
              </w:rPr>
            </w:pPr>
            <w:r>
              <w:rPr>
                <w:sz w:val="18"/>
                <w:szCs w:val="18"/>
              </w:rPr>
              <w:t>Cash paid for income ta</w:t>
            </w:r>
            <w:r>
              <w:rPr>
                <w:sz w:val="18"/>
                <w:szCs w:val="18"/>
              </w:rPr>
              <w:t>x</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58</w:t>
            </w:r>
            <w:r>
              <w:rPr>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95</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SUPPLEMENTAL DISCLOSURES OF NON-CASH INVESTING AND FINANCING ACTIVITIES</w:t>
            </w: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ind w:left="400"/>
              <w:rPr>
                <w:sz w:val="18"/>
                <w:szCs w:val="18"/>
              </w:rPr>
            </w:pPr>
            <w:r>
              <w:rPr>
                <w:sz w:val="18"/>
                <w:szCs w:val="18"/>
              </w:rPr>
              <w:t>Accrued purchases of property and equipmen</w:t>
            </w:r>
            <w:r>
              <w:rPr>
                <w:sz w:val="18"/>
                <w:szCs w:val="18"/>
              </w:rPr>
              <w:t>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88</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1,17</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ind w:left="400"/>
              <w:rPr>
                <w:sz w:val="18"/>
                <w:szCs w:val="18"/>
              </w:rPr>
            </w:pPr>
            <w:r>
              <w:rPr>
                <w:sz w:val="18"/>
                <w:szCs w:val="18"/>
              </w:rPr>
              <w:t>Property and equipment purchased under finance lease</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3,93</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1,76</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ind w:left="400"/>
              <w:rPr>
                <w:sz w:val="18"/>
                <w:szCs w:val="18"/>
              </w:rPr>
            </w:pPr>
            <w:r>
              <w:rPr>
                <w:sz w:val="18"/>
                <w:szCs w:val="18"/>
              </w:rPr>
              <w:t>Common stock issued to acquire new businesse</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6,02</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ind w:left="400"/>
              <w:rPr>
                <w:sz w:val="18"/>
                <w:szCs w:val="18"/>
              </w:rPr>
            </w:pPr>
            <w:r>
              <w:rPr>
                <w:sz w:val="18"/>
                <w:szCs w:val="18"/>
              </w:rPr>
              <w:t>Acquisitions unpaid contingent consideratio</w:t>
            </w:r>
            <w:r>
              <w:rPr>
                <w:sz w:val="18"/>
                <w:szCs w:val="18"/>
              </w:rPr>
              <w:t>n</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6,77</w:t>
            </w:r>
            <w:r>
              <w:rPr>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35,35</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ind w:left="400"/>
              <w:rPr>
                <w:sz w:val="18"/>
                <w:szCs w:val="18"/>
              </w:rPr>
            </w:pPr>
            <w:r>
              <w:rPr>
                <w:sz w:val="18"/>
                <w:szCs w:val="18"/>
              </w:rPr>
              <w:t>Offering costs included in accounts payable and other accrued liabilitie</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38</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ind w:left="400"/>
              <w:rPr>
                <w:sz w:val="18"/>
                <w:szCs w:val="18"/>
              </w:rPr>
            </w:pPr>
            <w:r>
              <w:rPr>
                <w:sz w:val="18"/>
                <w:szCs w:val="18"/>
              </w:rPr>
              <w:t>Acquisitions contingent consideration paid in share</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26,08</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tblCellSpacing w:w="15" w:type="dxa"/>
        </w:trPr>
        <w:tc>
          <w:tcPr>
            <w:tcW w:w="0" w:type="auto"/>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32496">
            <w:pPr>
              <w:pStyle w:val="a3"/>
              <w:spacing w:before="0" w:beforeAutospacing="0" w:after="0" w:afterAutospacing="0"/>
              <w:rPr>
                <w:sz w:val="14"/>
                <w:szCs w:val="14"/>
              </w:rPr>
            </w:pPr>
            <w:r>
              <w:rPr>
                <w:sz w:val="14"/>
                <w:szCs w:val="14"/>
              </w:rPr>
              <w:t> </w:t>
            </w:r>
          </w:p>
        </w:tc>
        <w:tc>
          <w:tcPr>
            <w:tcW w:w="0" w:type="auto"/>
            <w:vAlign w:val="bottom"/>
            <w:hideMark/>
          </w:tcPr>
          <w:p w:rsidR="00000000" w:rsidRDefault="00A32496">
            <w:pPr>
              <w:pStyle w:val="a3"/>
              <w:spacing w:before="0" w:beforeAutospacing="0" w:after="0" w:afterAutospacing="0"/>
              <w:rPr>
                <w:sz w:val="14"/>
                <w:szCs w:val="14"/>
              </w:rPr>
            </w:pPr>
            <w:r>
              <w:rPr>
                <w:sz w:val="14"/>
                <w:szCs w:val="14"/>
              </w:rPr>
              <w:t> </w:t>
            </w:r>
          </w:p>
        </w:tc>
      </w:tr>
    </w:tbl>
    <w:p w:rsidR="00000000" w:rsidRDefault="00A32496">
      <w:pPr>
        <w:pStyle w:val="a3"/>
        <w:spacing w:before="40" w:beforeAutospacing="0" w:after="0" w:afterAutospacing="0"/>
        <w:jc w:val="center"/>
        <w:rPr>
          <w:sz w:val="20"/>
          <w:szCs w:val="20"/>
        </w:rPr>
      </w:pPr>
      <w:r>
        <w:rPr>
          <w:sz w:val="20"/>
          <w:szCs w:val="20"/>
        </w:rPr>
        <w:t>The accompanying notes are an integral part of these unaudited condensed consolidated financial statements</w:t>
      </w:r>
      <w:r>
        <w:rPr>
          <w:sz w:val="20"/>
          <w:szCs w:val="20"/>
        </w:rPr>
        <w:t>.</w:t>
      </w:r>
    </w:p>
    <w:p w:rsidR="00000000" w:rsidRDefault="00A32496">
      <w:pPr>
        <w:pStyle w:val="a3"/>
        <w:spacing w:before="240" w:beforeAutospacing="0" w:after="0" w:afterAutospacing="0"/>
        <w:jc w:val="center"/>
        <w:rPr>
          <w:sz w:val="20"/>
          <w:szCs w:val="20"/>
        </w:rPr>
      </w:pPr>
      <w:r>
        <w:rPr>
          <w:sz w:val="20"/>
          <w:szCs w:val="20"/>
        </w:rPr>
        <w:t>4</w:t>
      </w:r>
    </w:p>
    <w:p w:rsidR="00000000" w:rsidRDefault="00A32496">
      <w:pPr>
        <w:rPr>
          <w:rFonts w:eastAsia="Times New Roman"/>
        </w:rPr>
      </w:pPr>
      <w:r>
        <w:rPr>
          <w:rFonts w:eastAsia="Times New Roman"/>
        </w:rPr>
        <w:pict>
          <v:rect id="_x0000_i1030" style="width:0;height:1.5pt" o:hralign="center" o:hrstd="t" o:hr="t" fillcolor="#a0a0a0" stroked="f"/>
        </w:pict>
      </w:r>
    </w:p>
    <w:p w:rsidR="00000000" w:rsidRDefault="00A32496">
      <w:pPr>
        <w:pStyle w:val="a3"/>
        <w:spacing w:before="0" w:beforeAutospacing="0" w:after="0" w:afterAutospacing="0"/>
        <w:rPr>
          <w:sz w:val="20"/>
          <w:szCs w:val="20"/>
        </w:rPr>
      </w:pPr>
      <w:r>
        <w:rPr>
          <w:sz w:val="20"/>
          <w:szCs w:val="20"/>
        </w:rPr>
        <w:t> </w:t>
      </w:r>
    </w:p>
    <w:p w:rsidR="00000000" w:rsidRDefault="00A32496">
      <w:pPr>
        <w:pStyle w:val="a3"/>
        <w:spacing w:before="0" w:beforeAutospacing="0" w:after="0" w:afterAutospacing="0"/>
        <w:jc w:val="center"/>
        <w:rPr>
          <w:sz w:val="20"/>
          <w:szCs w:val="20"/>
        </w:rPr>
      </w:pPr>
      <w:r>
        <w:rPr>
          <w:b/>
          <w:bCs/>
          <w:sz w:val="20"/>
          <w:szCs w:val="20"/>
        </w:rPr>
        <w:t>MONTROSE ENVIRONMENTAL GROUP, INC</w:t>
      </w:r>
      <w:r>
        <w:rPr>
          <w:b/>
          <w:bCs/>
          <w:sz w:val="20"/>
          <w:szCs w:val="20"/>
        </w:rPr>
        <w:t>.</w:t>
      </w:r>
      <w:r>
        <w:rPr>
          <w:b/>
          <w:bCs/>
          <w:sz w:val="20"/>
          <w:szCs w:val="20"/>
        </w:rPr>
        <w:t xml:space="preserve"> </w:t>
      </w:r>
    </w:p>
    <w:p w:rsidR="00000000" w:rsidRDefault="00A32496">
      <w:pPr>
        <w:pStyle w:val="a3"/>
        <w:spacing w:before="0" w:beforeAutospacing="0" w:after="0" w:afterAutospacing="0"/>
        <w:jc w:val="center"/>
        <w:rPr>
          <w:sz w:val="20"/>
          <w:szCs w:val="20"/>
        </w:rPr>
      </w:pPr>
      <w:r>
        <w:rPr>
          <w:b/>
          <w:bCs/>
          <w:sz w:val="20"/>
          <w:szCs w:val="20"/>
        </w:rPr>
        <w:t>NOTES TO UNAUDITED CONDENSED CONSOLIDATED FINANCIAL STATEMENT</w:t>
      </w:r>
      <w:r>
        <w:rPr>
          <w:b/>
          <w:bCs/>
          <w:sz w:val="20"/>
          <w:szCs w:val="20"/>
        </w:rPr>
        <w:t>S</w:t>
      </w:r>
    </w:p>
    <w:p w:rsidR="00000000" w:rsidRDefault="00A32496">
      <w:pPr>
        <w:pStyle w:val="a3"/>
        <w:spacing w:before="0" w:beforeAutospacing="0" w:after="0" w:afterAutospacing="0"/>
        <w:jc w:val="center"/>
        <w:rPr>
          <w:sz w:val="20"/>
          <w:szCs w:val="20"/>
        </w:rPr>
      </w:pPr>
      <w:r>
        <w:rPr>
          <w:b/>
          <w:bCs/>
          <w:sz w:val="20"/>
          <w:szCs w:val="20"/>
        </w:rPr>
        <w:t>(In thous</w:t>
      </w:r>
      <w:r>
        <w:rPr>
          <w:b/>
          <w:bCs/>
          <w:sz w:val="20"/>
          <w:szCs w:val="20"/>
        </w:rPr>
        <w:t>ands, except where otherwise indicated</w:t>
      </w:r>
      <w:r>
        <w:rPr>
          <w:b/>
          <w:bCs/>
          <w:sz w:val="20"/>
          <w:szCs w:val="20"/>
        </w:rPr>
        <w:t>)</w:t>
      </w:r>
    </w:p>
    <w:p w:rsidR="00000000" w:rsidRDefault="00A32496">
      <w:pPr>
        <w:pStyle w:val="a3"/>
        <w:spacing w:before="240" w:beforeAutospacing="0" w:after="0" w:afterAutospacing="0"/>
        <w:divId w:val="981664285"/>
        <w:rPr>
          <w:sz w:val="20"/>
          <w:szCs w:val="20"/>
        </w:rPr>
      </w:pPr>
      <w:r>
        <w:rPr>
          <w:b/>
          <w:bCs/>
          <w:sz w:val="20"/>
          <w:szCs w:val="20"/>
        </w:rPr>
        <w:t>1. DESCRIPTION OF THE BUSINESS AND BASIS OF PRESENTATIO</w:t>
      </w:r>
      <w:r>
        <w:rPr>
          <w:b/>
          <w:bCs/>
          <w:sz w:val="20"/>
          <w:szCs w:val="20"/>
        </w:rPr>
        <w:t>N</w:t>
      </w:r>
    </w:p>
    <w:p w:rsidR="00000000" w:rsidRDefault="00A32496">
      <w:pPr>
        <w:pStyle w:val="a3"/>
        <w:spacing w:before="240" w:beforeAutospacing="0" w:after="0" w:afterAutospacing="0"/>
        <w:ind w:firstLine="555"/>
        <w:divId w:val="981664285"/>
        <w:rPr>
          <w:sz w:val="20"/>
          <w:szCs w:val="20"/>
        </w:rPr>
      </w:pPr>
      <w:r>
        <w:rPr>
          <w:b/>
          <w:bCs/>
          <w:sz w:val="20"/>
          <w:szCs w:val="20"/>
        </w:rPr>
        <w:t>Description of the Busines</w:t>
      </w:r>
      <w:r>
        <w:rPr>
          <w:b/>
          <w:bCs/>
          <w:sz w:val="20"/>
          <w:szCs w:val="20"/>
        </w:rPr>
        <w:t>s</w:t>
      </w:r>
      <w:r>
        <w:rPr>
          <w:sz w:val="20"/>
          <w:szCs w:val="20"/>
        </w:rPr>
        <w:t>—Montrose Environmental Group, Inc. (“Montrose” or the “Company”) is a corporation formed on</w:t>
      </w:r>
      <w:r>
        <w:rPr>
          <w:sz w:val="20"/>
          <w:szCs w:val="20"/>
        </w:rPr>
        <w:t xml:space="preserve"> </w:t>
      </w:r>
      <w:r>
        <w:rPr>
          <w:sz w:val="20"/>
          <w:szCs w:val="20"/>
        </w:rPr>
        <w:t>November 201</w:t>
      </w:r>
      <w:r>
        <w:rPr>
          <w:sz w:val="20"/>
          <w:szCs w:val="20"/>
        </w:rPr>
        <w:t>3</w:t>
      </w:r>
      <w:r>
        <w:rPr>
          <w:sz w:val="20"/>
          <w:szCs w:val="20"/>
        </w:rPr>
        <w:t>, under the laws of the St</w:t>
      </w:r>
      <w:r>
        <w:rPr>
          <w:sz w:val="20"/>
          <w:szCs w:val="20"/>
        </w:rPr>
        <w:t>ate of Delaware. The Company has approximat</w:t>
      </w:r>
      <w:r>
        <w:rPr>
          <w:sz w:val="20"/>
          <w:szCs w:val="20"/>
        </w:rPr>
        <w:t>e</w:t>
      </w:r>
      <w:r>
        <w:rPr>
          <w:sz w:val="20"/>
          <w:szCs w:val="20"/>
        </w:rPr>
        <w:t>ly</w:t>
      </w:r>
      <w:r>
        <w:rPr>
          <w:sz w:val="20"/>
          <w:szCs w:val="20"/>
        </w:rPr>
        <w:t xml:space="preserve"> </w:t>
      </w:r>
      <w:r>
        <w:rPr>
          <w:sz w:val="20"/>
          <w:szCs w:val="20"/>
        </w:rPr>
        <w:t>8</w:t>
      </w:r>
      <w:r>
        <w:rPr>
          <w:sz w:val="20"/>
          <w:szCs w:val="20"/>
        </w:rPr>
        <w:t>0</w:t>
      </w:r>
      <w:r>
        <w:rPr>
          <w:sz w:val="20"/>
          <w:szCs w:val="20"/>
        </w:rPr>
        <w:t xml:space="preserve"> offic</w:t>
      </w:r>
      <w:r>
        <w:rPr>
          <w:sz w:val="20"/>
          <w:szCs w:val="20"/>
        </w:rPr>
        <w:t>e</w:t>
      </w:r>
      <w:r>
        <w:rPr>
          <w:sz w:val="20"/>
          <w:szCs w:val="20"/>
        </w:rPr>
        <w:t>s across the United States, Canada and Australia and approximately</w:t>
      </w:r>
      <w:r>
        <w:rPr>
          <w:sz w:val="20"/>
          <w:szCs w:val="20"/>
        </w:rPr>
        <w:t xml:space="preserve"> </w:t>
      </w:r>
      <w:r>
        <w:rPr>
          <w:sz w:val="20"/>
          <w:szCs w:val="20"/>
        </w:rPr>
        <w:t>2,80</w:t>
      </w:r>
      <w:r>
        <w:rPr>
          <w:sz w:val="20"/>
          <w:szCs w:val="20"/>
        </w:rPr>
        <w:t>0</w:t>
      </w:r>
      <w:r>
        <w:rPr>
          <w:sz w:val="20"/>
          <w:szCs w:val="20"/>
        </w:rPr>
        <w:t xml:space="preserve"> employees </w:t>
      </w:r>
      <w:r>
        <w:rPr>
          <w:sz w:val="20"/>
          <w:szCs w:val="20"/>
        </w:rPr>
        <w:t>a</w:t>
      </w:r>
      <w:r>
        <w:rPr>
          <w:sz w:val="20"/>
          <w:szCs w:val="20"/>
        </w:rPr>
        <w:t>s of September 30, 2022</w:t>
      </w:r>
      <w:r>
        <w:rPr>
          <w:sz w:val="20"/>
          <w:szCs w:val="20"/>
        </w:rPr>
        <w:t>.</w:t>
      </w:r>
      <w:r>
        <w:rPr>
          <w:sz w:val="20"/>
          <w:szCs w:val="20"/>
        </w:rPr>
        <w:t xml:space="preserve"> </w:t>
      </w:r>
    </w:p>
    <w:p w:rsidR="00000000" w:rsidRDefault="00A32496">
      <w:pPr>
        <w:pStyle w:val="a3"/>
        <w:spacing w:before="240" w:beforeAutospacing="0" w:after="0" w:afterAutospacing="0"/>
        <w:ind w:firstLine="555"/>
        <w:divId w:val="981664285"/>
        <w:rPr>
          <w:sz w:val="20"/>
          <w:szCs w:val="20"/>
        </w:rPr>
      </w:pPr>
      <w:r>
        <w:rPr>
          <w:sz w:val="20"/>
          <w:szCs w:val="20"/>
        </w:rPr>
        <w:t>Montrose is an environmental services company serving the recurring environmental needs of</w:t>
      </w:r>
      <w:r>
        <w:rPr>
          <w:sz w:val="20"/>
          <w:szCs w:val="20"/>
        </w:rPr>
        <w:t xml:space="preserve"> a diverse client base, including Fortune 500 companies and federal, state and local governments through the following</w:t>
      </w:r>
      <w:r>
        <w:rPr>
          <w:sz w:val="20"/>
          <w:szCs w:val="20"/>
        </w:rPr>
        <w:t xml:space="preserve"> </w:t>
      </w:r>
      <w:r>
        <w:rPr>
          <w:sz w:val="20"/>
          <w:szCs w:val="20"/>
        </w:rPr>
        <w:t>thre</w:t>
      </w:r>
      <w:r>
        <w:rPr>
          <w:sz w:val="20"/>
          <w:szCs w:val="20"/>
        </w:rPr>
        <w:t>e</w:t>
      </w:r>
      <w:r>
        <w:rPr>
          <w:sz w:val="20"/>
          <w:szCs w:val="20"/>
        </w:rPr>
        <w:t xml:space="preserve"> segments</w:t>
      </w:r>
      <w:r>
        <w:rPr>
          <w:sz w:val="20"/>
          <w:szCs w:val="20"/>
        </w:rPr>
        <w:t>:</w:t>
      </w:r>
    </w:p>
    <w:p w:rsidR="00000000" w:rsidRDefault="00A32496">
      <w:pPr>
        <w:pStyle w:val="a3"/>
        <w:spacing w:before="240" w:beforeAutospacing="0" w:after="0" w:afterAutospacing="0"/>
        <w:ind w:firstLine="555"/>
        <w:divId w:val="981664285"/>
        <w:rPr>
          <w:sz w:val="20"/>
          <w:szCs w:val="20"/>
        </w:rPr>
      </w:pPr>
      <w:r>
        <w:rPr>
          <w:b/>
          <w:bCs/>
          <w:i/>
          <w:iCs/>
          <w:sz w:val="20"/>
          <w:szCs w:val="20"/>
        </w:rPr>
        <w:t>Assessment, Permitting and Respons</w:t>
      </w:r>
      <w:r>
        <w:rPr>
          <w:b/>
          <w:bCs/>
          <w:i/>
          <w:iCs/>
          <w:sz w:val="20"/>
          <w:szCs w:val="20"/>
        </w:rPr>
        <w:t>e</w:t>
      </w:r>
      <w:r>
        <w:rPr>
          <w:sz w:val="20"/>
          <w:szCs w:val="20"/>
        </w:rPr>
        <w:t>—Through its Assessment, Permitting and Response segment, Montrose provides scientific</w:t>
      </w:r>
      <w:r>
        <w:rPr>
          <w:sz w:val="20"/>
          <w:szCs w:val="20"/>
        </w:rPr>
        <w:t xml:space="preserve"> advisory and consulting services to support environmental assessments, environmental emergency response, and environmental audits and permits for current operations, facility upgrades, new projects, decommissioning projects and development projects. The C</w:t>
      </w:r>
      <w:r>
        <w:rPr>
          <w:sz w:val="20"/>
          <w:szCs w:val="20"/>
        </w:rPr>
        <w:t>ompany’s technical advisory and consulting offerings include regulatory compliance support and planning, environmental, ecosystem and toxicological assessments and support during responses to environmental disruption. Montrose helps clients navigate regula</w:t>
      </w:r>
      <w:r>
        <w:rPr>
          <w:sz w:val="20"/>
          <w:szCs w:val="20"/>
        </w:rPr>
        <w:t>tions at the local, state, provincial and federal levels</w:t>
      </w:r>
      <w:r>
        <w:rPr>
          <w:sz w:val="20"/>
          <w:szCs w:val="20"/>
        </w:rPr>
        <w:t>.</w:t>
      </w:r>
    </w:p>
    <w:p w:rsidR="00000000" w:rsidRDefault="00A32496">
      <w:pPr>
        <w:pStyle w:val="a3"/>
        <w:spacing w:before="240" w:beforeAutospacing="0" w:after="0" w:afterAutospacing="0"/>
        <w:ind w:firstLine="555"/>
        <w:divId w:val="981664285"/>
        <w:rPr>
          <w:sz w:val="20"/>
          <w:szCs w:val="20"/>
        </w:rPr>
      </w:pPr>
      <w:r>
        <w:rPr>
          <w:b/>
          <w:bCs/>
          <w:i/>
          <w:iCs/>
          <w:sz w:val="20"/>
          <w:szCs w:val="20"/>
        </w:rPr>
        <w:t>Measurement and Analysi</w:t>
      </w:r>
      <w:r>
        <w:rPr>
          <w:b/>
          <w:bCs/>
          <w:i/>
          <w:iCs/>
          <w:sz w:val="20"/>
          <w:szCs w:val="20"/>
        </w:rPr>
        <w:t>s</w:t>
      </w:r>
      <w:r>
        <w:rPr>
          <w:sz w:val="20"/>
          <w:szCs w:val="20"/>
        </w:rPr>
        <w:t>—Through its Measurement and Analysis segment, Montrose’s teams test and analyze air, water and soil to determine concentrations of contaminants, as well as the toxicological</w:t>
      </w:r>
      <w:r>
        <w:rPr>
          <w:sz w:val="20"/>
          <w:szCs w:val="20"/>
        </w:rPr>
        <w:t xml:space="preserve"> impact of contaminants on flora, fauna and human health. Montrose’s offerings include source and ambient air testing and monitoring, leak detection and repair and advanced analytical laboratory services such as air, storm water, wastewater and drinking wa</w:t>
      </w:r>
      <w:r>
        <w:rPr>
          <w:sz w:val="20"/>
          <w:szCs w:val="20"/>
        </w:rPr>
        <w:t>ter analysis</w:t>
      </w:r>
      <w:r>
        <w:rPr>
          <w:sz w:val="20"/>
          <w:szCs w:val="20"/>
        </w:rPr>
        <w:t>.</w:t>
      </w:r>
    </w:p>
    <w:p w:rsidR="00000000" w:rsidRDefault="00A32496">
      <w:pPr>
        <w:pStyle w:val="a3"/>
        <w:spacing w:before="240" w:beforeAutospacing="0" w:after="0" w:afterAutospacing="0"/>
        <w:ind w:firstLine="555"/>
        <w:divId w:val="981664285"/>
        <w:rPr>
          <w:sz w:val="20"/>
          <w:szCs w:val="20"/>
        </w:rPr>
      </w:pPr>
      <w:r>
        <w:rPr>
          <w:b/>
          <w:bCs/>
          <w:i/>
          <w:iCs/>
          <w:sz w:val="20"/>
          <w:szCs w:val="20"/>
        </w:rPr>
        <w:t>Remediation and Reus</w:t>
      </w:r>
      <w:r>
        <w:rPr>
          <w:b/>
          <w:bCs/>
          <w:i/>
          <w:iCs/>
          <w:sz w:val="20"/>
          <w:szCs w:val="20"/>
        </w:rPr>
        <w:t>e</w:t>
      </w:r>
      <w:r>
        <w:rPr>
          <w:sz w:val="20"/>
          <w:szCs w:val="20"/>
        </w:rPr>
        <w:t xml:space="preserve">—Through its Remediation and Reuse segment, Montrose provides clients with engineering, design, implementation and operations and maintenance services, primarily to treat contaminated water, remove contaminants from soil </w:t>
      </w:r>
      <w:r>
        <w:rPr>
          <w:sz w:val="20"/>
          <w:szCs w:val="20"/>
        </w:rPr>
        <w:t>or create biogas from waste. The Company does not own the properties or facilities at which it implements these projects or the underlying liabilities, nor does it own material amounts of the equipment used in projects; instead, the Company assists clients</w:t>
      </w:r>
      <w:r>
        <w:rPr>
          <w:sz w:val="20"/>
          <w:szCs w:val="20"/>
        </w:rPr>
        <w:t xml:space="preserve"> in designing solutions, managing projects and mitigating their environmental risks and liabilities at their locations</w:t>
      </w:r>
      <w:r>
        <w:rPr>
          <w:sz w:val="20"/>
          <w:szCs w:val="20"/>
        </w:rPr>
        <w:t>.</w:t>
      </w:r>
    </w:p>
    <w:p w:rsidR="00000000" w:rsidRDefault="00A32496">
      <w:pPr>
        <w:pStyle w:val="a3"/>
        <w:spacing w:before="240" w:beforeAutospacing="0" w:after="0" w:afterAutospacing="0"/>
        <w:ind w:firstLine="555"/>
        <w:divId w:val="32930859"/>
        <w:rPr>
          <w:sz w:val="20"/>
          <w:szCs w:val="20"/>
        </w:rPr>
      </w:pPr>
      <w:r>
        <w:rPr>
          <w:b/>
          <w:bCs/>
          <w:sz w:val="20"/>
          <w:szCs w:val="20"/>
        </w:rPr>
        <w:t>Basis of Presentatio</w:t>
      </w:r>
      <w:r>
        <w:rPr>
          <w:b/>
          <w:bCs/>
          <w:sz w:val="20"/>
          <w:szCs w:val="20"/>
        </w:rPr>
        <w:t>n</w:t>
      </w:r>
      <w:r>
        <w:rPr>
          <w:sz w:val="20"/>
          <w:szCs w:val="20"/>
        </w:rPr>
        <w:t>—The unaudited condensed consolidated financial statements include the operations of the Company and its wholly-own</w:t>
      </w:r>
      <w:r>
        <w:rPr>
          <w:sz w:val="20"/>
          <w:szCs w:val="20"/>
        </w:rPr>
        <w:t>ed subsidiaries. These unaudited condensed consolidated financial statements are presented in conformity with accounting principles generally accepted in the United States (“U.S. GAAP”) and have been prepared pursuant to the rules and regulations of the U.</w:t>
      </w:r>
      <w:r>
        <w:rPr>
          <w:sz w:val="20"/>
          <w:szCs w:val="20"/>
        </w:rPr>
        <w:t>S. Securities and Exchange Commission (“SEC”) that permit reduced disclosure for interim periods. The unaudited condensed consolidated financial statements include all accounts of the Company and, in the opinion of management, include all recurring adjustm</w:t>
      </w:r>
      <w:r>
        <w:rPr>
          <w:sz w:val="20"/>
          <w:szCs w:val="20"/>
        </w:rPr>
        <w:t>ents and normal accruals necessary for a fair statement of the Company’s financial position, results of operations and cash flows for the dates and periods presented. These unaudited condensed consolidated financial statements should be read in conjunction</w:t>
      </w:r>
      <w:r>
        <w:rPr>
          <w:sz w:val="20"/>
          <w:szCs w:val="20"/>
        </w:rPr>
        <w:t xml:space="preserve"> with the Company’s audited financial statements as of and for the year ended December 31, 202</w:t>
      </w:r>
      <w:r>
        <w:rPr>
          <w:sz w:val="20"/>
          <w:szCs w:val="20"/>
        </w:rPr>
        <w:t>1</w:t>
      </w:r>
      <w:r>
        <w:rPr>
          <w:sz w:val="20"/>
          <w:szCs w:val="20"/>
        </w:rPr>
        <w:t>. Results for interim periods are not necessarily indicative of the results to be expected during the remainder of the current year or for any future period. All</w:t>
      </w:r>
      <w:r>
        <w:rPr>
          <w:sz w:val="20"/>
          <w:szCs w:val="20"/>
        </w:rPr>
        <w:t xml:space="preserve"> intercompany transactions, accounts and profits, have been eliminated in the unaudited condensed consolidated financial statements</w:t>
      </w:r>
      <w:r>
        <w:rPr>
          <w:sz w:val="20"/>
          <w:szCs w:val="20"/>
        </w:rPr>
        <w:t>.</w:t>
      </w:r>
    </w:p>
    <w:p w:rsidR="00000000" w:rsidRDefault="00A32496">
      <w:pPr>
        <w:pStyle w:val="a3"/>
        <w:spacing w:before="240" w:beforeAutospacing="0" w:after="0" w:afterAutospacing="0"/>
        <w:ind w:firstLine="555"/>
        <w:divId w:val="981664285"/>
        <w:rPr>
          <w:sz w:val="20"/>
          <w:szCs w:val="20"/>
        </w:rPr>
      </w:pPr>
      <w:r>
        <w:rPr>
          <w:b/>
          <w:bCs/>
          <w:sz w:val="20"/>
          <w:szCs w:val="20"/>
        </w:rPr>
        <w:t>Subsequent Event</w:t>
      </w:r>
      <w:r>
        <w:rPr>
          <w:b/>
          <w:bCs/>
          <w:sz w:val="20"/>
          <w:szCs w:val="20"/>
        </w:rPr>
        <w:t>s</w:t>
      </w:r>
      <w:r>
        <w:rPr>
          <w:sz w:val="20"/>
          <w:szCs w:val="20"/>
        </w:rPr>
        <w:t xml:space="preserve">— </w:t>
      </w:r>
      <w:r>
        <w:rPr>
          <w:sz w:val="20"/>
          <w:szCs w:val="20"/>
        </w:rPr>
        <w:t>The Company has evaluated subsequent events through the filing of this Quarterly Report on Form 10-Q, and determined that there have been no events that have occurred that would require adjustments to our disclosures in the unaudited condensed consolidated</w:t>
      </w:r>
      <w:r>
        <w:rPr>
          <w:sz w:val="20"/>
          <w:szCs w:val="20"/>
        </w:rPr>
        <w:t xml:space="preserve"> financial statements</w:t>
      </w:r>
      <w:r>
        <w:rPr>
          <w:sz w:val="20"/>
          <w:szCs w:val="20"/>
        </w:rPr>
        <w:t>.</w:t>
      </w:r>
    </w:p>
    <w:p w:rsidR="00000000" w:rsidRDefault="00A32496">
      <w:pPr>
        <w:pStyle w:val="a3"/>
        <w:spacing w:before="360" w:beforeAutospacing="0" w:after="0" w:afterAutospacing="0"/>
        <w:divId w:val="380907005"/>
        <w:rPr>
          <w:sz w:val="20"/>
          <w:szCs w:val="20"/>
        </w:rPr>
      </w:pPr>
      <w:r>
        <w:rPr>
          <w:b/>
          <w:bCs/>
          <w:sz w:val="20"/>
          <w:szCs w:val="20"/>
        </w:rPr>
        <w:t>2. SUMMARY OF NEW ACCOUNTING PRONOUNCEMENT</w:t>
      </w:r>
      <w:r>
        <w:rPr>
          <w:b/>
          <w:bCs/>
          <w:sz w:val="20"/>
          <w:szCs w:val="20"/>
        </w:rPr>
        <w:t>S</w:t>
      </w:r>
    </w:p>
    <w:p w:rsidR="00000000" w:rsidRDefault="00A32496">
      <w:pPr>
        <w:pStyle w:val="a3"/>
        <w:spacing w:before="240" w:beforeAutospacing="0" w:after="0" w:afterAutospacing="0"/>
        <w:ind w:firstLine="555"/>
        <w:divId w:val="339744119"/>
        <w:rPr>
          <w:sz w:val="20"/>
          <w:szCs w:val="20"/>
        </w:rPr>
      </w:pPr>
      <w:r>
        <w:rPr>
          <w:b/>
          <w:bCs/>
          <w:sz w:val="20"/>
          <w:szCs w:val="20"/>
        </w:rPr>
        <w:t>Recently Adopted Accounting Pronouncement</w:t>
      </w:r>
      <w:r>
        <w:rPr>
          <w:b/>
          <w:bCs/>
          <w:sz w:val="20"/>
          <w:szCs w:val="20"/>
        </w:rPr>
        <w:t>s</w:t>
      </w:r>
      <w:r>
        <w:rPr>
          <w:sz w:val="20"/>
          <w:szCs w:val="20"/>
        </w:rPr>
        <w:t>—</w:t>
      </w:r>
      <w:r>
        <w:rPr>
          <w:sz w:val="20"/>
          <w:szCs w:val="20"/>
        </w:rPr>
        <w:t>Through the end of the year ended December 31, 2021, the Company qualified as an emerging growth company as defined in the Jumpstart Our Business Startups Act of 2012 (“JOBS Act”) and therefore has historically taken advantage of certain exemptions from va</w:t>
      </w:r>
      <w:r>
        <w:rPr>
          <w:sz w:val="20"/>
          <w:szCs w:val="20"/>
        </w:rPr>
        <w:t>rious public company reporting requirements, including delaying adoption of new or revised accounting standards until those standards apply to private companies. The Company elected to use this extended transition period under the JOBS Act. The adoption da</w:t>
      </w:r>
      <w:r>
        <w:rPr>
          <w:sz w:val="20"/>
          <w:szCs w:val="20"/>
        </w:rPr>
        <w:t>tes discussed below are based on the Company no longer qualifying as an emerging growth company</w:t>
      </w:r>
      <w:r>
        <w:rPr>
          <w:sz w:val="20"/>
          <w:szCs w:val="20"/>
        </w:rPr>
        <w:t>.</w:t>
      </w:r>
    </w:p>
    <w:p w:rsidR="00000000" w:rsidRDefault="00A32496">
      <w:pPr>
        <w:pStyle w:val="a3"/>
        <w:spacing w:before="240" w:beforeAutospacing="0" w:after="0" w:afterAutospacing="0"/>
        <w:ind w:firstLine="555"/>
        <w:divId w:val="339744119"/>
        <w:rPr>
          <w:sz w:val="20"/>
          <w:szCs w:val="20"/>
        </w:rPr>
      </w:pPr>
      <w:r>
        <w:rPr>
          <w:sz w:val="20"/>
          <w:szCs w:val="20"/>
        </w:rPr>
        <w:t>In</w:t>
      </w:r>
      <w:r>
        <w:rPr>
          <w:sz w:val="20"/>
          <w:szCs w:val="20"/>
        </w:rPr>
        <w:t xml:space="preserve"> </w:t>
      </w:r>
      <w:r>
        <w:rPr>
          <w:sz w:val="20"/>
          <w:szCs w:val="20"/>
        </w:rPr>
        <w:t>August 2020, the Financial Accounting Standards Board ("FASB") issued Accounting Standard Update ("ASU") 2020-06, Debt—Debt with Conversion and Other Option</w:t>
      </w:r>
      <w:r>
        <w:rPr>
          <w:sz w:val="20"/>
          <w:szCs w:val="20"/>
        </w:rPr>
        <w:t>s (Subtopic 470-20) and Derivatives and Hedging—Contracts in Entity’s Own Equit</w:t>
      </w:r>
      <w:r>
        <w:rPr>
          <w:sz w:val="20"/>
          <w:szCs w:val="20"/>
        </w:rPr>
        <w:t>y</w:t>
      </w:r>
      <w:r>
        <w:rPr>
          <w:sz w:val="20"/>
          <w:szCs w:val="20"/>
        </w:rPr>
        <w:t xml:space="preserve"> </w:t>
      </w:r>
    </w:p>
    <w:p w:rsidR="00000000" w:rsidRDefault="00A32496">
      <w:pPr>
        <w:pStyle w:val="a3"/>
        <w:spacing w:before="240" w:beforeAutospacing="0" w:after="0" w:afterAutospacing="0"/>
        <w:jc w:val="center"/>
        <w:divId w:val="339744119"/>
        <w:rPr>
          <w:sz w:val="20"/>
          <w:szCs w:val="20"/>
        </w:rPr>
      </w:pPr>
      <w:r>
        <w:rPr>
          <w:sz w:val="20"/>
          <w:szCs w:val="20"/>
        </w:rPr>
        <w:t>5</w:t>
      </w:r>
    </w:p>
    <w:p w:rsidR="00000000" w:rsidRDefault="00A32496">
      <w:pPr>
        <w:divId w:val="339744119"/>
        <w:rPr>
          <w:rFonts w:eastAsia="Times New Roman"/>
          <w:sz w:val="20"/>
          <w:szCs w:val="20"/>
        </w:rPr>
      </w:pPr>
      <w:r>
        <w:rPr>
          <w:rFonts w:eastAsia="Times New Roman"/>
          <w:sz w:val="20"/>
          <w:szCs w:val="20"/>
        </w:rPr>
        <w:pict>
          <v:rect id="_x0000_i1031" style="width:0;height:1.5pt" o:hralign="center" o:hrstd="t" o:hr="t" fillcolor="#a0a0a0" stroked="f"/>
        </w:pict>
      </w:r>
    </w:p>
    <w:p w:rsidR="00000000" w:rsidRDefault="00A32496">
      <w:pPr>
        <w:pStyle w:val="a3"/>
        <w:spacing w:before="0" w:beforeAutospacing="0" w:after="0" w:afterAutospacing="0"/>
        <w:divId w:val="339744119"/>
        <w:rPr>
          <w:sz w:val="20"/>
          <w:szCs w:val="20"/>
        </w:rPr>
      </w:pPr>
      <w:r>
        <w:rPr>
          <w:sz w:val="20"/>
          <w:szCs w:val="20"/>
        </w:rPr>
        <w:t> </w:t>
      </w:r>
    </w:p>
    <w:p w:rsidR="00000000" w:rsidRDefault="00A32496">
      <w:pPr>
        <w:pStyle w:val="a3"/>
        <w:spacing w:before="240" w:beforeAutospacing="0" w:after="0" w:afterAutospacing="0"/>
        <w:divId w:val="339744119"/>
        <w:rPr>
          <w:sz w:val="20"/>
          <w:szCs w:val="20"/>
        </w:rPr>
      </w:pPr>
      <w:r>
        <w:rPr>
          <w:sz w:val="20"/>
          <w:szCs w:val="20"/>
        </w:rPr>
        <w:t>(Subtopic</w:t>
      </w:r>
      <w:r>
        <w:rPr>
          <w:sz w:val="20"/>
          <w:szCs w:val="20"/>
        </w:rPr>
        <w:t xml:space="preserve"> </w:t>
      </w:r>
      <w:r>
        <w:rPr>
          <w:sz w:val="20"/>
          <w:szCs w:val="20"/>
        </w:rPr>
        <w:t>815-40)—Accounting for Convertible Instruments and Contracts in an Entity’s Own Equity. The ASU simplifies accounting for co</w:t>
      </w:r>
      <w:r>
        <w:rPr>
          <w:sz w:val="20"/>
          <w:szCs w:val="20"/>
        </w:rPr>
        <w:t xml:space="preserve">nvertible instruments by removing major separation models required under current U.S. GAAP. Consequently, more convertible debt instruments will be reported as a single liability instrument with no separate accounting for embedded conversion features. The </w:t>
      </w:r>
      <w:r>
        <w:rPr>
          <w:sz w:val="20"/>
          <w:szCs w:val="20"/>
        </w:rPr>
        <w:t>ASU removes certain settlement conditions that are required for equity contracts to qualify for the derivative scope exception, which will permit more equity contracts to qualify for the exception. The ASU also simplifies the diluted net income per share c</w:t>
      </w:r>
      <w:r>
        <w:rPr>
          <w:sz w:val="20"/>
          <w:szCs w:val="20"/>
        </w:rPr>
        <w:t>alculation in certain areas. The new guidance is effective for fiscal years beginning after December 15, 2021, including interim periods within those fiscal years, and early adoption is permitted. The new guidance was</w:t>
      </w:r>
      <w:r>
        <w:rPr>
          <w:sz w:val="20"/>
          <w:szCs w:val="20"/>
        </w:rPr>
        <w:t xml:space="preserve"> </w:t>
      </w:r>
      <w:r>
        <w:rPr>
          <w:sz w:val="20"/>
          <w:szCs w:val="20"/>
        </w:rPr>
        <w:t>adopte</w:t>
      </w:r>
      <w:r>
        <w:rPr>
          <w:sz w:val="20"/>
          <w:szCs w:val="20"/>
        </w:rPr>
        <w:t>d</w:t>
      </w:r>
      <w:r>
        <w:rPr>
          <w:sz w:val="20"/>
          <w:szCs w:val="20"/>
        </w:rPr>
        <w:t xml:space="preserve"> as of</w:t>
      </w:r>
      <w:r>
        <w:rPr>
          <w:sz w:val="20"/>
          <w:szCs w:val="20"/>
        </w:rPr>
        <w:t xml:space="preserve"> </w:t>
      </w:r>
      <w:r>
        <w:rPr>
          <w:sz w:val="20"/>
          <w:szCs w:val="20"/>
        </w:rPr>
        <w:t>January 1, 202</w:t>
      </w:r>
      <w:r>
        <w:rPr>
          <w:sz w:val="20"/>
          <w:szCs w:val="20"/>
        </w:rPr>
        <w:t>2</w:t>
      </w:r>
      <w:r>
        <w:rPr>
          <w:sz w:val="20"/>
          <w:szCs w:val="20"/>
        </w:rPr>
        <w:t xml:space="preserve"> and did</w:t>
      </w:r>
      <w:r>
        <w:rPr>
          <w:sz w:val="20"/>
          <w:szCs w:val="20"/>
        </w:rPr>
        <w:t xml:space="preserve"> </w:t>
      </w:r>
      <w:r>
        <w:rPr>
          <w:sz w:val="20"/>
          <w:szCs w:val="20"/>
        </w:rPr>
        <w:t>no</w:t>
      </w:r>
      <w:r>
        <w:rPr>
          <w:sz w:val="20"/>
          <w:szCs w:val="20"/>
        </w:rPr>
        <w:t>t</w:t>
      </w:r>
      <w:r>
        <w:rPr>
          <w:sz w:val="20"/>
          <w:szCs w:val="20"/>
        </w:rPr>
        <w:t xml:space="preserve"> have a material impact on the Company’s consolidated financial statements</w:t>
      </w:r>
      <w:r>
        <w:rPr>
          <w:sz w:val="20"/>
          <w:szCs w:val="20"/>
        </w:rPr>
        <w:t>.</w:t>
      </w:r>
    </w:p>
    <w:p w:rsidR="00000000" w:rsidRDefault="00A32496">
      <w:pPr>
        <w:pStyle w:val="a3"/>
        <w:spacing w:before="240" w:beforeAutospacing="0" w:after="0" w:afterAutospacing="0"/>
        <w:ind w:firstLine="555"/>
        <w:divId w:val="339744119"/>
        <w:rPr>
          <w:sz w:val="20"/>
          <w:szCs w:val="20"/>
        </w:rPr>
      </w:pPr>
      <w:r>
        <w:rPr>
          <w:b/>
          <w:bCs/>
          <w:sz w:val="20"/>
          <w:szCs w:val="20"/>
        </w:rPr>
        <w:t>Recently Issued Accounting Pronouncements Not Yet Adopte</w:t>
      </w:r>
      <w:r>
        <w:rPr>
          <w:b/>
          <w:bCs/>
          <w:sz w:val="20"/>
          <w:szCs w:val="20"/>
        </w:rPr>
        <w:t>d</w:t>
      </w:r>
      <w:r>
        <w:rPr>
          <w:sz w:val="20"/>
          <w:szCs w:val="20"/>
        </w:rPr>
        <w:t>—In October 2021, the FASB issued ASU No. 2021-08, Business Combinations (Topic 805): Accounting for Contract Assets and</w:t>
      </w:r>
      <w:r>
        <w:rPr>
          <w:sz w:val="20"/>
          <w:szCs w:val="20"/>
        </w:rPr>
        <w:t xml:space="preserve"> Contract Liabilities from Contracts with Customers. Under the new guidance (ASC 805-20-30-28), the acquirer should determine what contract assets and/or contract liabilities it would have recorded under ASC 606 (the revenue guidance) as of the acquisition</w:t>
      </w:r>
      <w:r>
        <w:rPr>
          <w:sz w:val="20"/>
          <w:szCs w:val="20"/>
        </w:rPr>
        <w:t xml:space="preserve"> date, as if the acquirer had entered into the original contract at the same date</w:t>
      </w:r>
      <w:r>
        <w:rPr>
          <w:sz w:val="20"/>
          <w:szCs w:val="20"/>
        </w:rPr>
        <w:t xml:space="preserve"> </w:t>
      </w:r>
      <w:r>
        <w:rPr>
          <w:sz w:val="20"/>
          <w:szCs w:val="20"/>
        </w:rPr>
        <w:t xml:space="preserve">and on the same terms as the acquiree. The new guidance is effective for fiscal years beginning after December 15, 2022, including interim periods within those fiscal years. </w:t>
      </w:r>
      <w:r>
        <w:rPr>
          <w:sz w:val="20"/>
          <w:szCs w:val="20"/>
        </w:rPr>
        <w:t>The Company is currently evaluating the impact of the adoption of the standard on the consolidated financial statements, but does not expect adoption to have a material impact on its consolidated financial statements. The future impact of this new guidance</w:t>
      </w:r>
      <w:r>
        <w:rPr>
          <w:sz w:val="20"/>
          <w:szCs w:val="20"/>
        </w:rPr>
        <w:t xml:space="preserve"> will be primarily a function of the facts and circumstances specific to any acquisitions consummated after adoption and therefore cannot be predicted prior to or at the time of adoption</w:t>
      </w:r>
      <w:r>
        <w:rPr>
          <w:sz w:val="20"/>
          <w:szCs w:val="20"/>
        </w:rPr>
        <w:t>.</w:t>
      </w:r>
    </w:p>
    <w:p w:rsidR="00000000" w:rsidRDefault="00A32496">
      <w:pPr>
        <w:pStyle w:val="a3"/>
        <w:spacing w:before="360" w:beforeAutospacing="0" w:after="0" w:afterAutospacing="0"/>
        <w:divId w:val="1187019183"/>
        <w:rPr>
          <w:sz w:val="20"/>
          <w:szCs w:val="20"/>
        </w:rPr>
      </w:pPr>
      <w:r>
        <w:rPr>
          <w:b/>
          <w:bCs/>
          <w:sz w:val="20"/>
          <w:szCs w:val="20"/>
        </w:rPr>
        <w:t>3. REVENUES AND ACCOUNTS RECEIVABL</w:t>
      </w:r>
      <w:r>
        <w:rPr>
          <w:b/>
          <w:bCs/>
          <w:sz w:val="20"/>
          <w:szCs w:val="20"/>
        </w:rPr>
        <w:t>E</w:t>
      </w:r>
    </w:p>
    <w:p w:rsidR="00000000" w:rsidRDefault="00A32496">
      <w:pPr>
        <w:pStyle w:val="a3"/>
        <w:spacing w:before="240" w:beforeAutospacing="0" w:after="0" w:afterAutospacing="0"/>
        <w:ind w:firstLine="555"/>
        <w:divId w:val="1187019183"/>
        <w:rPr>
          <w:sz w:val="20"/>
          <w:szCs w:val="20"/>
        </w:rPr>
      </w:pPr>
      <w:r>
        <w:rPr>
          <w:sz w:val="20"/>
          <w:szCs w:val="20"/>
        </w:rPr>
        <w:t>The Company’s main revenue sourc</w:t>
      </w:r>
      <w:r>
        <w:rPr>
          <w:sz w:val="20"/>
          <w:szCs w:val="20"/>
        </w:rPr>
        <w:t>es derive from the following revenue streams</w:t>
      </w:r>
      <w:r>
        <w:rPr>
          <w:sz w:val="20"/>
          <w:szCs w:val="20"/>
        </w:rPr>
        <w:t>:</w:t>
      </w:r>
    </w:p>
    <w:p w:rsidR="00000000" w:rsidRDefault="00A32496">
      <w:pPr>
        <w:pStyle w:val="a3"/>
        <w:spacing w:before="240" w:beforeAutospacing="0" w:after="0" w:afterAutospacing="0"/>
        <w:ind w:firstLine="555"/>
        <w:divId w:val="1187019183"/>
        <w:rPr>
          <w:sz w:val="20"/>
          <w:szCs w:val="20"/>
        </w:rPr>
      </w:pPr>
      <w:r>
        <w:rPr>
          <w:b/>
          <w:bCs/>
          <w:sz w:val="20"/>
          <w:szCs w:val="20"/>
        </w:rPr>
        <w:t>Assessment, Permitting and Response Revenue</w:t>
      </w:r>
      <w:r>
        <w:rPr>
          <w:b/>
          <w:bCs/>
          <w:sz w:val="20"/>
          <w:szCs w:val="20"/>
        </w:rPr>
        <w:t>s</w:t>
      </w:r>
      <w:r>
        <w:rPr>
          <w:sz w:val="20"/>
          <w:szCs w:val="20"/>
        </w:rPr>
        <w:t>—Assessment, Permitting and Response revenues are generated from multidisciplinary environmental consulting services. The majority of the contracts are fixed-price or</w:t>
      </w:r>
      <w:r>
        <w:rPr>
          <w:sz w:val="20"/>
          <w:szCs w:val="20"/>
        </w:rPr>
        <w:t xml:space="preserve"> time and material based</w:t>
      </w:r>
      <w:r>
        <w:rPr>
          <w:sz w:val="20"/>
          <w:szCs w:val="20"/>
        </w:rPr>
        <w:t>.</w:t>
      </w:r>
    </w:p>
    <w:p w:rsidR="00000000" w:rsidRDefault="00A32496">
      <w:pPr>
        <w:pStyle w:val="a3"/>
        <w:spacing w:before="240" w:beforeAutospacing="0" w:after="0" w:afterAutospacing="0"/>
        <w:ind w:firstLine="555"/>
        <w:divId w:val="1187019183"/>
        <w:rPr>
          <w:sz w:val="20"/>
          <w:szCs w:val="20"/>
        </w:rPr>
      </w:pPr>
      <w:r>
        <w:rPr>
          <w:b/>
          <w:bCs/>
          <w:sz w:val="20"/>
          <w:szCs w:val="20"/>
        </w:rPr>
        <w:t>Measurement and Analysis Revenue</w:t>
      </w:r>
      <w:r>
        <w:rPr>
          <w:b/>
          <w:bCs/>
          <w:sz w:val="20"/>
          <w:szCs w:val="20"/>
        </w:rPr>
        <w:t>s</w:t>
      </w:r>
      <w:r>
        <w:rPr>
          <w:sz w:val="20"/>
          <w:szCs w:val="20"/>
        </w:rPr>
        <w:t>—Measurement and Analysis revenues are generated from emissions sampling, testing and reporting services, leak detection services, ambient air monitoring services and laboratory testing services. T</w:t>
      </w:r>
      <w:r>
        <w:rPr>
          <w:sz w:val="20"/>
          <w:szCs w:val="20"/>
        </w:rPr>
        <w:t>he majority of the contracts are fixed-price or time-and-materials based</w:t>
      </w:r>
      <w:r>
        <w:rPr>
          <w:sz w:val="20"/>
          <w:szCs w:val="20"/>
        </w:rPr>
        <w:t>.</w:t>
      </w:r>
    </w:p>
    <w:p w:rsidR="00000000" w:rsidRDefault="00A32496">
      <w:pPr>
        <w:pStyle w:val="a3"/>
        <w:spacing w:before="240" w:beforeAutospacing="0" w:after="0" w:afterAutospacing="0"/>
        <w:ind w:firstLine="555"/>
        <w:divId w:val="1187019183"/>
        <w:rPr>
          <w:sz w:val="20"/>
          <w:szCs w:val="20"/>
        </w:rPr>
      </w:pPr>
      <w:r>
        <w:rPr>
          <w:b/>
          <w:bCs/>
          <w:sz w:val="20"/>
          <w:szCs w:val="20"/>
        </w:rPr>
        <w:t>Remediation and Reuse Revenue</w:t>
      </w:r>
      <w:r>
        <w:rPr>
          <w:b/>
          <w:bCs/>
          <w:sz w:val="20"/>
          <w:szCs w:val="20"/>
        </w:rPr>
        <w:t>s</w:t>
      </w:r>
      <w:r>
        <w:rPr>
          <w:sz w:val="20"/>
          <w:szCs w:val="20"/>
        </w:rPr>
        <w:t>—Remediation and Reuse revenues are generated from engineering, design, implementation and operating and maintenance (“O&amp;M”) services primarily to treat</w:t>
      </w:r>
      <w:r>
        <w:rPr>
          <w:sz w:val="20"/>
          <w:szCs w:val="20"/>
        </w:rPr>
        <w:t xml:space="preserve"> contaminated water, remove contaminants from soil or create biogas from waste. Engineering, design and implementation contracts are predominantly fixed-fee and time-and-materials based. Services on the majority of O&amp;M contracts are provided under long-ter</w:t>
      </w:r>
      <w:r>
        <w:rPr>
          <w:sz w:val="20"/>
          <w:szCs w:val="20"/>
        </w:rPr>
        <w:t>m fixed-fee contracts</w:t>
      </w:r>
      <w:r>
        <w:rPr>
          <w:sz w:val="20"/>
          <w:szCs w:val="20"/>
        </w:rPr>
        <w:t>.</w:t>
      </w:r>
      <w:r>
        <w:rPr>
          <w:sz w:val="20"/>
          <w:szCs w:val="20"/>
        </w:rPr>
        <w:t xml:space="preserve"> </w:t>
      </w:r>
    </w:p>
    <w:p w:rsidR="00000000" w:rsidRDefault="00A32496">
      <w:pPr>
        <w:pStyle w:val="a3"/>
        <w:spacing w:before="240" w:beforeAutospacing="0" w:after="0" w:afterAutospacing="0"/>
        <w:ind w:firstLine="555"/>
        <w:divId w:val="1187019183"/>
        <w:rPr>
          <w:sz w:val="20"/>
          <w:szCs w:val="20"/>
        </w:rPr>
      </w:pPr>
      <w:r>
        <w:rPr>
          <w:b/>
          <w:bCs/>
          <w:sz w:val="20"/>
          <w:szCs w:val="20"/>
        </w:rPr>
        <w:t>Disaggregation of Revenu</w:t>
      </w:r>
      <w:r>
        <w:rPr>
          <w:b/>
          <w:bCs/>
          <w:sz w:val="20"/>
          <w:szCs w:val="20"/>
        </w:rPr>
        <w:t>e</w:t>
      </w:r>
      <w:r>
        <w:rPr>
          <w:sz w:val="20"/>
          <w:szCs w:val="20"/>
        </w:rPr>
        <w:t>—The Company disaggregates revenue by its operating segment</w:t>
      </w:r>
      <w:r>
        <w:rPr>
          <w:sz w:val="20"/>
          <w:szCs w:val="20"/>
        </w:rPr>
        <w:t>s</w:t>
      </w:r>
      <w:r>
        <w:rPr>
          <w:b/>
          <w:bCs/>
          <w:sz w:val="20"/>
          <w:szCs w:val="20"/>
        </w:rPr>
        <w:t>.</w:t>
      </w:r>
      <w:r>
        <w:rPr>
          <w:sz w:val="20"/>
          <w:szCs w:val="20"/>
        </w:rPr>
        <w:t xml:space="preserve"> The Company believes disaggregating revenue into these categories achieves the disclosure objectives to depict how the nature, amount, and uncert</w:t>
      </w:r>
      <w:r>
        <w:rPr>
          <w:sz w:val="20"/>
          <w:szCs w:val="20"/>
        </w:rPr>
        <w:t>ainty of revenue and cash flows are affected by economic factors. Disaggregated revenue disclosures are provided in Note 18</w:t>
      </w:r>
      <w:r>
        <w:rPr>
          <w:sz w:val="20"/>
          <w:szCs w:val="20"/>
        </w:rPr>
        <w:t>.</w:t>
      </w:r>
    </w:p>
    <w:p w:rsidR="00000000" w:rsidRDefault="00A32496">
      <w:pPr>
        <w:pStyle w:val="a3"/>
        <w:spacing w:before="240" w:beforeAutospacing="0" w:after="0" w:afterAutospacing="0"/>
        <w:ind w:firstLine="555"/>
        <w:divId w:val="1187019183"/>
        <w:rPr>
          <w:sz w:val="20"/>
          <w:szCs w:val="20"/>
        </w:rPr>
      </w:pPr>
      <w:r>
        <w:rPr>
          <w:b/>
          <w:bCs/>
          <w:sz w:val="20"/>
          <w:szCs w:val="20"/>
        </w:rPr>
        <w:t>Contract Balance</w:t>
      </w:r>
      <w:r>
        <w:rPr>
          <w:b/>
          <w:bCs/>
          <w:sz w:val="20"/>
          <w:szCs w:val="20"/>
        </w:rPr>
        <w:t>s</w:t>
      </w:r>
      <w:r>
        <w:rPr>
          <w:sz w:val="20"/>
          <w:szCs w:val="20"/>
        </w:rPr>
        <w:t xml:space="preserve">—The Company presents contract balances for unbilled receivables (contract assets), as well as customer advances, </w:t>
      </w:r>
      <w:r>
        <w:rPr>
          <w:sz w:val="20"/>
          <w:szCs w:val="20"/>
        </w:rPr>
        <w:t>deposits and deferred revenue (contract liabilities) within contract assets and accounts payable and accrued expenses, respectively, on the unaudited condensed consolidated statements of financial position. Amounts are generally billed at periodic interval</w:t>
      </w:r>
      <w:r>
        <w:rPr>
          <w:sz w:val="20"/>
          <w:szCs w:val="20"/>
        </w:rPr>
        <w:t xml:space="preserve">s (e.g. weekly, bi-weekly or monthly) as work progresses in accordance with agreed-upon contractual terms. The Company utilizes the practical expedient to not adjust the promised amount of consideration for the effects of a significant financing component </w:t>
      </w:r>
      <w:r>
        <w:rPr>
          <w:sz w:val="20"/>
          <w:szCs w:val="20"/>
        </w:rPr>
        <w:t xml:space="preserve">as the period between when the Company transfers services to a customer and when the customer pays for those services is one year or less. Amounts recorded as unbilled receivables are generally for services the Company is not entitled to bill based on the </w:t>
      </w:r>
      <w:r>
        <w:rPr>
          <w:sz w:val="20"/>
          <w:szCs w:val="20"/>
        </w:rPr>
        <w:t>passage of time. Under certain contracts, billing occurs subsequent to revenue recognition, resulting in contract assets. The Company sometimes receives advances or deposits from customers before revenue is recognized, resulting in contract liabilities</w:t>
      </w:r>
      <w:r>
        <w:rPr>
          <w:sz w:val="20"/>
          <w:szCs w:val="20"/>
        </w:rPr>
        <w:t>.</w:t>
      </w:r>
    </w:p>
    <w:p w:rsidR="00000000" w:rsidRDefault="00A32496">
      <w:pPr>
        <w:pStyle w:val="a3"/>
        <w:spacing w:before="240" w:beforeAutospacing="0" w:after="0" w:afterAutospacing="0"/>
        <w:ind w:firstLine="555"/>
        <w:divId w:val="50740668"/>
        <w:rPr>
          <w:sz w:val="20"/>
          <w:szCs w:val="20"/>
        </w:rPr>
      </w:pPr>
      <w:r>
        <w:rPr>
          <w:sz w:val="20"/>
          <w:szCs w:val="20"/>
        </w:rPr>
        <w:t>Th</w:t>
      </w:r>
      <w:r>
        <w:rPr>
          <w:sz w:val="20"/>
          <w:szCs w:val="20"/>
        </w:rPr>
        <w:t>e following table presents the Company’s contract balances</w:t>
      </w:r>
      <w:r>
        <w:rPr>
          <w:sz w:val="20"/>
          <w:szCs w:val="20"/>
        </w:rPr>
        <w:t>:</w:t>
      </w:r>
    </w:p>
    <w:p w:rsidR="00000000" w:rsidRDefault="00A32496">
      <w:pPr>
        <w:pStyle w:val="a3"/>
        <w:spacing w:before="0" w:beforeAutospacing="0" w:after="0" w:afterAutospacing="0"/>
        <w:divId w:val="50740668"/>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512"/>
        <w:gridCol w:w="105"/>
        <w:gridCol w:w="151"/>
        <w:gridCol w:w="806"/>
        <w:gridCol w:w="105"/>
        <w:gridCol w:w="105"/>
        <w:gridCol w:w="151"/>
        <w:gridCol w:w="759"/>
        <w:gridCol w:w="120"/>
      </w:tblGrid>
      <w:tr w:rsidR="00000000">
        <w:trPr>
          <w:divId w:val="50740668"/>
          <w:tblCellSpacing w:w="15" w:type="dxa"/>
        </w:trPr>
        <w:tc>
          <w:tcPr>
            <w:tcW w:w="3204" w:type="pct"/>
            <w:vAlign w:val="center"/>
            <w:hideMark/>
          </w:tcPr>
          <w:p w:rsidR="00000000" w:rsidRDefault="00A32496">
            <w:pPr>
              <w:rPr>
                <w:sz w:val="20"/>
                <w:szCs w:val="20"/>
              </w:rPr>
            </w:pPr>
          </w:p>
        </w:tc>
        <w:tc>
          <w:tcPr>
            <w:tcW w:w="74"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726"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74"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718"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r>
      <w:tr w:rsidR="00000000">
        <w:trPr>
          <w:divId w:val="50740668"/>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September 30</w:t>
            </w:r>
            <w:r>
              <w:rPr>
                <w:b/>
                <w:bCs/>
                <w:sz w:val="18"/>
                <w:szCs w:val="18"/>
              </w:rPr>
              <w: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December 31</w:t>
            </w:r>
            <w:r>
              <w:rPr>
                <w:b/>
                <w:bCs/>
                <w:sz w:val="18"/>
                <w:szCs w:val="18"/>
              </w:rPr>
              <w: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50740668"/>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50740668"/>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Contract asset</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60,44</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40,13</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50740668"/>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Contract liabilitie</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23,27</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27,90</w:t>
            </w:r>
            <w:r>
              <w:rPr>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bl>
    <w:p w:rsidR="00000000" w:rsidRDefault="00A32496">
      <w:pPr>
        <w:pStyle w:val="a3"/>
        <w:spacing w:before="240" w:beforeAutospacing="0" w:after="0" w:afterAutospacing="0"/>
        <w:ind w:firstLine="555"/>
        <w:divId w:val="1187019183"/>
        <w:rPr>
          <w:sz w:val="20"/>
          <w:szCs w:val="20"/>
        </w:rPr>
      </w:pPr>
      <w:r>
        <w:rPr>
          <w:sz w:val="20"/>
          <w:szCs w:val="20"/>
        </w:rPr>
        <w:t xml:space="preserve">Contract assets acquired through business acquisitions amounted to </w:t>
      </w:r>
      <w:r>
        <w:rPr>
          <w:sz w:val="20"/>
          <w:szCs w:val="20"/>
        </w:rPr>
        <w:t>$</w:t>
      </w:r>
      <w:r>
        <w:rPr>
          <w:sz w:val="20"/>
          <w:szCs w:val="20"/>
        </w:rPr>
        <w:t>1.</w:t>
      </w:r>
      <w:r>
        <w:rPr>
          <w:sz w:val="20"/>
          <w:szCs w:val="20"/>
        </w:rPr>
        <w:t>3</w:t>
      </w:r>
      <w:r>
        <w:rPr>
          <w:sz w:val="20"/>
          <w:szCs w:val="20"/>
        </w:rPr>
        <w:t xml:space="preserve"> million and </w:t>
      </w:r>
      <w:r>
        <w:rPr>
          <w:sz w:val="20"/>
          <w:szCs w:val="20"/>
        </w:rPr>
        <w:t>$</w:t>
      </w:r>
      <w:r>
        <w:rPr>
          <w:sz w:val="20"/>
          <w:szCs w:val="20"/>
        </w:rPr>
        <w:t>0.</w:t>
      </w:r>
      <w:r>
        <w:rPr>
          <w:sz w:val="20"/>
          <w:szCs w:val="20"/>
        </w:rPr>
        <w:t>5</w:t>
      </w:r>
      <w:r>
        <w:rPr>
          <w:sz w:val="20"/>
          <w:szCs w:val="20"/>
        </w:rPr>
        <w:t xml:space="preserve"> million as of September 30, 2022 and December 31, 2021, respectively. Contract liabilities acquired through business acquisitions amounted t</w:t>
      </w:r>
      <w:r>
        <w:rPr>
          <w:sz w:val="20"/>
          <w:szCs w:val="20"/>
        </w:rPr>
        <w:t>o</w:t>
      </w:r>
      <w:r>
        <w:rPr>
          <w:sz w:val="20"/>
          <w:szCs w:val="20"/>
        </w:rPr>
        <w:t xml:space="preserve"> </w:t>
      </w:r>
      <w:r>
        <w:rPr>
          <w:sz w:val="20"/>
          <w:szCs w:val="20"/>
        </w:rPr>
        <w:t>zer</w:t>
      </w:r>
      <w:r>
        <w:rPr>
          <w:sz w:val="20"/>
          <w:szCs w:val="20"/>
        </w:rPr>
        <w:t>o</w:t>
      </w:r>
      <w:r>
        <w:rPr>
          <w:sz w:val="20"/>
          <w:szCs w:val="20"/>
        </w:rPr>
        <w:t xml:space="preserve"> and $</w:t>
      </w:r>
      <w:r>
        <w:rPr>
          <w:sz w:val="20"/>
          <w:szCs w:val="20"/>
        </w:rPr>
        <w:t xml:space="preserve"> </w:t>
      </w:r>
      <w:r>
        <w:rPr>
          <w:sz w:val="20"/>
          <w:szCs w:val="20"/>
        </w:rPr>
        <w:t>0.</w:t>
      </w:r>
      <w:r>
        <w:rPr>
          <w:sz w:val="20"/>
          <w:szCs w:val="20"/>
        </w:rPr>
        <w:t>5</w:t>
      </w:r>
      <w:r>
        <w:rPr>
          <w:sz w:val="20"/>
          <w:szCs w:val="20"/>
        </w:rPr>
        <w:t xml:space="preserve"> million as</w:t>
      </w:r>
      <w:r>
        <w:rPr>
          <w:sz w:val="20"/>
          <w:szCs w:val="20"/>
        </w:rPr>
        <w:t xml:space="preserve"> o</w:t>
      </w:r>
      <w:r>
        <w:rPr>
          <w:sz w:val="20"/>
          <w:szCs w:val="20"/>
        </w:rPr>
        <w:t>f</w:t>
      </w:r>
      <w:r>
        <w:rPr>
          <w:sz w:val="20"/>
          <w:szCs w:val="20"/>
        </w:rPr>
        <w:t xml:space="preserve"> </w:t>
      </w:r>
    </w:p>
    <w:p w:rsidR="00000000" w:rsidRDefault="00A32496">
      <w:pPr>
        <w:pStyle w:val="a3"/>
        <w:spacing w:before="240" w:beforeAutospacing="0" w:after="0" w:afterAutospacing="0"/>
        <w:jc w:val="center"/>
        <w:divId w:val="1187019183"/>
        <w:rPr>
          <w:sz w:val="20"/>
          <w:szCs w:val="20"/>
        </w:rPr>
      </w:pPr>
      <w:r>
        <w:rPr>
          <w:sz w:val="20"/>
          <w:szCs w:val="20"/>
        </w:rPr>
        <w:t>6</w:t>
      </w:r>
    </w:p>
    <w:p w:rsidR="00000000" w:rsidRDefault="00A32496">
      <w:pPr>
        <w:divId w:val="1187019183"/>
        <w:rPr>
          <w:rFonts w:eastAsia="Times New Roman"/>
        </w:rPr>
      </w:pPr>
      <w:r>
        <w:rPr>
          <w:rFonts w:eastAsia="Times New Roman"/>
        </w:rPr>
        <w:pict>
          <v:rect id="_x0000_i1032" style="width:0;height:1.5pt" o:hralign="center" o:hrstd="t" o:hr="t" fillcolor="#a0a0a0" stroked="f"/>
        </w:pict>
      </w:r>
    </w:p>
    <w:p w:rsidR="00000000" w:rsidRDefault="00A32496">
      <w:pPr>
        <w:pStyle w:val="a3"/>
        <w:spacing w:before="0" w:beforeAutospacing="0" w:after="0" w:afterAutospacing="0"/>
        <w:divId w:val="1187019183"/>
        <w:rPr>
          <w:sz w:val="20"/>
          <w:szCs w:val="20"/>
        </w:rPr>
      </w:pPr>
      <w:r>
        <w:rPr>
          <w:sz w:val="20"/>
          <w:szCs w:val="20"/>
        </w:rPr>
        <w:t> </w:t>
      </w:r>
    </w:p>
    <w:p w:rsidR="00000000" w:rsidRDefault="00A32496">
      <w:pPr>
        <w:pStyle w:val="a3"/>
        <w:spacing w:before="240" w:beforeAutospacing="0" w:after="0" w:afterAutospacing="0"/>
        <w:divId w:val="1187019183"/>
        <w:rPr>
          <w:sz w:val="20"/>
          <w:szCs w:val="20"/>
        </w:rPr>
      </w:pPr>
      <w:r>
        <w:rPr>
          <w:sz w:val="20"/>
          <w:szCs w:val="20"/>
        </w:rPr>
        <w:t>September 30, 2022 and December 31, 2021, respectively. Revenue recognized during the three and nine months ended September 30, 2022, included in the contract liabilities balance at the beginning of the year wa</w:t>
      </w:r>
      <w:r>
        <w:rPr>
          <w:sz w:val="20"/>
          <w:szCs w:val="20"/>
        </w:rPr>
        <w:t xml:space="preserve">s </w:t>
      </w:r>
      <w:r>
        <w:rPr>
          <w:sz w:val="20"/>
          <w:szCs w:val="20"/>
        </w:rPr>
        <w:t>$</w:t>
      </w:r>
      <w:r>
        <w:rPr>
          <w:sz w:val="20"/>
          <w:szCs w:val="20"/>
        </w:rPr>
        <w:t>10.</w:t>
      </w:r>
      <w:r>
        <w:rPr>
          <w:sz w:val="20"/>
          <w:szCs w:val="20"/>
        </w:rPr>
        <w:t>3</w:t>
      </w:r>
      <w:r>
        <w:rPr>
          <w:sz w:val="20"/>
          <w:szCs w:val="20"/>
        </w:rPr>
        <w:t xml:space="preserve"> million and </w:t>
      </w:r>
      <w:r>
        <w:rPr>
          <w:sz w:val="20"/>
          <w:szCs w:val="20"/>
        </w:rPr>
        <w:t>$</w:t>
      </w:r>
      <w:r>
        <w:rPr>
          <w:sz w:val="20"/>
          <w:szCs w:val="20"/>
        </w:rPr>
        <w:t>23.</w:t>
      </w:r>
      <w:r>
        <w:rPr>
          <w:sz w:val="20"/>
          <w:szCs w:val="20"/>
        </w:rPr>
        <w:t>6</w:t>
      </w:r>
      <w:r>
        <w:rPr>
          <w:sz w:val="20"/>
          <w:szCs w:val="20"/>
        </w:rPr>
        <w:t xml:space="preserve"> million, respectively. The revenue recognized from the contract liabilities consisted of the Company satisfying performance obligations during the normal course of business</w:t>
      </w:r>
      <w:r>
        <w:rPr>
          <w:sz w:val="20"/>
          <w:szCs w:val="20"/>
        </w:rPr>
        <w:t>.</w:t>
      </w:r>
    </w:p>
    <w:p w:rsidR="00000000" w:rsidRDefault="00A32496">
      <w:pPr>
        <w:pStyle w:val="a3"/>
        <w:spacing w:before="240" w:beforeAutospacing="0" w:after="0" w:afterAutospacing="0"/>
        <w:ind w:firstLine="555"/>
        <w:divId w:val="1187019183"/>
        <w:rPr>
          <w:sz w:val="20"/>
          <w:szCs w:val="20"/>
        </w:rPr>
      </w:pPr>
      <w:r>
        <w:rPr>
          <w:sz w:val="20"/>
          <w:szCs w:val="20"/>
        </w:rPr>
        <w:t>The amount of revenue recognized from changes in the transaction price associated with performance obligations satisfied in prior periods during the three and nine months ended September 30, 2022 was not material</w:t>
      </w:r>
      <w:r>
        <w:rPr>
          <w:sz w:val="20"/>
          <w:szCs w:val="20"/>
        </w:rPr>
        <w:t>.</w:t>
      </w:r>
    </w:p>
    <w:p w:rsidR="00000000" w:rsidRDefault="00A32496">
      <w:pPr>
        <w:pStyle w:val="a3"/>
        <w:spacing w:before="240" w:beforeAutospacing="0" w:after="0" w:afterAutospacing="0"/>
        <w:ind w:firstLine="555"/>
        <w:divId w:val="1187019183"/>
        <w:rPr>
          <w:sz w:val="20"/>
          <w:szCs w:val="20"/>
        </w:rPr>
      </w:pPr>
      <w:r>
        <w:rPr>
          <w:b/>
          <w:bCs/>
          <w:sz w:val="20"/>
          <w:szCs w:val="20"/>
        </w:rPr>
        <w:t>Remaining Unsatisfied Performance Obligati</w:t>
      </w:r>
      <w:r>
        <w:rPr>
          <w:b/>
          <w:bCs/>
          <w:sz w:val="20"/>
          <w:szCs w:val="20"/>
        </w:rPr>
        <w:t>on</w:t>
      </w:r>
      <w:r>
        <w:rPr>
          <w:b/>
          <w:bCs/>
          <w:sz w:val="20"/>
          <w:szCs w:val="20"/>
        </w:rPr>
        <w:t>s</w:t>
      </w:r>
      <w:r>
        <w:rPr>
          <w:sz w:val="20"/>
          <w:szCs w:val="20"/>
        </w:rPr>
        <w:t>—Remaining unsatisfied performance obligations represent the total dollar value of work to be performed on contracts awarded and in progress. The amount of remaining unsatisfied performance obligations increases with new contracts or additions to existi</w:t>
      </w:r>
      <w:r>
        <w:rPr>
          <w:sz w:val="20"/>
          <w:szCs w:val="20"/>
        </w:rPr>
        <w:t>ng contracts and decreases as revenue is recognized on existing contracts. Contracts are included in the amount of remaining unsatisfied performance obligations when an enforceable agreement has been reached. As of September 30, 2022 and December 31, 2021,</w:t>
      </w:r>
      <w:r>
        <w:rPr>
          <w:sz w:val="20"/>
          <w:szCs w:val="20"/>
        </w:rPr>
        <w:t xml:space="preserve"> the estimated revenue expected to be recognized in the future related to performance obligations that are unsatisfied was approximately </w:t>
      </w:r>
      <w:r>
        <w:rPr>
          <w:sz w:val="20"/>
          <w:szCs w:val="20"/>
        </w:rPr>
        <w:t>$</w:t>
      </w:r>
      <w:r>
        <w:rPr>
          <w:sz w:val="20"/>
          <w:szCs w:val="20"/>
        </w:rPr>
        <w:t>92.</w:t>
      </w:r>
      <w:r>
        <w:rPr>
          <w:sz w:val="20"/>
          <w:szCs w:val="20"/>
        </w:rPr>
        <w:t>0</w:t>
      </w:r>
      <w:r>
        <w:rPr>
          <w:sz w:val="20"/>
          <w:szCs w:val="20"/>
        </w:rPr>
        <w:t xml:space="preserve"> million and </w:t>
      </w:r>
      <w:r>
        <w:rPr>
          <w:sz w:val="20"/>
          <w:szCs w:val="20"/>
        </w:rPr>
        <w:t>$</w:t>
      </w:r>
      <w:r>
        <w:rPr>
          <w:sz w:val="20"/>
          <w:szCs w:val="20"/>
        </w:rPr>
        <w:t>108.</w:t>
      </w:r>
      <w:r>
        <w:rPr>
          <w:sz w:val="20"/>
          <w:szCs w:val="20"/>
        </w:rPr>
        <w:t>7</w:t>
      </w:r>
      <w:r>
        <w:rPr>
          <w:sz w:val="20"/>
          <w:szCs w:val="20"/>
        </w:rPr>
        <w:t xml:space="preserve"> million, respectively. As of September 30, 2022, the Company expected to recognize approximate</w:t>
      </w:r>
      <w:r>
        <w:rPr>
          <w:sz w:val="20"/>
          <w:szCs w:val="20"/>
        </w:rPr>
        <w:t xml:space="preserve">ly </w:t>
      </w:r>
      <w:r>
        <w:rPr>
          <w:sz w:val="20"/>
          <w:szCs w:val="20"/>
        </w:rPr>
        <w:t>$</w:t>
      </w:r>
      <w:r>
        <w:rPr>
          <w:sz w:val="20"/>
          <w:szCs w:val="20"/>
        </w:rPr>
        <w:t>67.</w:t>
      </w:r>
      <w:r>
        <w:rPr>
          <w:sz w:val="20"/>
          <w:szCs w:val="20"/>
        </w:rPr>
        <w:t>8</w:t>
      </w:r>
      <w:r>
        <w:rPr>
          <w:sz w:val="20"/>
          <w:szCs w:val="20"/>
        </w:rPr>
        <w:t xml:space="preserve"> million of this amount as revenue within a</w:t>
      </w:r>
      <w:r>
        <w:rPr>
          <w:sz w:val="20"/>
          <w:szCs w:val="20"/>
        </w:rPr>
        <w:t xml:space="preserve"> </w:t>
      </w:r>
      <w:r>
        <w:rPr>
          <w:sz w:val="20"/>
          <w:szCs w:val="20"/>
        </w:rPr>
        <w:t>yea</w:t>
      </w:r>
      <w:r>
        <w:rPr>
          <w:sz w:val="20"/>
          <w:szCs w:val="20"/>
        </w:rPr>
        <w:t>r</w:t>
      </w:r>
      <w:r>
        <w:rPr>
          <w:sz w:val="20"/>
          <w:szCs w:val="20"/>
        </w:rPr>
        <w:t xml:space="preserve"> and </w:t>
      </w:r>
      <w:r>
        <w:rPr>
          <w:sz w:val="20"/>
          <w:szCs w:val="20"/>
        </w:rPr>
        <w:t>$</w:t>
      </w:r>
      <w:r>
        <w:rPr>
          <w:sz w:val="20"/>
          <w:szCs w:val="20"/>
        </w:rPr>
        <w:t>24.</w:t>
      </w:r>
      <w:r>
        <w:rPr>
          <w:sz w:val="20"/>
          <w:szCs w:val="20"/>
        </w:rPr>
        <w:t>2</w:t>
      </w:r>
      <w:r>
        <w:rPr>
          <w:sz w:val="20"/>
          <w:szCs w:val="20"/>
        </w:rPr>
        <w:t xml:space="preserve"> million the</w:t>
      </w:r>
      <w:r>
        <w:rPr>
          <w:sz w:val="20"/>
          <w:szCs w:val="20"/>
        </w:rPr>
        <w:t xml:space="preserve"> </w:t>
      </w:r>
      <w:r>
        <w:rPr>
          <w:sz w:val="20"/>
          <w:szCs w:val="20"/>
        </w:rPr>
        <w:t>year afte</w:t>
      </w:r>
      <w:r>
        <w:rPr>
          <w:sz w:val="20"/>
          <w:szCs w:val="20"/>
        </w:rPr>
        <w:t>r</w:t>
      </w:r>
      <w:r>
        <w:rPr>
          <w:sz w:val="20"/>
          <w:szCs w:val="20"/>
        </w:rPr>
        <w:t>.</w:t>
      </w:r>
    </w:p>
    <w:p w:rsidR="00000000" w:rsidRDefault="00A32496">
      <w:pPr>
        <w:pStyle w:val="a3"/>
        <w:spacing w:before="240" w:beforeAutospacing="0" w:after="0" w:afterAutospacing="0"/>
        <w:ind w:firstLine="555"/>
        <w:divId w:val="1187019183"/>
        <w:rPr>
          <w:sz w:val="20"/>
          <w:szCs w:val="20"/>
        </w:rPr>
      </w:pPr>
      <w:r>
        <w:rPr>
          <w:b/>
          <w:bCs/>
          <w:sz w:val="20"/>
          <w:szCs w:val="20"/>
        </w:rPr>
        <w:t>Accounts Receivable, Ne</w:t>
      </w:r>
      <w:r>
        <w:rPr>
          <w:b/>
          <w:bCs/>
          <w:sz w:val="20"/>
          <w:szCs w:val="20"/>
        </w:rPr>
        <w:t>t</w:t>
      </w:r>
      <w:r>
        <w:rPr>
          <w:sz w:val="20"/>
          <w:szCs w:val="20"/>
        </w:rPr>
        <w:t>—The Company extends non-interest-bearing trade credit to its customers in the ordinary course of business.</w:t>
      </w:r>
      <w:r>
        <w:rPr>
          <w:sz w:val="20"/>
          <w:szCs w:val="20"/>
        </w:rPr>
        <w:t xml:space="preserve"> </w:t>
      </w:r>
      <w:r>
        <w:rPr>
          <w:sz w:val="20"/>
          <w:szCs w:val="20"/>
        </w:rPr>
        <w:t>Accounts receivable, net consiste</w:t>
      </w:r>
      <w:r>
        <w:rPr>
          <w:sz w:val="20"/>
          <w:szCs w:val="20"/>
        </w:rPr>
        <w:t>d of the following</w:t>
      </w:r>
      <w:r>
        <w:rPr>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99"/>
        <w:gridCol w:w="132"/>
        <w:gridCol w:w="151"/>
        <w:gridCol w:w="1190"/>
        <w:gridCol w:w="120"/>
        <w:gridCol w:w="132"/>
        <w:gridCol w:w="151"/>
        <w:gridCol w:w="1096"/>
        <w:gridCol w:w="135"/>
      </w:tblGrid>
      <w:tr w:rsidR="00000000">
        <w:trPr>
          <w:divId w:val="253325524"/>
          <w:tblCellSpacing w:w="15" w:type="dxa"/>
        </w:trPr>
        <w:tc>
          <w:tcPr>
            <w:tcW w:w="3230" w:type="pct"/>
            <w:vAlign w:val="center"/>
            <w:hideMark/>
          </w:tcPr>
          <w:p w:rsidR="00000000" w:rsidRDefault="00A32496">
            <w:pPr>
              <w:rPr>
                <w:sz w:val="20"/>
                <w:szCs w:val="20"/>
              </w:rPr>
            </w:pPr>
          </w:p>
        </w:tc>
        <w:tc>
          <w:tcPr>
            <w:tcW w:w="76"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737"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76"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678"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r>
      <w:tr w:rsidR="00000000">
        <w:trPr>
          <w:divId w:val="253325524"/>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253325524"/>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September 30,</w:t>
            </w:r>
            <w:r>
              <w:rPr>
                <w:b/>
                <w:bCs/>
                <w:sz w:val="18"/>
                <w:szCs w:val="18"/>
              </w:rPr>
              <w:br/>
              <w:t>202</w:t>
            </w:r>
            <w:r>
              <w:rPr>
                <w:b/>
                <w:bCs/>
                <w:sz w:val="18"/>
                <w:szCs w:val="18"/>
              </w:rPr>
              <w:t>2</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December 31,</w:t>
            </w:r>
            <w:r>
              <w:rPr>
                <w:b/>
                <w:bCs/>
                <w:sz w:val="18"/>
                <w:szCs w:val="18"/>
              </w:rPr>
              <w:br/>
              <w:t>202</w:t>
            </w:r>
            <w:r>
              <w:rPr>
                <w:b/>
                <w:bCs/>
                <w:sz w:val="18"/>
                <w:szCs w:val="18"/>
              </w:rPr>
              <w:t>1</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253325524"/>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Accounts receivable, invoice</w:t>
            </w:r>
            <w:r>
              <w:rPr>
                <w:sz w:val="18"/>
                <w:szCs w:val="18"/>
              </w:rPr>
              <w:t>d</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82,64</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101,70</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253325524"/>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Accounts receivable, othe</w:t>
            </w:r>
            <w:r>
              <w:rPr>
                <w:sz w:val="18"/>
                <w:szCs w:val="18"/>
              </w:rPr>
              <w:t>r</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54</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1,38</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253325524"/>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Allowance for doubtful account</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2,26</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4,58</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r>
      <w:tr w:rsidR="00000000">
        <w:trPr>
          <w:divId w:val="253325524"/>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   Accounts receivable—ne</w:t>
            </w:r>
            <w:r>
              <w:rPr>
                <w:sz w:val="18"/>
                <w:szCs w:val="18"/>
              </w:rPr>
              <w:t>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80,92</w:t>
            </w:r>
            <w:r>
              <w:rPr>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98,51</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bl>
    <w:p w:rsidR="00000000" w:rsidRDefault="00A32496">
      <w:pPr>
        <w:pStyle w:val="a3"/>
        <w:spacing w:before="240" w:beforeAutospacing="0" w:after="0" w:afterAutospacing="0"/>
        <w:ind w:firstLine="555"/>
        <w:divId w:val="1187019183"/>
        <w:rPr>
          <w:sz w:val="20"/>
          <w:szCs w:val="20"/>
        </w:rPr>
      </w:pPr>
      <w:r>
        <w:rPr>
          <w:sz w:val="20"/>
          <w:szCs w:val="20"/>
        </w:rPr>
        <w:t>As of September 30, 2022, the Company</w:t>
      </w:r>
      <w:r>
        <w:rPr>
          <w:sz w:val="20"/>
          <w:szCs w:val="20"/>
        </w:rPr>
        <w:t xml:space="preserve"> </w:t>
      </w:r>
      <w:r>
        <w:rPr>
          <w:sz w:val="20"/>
          <w:szCs w:val="20"/>
        </w:rPr>
        <w:t>did</w:t>
      </w:r>
      <w:r>
        <w:rPr>
          <w:sz w:val="20"/>
          <w:szCs w:val="20"/>
        </w:rPr>
        <w:t xml:space="preserve"> </w:t>
      </w:r>
      <w:r>
        <w:rPr>
          <w:sz w:val="20"/>
          <w:szCs w:val="20"/>
        </w:rPr>
        <w:t>n</w:t>
      </w:r>
      <w:r>
        <w:rPr>
          <w:sz w:val="20"/>
          <w:szCs w:val="20"/>
        </w:rPr>
        <w:t>o</w:t>
      </w:r>
      <w:r>
        <w:rPr>
          <w:sz w:val="20"/>
          <w:szCs w:val="20"/>
        </w:rPr>
        <w:t>t have any customers that exceeded</w:t>
      </w:r>
      <w:r>
        <w:rPr>
          <w:sz w:val="20"/>
          <w:szCs w:val="20"/>
        </w:rPr>
        <w:t xml:space="preserve"> </w:t>
      </w:r>
      <w:r>
        <w:rPr>
          <w:sz w:val="20"/>
          <w:szCs w:val="20"/>
        </w:rPr>
        <w:t>10.</w:t>
      </w:r>
      <w:r>
        <w:rPr>
          <w:sz w:val="20"/>
          <w:szCs w:val="20"/>
        </w:rPr>
        <w:t>0</w:t>
      </w:r>
      <w:r>
        <w:rPr>
          <w:sz w:val="20"/>
          <w:szCs w:val="20"/>
        </w:rPr>
        <w:t>%</w:t>
      </w:r>
      <w:r>
        <w:rPr>
          <w:sz w:val="20"/>
          <w:szCs w:val="20"/>
        </w:rPr>
        <w:t xml:space="preserve"> </w:t>
      </w:r>
      <w:r>
        <w:rPr>
          <w:sz w:val="20"/>
          <w:szCs w:val="20"/>
        </w:rPr>
        <w:t>of its gross accounts receivable. As of December 31, 2021, the Company had one customer who accounted for</w:t>
      </w:r>
      <w:r>
        <w:rPr>
          <w:sz w:val="20"/>
          <w:szCs w:val="20"/>
        </w:rPr>
        <w:t xml:space="preserve"> </w:t>
      </w:r>
      <w:r>
        <w:rPr>
          <w:sz w:val="20"/>
          <w:szCs w:val="20"/>
        </w:rPr>
        <w:t>23.</w:t>
      </w:r>
      <w:r>
        <w:rPr>
          <w:sz w:val="20"/>
          <w:szCs w:val="20"/>
        </w:rPr>
        <w:t>1</w:t>
      </w:r>
      <w:r>
        <w:rPr>
          <w:sz w:val="20"/>
          <w:szCs w:val="20"/>
        </w:rPr>
        <w:t>%</w:t>
      </w:r>
      <w:r>
        <w:rPr>
          <w:sz w:val="20"/>
          <w:szCs w:val="20"/>
        </w:rPr>
        <w:t xml:space="preserve"> of its gross accounts receivable. For the three and nine months ended September 30, 2022, the Company had</w:t>
      </w:r>
      <w:r>
        <w:rPr>
          <w:sz w:val="20"/>
          <w:szCs w:val="20"/>
        </w:rPr>
        <w:t xml:space="preserve"> </w:t>
      </w:r>
      <w:r>
        <w:rPr>
          <w:sz w:val="20"/>
          <w:szCs w:val="20"/>
        </w:rPr>
        <w:t>on</w:t>
      </w:r>
      <w:r>
        <w:rPr>
          <w:sz w:val="20"/>
          <w:szCs w:val="20"/>
        </w:rPr>
        <w:t>e</w:t>
      </w:r>
      <w:r>
        <w:rPr>
          <w:sz w:val="20"/>
          <w:szCs w:val="20"/>
        </w:rPr>
        <w:t xml:space="preserve"> customer who accounted for</w:t>
      </w:r>
      <w:r>
        <w:rPr>
          <w:sz w:val="20"/>
          <w:szCs w:val="20"/>
        </w:rPr>
        <w:t xml:space="preserve"> </w:t>
      </w:r>
      <w:r>
        <w:rPr>
          <w:sz w:val="20"/>
          <w:szCs w:val="20"/>
        </w:rPr>
        <w:t>11.</w:t>
      </w:r>
      <w:r>
        <w:rPr>
          <w:sz w:val="20"/>
          <w:szCs w:val="20"/>
        </w:rPr>
        <w:t>1</w:t>
      </w:r>
      <w:r>
        <w:rPr>
          <w:sz w:val="20"/>
          <w:szCs w:val="20"/>
        </w:rPr>
        <w:t>%</w:t>
      </w:r>
      <w:r>
        <w:rPr>
          <w:sz w:val="20"/>
          <w:szCs w:val="20"/>
        </w:rPr>
        <w:t xml:space="preserve"> a</w:t>
      </w:r>
      <w:r>
        <w:rPr>
          <w:sz w:val="20"/>
          <w:szCs w:val="20"/>
        </w:rPr>
        <w:t>nd</w:t>
      </w:r>
      <w:r>
        <w:rPr>
          <w:sz w:val="20"/>
          <w:szCs w:val="20"/>
        </w:rPr>
        <w:t xml:space="preserve"> </w:t>
      </w:r>
      <w:r>
        <w:rPr>
          <w:sz w:val="20"/>
          <w:szCs w:val="20"/>
        </w:rPr>
        <w:t>14.</w:t>
      </w:r>
      <w:r>
        <w:rPr>
          <w:sz w:val="20"/>
          <w:szCs w:val="20"/>
        </w:rPr>
        <w:t>8</w:t>
      </w:r>
      <w:r>
        <w:rPr>
          <w:sz w:val="20"/>
          <w:szCs w:val="20"/>
        </w:rPr>
        <w:t>%</w:t>
      </w:r>
      <w:r>
        <w:rPr>
          <w:sz w:val="20"/>
          <w:szCs w:val="20"/>
        </w:rPr>
        <w:t xml:space="preserve"> of revenue, respectively.</w:t>
      </w:r>
      <w:r>
        <w:rPr>
          <w:sz w:val="20"/>
          <w:szCs w:val="20"/>
        </w:rPr>
        <w:t xml:space="preserve"> </w:t>
      </w:r>
      <w:r>
        <w:rPr>
          <w:sz w:val="20"/>
          <w:szCs w:val="20"/>
        </w:rPr>
        <w:t>During the three months ended September 30, 2021, the Company did</w:t>
      </w:r>
      <w:r>
        <w:rPr>
          <w:sz w:val="20"/>
          <w:szCs w:val="20"/>
        </w:rPr>
        <w:t xml:space="preserve"> </w:t>
      </w:r>
      <w:r>
        <w:rPr>
          <w:sz w:val="20"/>
          <w:szCs w:val="20"/>
        </w:rPr>
        <w:t>n</w:t>
      </w:r>
      <w:r>
        <w:rPr>
          <w:sz w:val="20"/>
          <w:szCs w:val="20"/>
        </w:rPr>
        <w:t>o</w:t>
      </w:r>
      <w:r>
        <w:rPr>
          <w:sz w:val="20"/>
          <w:szCs w:val="20"/>
        </w:rPr>
        <w:t>t have any customers that exceeded</w:t>
      </w:r>
      <w:r>
        <w:rPr>
          <w:sz w:val="20"/>
          <w:szCs w:val="20"/>
        </w:rPr>
        <w:t xml:space="preserve"> </w:t>
      </w:r>
      <w:r>
        <w:rPr>
          <w:sz w:val="20"/>
          <w:szCs w:val="20"/>
        </w:rPr>
        <w:t>10.</w:t>
      </w:r>
      <w:r>
        <w:rPr>
          <w:sz w:val="20"/>
          <w:szCs w:val="20"/>
        </w:rPr>
        <w:t>0</w:t>
      </w:r>
      <w:r>
        <w:rPr>
          <w:sz w:val="20"/>
          <w:szCs w:val="20"/>
        </w:rPr>
        <w:t>% of revenue. During the nine months ended September 30, 2021, the Company had</w:t>
      </w:r>
      <w:r>
        <w:rPr>
          <w:sz w:val="20"/>
          <w:szCs w:val="20"/>
        </w:rPr>
        <w:t xml:space="preserve"> </w:t>
      </w:r>
      <w:r>
        <w:rPr>
          <w:sz w:val="20"/>
          <w:szCs w:val="20"/>
        </w:rPr>
        <w:t>thre</w:t>
      </w:r>
      <w:r>
        <w:rPr>
          <w:sz w:val="20"/>
          <w:szCs w:val="20"/>
        </w:rPr>
        <w:t>e</w:t>
      </w:r>
      <w:r>
        <w:rPr>
          <w:sz w:val="20"/>
          <w:szCs w:val="20"/>
        </w:rPr>
        <w:t xml:space="preserve"> customers who accounted for</w:t>
      </w:r>
      <w:r>
        <w:rPr>
          <w:sz w:val="20"/>
          <w:szCs w:val="20"/>
        </w:rPr>
        <w:t xml:space="preserve"> </w:t>
      </w:r>
      <w:r>
        <w:rPr>
          <w:sz w:val="20"/>
          <w:szCs w:val="20"/>
        </w:rPr>
        <w:t>1</w:t>
      </w:r>
      <w:r>
        <w:rPr>
          <w:sz w:val="20"/>
          <w:szCs w:val="20"/>
        </w:rPr>
        <w:t>2.</w:t>
      </w:r>
      <w:r>
        <w:rPr>
          <w:sz w:val="20"/>
          <w:szCs w:val="20"/>
        </w:rPr>
        <w:t>1</w:t>
      </w:r>
      <w:r>
        <w:rPr>
          <w:sz w:val="20"/>
          <w:szCs w:val="20"/>
        </w:rPr>
        <w:t>%,</w:t>
      </w:r>
      <w:r>
        <w:rPr>
          <w:sz w:val="20"/>
          <w:szCs w:val="20"/>
        </w:rPr>
        <w:t xml:space="preserve"> </w:t>
      </w:r>
      <w:r>
        <w:rPr>
          <w:sz w:val="20"/>
          <w:szCs w:val="20"/>
        </w:rPr>
        <w:t>11.</w:t>
      </w:r>
      <w:r>
        <w:rPr>
          <w:sz w:val="20"/>
          <w:szCs w:val="20"/>
        </w:rPr>
        <w:t>4</w:t>
      </w:r>
      <w:r>
        <w:rPr>
          <w:sz w:val="20"/>
          <w:szCs w:val="20"/>
        </w:rPr>
        <w:t>% and</w:t>
      </w:r>
      <w:r>
        <w:rPr>
          <w:sz w:val="20"/>
          <w:szCs w:val="20"/>
        </w:rPr>
        <w:t xml:space="preserve"> </w:t>
      </w:r>
      <w:r>
        <w:rPr>
          <w:sz w:val="20"/>
          <w:szCs w:val="20"/>
        </w:rPr>
        <w:t>10.</w:t>
      </w:r>
      <w:r>
        <w:rPr>
          <w:sz w:val="20"/>
          <w:szCs w:val="20"/>
        </w:rPr>
        <w:t>7</w:t>
      </w:r>
      <w:r>
        <w:rPr>
          <w:sz w:val="20"/>
          <w:szCs w:val="20"/>
        </w:rPr>
        <w:t xml:space="preserve">% of revenue. </w:t>
      </w:r>
      <w:r>
        <w:rPr>
          <w:sz w:val="20"/>
          <w:szCs w:val="20"/>
        </w:rPr>
        <w:t>T</w:t>
      </w:r>
      <w:r>
        <w:rPr>
          <w:sz w:val="20"/>
          <w:szCs w:val="20"/>
        </w:rPr>
        <w:t>he Company performs ongoing credit evaluations and based on past collection experience, the Company believes that the receivable balances from these largest customers do not represent a significant credit risk</w:t>
      </w:r>
      <w:r>
        <w:rPr>
          <w:sz w:val="20"/>
          <w:szCs w:val="20"/>
        </w:rPr>
        <w:t>.</w:t>
      </w:r>
    </w:p>
    <w:p w:rsidR="00000000" w:rsidRDefault="00A32496">
      <w:pPr>
        <w:pStyle w:val="a3"/>
        <w:spacing w:before="240" w:beforeAutospacing="0" w:after="0" w:afterAutospacing="0"/>
        <w:ind w:firstLine="555"/>
        <w:divId w:val="1187019183"/>
        <w:rPr>
          <w:sz w:val="20"/>
          <w:szCs w:val="20"/>
        </w:rPr>
      </w:pPr>
      <w:r>
        <w:rPr>
          <w:sz w:val="20"/>
          <w:szCs w:val="20"/>
        </w:rPr>
        <w:t>Accounts r</w:t>
      </w:r>
      <w:r>
        <w:rPr>
          <w:sz w:val="20"/>
          <w:szCs w:val="20"/>
        </w:rPr>
        <w:t>eceivable are shown on the face of the consolidated statements of financial position, net of an allowance for doubtful accounts. The allowance for doubtful accounts is established at the origination of an account in accordance with ASU 2016-13, Financial I</w:t>
      </w:r>
      <w:r>
        <w:rPr>
          <w:sz w:val="20"/>
          <w:szCs w:val="20"/>
        </w:rPr>
        <w:t>nstruments—Credit Losses (Topic 326). ASC 326 requires the Company to estimate the lifetime expected credit losses on such instruments and to record an allowance to offset the receivables. In determining the allowance for doubtful accounts, the Company ana</w:t>
      </w:r>
      <w:r>
        <w:rPr>
          <w:sz w:val="20"/>
          <w:szCs w:val="20"/>
        </w:rPr>
        <w:t>lyzes the aging of accounts receivable, historical bad debts, customer creditworthiness and current economic trends.</w:t>
      </w:r>
      <w:r>
        <w:rPr>
          <w:sz w:val="20"/>
          <w:szCs w:val="20"/>
        </w:rPr>
        <w:t xml:space="preserve"> </w:t>
      </w:r>
      <w:r>
        <w:rPr>
          <w:sz w:val="20"/>
          <w:szCs w:val="20"/>
        </w:rPr>
        <w:t>The allowance for doubtful accounts consisted of the following</w:t>
      </w:r>
      <w:r>
        <w:rPr>
          <w:sz w:val="20"/>
          <w:szCs w:val="20"/>
        </w:rPr>
        <w:t>:</w:t>
      </w:r>
    </w:p>
    <w:p w:rsidR="00000000" w:rsidRDefault="00A32496">
      <w:pPr>
        <w:pStyle w:val="a3"/>
        <w:spacing w:before="0" w:beforeAutospacing="0" w:after="0" w:afterAutospacing="0"/>
        <w:divId w:val="335810613"/>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67"/>
        <w:gridCol w:w="105"/>
        <w:gridCol w:w="151"/>
        <w:gridCol w:w="728"/>
        <w:gridCol w:w="105"/>
        <w:gridCol w:w="105"/>
        <w:gridCol w:w="151"/>
        <w:gridCol w:w="782"/>
        <w:gridCol w:w="120"/>
        <w:gridCol w:w="105"/>
        <w:gridCol w:w="151"/>
        <w:gridCol w:w="744"/>
        <w:gridCol w:w="120"/>
        <w:gridCol w:w="105"/>
        <w:gridCol w:w="151"/>
        <w:gridCol w:w="563"/>
        <w:gridCol w:w="105"/>
        <w:gridCol w:w="105"/>
        <w:gridCol w:w="151"/>
        <w:gridCol w:w="572"/>
        <w:gridCol w:w="120"/>
      </w:tblGrid>
      <w:tr w:rsidR="00000000">
        <w:trPr>
          <w:divId w:val="335810613"/>
          <w:tblCellSpacing w:w="15" w:type="dxa"/>
        </w:trPr>
        <w:tc>
          <w:tcPr>
            <w:tcW w:w="2174" w:type="pct"/>
            <w:vAlign w:val="center"/>
            <w:hideMark/>
          </w:tcPr>
          <w:p w:rsidR="00000000" w:rsidRDefault="00A32496">
            <w:pPr>
              <w:rPr>
                <w:sz w:val="20"/>
                <w:szCs w:val="20"/>
              </w:rPr>
            </w:pPr>
          </w:p>
        </w:tc>
        <w:tc>
          <w:tcPr>
            <w:tcW w:w="50"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422"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430"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417"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401"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402"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r>
      <w:tr w:rsidR="00000000">
        <w:trPr>
          <w:divId w:val="335810613"/>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Beginning</w:t>
            </w:r>
            <w:r>
              <w:rPr>
                <w:b/>
                <w:bCs/>
                <w:sz w:val="18"/>
                <w:szCs w:val="18"/>
              </w:rPr>
              <w:br/>
              <w:t>Balanc</w:t>
            </w:r>
            <w:r>
              <w:rPr>
                <w:b/>
                <w:bCs/>
                <w:sz w:val="18"/>
                <w:szCs w:val="18"/>
              </w:rPr>
              <w:t>e</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Bad Debt</w:t>
            </w:r>
            <w:r>
              <w:rPr>
                <w:b/>
                <w:bCs/>
                <w:sz w:val="18"/>
                <w:szCs w:val="18"/>
              </w:rPr>
              <w:br/>
            </w:r>
            <w:r>
              <w:rPr>
                <w:b/>
                <w:bCs/>
                <w:sz w:val="18"/>
                <w:szCs w:val="18"/>
              </w:rPr>
              <w:t>(Recovery) Expens</w:t>
            </w:r>
            <w:r>
              <w:rPr>
                <w:b/>
                <w:bCs/>
                <w:sz w:val="18"/>
                <w:szCs w:val="18"/>
              </w:rPr>
              <w:t>e</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Charged to</w:t>
            </w:r>
            <w:r>
              <w:rPr>
                <w:b/>
                <w:bCs/>
                <w:sz w:val="18"/>
                <w:szCs w:val="18"/>
              </w:rPr>
              <w:br/>
              <w:t>Allowanc</w:t>
            </w:r>
            <w:r>
              <w:rPr>
                <w:b/>
                <w:bCs/>
                <w:sz w:val="18"/>
                <w:szCs w:val="18"/>
              </w:rPr>
              <w:t>e</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Othe</w:t>
            </w:r>
            <w:r>
              <w:rPr>
                <w:b/>
                <w:bCs/>
                <w:sz w:val="18"/>
                <w:szCs w:val="18"/>
              </w:rPr>
              <w:t>r</w:t>
            </w:r>
            <w:r>
              <w:rPr>
                <w:b/>
                <w:bCs/>
                <w:sz w:val="12"/>
                <w:szCs w:val="12"/>
              </w:rPr>
              <w:t>(1</w:t>
            </w:r>
            <w:r>
              <w:rPr>
                <w:b/>
                <w:bCs/>
                <w:sz w:val="12"/>
                <w:szCs w:val="12"/>
              </w:rPr>
              <w: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Ending</w:t>
            </w:r>
            <w:r>
              <w:rPr>
                <w:b/>
                <w:bCs/>
                <w:sz w:val="18"/>
                <w:szCs w:val="18"/>
              </w:rPr>
              <w:br/>
              <w:t>Balanc</w:t>
            </w:r>
            <w:r>
              <w:rPr>
                <w:b/>
                <w:bCs/>
                <w:sz w:val="18"/>
                <w:szCs w:val="18"/>
              </w:rPr>
              <w:t>e</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335810613"/>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Nine months ended September 30, 202</w:t>
            </w:r>
            <w:r>
              <w:rPr>
                <w:sz w:val="18"/>
                <w:szCs w:val="18"/>
              </w:rPr>
              <w:t>2</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4,58</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82</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1,62</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12</w:t>
            </w:r>
            <w:r>
              <w:rPr>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2,26</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335810613"/>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Year ended December 31, 202</w:t>
            </w:r>
            <w:r>
              <w:rPr>
                <w:sz w:val="18"/>
                <w:szCs w:val="18"/>
              </w:rPr>
              <w:t>1</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4,26</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1,13</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1,54</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72</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4,58</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bl>
    <w:p w:rsidR="00000000" w:rsidRDefault="00A32496">
      <w:pPr>
        <w:pStyle w:val="a3"/>
        <w:spacing w:before="0" w:beforeAutospacing="0" w:after="0" w:afterAutospacing="0"/>
        <w:divId w:val="335810613"/>
        <w:rPr>
          <w:sz w:val="20"/>
          <w:szCs w:val="20"/>
        </w:rPr>
      </w:pPr>
      <w:r>
        <w:t>___________________</w:t>
      </w:r>
      <w:r>
        <w:t>_</w:t>
      </w:r>
    </w:p>
    <w:p w:rsidR="00000000" w:rsidRDefault="00A32496">
      <w:pPr>
        <w:divId w:val="215435416"/>
        <w:rPr>
          <w:rFonts w:eastAsia="Times New Roman"/>
        </w:rPr>
      </w:pPr>
      <w:r>
        <w:rPr>
          <w:rFonts w:eastAsia="Times New Roman"/>
          <w:sz w:val="16"/>
          <w:szCs w:val="16"/>
        </w:rPr>
        <w:t>(1</w:t>
      </w:r>
      <w:r>
        <w:rPr>
          <w:rFonts w:eastAsia="Times New Roman"/>
          <w:sz w:val="16"/>
          <w:szCs w:val="16"/>
        </w:rPr>
        <w:t>)</w:t>
      </w:r>
    </w:p>
    <w:p w:rsidR="00000000" w:rsidRDefault="00A32496">
      <w:pPr>
        <w:divId w:val="334501233"/>
        <w:rPr>
          <w:rFonts w:eastAsia="Times New Roman"/>
        </w:rPr>
      </w:pPr>
      <w:r>
        <w:rPr>
          <w:rFonts w:eastAsia="Times New Roman"/>
          <w:sz w:val="16"/>
          <w:szCs w:val="16"/>
        </w:rPr>
        <w:t>This amount consists of additions to the allowance due to business acquisitions</w:t>
      </w:r>
      <w:r>
        <w:rPr>
          <w:rFonts w:eastAsia="Times New Roman"/>
          <w:sz w:val="16"/>
          <w:szCs w:val="16"/>
        </w:rPr>
        <w:t>.</w:t>
      </w:r>
    </w:p>
    <w:p w:rsidR="00000000" w:rsidRDefault="00A32496">
      <w:pPr>
        <w:pStyle w:val="a3"/>
        <w:spacing w:before="240" w:beforeAutospacing="0" w:after="0" w:afterAutospacing="0"/>
        <w:jc w:val="center"/>
        <w:rPr>
          <w:sz w:val="20"/>
          <w:szCs w:val="20"/>
        </w:rPr>
      </w:pPr>
      <w:r>
        <w:rPr>
          <w:sz w:val="20"/>
          <w:szCs w:val="20"/>
        </w:rPr>
        <w:t>7</w:t>
      </w:r>
    </w:p>
    <w:p w:rsidR="00000000" w:rsidRDefault="00A32496">
      <w:pPr>
        <w:rPr>
          <w:rFonts w:eastAsia="Times New Roman"/>
        </w:rPr>
      </w:pPr>
      <w:r>
        <w:rPr>
          <w:rFonts w:eastAsia="Times New Roman"/>
        </w:rPr>
        <w:pict>
          <v:rect id="_x0000_i1033" style="width:0;height:1.5pt" o:hralign="center" o:hrstd="t" o:hr="t" fillcolor="#a0a0a0" stroked="f"/>
        </w:pict>
      </w:r>
    </w:p>
    <w:p w:rsidR="00000000" w:rsidRDefault="00A32496">
      <w:pPr>
        <w:pStyle w:val="a3"/>
        <w:spacing w:before="0" w:beforeAutospacing="0" w:after="0" w:afterAutospacing="0"/>
        <w:rPr>
          <w:sz w:val="20"/>
          <w:szCs w:val="20"/>
        </w:rPr>
      </w:pPr>
      <w:r>
        <w:rPr>
          <w:sz w:val="20"/>
          <w:szCs w:val="20"/>
        </w:rPr>
        <w:t> </w:t>
      </w:r>
    </w:p>
    <w:p w:rsidR="00000000" w:rsidRDefault="00A32496">
      <w:pPr>
        <w:pStyle w:val="a3"/>
        <w:spacing w:before="360" w:beforeAutospacing="0" w:after="0" w:afterAutospacing="0"/>
        <w:divId w:val="1634209214"/>
        <w:rPr>
          <w:sz w:val="20"/>
          <w:szCs w:val="20"/>
        </w:rPr>
      </w:pPr>
      <w:r>
        <w:rPr>
          <w:b/>
          <w:bCs/>
          <w:sz w:val="20"/>
          <w:szCs w:val="20"/>
        </w:rPr>
        <w:t>4. PREPAID AND OTHER CURRENT ASSET</w:t>
      </w:r>
      <w:r>
        <w:rPr>
          <w:b/>
          <w:bCs/>
          <w:sz w:val="20"/>
          <w:szCs w:val="20"/>
        </w:rPr>
        <w:t>S</w:t>
      </w:r>
    </w:p>
    <w:p w:rsidR="00000000" w:rsidRDefault="00A32496">
      <w:pPr>
        <w:pStyle w:val="a3"/>
        <w:spacing w:before="240" w:beforeAutospacing="0" w:after="0" w:afterAutospacing="0"/>
        <w:ind w:firstLine="555"/>
        <w:divId w:val="443378511"/>
        <w:rPr>
          <w:sz w:val="20"/>
          <w:szCs w:val="20"/>
        </w:rPr>
      </w:pPr>
      <w:r>
        <w:rPr>
          <w:sz w:val="20"/>
          <w:szCs w:val="20"/>
        </w:rPr>
        <w:t>Prepaid and other current assets consisted of the following</w:t>
      </w:r>
      <w:r>
        <w:rPr>
          <w:sz w:val="20"/>
          <w:szCs w:val="20"/>
        </w:rPr>
        <w:t>:</w:t>
      </w:r>
    </w:p>
    <w:p w:rsidR="00000000" w:rsidRDefault="00A32496">
      <w:pPr>
        <w:pStyle w:val="a3"/>
        <w:spacing w:before="0" w:beforeAutospacing="0" w:after="0" w:afterAutospacing="0"/>
        <w:divId w:val="443378511"/>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2413"/>
        <w:gridCol w:w="138"/>
        <w:gridCol w:w="151"/>
        <w:gridCol w:w="1294"/>
        <w:gridCol w:w="105"/>
        <w:gridCol w:w="138"/>
        <w:gridCol w:w="151"/>
        <w:gridCol w:w="1304"/>
        <w:gridCol w:w="120"/>
      </w:tblGrid>
      <w:tr w:rsidR="00000000">
        <w:trPr>
          <w:divId w:val="443378511"/>
          <w:tblCellSpacing w:w="15" w:type="dxa"/>
        </w:trPr>
        <w:tc>
          <w:tcPr>
            <w:tcW w:w="2178" w:type="pct"/>
            <w:vAlign w:val="center"/>
            <w:hideMark/>
          </w:tcPr>
          <w:p w:rsidR="00000000" w:rsidRDefault="00A32496">
            <w:pPr>
              <w:rPr>
                <w:sz w:val="20"/>
                <w:szCs w:val="20"/>
              </w:rPr>
            </w:pPr>
          </w:p>
        </w:tc>
        <w:tc>
          <w:tcPr>
            <w:tcW w:w="129"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1176"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129"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1185"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r>
      <w:tr w:rsidR="00000000">
        <w:trPr>
          <w:divId w:val="443378511"/>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September 30</w:t>
            </w:r>
            <w:r>
              <w:rPr>
                <w:b/>
                <w:bCs/>
                <w:sz w:val="18"/>
                <w:szCs w:val="18"/>
              </w:rPr>
              <w: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December 31</w:t>
            </w:r>
            <w:r>
              <w:rPr>
                <w:b/>
                <w:bCs/>
                <w:sz w:val="18"/>
                <w:szCs w:val="18"/>
              </w:rPr>
              <w: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443378511"/>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443378511"/>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Deposit</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1,40</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84</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443378511"/>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Prepaid expense</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4,70</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4,67</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443378511"/>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Supplie</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3,68</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2,43</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443378511"/>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Income tax receivabl</w:t>
            </w:r>
            <w:r>
              <w:rPr>
                <w:sz w:val="18"/>
                <w:szCs w:val="18"/>
              </w:rPr>
              <w:t>e</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1,09</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50</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443378511"/>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   Prepaid and other current asset</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10,89</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8,46</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bl>
    <w:p w:rsidR="00000000" w:rsidRDefault="00A32496">
      <w:pPr>
        <w:pStyle w:val="a3"/>
        <w:spacing w:before="0" w:beforeAutospacing="0" w:after="0" w:afterAutospacing="0"/>
        <w:rPr>
          <w:sz w:val="20"/>
          <w:szCs w:val="20"/>
        </w:rPr>
      </w:pPr>
      <w:r>
        <w:rPr>
          <w:sz w:val="20"/>
          <w:szCs w:val="20"/>
        </w:rPr>
        <w:t> </w:t>
      </w:r>
    </w:p>
    <w:p w:rsidR="00000000" w:rsidRDefault="00A32496">
      <w:pPr>
        <w:pStyle w:val="a3"/>
        <w:spacing w:before="240" w:beforeAutospacing="0" w:after="0" w:afterAutospacing="0"/>
        <w:jc w:val="center"/>
        <w:rPr>
          <w:sz w:val="20"/>
          <w:szCs w:val="20"/>
        </w:rPr>
      </w:pPr>
      <w:r>
        <w:rPr>
          <w:sz w:val="20"/>
          <w:szCs w:val="20"/>
        </w:rPr>
        <w:t>8</w:t>
      </w:r>
    </w:p>
    <w:p w:rsidR="00000000" w:rsidRDefault="00A32496">
      <w:pPr>
        <w:rPr>
          <w:rFonts w:eastAsia="Times New Roman"/>
        </w:rPr>
      </w:pPr>
      <w:r>
        <w:rPr>
          <w:rFonts w:eastAsia="Times New Roman"/>
        </w:rPr>
        <w:pict>
          <v:rect id="_x0000_i1034" style="width:0;height:1.5pt" o:hralign="center" o:hrstd="t" o:hr="t" fillcolor="#a0a0a0" stroked="f"/>
        </w:pict>
      </w:r>
    </w:p>
    <w:p w:rsidR="00000000" w:rsidRDefault="00A32496">
      <w:pPr>
        <w:pStyle w:val="a3"/>
        <w:spacing w:before="0" w:beforeAutospacing="0" w:after="0" w:afterAutospacing="0"/>
        <w:rPr>
          <w:sz w:val="20"/>
          <w:szCs w:val="20"/>
        </w:rPr>
      </w:pPr>
      <w:r>
        <w:rPr>
          <w:sz w:val="20"/>
          <w:szCs w:val="20"/>
        </w:rPr>
        <w:t> </w:t>
      </w:r>
    </w:p>
    <w:p w:rsidR="00000000" w:rsidRDefault="00A32496">
      <w:pPr>
        <w:pStyle w:val="a3"/>
        <w:spacing w:before="360" w:beforeAutospacing="0" w:after="0" w:afterAutospacing="0"/>
        <w:divId w:val="1910339525"/>
        <w:rPr>
          <w:sz w:val="20"/>
          <w:szCs w:val="20"/>
        </w:rPr>
      </w:pPr>
      <w:r>
        <w:rPr>
          <w:b/>
          <w:bCs/>
          <w:sz w:val="20"/>
          <w:szCs w:val="20"/>
        </w:rPr>
        <w:t>5. PROPERTY AND EQUIPMENT, NE</w:t>
      </w:r>
      <w:r>
        <w:rPr>
          <w:b/>
          <w:bCs/>
          <w:sz w:val="20"/>
          <w:szCs w:val="20"/>
        </w:rPr>
        <w:t>T</w:t>
      </w:r>
      <w:r>
        <w:rPr>
          <w:sz w:val="20"/>
          <w:szCs w:val="20"/>
        </w:rPr>
        <w:t xml:space="preserve"> </w:t>
      </w:r>
    </w:p>
    <w:p w:rsidR="00000000" w:rsidRDefault="00A32496">
      <w:pPr>
        <w:pStyle w:val="a3"/>
        <w:spacing w:before="240" w:beforeAutospacing="0" w:after="0" w:afterAutospacing="0"/>
        <w:ind w:firstLine="555"/>
        <w:divId w:val="1910339525"/>
        <w:rPr>
          <w:sz w:val="20"/>
          <w:szCs w:val="20"/>
        </w:rPr>
      </w:pPr>
      <w:r>
        <w:rPr>
          <w:sz w:val="20"/>
          <w:szCs w:val="20"/>
        </w:rPr>
        <w:t>Property and equipment are stated at cost or estimated fair value for assets acquired through business combinations. Depreciation and amortization are provided using the straight-line me</w:t>
      </w:r>
      <w:r>
        <w:rPr>
          <w:sz w:val="20"/>
          <w:szCs w:val="20"/>
        </w:rPr>
        <w:t>thod over the estimated useful lives of the assets. Leasehold improvements are amortized using the straight-line method over the shorter of the remaining lease term, including options that are deemed to be reasonably assured, or the estimated useful life o</w:t>
      </w:r>
      <w:r>
        <w:rPr>
          <w:sz w:val="20"/>
          <w:szCs w:val="20"/>
        </w:rPr>
        <w:t>f the improvement</w:t>
      </w:r>
      <w:r>
        <w:rPr>
          <w:sz w:val="20"/>
          <w:szCs w:val="20"/>
        </w:rPr>
        <w:t>.</w:t>
      </w:r>
    </w:p>
    <w:p w:rsidR="00000000" w:rsidRDefault="00A32496">
      <w:pPr>
        <w:pStyle w:val="a3"/>
        <w:spacing w:before="240" w:beforeAutospacing="0" w:after="0" w:afterAutospacing="0"/>
        <w:ind w:firstLine="555"/>
        <w:divId w:val="705108626"/>
        <w:rPr>
          <w:sz w:val="20"/>
          <w:szCs w:val="20"/>
        </w:rPr>
      </w:pPr>
      <w:r>
        <w:rPr>
          <w:sz w:val="20"/>
          <w:szCs w:val="20"/>
        </w:rPr>
        <w:t>Property and equipment, net, consisted of the following</w:t>
      </w:r>
      <w:r>
        <w:rPr>
          <w:sz w:val="20"/>
          <w:szCs w:val="20"/>
        </w:rPr>
        <w:t>:</w:t>
      </w:r>
    </w:p>
    <w:p w:rsidR="00000000" w:rsidRDefault="00A32496">
      <w:pPr>
        <w:pStyle w:val="a3"/>
        <w:spacing w:before="0" w:beforeAutospacing="0" w:after="0" w:afterAutospacing="0"/>
        <w:ind w:firstLine="555"/>
        <w:divId w:val="705108626"/>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82"/>
        <w:gridCol w:w="185"/>
        <w:gridCol w:w="1593"/>
        <w:gridCol w:w="185"/>
        <w:gridCol w:w="151"/>
        <w:gridCol w:w="1462"/>
        <w:gridCol w:w="120"/>
        <w:gridCol w:w="186"/>
        <w:gridCol w:w="151"/>
        <w:gridCol w:w="1456"/>
        <w:gridCol w:w="135"/>
      </w:tblGrid>
      <w:tr w:rsidR="00000000">
        <w:trPr>
          <w:divId w:val="705108626"/>
          <w:tblCellSpacing w:w="15" w:type="dxa"/>
        </w:trPr>
        <w:tc>
          <w:tcPr>
            <w:tcW w:w="1668" w:type="pct"/>
            <w:vAlign w:val="center"/>
            <w:hideMark/>
          </w:tcPr>
          <w:p w:rsidR="00000000" w:rsidRDefault="00A32496">
            <w:pPr>
              <w:rPr>
                <w:sz w:val="20"/>
                <w:szCs w:val="20"/>
              </w:rPr>
            </w:pPr>
          </w:p>
        </w:tc>
        <w:tc>
          <w:tcPr>
            <w:tcW w:w="107" w:type="pct"/>
            <w:vAlign w:val="center"/>
            <w:hideMark/>
          </w:tcPr>
          <w:p w:rsidR="00000000" w:rsidRDefault="00A32496">
            <w:pPr>
              <w:rPr>
                <w:rFonts w:eastAsia="Times New Roman"/>
                <w:sz w:val="20"/>
                <w:szCs w:val="20"/>
              </w:rPr>
            </w:pPr>
          </w:p>
        </w:tc>
        <w:tc>
          <w:tcPr>
            <w:tcW w:w="993" w:type="pct"/>
            <w:vAlign w:val="center"/>
            <w:hideMark/>
          </w:tcPr>
          <w:p w:rsidR="00000000" w:rsidRDefault="00A32496">
            <w:pPr>
              <w:rPr>
                <w:rFonts w:eastAsia="Times New Roman"/>
                <w:sz w:val="20"/>
                <w:szCs w:val="20"/>
              </w:rPr>
            </w:pPr>
          </w:p>
        </w:tc>
        <w:tc>
          <w:tcPr>
            <w:tcW w:w="107"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910"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107"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906"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r>
      <w:tr w:rsidR="00000000">
        <w:trPr>
          <w:divId w:val="705108626"/>
          <w:trHeight w:val="180"/>
          <w:tblCellSpacing w:w="15" w:type="dxa"/>
        </w:trPr>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18"/>
                <w:szCs w:val="18"/>
              </w:rPr>
            </w:pPr>
            <w:r>
              <w:rPr>
                <w:b/>
                <w:bCs/>
                <w:sz w:val="18"/>
                <w:szCs w:val="18"/>
              </w:rPr>
              <w:t>Estimate</w:t>
            </w:r>
            <w:r>
              <w:rPr>
                <w:b/>
                <w:bCs/>
                <w:sz w:val="18"/>
                <w:szCs w:val="18"/>
              </w:rPr>
              <w:t>d</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September 30</w:t>
            </w:r>
            <w:r>
              <w:rPr>
                <w:b/>
                <w:bCs/>
                <w:sz w:val="18"/>
                <w:szCs w:val="18"/>
              </w:rPr>
              <w: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December 31</w:t>
            </w:r>
            <w:r>
              <w:rPr>
                <w:b/>
                <w:bCs/>
                <w:sz w:val="18"/>
                <w:szCs w:val="18"/>
              </w:rPr>
              <w: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705108626"/>
          <w:trHeight w:val="180"/>
          <w:tblCellSpacing w:w="15" w:type="dxa"/>
        </w:trPr>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18"/>
                <w:szCs w:val="18"/>
              </w:rPr>
            </w:pPr>
            <w:r>
              <w:rPr>
                <w:b/>
                <w:bCs/>
                <w:sz w:val="18"/>
                <w:szCs w:val="18"/>
              </w:rPr>
              <w:t>Useful Lif</w:t>
            </w:r>
            <w:r>
              <w:rPr>
                <w:b/>
                <w:bCs/>
                <w:sz w:val="18"/>
                <w:szCs w:val="18"/>
              </w:rPr>
              <w:t>e</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705108626"/>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Lab and test equipmen</w:t>
            </w:r>
            <w:r>
              <w:rPr>
                <w:sz w:val="18"/>
                <w:szCs w:val="18"/>
              </w:rPr>
              <w:t>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20"/>
                <w:szCs w:val="20"/>
              </w:rPr>
            </w:pPr>
            <w:r>
              <w:rPr>
                <w:sz w:val="18"/>
                <w:szCs w:val="18"/>
              </w:rPr>
              <w:t>7 year</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19,97</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18,58</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705108626"/>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Vehicle</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20"/>
                <w:szCs w:val="20"/>
              </w:rPr>
            </w:pPr>
            <w:r>
              <w:rPr>
                <w:sz w:val="18"/>
                <w:szCs w:val="18"/>
              </w:rPr>
              <w:t>5 year</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5,64</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5,41</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705108626"/>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Equipmen</w:t>
            </w:r>
            <w:r>
              <w:rPr>
                <w:sz w:val="18"/>
                <w:szCs w:val="18"/>
              </w:rPr>
              <w:t>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20"/>
                <w:szCs w:val="20"/>
              </w:rPr>
            </w:pPr>
            <w:r>
              <w:rPr>
                <w:sz w:val="18"/>
                <w:szCs w:val="18"/>
              </w:rPr>
              <w:t>3</w:t>
            </w:r>
            <w:r>
              <w:rPr>
                <w:sz w:val="18"/>
                <w:szCs w:val="18"/>
              </w:rPr>
              <w:t>-</w:t>
            </w:r>
            <w:r>
              <w:rPr>
                <w:sz w:val="18"/>
                <w:szCs w:val="18"/>
              </w:rPr>
              <w:t>7 year</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38,44</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35,14</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705108626"/>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Furniture and fixture</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20"/>
                <w:szCs w:val="20"/>
              </w:rPr>
            </w:pPr>
            <w:r>
              <w:rPr>
                <w:sz w:val="18"/>
                <w:szCs w:val="18"/>
              </w:rPr>
              <w:t>7 year</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2,89</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2,84</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705108626"/>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Leasehold improvement</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20"/>
                <w:szCs w:val="20"/>
              </w:rPr>
            </w:pPr>
            <w:r>
              <w:rPr>
                <w:sz w:val="18"/>
                <w:szCs w:val="18"/>
              </w:rPr>
              <w:t>7 year</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8,53</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7,26</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705108626"/>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Aircraf</w:t>
            </w:r>
            <w:r>
              <w:rPr>
                <w:sz w:val="18"/>
                <w:szCs w:val="18"/>
              </w:rPr>
              <w:t>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20"/>
                <w:szCs w:val="20"/>
              </w:rPr>
            </w:pPr>
            <w:r>
              <w:rPr>
                <w:sz w:val="18"/>
                <w:szCs w:val="18"/>
              </w:rPr>
              <w:t>10 year</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93</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93</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705108626"/>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Buildin</w:t>
            </w:r>
            <w:r>
              <w:rPr>
                <w:sz w:val="18"/>
                <w:szCs w:val="18"/>
              </w:rPr>
              <w:t>g</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20"/>
                <w:szCs w:val="20"/>
              </w:rPr>
            </w:pPr>
            <w:r>
              <w:rPr>
                <w:sz w:val="18"/>
                <w:szCs w:val="18"/>
              </w:rPr>
              <w:t>39 year</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2,97</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2,97</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705108626"/>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79,39</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73,16</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705108626"/>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Lan</w:t>
            </w:r>
            <w:r>
              <w:rPr>
                <w:sz w:val="18"/>
                <w:szCs w:val="18"/>
              </w:rPr>
              <w:t>d</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72</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72</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705108626"/>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Construction in progres</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2,56</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2,34</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705108626"/>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Less accumulated depreciatio</w:t>
            </w:r>
            <w:r>
              <w:rPr>
                <w:sz w:val="18"/>
                <w:szCs w:val="18"/>
              </w:rPr>
              <w:t>n</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49,10</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44,70</w:t>
            </w:r>
            <w:r>
              <w:rPr>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r>
      <w:tr w:rsidR="00000000">
        <w:trPr>
          <w:divId w:val="705108626"/>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   </w:t>
            </w:r>
            <w:r>
              <w:rPr>
                <w:sz w:val="18"/>
                <w:szCs w:val="18"/>
              </w:rPr>
              <w:t>Total property and equipment—</w:t>
            </w:r>
            <w:r>
              <w:rPr>
                <w:sz w:val="18"/>
                <w:szCs w:val="18"/>
              </w:rPr>
              <w:br/>
              <w:t>   ne</w:t>
            </w:r>
            <w:r>
              <w:rPr>
                <w:sz w:val="18"/>
                <w:szCs w:val="18"/>
              </w:rPr>
              <w:t>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33,58</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31,52</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bl>
    <w:p w:rsidR="00000000" w:rsidRDefault="00A32496">
      <w:pPr>
        <w:pStyle w:val="a3"/>
        <w:spacing w:before="240" w:beforeAutospacing="0" w:after="0" w:afterAutospacing="0"/>
        <w:ind w:firstLine="555"/>
        <w:divId w:val="1910339525"/>
        <w:rPr>
          <w:sz w:val="20"/>
          <w:szCs w:val="20"/>
        </w:rPr>
      </w:pPr>
      <w:r>
        <w:rPr>
          <w:sz w:val="20"/>
          <w:szCs w:val="20"/>
        </w:rPr>
        <w:t xml:space="preserve">Total depreciation expense included in the unaudited condensed consolidated statements of operations was </w:t>
      </w:r>
      <w:r>
        <w:rPr>
          <w:sz w:val="20"/>
          <w:szCs w:val="20"/>
        </w:rPr>
        <w:t>$</w:t>
      </w:r>
      <w:r>
        <w:rPr>
          <w:sz w:val="20"/>
          <w:szCs w:val="20"/>
        </w:rPr>
        <w:t>1.</w:t>
      </w:r>
      <w:r>
        <w:rPr>
          <w:sz w:val="20"/>
          <w:szCs w:val="20"/>
        </w:rPr>
        <w:t>7</w:t>
      </w:r>
      <w:r>
        <w:rPr>
          <w:sz w:val="20"/>
          <w:szCs w:val="20"/>
        </w:rPr>
        <w:t xml:space="preserve"> million and </w:t>
      </w:r>
      <w:r>
        <w:rPr>
          <w:sz w:val="20"/>
          <w:szCs w:val="20"/>
        </w:rPr>
        <w:t>$</w:t>
      </w:r>
      <w:r>
        <w:rPr>
          <w:sz w:val="20"/>
          <w:szCs w:val="20"/>
        </w:rPr>
        <w:t>5.</w:t>
      </w:r>
      <w:r>
        <w:rPr>
          <w:sz w:val="20"/>
          <w:szCs w:val="20"/>
        </w:rPr>
        <w:t>3</w:t>
      </w:r>
      <w:r>
        <w:rPr>
          <w:sz w:val="20"/>
          <w:szCs w:val="20"/>
        </w:rPr>
        <w:t xml:space="preserve"> million for the three and nine months ended September 30, 2022, respectively, and </w:t>
      </w:r>
      <w:r>
        <w:rPr>
          <w:sz w:val="20"/>
          <w:szCs w:val="20"/>
        </w:rPr>
        <w:t>$</w:t>
      </w:r>
      <w:r>
        <w:rPr>
          <w:sz w:val="20"/>
          <w:szCs w:val="20"/>
        </w:rPr>
        <w:t>1.</w:t>
      </w:r>
      <w:r>
        <w:rPr>
          <w:sz w:val="20"/>
          <w:szCs w:val="20"/>
        </w:rPr>
        <w:t>8</w:t>
      </w:r>
      <w:r>
        <w:rPr>
          <w:sz w:val="20"/>
          <w:szCs w:val="20"/>
        </w:rPr>
        <w:t xml:space="preserve"> million and </w:t>
      </w:r>
      <w:r>
        <w:rPr>
          <w:sz w:val="20"/>
          <w:szCs w:val="20"/>
        </w:rPr>
        <w:t>$</w:t>
      </w:r>
      <w:r>
        <w:rPr>
          <w:sz w:val="20"/>
          <w:szCs w:val="20"/>
        </w:rPr>
        <w:t>4.</w:t>
      </w:r>
      <w:r>
        <w:rPr>
          <w:sz w:val="20"/>
          <w:szCs w:val="20"/>
        </w:rPr>
        <w:t>8</w:t>
      </w:r>
      <w:r>
        <w:rPr>
          <w:sz w:val="20"/>
          <w:szCs w:val="20"/>
        </w:rPr>
        <w:t xml:space="preserve"> million for the three and</w:t>
      </w:r>
      <w:r>
        <w:rPr>
          <w:sz w:val="20"/>
          <w:szCs w:val="20"/>
        </w:rPr>
        <w:t xml:space="preserve"> nine months ended September 30, 202</w:t>
      </w:r>
      <w:r>
        <w:rPr>
          <w:sz w:val="20"/>
          <w:szCs w:val="20"/>
        </w:rPr>
        <w:t>1</w:t>
      </w:r>
      <w:r>
        <w:rPr>
          <w:sz w:val="20"/>
          <w:szCs w:val="20"/>
        </w:rPr>
        <w:t>, respectively</w:t>
      </w:r>
      <w:r>
        <w:rPr>
          <w:sz w:val="20"/>
          <w:szCs w:val="20"/>
        </w:rPr>
        <w:t>.</w:t>
      </w:r>
    </w:p>
    <w:p w:rsidR="00000000" w:rsidRDefault="00A32496">
      <w:pPr>
        <w:pStyle w:val="a3"/>
        <w:spacing w:before="360" w:beforeAutospacing="0" w:after="0" w:afterAutospacing="0"/>
        <w:divId w:val="934560821"/>
        <w:rPr>
          <w:sz w:val="20"/>
          <w:szCs w:val="20"/>
        </w:rPr>
      </w:pPr>
      <w:r>
        <w:rPr>
          <w:b/>
          <w:bCs/>
          <w:sz w:val="20"/>
          <w:szCs w:val="20"/>
        </w:rPr>
        <w:t>6. LEASE</w:t>
      </w:r>
      <w:r>
        <w:rPr>
          <w:b/>
          <w:bCs/>
          <w:sz w:val="20"/>
          <w:szCs w:val="20"/>
        </w:rPr>
        <w:t>S</w:t>
      </w:r>
    </w:p>
    <w:p w:rsidR="00000000" w:rsidRDefault="00A32496">
      <w:pPr>
        <w:pStyle w:val="a3"/>
        <w:spacing w:before="240" w:beforeAutospacing="0" w:after="0" w:afterAutospacing="0"/>
        <w:ind w:firstLine="555"/>
        <w:divId w:val="934560821"/>
        <w:rPr>
          <w:sz w:val="20"/>
          <w:szCs w:val="20"/>
        </w:rPr>
      </w:pPr>
      <w:r>
        <w:rPr>
          <w:sz w:val="20"/>
          <w:szCs w:val="20"/>
        </w:rPr>
        <w:t>In June 2021, with an effective adoption date of January 1, 2021, the Company adopted ASU 2016-02 using the modified retrospective approach, which permits application of this guidance at the be</w:t>
      </w:r>
      <w:r>
        <w:rPr>
          <w:sz w:val="20"/>
          <w:szCs w:val="20"/>
        </w:rPr>
        <w:t>ginning of the period of adoption</w:t>
      </w:r>
      <w:r>
        <w:rPr>
          <w:sz w:val="20"/>
          <w:szCs w:val="20"/>
        </w:rPr>
        <w:t>.</w:t>
      </w:r>
      <w:r>
        <w:rPr>
          <w:sz w:val="20"/>
          <w:szCs w:val="20"/>
        </w:rPr>
        <w:t xml:space="preserve"> </w:t>
      </w:r>
    </w:p>
    <w:p w:rsidR="00000000" w:rsidRDefault="00A32496">
      <w:pPr>
        <w:pStyle w:val="a3"/>
        <w:spacing w:before="240" w:beforeAutospacing="0" w:after="0" w:afterAutospacing="0"/>
        <w:ind w:firstLine="555"/>
        <w:divId w:val="934560821"/>
        <w:rPr>
          <w:sz w:val="20"/>
          <w:szCs w:val="20"/>
        </w:rPr>
      </w:pPr>
      <w:r>
        <w:rPr>
          <w:sz w:val="20"/>
          <w:szCs w:val="20"/>
        </w:rPr>
        <w:t>Leases are classified as either finance leases or operating leases based on criteria in ASC 842. The Company has finance leases for its vehicle and equipment leases and operating leases for its real estate space and offi</w:t>
      </w:r>
      <w:r>
        <w:rPr>
          <w:sz w:val="20"/>
          <w:szCs w:val="20"/>
        </w:rPr>
        <w:t>ce equipment leases. The Company’s operating and finance leases generally have original lease terms betwee</w:t>
      </w:r>
      <w:r>
        <w:rPr>
          <w:sz w:val="20"/>
          <w:szCs w:val="20"/>
        </w:rPr>
        <w:t>n</w:t>
      </w:r>
      <w:r>
        <w:rPr>
          <w:sz w:val="20"/>
          <w:szCs w:val="20"/>
        </w:rPr>
        <w:t xml:space="preserve"> </w:t>
      </w:r>
      <w:r>
        <w:rPr>
          <w:sz w:val="20"/>
          <w:szCs w:val="20"/>
        </w:rPr>
        <w:t>1 yea</w:t>
      </w:r>
      <w:r>
        <w:rPr>
          <w:sz w:val="20"/>
          <w:szCs w:val="20"/>
        </w:rPr>
        <w:t>r</w:t>
      </w:r>
      <w:r>
        <w:rPr>
          <w:sz w:val="20"/>
          <w:szCs w:val="20"/>
        </w:rPr>
        <w:t xml:space="preserve"> and</w:t>
      </w:r>
      <w:r>
        <w:rPr>
          <w:sz w:val="20"/>
          <w:szCs w:val="20"/>
        </w:rPr>
        <w:t xml:space="preserve"> </w:t>
      </w:r>
      <w:r>
        <w:rPr>
          <w:sz w:val="20"/>
          <w:szCs w:val="20"/>
        </w:rPr>
        <w:t>15 year</w:t>
      </w:r>
      <w:r>
        <w:rPr>
          <w:sz w:val="20"/>
          <w:szCs w:val="20"/>
        </w:rPr>
        <w:t>s</w:t>
      </w:r>
      <w:r>
        <w:rPr>
          <w:sz w:val="20"/>
          <w:szCs w:val="20"/>
        </w:rPr>
        <w:t>,</w:t>
      </w:r>
      <w:r>
        <w:rPr>
          <w:sz w:val="20"/>
          <w:szCs w:val="20"/>
        </w:rPr>
        <w:t xml:space="preserve"> and in some instances include one or more options to renew. The Company includes options to extend the lease term if the option</w:t>
      </w:r>
      <w:r>
        <w:rPr>
          <w:sz w:val="20"/>
          <w:szCs w:val="20"/>
        </w:rPr>
        <w:t>s are reasonably certain of being exercised. The Company currently considers some of its renewal options to be reasonably certain to be exercised. Some leases also include early termination options, which can be exercised under specific conditions. The Com</w:t>
      </w:r>
      <w:r>
        <w:rPr>
          <w:sz w:val="20"/>
          <w:szCs w:val="20"/>
        </w:rPr>
        <w:t>pany does not have material residual value guarantees or restrictive covenants associated with its leases</w:t>
      </w:r>
      <w:r>
        <w:rPr>
          <w:sz w:val="20"/>
          <w:szCs w:val="20"/>
        </w:rPr>
        <w:t>.</w:t>
      </w:r>
      <w:r>
        <w:rPr>
          <w:sz w:val="20"/>
          <w:szCs w:val="20"/>
        </w:rPr>
        <w:t xml:space="preserve"> </w:t>
      </w:r>
    </w:p>
    <w:p w:rsidR="00000000" w:rsidRDefault="00A32496">
      <w:pPr>
        <w:pStyle w:val="a3"/>
        <w:spacing w:before="240" w:beforeAutospacing="0" w:after="0" w:afterAutospacing="0"/>
        <w:ind w:firstLine="555"/>
        <w:divId w:val="934560821"/>
        <w:rPr>
          <w:sz w:val="20"/>
          <w:szCs w:val="20"/>
        </w:rPr>
      </w:pPr>
      <w:r>
        <w:rPr>
          <w:sz w:val="20"/>
          <w:szCs w:val="20"/>
        </w:rPr>
        <w:t>Finance and operating lease assets represent the right to use an underlying asset for the lease term, and finance and operating lease liabilities re</w:t>
      </w:r>
      <w:r>
        <w:rPr>
          <w:sz w:val="20"/>
          <w:szCs w:val="20"/>
        </w:rPr>
        <w:t>present the obligation to make lease payments arising from the lease</w:t>
      </w:r>
      <w:r>
        <w:rPr>
          <w:sz w:val="20"/>
          <w:szCs w:val="20"/>
        </w:rPr>
        <w:t>.</w:t>
      </w:r>
      <w:r>
        <w:rPr>
          <w:sz w:val="20"/>
          <w:szCs w:val="20"/>
        </w:rPr>
        <w:t xml:space="preserve"> </w:t>
      </w:r>
    </w:p>
    <w:p w:rsidR="00000000" w:rsidRDefault="00A32496">
      <w:pPr>
        <w:pStyle w:val="a3"/>
        <w:spacing w:before="240" w:beforeAutospacing="0" w:after="0" w:afterAutospacing="0"/>
        <w:ind w:firstLine="555"/>
        <w:divId w:val="934560821"/>
        <w:rPr>
          <w:sz w:val="20"/>
          <w:szCs w:val="20"/>
        </w:rPr>
      </w:pPr>
      <w:r>
        <w:rPr>
          <w:sz w:val="20"/>
          <w:szCs w:val="20"/>
        </w:rPr>
        <w:t>The Company calculates the present value of its finance and operating leases using an estimated incremental borrowing rate (“IBR”), which requires judgment. For real estate operating le</w:t>
      </w:r>
      <w:r>
        <w:rPr>
          <w:sz w:val="20"/>
          <w:szCs w:val="20"/>
        </w:rPr>
        <w:t>ases, the Company estimates the IBR based on prevailing market rates for collateralized debt in a similar economic environment with similar payment terms and maturity dates commensurate with the terms of the lease. For all other leases, the Company estimat</w:t>
      </w:r>
      <w:r>
        <w:rPr>
          <w:sz w:val="20"/>
          <w:szCs w:val="20"/>
        </w:rPr>
        <w:t>es the IBR based on the stated interest rate on the contract. Since many of the inputs used to calculate the rate implicit in the leases are not readily determinable from the lessee’s perspective, the Company will not use the implicit interest rate</w:t>
      </w:r>
      <w:r>
        <w:rPr>
          <w:sz w:val="20"/>
          <w:szCs w:val="20"/>
        </w:rPr>
        <w:t>.</w:t>
      </w:r>
    </w:p>
    <w:p w:rsidR="00000000" w:rsidRDefault="00A32496">
      <w:pPr>
        <w:pStyle w:val="a3"/>
        <w:spacing w:before="240" w:beforeAutospacing="0" w:after="0" w:afterAutospacing="0"/>
        <w:ind w:firstLine="555"/>
        <w:divId w:val="934560821"/>
        <w:rPr>
          <w:sz w:val="20"/>
          <w:szCs w:val="20"/>
        </w:rPr>
      </w:pPr>
      <w:r>
        <w:rPr>
          <w:sz w:val="20"/>
          <w:szCs w:val="20"/>
        </w:rPr>
        <w:t>Certai</w:t>
      </w:r>
      <w:r>
        <w:rPr>
          <w:sz w:val="20"/>
          <w:szCs w:val="20"/>
        </w:rPr>
        <w:t>n leases contain variable payments, these payments are expensed as incurred and not included in the Company’s operating lease right-of-use assets and operating lease liabilities. These amounts primarily include payments for maintenance, utilities, taxes, a</w:t>
      </w:r>
      <w:r>
        <w:rPr>
          <w:sz w:val="20"/>
          <w:szCs w:val="20"/>
        </w:rPr>
        <w:t>nd insurance and are excluded from the present value of the Company’s lease obligations</w:t>
      </w:r>
      <w:r>
        <w:rPr>
          <w:sz w:val="20"/>
          <w:szCs w:val="20"/>
        </w:rPr>
        <w:t>.</w:t>
      </w:r>
    </w:p>
    <w:p w:rsidR="00000000" w:rsidRDefault="00A32496">
      <w:pPr>
        <w:pStyle w:val="a3"/>
        <w:spacing w:before="240" w:beforeAutospacing="0" w:after="0" w:afterAutospacing="0"/>
        <w:ind w:firstLine="555"/>
        <w:divId w:val="934560821"/>
        <w:rPr>
          <w:sz w:val="20"/>
          <w:szCs w:val="20"/>
        </w:rPr>
      </w:pPr>
      <w:r>
        <w:rPr>
          <w:sz w:val="20"/>
          <w:szCs w:val="20"/>
        </w:rPr>
        <w:t>Effective January 1, 2021, the Company recognized operating lease right-of-use assets, current operating lease liabilities and operating lease liabilities, net of curr</w:t>
      </w:r>
      <w:r>
        <w:rPr>
          <w:sz w:val="20"/>
          <w:szCs w:val="20"/>
        </w:rPr>
        <w:t xml:space="preserve">ent portion of </w:t>
      </w:r>
      <w:r>
        <w:rPr>
          <w:sz w:val="20"/>
          <w:szCs w:val="20"/>
        </w:rPr>
        <w:t>$</w:t>
      </w:r>
      <w:r>
        <w:rPr>
          <w:sz w:val="20"/>
          <w:szCs w:val="20"/>
        </w:rPr>
        <w:t>24.</w:t>
      </w:r>
      <w:r>
        <w:rPr>
          <w:sz w:val="20"/>
          <w:szCs w:val="20"/>
        </w:rPr>
        <w:t>6</w:t>
      </w:r>
      <w:r>
        <w:rPr>
          <w:sz w:val="20"/>
          <w:szCs w:val="20"/>
        </w:rPr>
        <w:t xml:space="preserve"> million, </w:t>
      </w:r>
      <w:r>
        <w:rPr>
          <w:sz w:val="20"/>
          <w:szCs w:val="20"/>
        </w:rPr>
        <w:t>$</w:t>
      </w:r>
      <w:r>
        <w:rPr>
          <w:sz w:val="20"/>
          <w:szCs w:val="20"/>
        </w:rPr>
        <w:t>7.</w:t>
      </w:r>
      <w:r>
        <w:rPr>
          <w:sz w:val="20"/>
          <w:szCs w:val="20"/>
        </w:rPr>
        <w:t>3</w:t>
      </w:r>
      <w:r>
        <w:rPr>
          <w:sz w:val="20"/>
          <w:szCs w:val="20"/>
        </w:rPr>
        <w:t xml:space="preserve"> million and </w:t>
      </w:r>
      <w:r>
        <w:rPr>
          <w:sz w:val="20"/>
          <w:szCs w:val="20"/>
        </w:rPr>
        <w:t>$</w:t>
      </w:r>
      <w:r>
        <w:rPr>
          <w:sz w:val="20"/>
          <w:szCs w:val="20"/>
        </w:rPr>
        <w:t>17.</w:t>
      </w:r>
      <w:r>
        <w:rPr>
          <w:sz w:val="20"/>
          <w:szCs w:val="20"/>
        </w:rPr>
        <w:t>3</w:t>
      </w:r>
      <w:r>
        <w:rPr>
          <w:sz w:val="20"/>
          <w:szCs w:val="20"/>
        </w:rPr>
        <w:t xml:space="preserve"> million,</w:t>
      </w:r>
      <w:r>
        <w:rPr>
          <w:sz w:val="20"/>
          <w:szCs w:val="20"/>
        </w:rPr>
        <w:t xml:space="preserve"> </w:t>
      </w:r>
      <w:r>
        <w:rPr>
          <w:sz w:val="20"/>
          <w:szCs w:val="20"/>
        </w:rPr>
        <w:t>respectively. The Company als</w:t>
      </w:r>
      <w:r>
        <w:rPr>
          <w:sz w:val="20"/>
          <w:szCs w:val="20"/>
        </w:rPr>
        <w:t>o</w:t>
      </w:r>
      <w:r>
        <w:rPr>
          <w:sz w:val="20"/>
          <w:szCs w:val="20"/>
        </w:rPr>
        <w:t xml:space="preserve"> </w:t>
      </w:r>
    </w:p>
    <w:p w:rsidR="00000000" w:rsidRDefault="00A32496">
      <w:pPr>
        <w:pStyle w:val="a3"/>
        <w:spacing w:before="240" w:beforeAutospacing="0" w:after="0" w:afterAutospacing="0"/>
        <w:jc w:val="center"/>
        <w:divId w:val="934560821"/>
        <w:rPr>
          <w:sz w:val="20"/>
          <w:szCs w:val="20"/>
        </w:rPr>
      </w:pPr>
      <w:r>
        <w:rPr>
          <w:sz w:val="20"/>
          <w:szCs w:val="20"/>
        </w:rPr>
        <w:t>9</w:t>
      </w:r>
    </w:p>
    <w:p w:rsidR="00000000" w:rsidRDefault="00A32496">
      <w:pPr>
        <w:divId w:val="934560821"/>
        <w:rPr>
          <w:rFonts w:eastAsia="Times New Roman"/>
          <w:sz w:val="20"/>
          <w:szCs w:val="20"/>
        </w:rPr>
      </w:pPr>
      <w:r>
        <w:rPr>
          <w:rFonts w:eastAsia="Times New Roman"/>
          <w:sz w:val="20"/>
          <w:szCs w:val="20"/>
        </w:rPr>
        <w:pict>
          <v:rect id="_x0000_i1035" style="width:0;height:1.5pt" o:hralign="center" o:hrstd="t" o:hr="t" fillcolor="#a0a0a0" stroked="f"/>
        </w:pict>
      </w:r>
    </w:p>
    <w:p w:rsidR="00000000" w:rsidRDefault="00A32496">
      <w:pPr>
        <w:pStyle w:val="a3"/>
        <w:spacing w:before="0" w:beforeAutospacing="0" w:after="0" w:afterAutospacing="0"/>
        <w:divId w:val="934560821"/>
        <w:rPr>
          <w:sz w:val="20"/>
          <w:szCs w:val="20"/>
        </w:rPr>
      </w:pPr>
      <w:r>
        <w:rPr>
          <w:sz w:val="20"/>
          <w:szCs w:val="20"/>
        </w:rPr>
        <w:t> </w:t>
      </w:r>
    </w:p>
    <w:p w:rsidR="00000000" w:rsidRDefault="00A32496">
      <w:pPr>
        <w:pStyle w:val="a3"/>
        <w:spacing w:before="240" w:beforeAutospacing="0" w:after="0" w:afterAutospacing="0"/>
        <w:divId w:val="934560821"/>
        <w:rPr>
          <w:sz w:val="20"/>
          <w:szCs w:val="20"/>
        </w:rPr>
      </w:pPr>
      <w:r>
        <w:rPr>
          <w:sz w:val="20"/>
          <w:szCs w:val="20"/>
        </w:rPr>
        <w:t>recognized</w:t>
      </w:r>
      <w:r>
        <w:rPr>
          <w:sz w:val="20"/>
          <w:szCs w:val="20"/>
        </w:rPr>
        <w:t xml:space="preserve"> </w:t>
      </w:r>
      <w:r>
        <w:rPr>
          <w:sz w:val="20"/>
          <w:szCs w:val="20"/>
        </w:rPr>
        <w:t xml:space="preserve">finance lease right-of-use assets, current finance lease liabilities and finance lease liabilities, net of current portion of </w:t>
      </w:r>
      <w:r>
        <w:rPr>
          <w:sz w:val="20"/>
          <w:szCs w:val="20"/>
        </w:rPr>
        <w:t>$</w:t>
      </w:r>
      <w:r>
        <w:rPr>
          <w:sz w:val="20"/>
          <w:szCs w:val="20"/>
        </w:rPr>
        <w:t>7.</w:t>
      </w:r>
      <w:r>
        <w:rPr>
          <w:sz w:val="20"/>
          <w:szCs w:val="20"/>
        </w:rPr>
        <w:t>2</w:t>
      </w:r>
      <w:r>
        <w:rPr>
          <w:sz w:val="20"/>
          <w:szCs w:val="20"/>
        </w:rPr>
        <w:t xml:space="preserve"> million, </w:t>
      </w:r>
      <w:r>
        <w:rPr>
          <w:sz w:val="20"/>
          <w:szCs w:val="20"/>
        </w:rPr>
        <w:t>$</w:t>
      </w:r>
      <w:r>
        <w:rPr>
          <w:sz w:val="20"/>
          <w:szCs w:val="20"/>
        </w:rPr>
        <w:t>2.</w:t>
      </w:r>
      <w:r>
        <w:rPr>
          <w:sz w:val="20"/>
          <w:szCs w:val="20"/>
        </w:rPr>
        <w:t>9</w:t>
      </w:r>
      <w:r>
        <w:rPr>
          <w:sz w:val="20"/>
          <w:szCs w:val="20"/>
        </w:rPr>
        <w:t xml:space="preserve"> million and </w:t>
      </w:r>
      <w:r>
        <w:rPr>
          <w:sz w:val="20"/>
          <w:szCs w:val="20"/>
        </w:rPr>
        <w:t>$</w:t>
      </w:r>
      <w:r>
        <w:rPr>
          <w:sz w:val="20"/>
          <w:szCs w:val="20"/>
        </w:rPr>
        <w:t>4.</w:t>
      </w:r>
      <w:r>
        <w:rPr>
          <w:sz w:val="20"/>
          <w:szCs w:val="20"/>
        </w:rPr>
        <w:t>6</w:t>
      </w:r>
      <w:r>
        <w:rPr>
          <w:sz w:val="20"/>
          <w:szCs w:val="20"/>
        </w:rPr>
        <w:t xml:space="preserve"> million, respectively</w:t>
      </w:r>
      <w:r>
        <w:rPr>
          <w:sz w:val="20"/>
          <w:szCs w:val="20"/>
        </w:rPr>
        <w:t>.</w:t>
      </w:r>
    </w:p>
    <w:p w:rsidR="00000000" w:rsidRDefault="00A32496">
      <w:pPr>
        <w:pStyle w:val="a3"/>
        <w:spacing w:before="240" w:beforeAutospacing="0" w:after="0" w:afterAutospacing="0"/>
        <w:ind w:firstLine="555"/>
        <w:divId w:val="934560821"/>
        <w:rPr>
          <w:sz w:val="20"/>
          <w:szCs w:val="20"/>
        </w:rPr>
      </w:pPr>
      <w:r>
        <w:rPr>
          <w:sz w:val="20"/>
          <w:szCs w:val="20"/>
        </w:rPr>
        <w:t>The Company does not record operating lease right-of-use assets or oper</w:t>
      </w:r>
      <w:r>
        <w:rPr>
          <w:sz w:val="20"/>
          <w:szCs w:val="20"/>
        </w:rPr>
        <w:t>ating lease liabilities for leases with an initial term of 12 months or less. The Company also combines lease and non-lease components on all new or modified operating leases into a single lease component for all classes of assets</w:t>
      </w:r>
      <w:r>
        <w:rPr>
          <w:sz w:val="20"/>
          <w:szCs w:val="20"/>
        </w:rPr>
        <w:t>.</w:t>
      </w:r>
    </w:p>
    <w:p w:rsidR="00000000" w:rsidRDefault="00A32496">
      <w:pPr>
        <w:pStyle w:val="a3"/>
        <w:spacing w:before="240" w:beforeAutospacing="0" w:after="0" w:afterAutospacing="0"/>
        <w:ind w:firstLine="555"/>
        <w:divId w:val="1900969292"/>
        <w:rPr>
          <w:sz w:val="20"/>
          <w:szCs w:val="20"/>
        </w:rPr>
      </w:pPr>
      <w:r>
        <w:rPr>
          <w:sz w:val="20"/>
          <w:szCs w:val="20"/>
        </w:rPr>
        <w:t>The components of lease expense were as follows</w:t>
      </w:r>
      <w:r>
        <w:rPr>
          <w:sz w:val="20"/>
          <w:szCs w:val="20"/>
        </w:rPr>
        <w:t>:</w:t>
      </w:r>
    </w:p>
    <w:p w:rsidR="00000000" w:rsidRDefault="00A32496">
      <w:pPr>
        <w:pStyle w:val="a3"/>
        <w:spacing w:before="0" w:beforeAutospacing="0" w:after="0" w:afterAutospacing="0"/>
        <w:ind w:firstLine="555"/>
        <w:divId w:val="1900969292"/>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43"/>
        <w:gridCol w:w="2515"/>
        <w:gridCol w:w="150"/>
        <w:gridCol w:w="1407"/>
        <w:gridCol w:w="115"/>
        <w:gridCol w:w="153"/>
        <w:gridCol w:w="150"/>
        <w:gridCol w:w="1443"/>
        <w:gridCol w:w="130"/>
      </w:tblGrid>
      <w:tr w:rsidR="00000000">
        <w:trPr>
          <w:divId w:val="1900969292"/>
          <w:tblCellSpacing w:w="15" w:type="dxa"/>
        </w:trPr>
        <w:tc>
          <w:tcPr>
            <w:tcW w:w="1383" w:type="pct"/>
            <w:vAlign w:val="center"/>
            <w:hideMark/>
          </w:tcPr>
          <w:p w:rsidR="00000000" w:rsidRDefault="00A32496">
            <w:pPr>
              <w:rPr>
                <w:sz w:val="20"/>
                <w:szCs w:val="20"/>
              </w:rPr>
            </w:pPr>
          </w:p>
        </w:tc>
        <w:tc>
          <w:tcPr>
            <w:tcW w:w="1562"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871"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88"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894"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r>
      <w:tr w:rsidR="00000000">
        <w:trPr>
          <w:divId w:val="1900969292"/>
          <w:trHeight w:val="180"/>
          <w:tblCellSpacing w:w="15" w:type="dxa"/>
        </w:trPr>
        <w:tc>
          <w:tcPr>
            <w:tcW w:w="0" w:type="auto"/>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6"/>
            <w:vAlign w:val="center"/>
            <w:hideMark/>
          </w:tcPr>
          <w:p w:rsidR="00000000" w:rsidRDefault="00A32496">
            <w:pPr>
              <w:pStyle w:val="a3"/>
              <w:spacing w:before="0" w:beforeAutospacing="0" w:after="0" w:afterAutospacing="0"/>
              <w:jc w:val="center"/>
              <w:rPr>
                <w:sz w:val="18"/>
                <w:szCs w:val="18"/>
              </w:rPr>
            </w:pPr>
            <w:r>
              <w:rPr>
                <w:b/>
                <w:bCs/>
                <w:sz w:val="18"/>
                <w:szCs w:val="18"/>
              </w:rPr>
              <w:t>For the Three Months Ended September 30</w:t>
            </w:r>
            <w:r>
              <w:rPr>
                <w:b/>
                <w:bCs/>
                <w:sz w:val="18"/>
                <w:szCs w:val="18"/>
              </w:rPr>
              <w:t>,</w:t>
            </w:r>
          </w:p>
        </w:tc>
        <w:tc>
          <w:tcPr>
            <w:tcW w:w="0" w:type="auto"/>
            <w:vAlign w:val="center"/>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1900969292"/>
          <w:trHeight w:val="180"/>
          <w:tblCellSpacing w:w="15" w:type="dxa"/>
        </w:trPr>
        <w:tc>
          <w:tcPr>
            <w:tcW w:w="0" w:type="auto"/>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rPr>
                <w:sz w:val="18"/>
                <w:szCs w:val="18"/>
              </w:rPr>
            </w:pPr>
            <w:r>
              <w:rPr>
                <w:b/>
                <w:bCs/>
                <w:sz w:val="18"/>
                <w:szCs w:val="18"/>
              </w:rPr>
              <w:t>Statement of Operations Locatio</w:t>
            </w:r>
            <w:r>
              <w:rPr>
                <w:b/>
                <w:bCs/>
                <w:sz w:val="18"/>
                <w:szCs w:val="18"/>
              </w:rPr>
              <w:t>n</w:t>
            </w:r>
          </w:p>
        </w:tc>
        <w:tc>
          <w:tcPr>
            <w:tcW w:w="0" w:type="auto"/>
            <w:gridSpan w:val="2"/>
            <w:vAlign w:val="center"/>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center"/>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center"/>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1900969292"/>
          <w:trHeight w:val="180"/>
          <w:tblCellSpacing w:w="15" w:type="dxa"/>
        </w:trPr>
        <w:tc>
          <w:tcPr>
            <w:tcW w:w="0" w:type="auto"/>
            <w:vAlign w:val="center"/>
            <w:hideMark/>
          </w:tcPr>
          <w:p w:rsidR="00000000" w:rsidRDefault="00A32496">
            <w:pPr>
              <w:pStyle w:val="a3"/>
              <w:spacing w:before="0" w:beforeAutospacing="0" w:after="0" w:afterAutospacing="0"/>
              <w:rPr>
                <w:sz w:val="18"/>
                <w:szCs w:val="18"/>
              </w:rPr>
            </w:pPr>
            <w:r>
              <w:rPr>
                <w:sz w:val="18"/>
                <w:szCs w:val="18"/>
              </w:rPr>
              <w:t>Operating lease cos</w:t>
            </w:r>
            <w:r>
              <w:rPr>
                <w:sz w:val="18"/>
                <w:szCs w:val="18"/>
              </w:rPr>
              <w:t>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900969292"/>
          <w:trHeight w:val="180"/>
          <w:tblCellSpacing w:w="15" w:type="dxa"/>
        </w:trPr>
        <w:tc>
          <w:tcPr>
            <w:tcW w:w="0" w:type="auto"/>
            <w:vAlign w:val="center"/>
            <w:hideMark/>
          </w:tcPr>
          <w:p w:rsidR="00000000" w:rsidRDefault="00A32496">
            <w:pPr>
              <w:pStyle w:val="a3"/>
              <w:spacing w:before="0" w:beforeAutospacing="0" w:after="0" w:afterAutospacing="0"/>
              <w:ind w:left="100"/>
              <w:rPr>
                <w:sz w:val="18"/>
                <w:szCs w:val="18"/>
              </w:rPr>
            </w:pPr>
            <w:r>
              <w:rPr>
                <w:sz w:val="18"/>
                <w:szCs w:val="18"/>
              </w:rPr>
              <w:t>Lease cos</w:t>
            </w:r>
            <w:r>
              <w:rPr>
                <w:sz w:val="18"/>
                <w:szCs w:val="18"/>
              </w:rPr>
              <w:t>t</w:t>
            </w:r>
          </w:p>
        </w:tc>
        <w:tc>
          <w:tcPr>
            <w:tcW w:w="0" w:type="auto"/>
            <w:vAlign w:val="center"/>
            <w:hideMark/>
          </w:tcPr>
          <w:p w:rsidR="00000000" w:rsidRDefault="00A32496">
            <w:pPr>
              <w:pStyle w:val="a3"/>
              <w:spacing w:before="0" w:beforeAutospacing="0" w:after="0" w:afterAutospacing="0"/>
              <w:rPr>
                <w:sz w:val="18"/>
                <w:szCs w:val="18"/>
              </w:rPr>
            </w:pPr>
            <w:r>
              <w:rPr>
                <w:sz w:val="18"/>
                <w:szCs w:val="18"/>
              </w:rPr>
              <w:t>Selling, general and administrative expens</w:t>
            </w:r>
            <w:r>
              <w:rPr>
                <w:sz w:val="18"/>
                <w:szCs w:val="18"/>
              </w:rPr>
              <w:t>e</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2,54</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2,20</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900969292"/>
          <w:trHeight w:val="180"/>
          <w:tblCellSpacing w:w="15" w:type="dxa"/>
        </w:trPr>
        <w:tc>
          <w:tcPr>
            <w:tcW w:w="0" w:type="auto"/>
            <w:vAlign w:val="center"/>
            <w:hideMark/>
          </w:tcPr>
          <w:p w:rsidR="00000000" w:rsidRDefault="00A32496">
            <w:pPr>
              <w:pStyle w:val="a3"/>
              <w:spacing w:before="0" w:beforeAutospacing="0" w:after="0" w:afterAutospacing="0"/>
              <w:ind w:left="100"/>
              <w:rPr>
                <w:sz w:val="18"/>
                <w:szCs w:val="18"/>
              </w:rPr>
            </w:pPr>
            <w:r>
              <w:rPr>
                <w:sz w:val="18"/>
                <w:szCs w:val="18"/>
              </w:rPr>
              <w:t>Variable lease cos</w:t>
            </w:r>
            <w:r>
              <w:rPr>
                <w:sz w:val="18"/>
                <w:szCs w:val="18"/>
              </w:rPr>
              <w:t>t</w:t>
            </w:r>
          </w:p>
        </w:tc>
        <w:tc>
          <w:tcPr>
            <w:tcW w:w="0" w:type="auto"/>
            <w:vAlign w:val="center"/>
            <w:hideMark/>
          </w:tcPr>
          <w:p w:rsidR="00000000" w:rsidRDefault="00A32496">
            <w:pPr>
              <w:pStyle w:val="a3"/>
              <w:spacing w:before="0" w:beforeAutospacing="0" w:after="0" w:afterAutospacing="0"/>
              <w:rPr>
                <w:sz w:val="18"/>
                <w:szCs w:val="18"/>
              </w:rPr>
            </w:pPr>
            <w:r>
              <w:rPr>
                <w:sz w:val="18"/>
                <w:szCs w:val="18"/>
              </w:rPr>
              <w:t>Selling, general and administrative expens</w:t>
            </w:r>
            <w:r>
              <w:rPr>
                <w:sz w:val="18"/>
                <w:szCs w:val="18"/>
              </w:rPr>
              <w:t>e</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35</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12</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900969292"/>
          <w:trHeight w:val="180"/>
          <w:tblCellSpacing w:w="15" w:type="dxa"/>
        </w:trPr>
        <w:tc>
          <w:tcPr>
            <w:tcW w:w="0" w:type="auto"/>
            <w:vAlign w:val="center"/>
            <w:hideMark/>
          </w:tcPr>
          <w:p w:rsidR="00000000" w:rsidRDefault="00A32496">
            <w:pPr>
              <w:pStyle w:val="a3"/>
              <w:spacing w:before="0" w:beforeAutospacing="0" w:after="0" w:afterAutospacing="0"/>
              <w:rPr>
                <w:sz w:val="18"/>
                <w:szCs w:val="18"/>
              </w:rPr>
            </w:pPr>
            <w:r>
              <w:rPr>
                <w:sz w:val="18"/>
                <w:szCs w:val="18"/>
              </w:rPr>
              <w:t>Total operating lease cos</w:t>
            </w:r>
            <w:r>
              <w:rPr>
                <w:sz w:val="18"/>
                <w:szCs w:val="18"/>
              </w:rPr>
              <w:t>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2,89</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2,32</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900969292"/>
          <w:trHeight w:val="180"/>
          <w:tblCellSpacing w:w="15" w:type="dxa"/>
        </w:trPr>
        <w:tc>
          <w:tcPr>
            <w:tcW w:w="0" w:type="auto"/>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gridSpan w:val="2"/>
            <w:vAlign w:val="center"/>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jc w:val="right"/>
              <w:rPr>
                <w:sz w:val="18"/>
                <w:szCs w:val="18"/>
              </w:rPr>
            </w:pPr>
            <w:r>
              <w:rPr>
                <w:sz w:val="18"/>
                <w:szCs w:val="18"/>
              </w:rPr>
              <w:t> </w:t>
            </w:r>
          </w:p>
        </w:tc>
      </w:tr>
      <w:tr w:rsidR="00000000">
        <w:trPr>
          <w:divId w:val="1900969292"/>
          <w:trHeight w:val="180"/>
          <w:tblCellSpacing w:w="15" w:type="dxa"/>
        </w:trPr>
        <w:tc>
          <w:tcPr>
            <w:tcW w:w="0" w:type="auto"/>
            <w:vAlign w:val="center"/>
            <w:hideMark/>
          </w:tcPr>
          <w:p w:rsidR="00000000" w:rsidRDefault="00A32496">
            <w:pPr>
              <w:pStyle w:val="a3"/>
              <w:spacing w:before="0" w:beforeAutospacing="0" w:after="0" w:afterAutospacing="0"/>
              <w:rPr>
                <w:sz w:val="18"/>
                <w:szCs w:val="18"/>
              </w:rPr>
            </w:pPr>
            <w:r>
              <w:rPr>
                <w:sz w:val="18"/>
                <w:szCs w:val="18"/>
              </w:rPr>
              <w:t>Finance lease cos</w:t>
            </w:r>
            <w:r>
              <w:rPr>
                <w:sz w:val="18"/>
                <w:szCs w:val="18"/>
              </w:rPr>
              <w:t>t</w:t>
            </w:r>
          </w:p>
        </w:tc>
        <w:tc>
          <w:tcPr>
            <w:tcW w:w="0" w:type="auto"/>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r>
      <w:tr w:rsidR="00000000">
        <w:trPr>
          <w:divId w:val="1900969292"/>
          <w:trHeight w:val="180"/>
          <w:tblCellSpacing w:w="15" w:type="dxa"/>
        </w:trPr>
        <w:tc>
          <w:tcPr>
            <w:tcW w:w="0" w:type="auto"/>
            <w:vAlign w:val="bottom"/>
            <w:hideMark/>
          </w:tcPr>
          <w:p w:rsidR="00000000" w:rsidRDefault="00A32496">
            <w:pPr>
              <w:pStyle w:val="a3"/>
              <w:spacing w:before="0" w:beforeAutospacing="0" w:after="0" w:afterAutospacing="0"/>
              <w:ind w:left="100"/>
              <w:rPr>
                <w:sz w:val="18"/>
                <w:szCs w:val="18"/>
              </w:rPr>
            </w:pPr>
            <w:r>
              <w:rPr>
                <w:sz w:val="18"/>
                <w:szCs w:val="18"/>
              </w:rPr>
              <w:t>Amortization of right of use asset</w:t>
            </w:r>
            <w:r>
              <w:rPr>
                <w:sz w:val="18"/>
                <w:szCs w:val="18"/>
              </w:rPr>
              <w:t>s</w:t>
            </w:r>
          </w:p>
        </w:tc>
        <w:tc>
          <w:tcPr>
            <w:tcW w:w="0" w:type="auto"/>
            <w:vAlign w:val="center"/>
            <w:hideMark/>
          </w:tcPr>
          <w:p w:rsidR="00000000" w:rsidRDefault="00A32496">
            <w:pPr>
              <w:pStyle w:val="a3"/>
              <w:spacing w:before="0" w:beforeAutospacing="0" w:after="0" w:afterAutospacing="0"/>
              <w:rPr>
                <w:sz w:val="18"/>
                <w:szCs w:val="18"/>
              </w:rPr>
            </w:pPr>
            <w:r>
              <w:rPr>
                <w:sz w:val="18"/>
                <w:szCs w:val="18"/>
              </w:rPr>
              <w:t>Depreciation and amortizatio</w:t>
            </w:r>
            <w:r>
              <w:rPr>
                <w:sz w:val="18"/>
                <w:szCs w:val="18"/>
              </w:rPr>
              <w:t>n</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1,07</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82</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900969292"/>
          <w:trHeight w:val="180"/>
          <w:tblCellSpacing w:w="15" w:type="dxa"/>
        </w:trPr>
        <w:tc>
          <w:tcPr>
            <w:tcW w:w="0" w:type="auto"/>
            <w:vAlign w:val="bottom"/>
            <w:hideMark/>
          </w:tcPr>
          <w:p w:rsidR="00000000" w:rsidRDefault="00A32496">
            <w:pPr>
              <w:pStyle w:val="a3"/>
              <w:spacing w:before="0" w:beforeAutospacing="0" w:after="0" w:afterAutospacing="0"/>
              <w:ind w:left="100"/>
              <w:rPr>
                <w:sz w:val="18"/>
                <w:szCs w:val="18"/>
              </w:rPr>
            </w:pPr>
            <w:r>
              <w:rPr>
                <w:sz w:val="18"/>
                <w:szCs w:val="18"/>
              </w:rPr>
              <w:t>Interest on lease liabilitie</w:t>
            </w:r>
            <w:r>
              <w:rPr>
                <w:sz w:val="18"/>
                <w:szCs w:val="18"/>
              </w:rPr>
              <w:t>s</w:t>
            </w:r>
          </w:p>
        </w:tc>
        <w:tc>
          <w:tcPr>
            <w:tcW w:w="0" w:type="auto"/>
            <w:vAlign w:val="center"/>
            <w:hideMark/>
          </w:tcPr>
          <w:p w:rsidR="00000000" w:rsidRDefault="00A32496">
            <w:pPr>
              <w:pStyle w:val="a3"/>
              <w:spacing w:before="0" w:beforeAutospacing="0" w:after="0" w:afterAutospacing="0"/>
              <w:rPr>
                <w:sz w:val="18"/>
                <w:szCs w:val="18"/>
              </w:rPr>
            </w:pPr>
            <w:r>
              <w:rPr>
                <w:sz w:val="18"/>
                <w:szCs w:val="18"/>
              </w:rPr>
              <w:t>Interest expense—ne</w:t>
            </w:r>
            <w:r>
              <w:rPr>
                <w:sz w:val="18"/>
                <w:szCs w:val="18"/>
              </w:rPr>
              <w:t>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11</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9</w:t>
            </w:r>
            <w:r>
              <w:rPr>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900969292"/>
          <w:trHeight w:val="180"/>
          <w:tblCellSpacing w:w="15" w:type="dxa"/>
        </w:trPr>
        <w:tc>
          <w:tcPr>
            <w:tcW w:w="0" w:type="auto"/>
            <w:vAlign w:val="center"/>
            <w:hideMark/>
          </w:tcPr>
          <w:p w:rsidR="00000000" w:rsidRDefault="00A32496">
            <w:pPr>
              <w:pStyle w:val="a3"/>
              <w:spacing w:before="0" w:beforeAutospacing="0" w:after="0" w:afterAutospacing="0"/>
              <w:rPr>
                <w:sz w:val="18"/>
                <w:szCs w:val="18"/>
              </w:rPr>
            </w:pPr>
            <w:r>
              <w:rPr>
                <w:sz w:val="18"/>
                <w:szCs w:val="18"/>
              </w:rPr>
              <w:t>Total finance lease cos</w:t>
            </w:r>
            <w:r>
              <w:rPr>
                <w:sz w:val="18"/>
                <w:szCs w:val="18"/>
              </w:rPr>
              <w:t>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1,19</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92</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900969292"/>
          <w:trHeight w:val="180"/>
          <w:tblCellSpacing w:w="15" w:type="dxa"/>
        </w:trPr>
        <w:tc>
          <w:tcPr>
            <w:tcW w:w="0" w:type="auto"/>
            <w:vAlign w:val="bottom"/>
            <w:hideMark/>
          </w:tcPr>
          <w:p w:rsidR="00000000" w:rsidRDefault="00A32496">
            <w:pPr>
              <w:pStyle w:val="a3"/>
              <w:spacing w:before="0" w:beforeAutospacing="0" w:after="0" w:afterAutospacing="0"/>
              <w:rPr>
                <w:sz w:val="18"/>
                <w:szCs w:val="18"/>
              </w:rPr>
            </w:pPr>
            <w:r>
              <w:rPr>
                <w:sz w:val="18"/>
                <w:szCs w:val="18"/>
              </w:rPr>
              <w:t>   Total lease cos</w:t>
            </w:r>
            <w:r>
              <w:rPr>
                <w:sz w:val="18"/>
                <w:szCs w:val="18"/>
              </w:rPr>
              <w:t>t</w:t>
            </w:r>
          </w:p>
        </w:tc>
        <w:tc>
          <w:tcPr>
            <w:tcW w:w="0" w:type="auto"/>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4,08</w:t>
            </w:r>
            <w:r>
              <w:rPr>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3,24</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900969292"/>
          <w:tblCellSpacing w:w="15" w:type="dxa"/>
        </w:trPr>
        <w:tc>
          <w:tcPr>
            <w:tcW w:w="0" w:type="auto"/>
            <w:vAlign w:val="center"/>
            <w:hideMark/>
          </w:tcPr>
          <w:p w:rsidR="00000000" w:rsidRDefault="00A3249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A32496">
            <w:pPr>
              <w:pStyle w:val="a3"/>
              <w:spacing w:before="0" w:beforeAutospacing="0" w:after="0" w:afterAutospacing="0"/>
              <w:rPr>
                <w:sz w:val="22"/>
                <w:szCs w:val="22"/>
              </w:rPr>
            </w:pPr>
            <w:r>
              <w:rPr>
                <w:sz w:val="22"/>
                <w:szCs w:val="22"/>
              </w:rPr>
              <w:t> </w:t>
            </w:r>
          </w:p>
        </w:tc>
        <w:tc>
          <w:tcPr>
            <w:tcW w:w="0" w:type="auto"/>
            <w:vAlign w:val="bottom"/>
            <w:hideMark/>
          </w:tcPr>
          <w:p w:rsidR="00000000" w:rsidRDefault="00A32496">
            <w:pPr>
              <w:pStyle w:val="a3"/>
              <w:spacing w:before="0" w:beforeAutospacing="0" w:after="0" w:afterAutospacing="0"/>
              <w:rPr>
                <w:sz w:val="22"/>
                <w:szCs w:val="22"/>
              </w:rPr>
            </w:pPr>
            <w:r>
              <w:rPr>
                <w:sz w:val="22"/>
                <w:szCs w:val="22"/>
              </w:rPr>
              <w:t> </w:t>
            </w:r>
          </w:p>
        </w:tc>
        <w:tc>
          <w:tcPr>
            <w:tcW w:w="0" w:type="auto"/>
            <w:vAlign w:val="bottom"/>
            <w:hideMark/>
          </w:tcPr>
          <w:p w:rsidR="00000000" w:rsidRDefault="00A32496">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A32496">
            <w:pPr>
              <w:pStyle w:val="a3"/>
              <w:spacing w:before="0" w:beforeAutospacing="0" w:after="0" w:afterAutospacing="0"/>
              <w:rPr>
                <w:sz w:val="22"/>
                <w:szCs w:val="22"/>
              </w:rPr>
            </w:pPr>
            <w:r>
              <w:rPr>
                <w:sz w:val="22"/>
                <w:szCs w:val="22"/>
              </w:rPr>
              <w:t> </w:t>
            </w:r>
          </w:p>
        </w:tc>
        <w:tc>
          <w:tcPr>
            <w:tcW w:w="0" w:type="auto"/>
            <w:vAlign w:val="bottom"/>
            <w:hideMark/>
          </w:tcPr>
          <w:p w:rsidR="00000000" w:rsidRDefault="00A32496">
            <w:pPr>
              <w:pStyle w:val="a3"/>
              <w:spacing w:before="0" w:beforeAutospacing="0" w:after="0" w:afterAutospacing="0"/>
              <w:rPr>
                <w:sz w:val="22"/>
                <w:szCs w:val="22"/>
              </w:rPr>
            </w:pPr>
            <w:r>
              <w:rPr>
                <w:sz w:val="22"/>
                <w:szCs w:val="22"/>
              </w:rPr>
              <w:t> </w:t>
            </w:r>
          </w:p>
        </w:tc>
      </w:tr>
      <w:tr w:rsidR="00000000">
        <w:trPr>
          <w:divId w:val="1900969292"/>
          <w:trHeight w:val="180"/>
          <w:tblCellSpacing w:w="15" w:type="dxa"/>
        </w:trPr>
        <w:tc>
          <w:tcPr>
            <w:tcW w:w="0" w:type="auto"/>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6"/>
            <w:vAlign w:val="center"/>
            <w:hideMark/>
          </w:tcPr>
          <w:p w:rsidR="00000000" w:rsidRDefault="00A32496">
            <w:pPr>
              <w:pStyle w:val="a3"/>
              <w:spacing w:before="0" w:beforeAutospacing="0" w:after="0" w:afterAutospacing="0"/>
              <w:jc w:val="center"/>
              <w:rPr>
                <w:sz w:val="18"/>
                <w:szCs w:val="18"/>
              </w:rPr>
            </w:pPr>
            <w:r>
              <w:rPr>
                <w:b/>
                <w:bCs/>
                <w:sz w:val="18"/>
                <w:szCs w:val="18"/>
              </w:rPr>
              <w:t>For the Nine Months Ended September 30</w:t>
            </w:r>
            <w:r>
              <w:rPr>
                <w:b/>
                <w:bCs/>
                <w:sz w:val="18"/>
                <w:szCs w:val="18"/>
              </w:rPr>
              <w:t>,</w:t>
            </w:r>
          </w:p>
        </w:tc>
        <w:tc>
          <w:tcPr>
            <w:tcW w:w="0" w:type="auto"/>
            <w:vAlign w:val="center"/>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1900969292"/>
          <w:trHeight w:val="180"/>
          <w:tblCellSpacing w:w="15" w:type="dxa"/>
        </w:trPr>
        <w:tc>
          <w:tcPr>
            <w:tcW w:w="0" w:type="auto"/>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rPr>
                <w:sz w:val="18"/>
                <w:szCs w:val="18"/>
              </w:rPr>
            </w:pPr>
            <w:r>
              <w:rPr>
                <w:b/>
                <w:bCs/>
                <w:sz w:val="18"/>
                <w:szCs w:val="18"/>
              </w:rPr>
              <w:t>Statement of Operations Locatio</w:t>
            </w:r>
            <w:r>
              <w:rPr>
                <w:b/>
                <w:bCs/>
                <w:sz w:val="18"/>
                <w:szCs w:val="18"/>
              </w:rPr>
              <w:t>n</w:t>
            </w:r>
          </w:p>
        </w:tc>
        <w:tc>
          <w:tcPr>
            <w:tcW w:w="0" w:type="auto"/>
            <w:gridSpan w:val="2"/>
            <w:vAlign w:val="center"/>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center"/>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center"/>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1900969292"/>
          <w:trHeight w:val="180"/>
          <w:tblCellSpacing w:w="15" w:type="dxa"/>
        </w:trPr>
        <w:tc>
          <w:tcPr>
            <w:tcW w:w="0" w:type="auto"/>
            <w:vAlign w:val="center"/>
            <w:hideMark/>
          </w:tcPr>
          <w:p w:rsidR="00000000" w:rsidRDefault="00A32496">
            <w:pPr>
              <w:pStyle w:val="a3"/>
              <w:spacing w:before="0" w:beforeAutospacing="0" w:after="0" w:afterAutospacing="0"/>
              <w:rPr>
                <w:sz w:val="18"/>
                <w:szCs w:val="18"/>
              </w:rPr>
            </w:pPr>
            <w:r>
              <w:rPr>
                <w:sz w:val="18"/>
                <w:szCs w:val="18"/>
              </w:rPr>
              <w:t>Operating lease cos</w:t>
            </w:r>
            <w:r>
              <w:rPr>
                <w:sz w:val="18"/>
                <w:szCs w:val="18"/>
              </w:rPr>
              <w:t>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900969292"/>
          <w:trHeight w:val="180"/>
          <w:tblCellSpacing w:w="15" w:type="dxa"/>
        </w:trPr>
        <w:tc>
          <w:tcPr>
            <w:tcW w:w="0" w:type="auto"/>
            <w:vAlign w:val="center"/>
            <w:hideMark/>
          </w:tcPr>
          <w:p w:rsidR="00000000" w:rsidRDefault="00A32496">
            <w:pPr>
              <w:pStyle w:val="a3"/>
              <w:spacing w:before="0" w:beforeAutospacing="0" w:after="0" w:afterAutospacing="0"/>
              <w:ind w:left="100"/>
              <w:rPr>
                <w:sz w:val="18"/>
                <w:szCs w:val="18"/>
              </w:rPr>
            </w:pPr>
            <w:r>
              <w:rPr>
                <w:sz w:val="18"/>
                <w:szCs w:val="18"/>
              </w:rPr>
              <w:t>Lease cos</w:t>
            </w:r>
            <w:r>
              <w:rPr>
                <w:sz w:val="18"/>
                <w:szCs w:val="18"/>
              </w:rPr>
              <w:t>t</w:t>
            </w:r>
          </w:p>
        </w:tc>
        <w:tc>
          <w:tcPr>
            <w:tcW w:w="0" w:type="auto"/>
            <w:vAlign w:val="center"/>
            <w:hideMark/>
          </w:tcPr>
          <w:p w:rsidR="00000000" w:rsidRDefault="00A32496">
            <w:pPr>
              <w:pStyle w:val="a3"/>
              <w:spacing w:before="0" w:beforeAutospacing="0" w:after="0" w:afterAutospacing="0"/>
              <w:rPr>
                <w:sz w:val="18"/>
                <w:szCs w:val="18"/>
              </w:rPr>
            </w:pPr>
            <w:r>
              <w:rPr>
                <w:sz w:val="18"/>
                <w:szCs w:val="18"/>
              </w:rPr>
              <w:t>Selling, general and administrative expens</w:t>
            </w:r>
            <w:r>
              <w:rPr>
                <w:sz w:val="18"/>
                <w:szCs w:val="18"/>
              </w:rPr>
              <w:t>e</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7,47</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6,39</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900969292"/>
          <w:trHeight w:val="180"/>
          <w:tblCellSpacing w:w="15" w:type="dxa"/>
        </w:trPr>
        <w:tc>
          <w:tcPr>
            <w:tcW w:w="0" w:type="auto"/>
            <w:vAlign w:val="center"/>
            <w:hideMark/>
          </w:tcPr>
          <w:p w:rsidR="00000000" w:rsidRDefault="00A32496">
            <w:pPr>
              <w:pStyle w:val="a3"/>
              <w:spacing w:before="0" w:beforeAutospacing="0" w:after="0" w:afterAutospacing="0"/>
              <w:ind w:left="100"/>
              <w:rPr>
                <w:sz w:val="18"/>
                <w:szCs w:val="18"/>
              </w:rPr>
            </w:pPr>
            <w:r>
              <w:rPr>
                <w:sz w:val="18"/>
                <w:szCs w:val="18"/>
              </w:rPr>
              <w:t>Variable lease cos</w:t>
            </w:r>
            <w:r>
              <w:rPr>
                <w:sz w:val="18"/>
                <w:szCs w:val="18"/>
              </w:rPr>
              <w:t>t</w:t>
            </w:r>
          </w:p>
        </w:tc>
        <w:tc>
          <w:tcPr>
            <w:tcW w:w="0" w:type="auto"/>
            <w:vAlign w:val="center"/>
            <w:hideMark/>
          </w:tcPr>
          <w:p w:rsidR="00000000" w:rsidRDefault="00A32496">
            <w:pPr>
              <w:pStyle w:val="a3"/>
              <w:spacing w:before="0" w:beforeAutospacing="0" w:after="0" w:afterAutospacing="0"/>
              <w:rPr>
                <w:sz w:val="18"/>
                <w:szCs w:val="18"/>
              </w:rPr>
            </w:pPr>
            <w:r>
              <w:rPr>
                <w:sz w:val="18"/>
                <w:szCs w:val="18"/>
              </w:rPr>
              <w:t>Selling, general and administrative expens</w:t>
            </w:r>
            <w:r>
              <w:rPr>
                <w:sz w:val="18"/>
                <w:szCs w:val="18"/>
              </w:rPr>
              <w:t>e</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91</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32</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900969292"/>
          <w:trHeight w:val="180"/>
          <w:tblCellSpacing w:w="15" w:type="dxa"/>
        </w:trPr>
        <w:tc>
          <w:tcPr>
            <w:tcW w:w="0" w:type="auto"/>
            <w:vAlign w:val="center"/>
            <w:hideMark/>
          </w:tcPr>
          <w:p w:rsidR="00000000" w:rsidRDefault="00A32496">
            <w:pPr>
              <w:pStyle w:val="a3"/>
              <w:spacing w:before="0" w:beforeAutospacing="0" w:after="0" w:afterAutospacing="0"/>
              <w:rPr>
                <w:sz w:val="18"/>
                <w:szCs w:val="18"/>
              </w:rPr>
            </w:pPr>
            <w:r>
              <w:rPr>
                <w:sz w:val="18"/>
                <w:szCs w:val="18"/>
              </w:rPr>
              <w:t>Total operating lease cos</w:t>
            </w:r>
            <w:r>
              <w:rPr>
                <w:sz w:val="18"/>
                <w:szCs w:val="18"/>
              </w:rPr>
              <w:t>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8,38</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6,72</w:t>
            </w:r>
            <w:r>
              <w:rPr>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900969292"/>
          <w:trHeight w:val="180"/>
          <w:tblCellSpacing w:w="15" w:type="dxa"/>
        </w:trPr>
        <w:tc>
          <w:tcPr>
            <w:tcW w:w="0" w:type="auto"/>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gridSpan w:val="2"/>
            <w:vAlign w:val="center"/>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jc w:val="right"/>
              <w:rPr>
                <w:sz w:val="18"/>
                <w:szCs w:val="18"/>
              </w:rPr>
            </w:pPr>
            <w:r>
              <w:rPr>
                <w:sz w:val="18"/>
                <w:szCs w:val="18"/>
              </w:rPr>
              <w:t> </w:t>
            </w:r>
          </w:p>
        </w:tc>
      </w:tr>
      <w:tr w:rsidR="00000000">
        <w:trPr>
          <w:divId w:val="1900969292"/>
          <w:trHeight w:val="180"/>
          <w:tblCellSpacing w:w="15" w:type="dxa"/>
        </w:trPr>
        <w:tc>
          <w:tcPr>
            <w:tcW w:w="0" w:type="auto"/>
            <w:vAlign w:val="center"/>
            <w:hideMark/>
          </w:tcPr>
          <w:p w:rsidR="00000000" w:rsidRDefault="00A32496">
            <w:pPr>
              <w:pStyle w:val="a3"/>
              <w:spacing w:before="0" w:beforeAutospacing="0" w:after="0" w:afterAutospacing="0"/>
              <w:rPr>
                <w:sz w:val="18"/>
                <w:szCs w:val="18"/>
              </w:rPr>
            </w:pPr>
            <w:r>
              <w:rPr>
                <w:sz w:val="18"/>
                <w:szCs w:val="18"/>
              </w:rPr>
              <w:t>Finance lease cos</w:t>
            </w:r>
            <w:r>
              <w:rPr>
                <w:sz w:val="18"/>
                <w:szCs w:val="18"/>
              </w:rPr>
              <w:t>t</w:t>
            </w:r>
          </w:p>
        </w:tc>
        <w:tc>
          <w:tcPr>
            <w:tcW w:w="0" w:type="auto"/>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r>
      <w:tr w:rsidR="00000000">
        <w:trPr>
          <w:divId w:val="1900969292"/>
          <w:trHeight w:val="180"/>
          <w:tblCellSpacing w:w="15" w:type="dxa"/>
        </w:trPr>
        <w:tc>
          <w:tcPr>
            <w:tcW w:w="0" w:type="auto"/>
            <w:vAlign w:val="bottom"/>
            <w:hideMark/>
          </w:tcPr>
          <w:p w:rsidR="00000000" w:rsidRDefault="00A32496">
            <w:pPr>
              <w:pStyle w:val="a3"/>
              <w:spacing w:before="0" w:beforeAutospacing="0" w:after="0" w:afterAutospacing="0"/>
              <w:ind w:left="100"/>
              <w:rPr>
                <w:sz w:val="18"/>
                <w:szCs w:val="18"/>
              </w:rPr>
            </w:pPr>
            <w:r>
              <w:rPr>
                <w:sz w:val="18"/>
                <w:szCs w:val="18"/>
              </w:rPr>
              <w:t>Amortization of right of use asset</w:t>
            </w:r>
            <w:r>
              <w:rPr>
                <w:sz w:val="18"/>
                <w:szCs w:val="18"/>
              </w:rPr>
              <w:t>s</w:t>
            </w:r>
          </w:p>
        </w:tc>
        <w:tc>
          <w:tcPr>
            <w:tcW w:w="0" w:type="auto"/>
            <w:vAlign w:val="center"/>
            <w:hideMark/>
          </w:tcPr>
          <w:p w:rsidR="00000000" w:rsidRDefault="00A32496">
            <w:pPr>
              <w:pStyle w:val="a3"/>
              <w:spacing w:before="0" w:beforeAutospacing="0" w:after="0" w:afterAutospacing="0"/>
              <w:rPr>
                <w:sz w:val="18"/>
                <w:szCs w:val="18"/>
              </w:rPr>
            </w:pPr>
            <w:r>
              <w:rPr>
                <w:sz w:val="18"/>
                <w:szCs w:val="18"/>
              </w:rPr>
              <w:t>Depreciation and amortizatio</w:t>
            </w:r>
            <w:r>
              <w:rPr>
                <w:sz w:val="18"/>
                <w:szCs w:val="18"/>
              </w:rPr>
              <w:t>n</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3,02</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2,39</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900969292"/>
          <w:trHeight w:val="180"/>
          <w:tblCellSpacing w:w="15" w:type="dxa"/>
        </w:trPr>
        <w:tc>
          <w:tcPr>
            <w:tcW w:w="0" w:type="auto"/>
            <w:vAlign w:val="bottom"/>
            <w:hideMark/>
          </w:tcPr>
          <w:p w:rsidR="00000000" w:rsidRDefault="00A32496">
            <w:pPr>
              <w:pStyle w:val="a3"/>
              <w:spacing w:before="0" w:beforeAutospacing="0" w:after="0" w:afterAutospacing="0"/>
              <w:ind w:left="100"/>
              <w:rPr>
                <w:sz w:val="18"/>
                <w:szCs w:val="18"/>
              </w:rPr>
            </w:pPr>
            <w:r>
              <w:rPr>
                <w:sz w:val="18"/>
                <w:szCs w:val="18"/>
              </w:rPr>
              <w:t>Interest on lease liabilitie</w:t>
            </w:r>
            <w:r>
              <w:rPr>
                <w:sz w:val="18"/>
                <w:szCs w:val="18"/>
              </w:rPr>
              <w:t>s</w:t>
            </w:r>
          </w:p>
        </w:tc>
        <w:tc>
          <w:tcPr>
            <w:tcW w:w="0" w:type="auto"/>
            <w:vAlign w:val="center"/>
            <w:hideMark/>
          </w:tcPr>
          <w:p w:rsidR="00000000" w:rsidRDefault="00A32496">
            <w:pPr>
              <w:pStyle w:val="a3"/>
              <w:spacing w:before="0" w:beforeAutospacing="0" w:after="0" w:afterAutospacing="0"/>
              <w:rPr>
                <w:sz w:val="18"/>
                <w:szCs w:val="18"/>
              </w:rPr>
            </w:pPr>
            <w:r>
              <w:rPr>
                <w:sz w:val="18"/>
                <w:szCs w:val="18"/>
              </w:rPr>
              <w:t>Interest expense—ne</w:t>
            </w:r>
            <w:r>
              <w:rPr>
                <w:sz w:val="18"/>
                <w:szCs w:val="18"/>
              </w:rPr>
              <w:t>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33</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30</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900969292"/>
          <w:trHeight w:val="180"/>
          <w:tblCellSpacing w:w="15" w:type="dxa"/>
        </w:trPr>
        <w:tc>
          <w:tcPr>
            <w:tcW w:w="0" w:type="auto"/>
            <w:vAlign w:val="center"/>
            <w:hideMark/>
          </w:tcPr>
          <w:p w:rsidR="00000000" w:rsidRDefault="00A32496">
            <w:pPr>
              <w:pStyle w:val="a3"/>
              <w:spacing w:before="0" w:beforeAutospacing="0" w:after="0" w:afterAutospacing="0"/>
              <w:rPr>
                <w:sz w:val="18"/>
                <w:szCs w:val="18"/>
              </w:rPr>
            </w:pPr>
            <w:r>
              <w:rPr>
                <w:sz w:val="18"/>
                <w:szCs w:val="18"/>
              </w:rPr>
              <w:t>Total finance lease cos</w:t>
            </w:r>
            <w:r>
              <w:rPr>
                <w:sz w:val="18"/>
                <w:szCs w:val="18"/>
              </w:rPr>
              <w:t>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3,36</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2,69</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900969292"/>
          <w:trHeight w:val="180"/>
          <w:tblCellSpacing w:w="15" w:type="dxa"/>
        </w:trPr>
        <w:tc>
          <w:tcPr>
            <w:tcW w:w="0" w:type="auto"/>
            <w:vAlign w:val="bottom"/>
            <w:hideMark/>
          </w:tcPr>
          <w:p w:rsidR="00000000" w:rsidRDefault="00A32496">
            <w:pPr>
              <w:pStyle w:val="a3"/>
              <w:spacing w:before="0" w:beforeAutospacing="0" w:after="0" w:afterAutospacing="0"/>
              <w:rPr>
                <w:sz w:val="18"/>
                <w:szCs w:val="18"/>
              </w:rPr>
            </w:pPr>
            <w:r>
              <w:rPr>
                <w:sz w:val="18"/>
                <w:szCs w:val="18"/>
              </w:rPr>
              <w:t>   Total lease cos</w:t>
            </w:r>
            <w:r>
              <w:rPr>
                <w:sz w:val="18"/>
                <w:szCs w:val="18"/>
              </w:rPr>
              <w:t>t</w:t>
            </w:r>
          </w:p>
        </w:tc>
        <w:tc>
          <w:tcPr>
            <w:tcW w:w="0" w:type="auto"/>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11,74</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9,41</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bl>
    <w:p w:rsidR="00000000" w:rsidRDefault="00A32496">
      <w:pPr>
        <w:pStyle w:val="a3"/>
        <w:spacing w:before="240" w:beforeAutospacing="0" w:after="0" w:afterAutospacing="0"/>
        <w:ind w:firstLine="555"/>
        <w:divId w:val="1795827769"/>
        <w:rPr>
          <w:sz w:val="20"/>
          <w:szCs w:val="20"/>
        </w:rPr>
      </w:pPr>
      <w:r>
        <w:rPr>
          <w:sz w:val="20"/>
          <w:szCs w:val="20"/>
        </w:rPr>
        <w:t>Supplemental cash flows information related to leases was as follows</w:t>
      </w:r>
      <w:r>
        <w:rPr>
          <w:sz w:val="20"/>
          <w:szCs w:val="20"/>
        </w:rPr>
        <w:t>:</w:t>
      </w:r>
    </w:p>
    <w:p w:rsidR="00000000" w:rsidRDefault="00A32496">
      <w:pPr>
        <w:pStyle w:val="a3"/>
        <w:spacing w:before="0" w:beforeAutospacing="0" w:after="0" w:afterAutospacing="0"/>
        <w:ind w:firstLine="555"/>
        <w:divId w:val="1795827769"/>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918"/>
        <w:gridCol w:w="205"/>
        <w:gridCol w:w="150"/>
        <w:gridCol w:w="881"/>
        <w:gridCol w:w="105"/>
        <w:gridCol w:w="205"/>
        <w:gridCol w:w="150"/>
        <w:gridCol w:w="911"/>
        <w:gridCol w:w="120"/>
      </w:tblGrid>
      <w:tr w:rsidR="00000000">
        <w:trPr>
          <w:divId w:val="1795827769"/>
          <w:tblCellSpacing w:w="15" w:type="dxa"/>
        </w:trPr>
        <w:tc>
          <w:tcPr>
            <w:tcW w:w="3113" w:type="pct"/>
            <w:vAlign w:val="center"/>
            <w:hideMark/>
          </w:tcPr>
          <w:p w:rsidR="00000000" w:rsidRDefault="00A32496">
            <w:pPr>
              <w:rPr>
                <w:sz w:val="20"/>
                <w:szCs w:val="20"/>
              </w:rPr>
            </w:pPr>
          </w:p>
        </w:tc>
        <w:tc>
          <w:tcPr>
            <w:tcW w:w="99"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732"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99"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756"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r>
      <w:tr w:rsidR="00000000">
        <w:trPr>
          <w:divId w:val="1795827769"/>
          <w:trHeight w:val="180"/>
          <w:tblCellSpacing w:w="15" w:type="dxa"/>
        </w:trPr>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6"/>
            <w:vAlign w:val="center"/>
            <w:hideMark/>
          </w:tcPr>
          <w:p w:rsidR="00000000" w:rsidRDefault="00A32496">
            <w:pPr>
              <w:pStyle w:val="a3"/>
              <w:spacing w:before="0" w:beforeAutospacing="0" w:after="0" w:afterAutospacing="0"/>
              <w:jc w:val="center"/>
              <w:rPr>
                <w:sz w:val="18"/>
                <w:szCs w:val="18"/>
              </w:rPr>
            </w:pPr>
            <w:r>
              <w:rPr>
                <w:b/>
                <w:bCs/>
                <w:sz w:val="18"/>
                <w:szCs w:val="18"/>
              </w:rPr>
              <w:t>For the Nine Months Ended September 30</w:t>
            </w:r>
            <w:r>
              <w:rPr>
                <w:b/>
                <w:bCs/>
                <w:sz w:val="18"/>
                <w:szCs w:val="18"/>
              </w:rPr>
              <w:t>,</w:t>
            </w:r>
          </w:p>
        </w:tc>
        <w:tc>
          <w:tcPr>
            <w:tcW w:w="0" w:type="auto"/>
            <w:vAlign w:val="center"/>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1795827769"/>
          <w:trHeight w:val="180"/>
          <w:tblCellSpacing w:w="15" w:type="dxa"/>
        </w:trPr>
        <w:tc>
          <w:tcPr>
            <w:tcW w:w="0" w:type="auto"/>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center"/>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center"/>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1795827769"/>
          <w:trHeight w:val="180"/>
          <w:tblCellSpacing w:w="15" w:type="dxa"/>
        </w:trPr>
        <w:tc>
          <w:tcPr>
            <w:tcW w:w="0" w:type="auto"/>
            <w:vAlign w:val="center"/>
            <w:hideMark/>
          </w:tcPr>
          <w:p w:rsidR="00000000" w:rsidRDefault="00A32496">
            <w:pPr>
              <w:pStyle w:val="a3"/>
              <w:spacing w:before="0" w:beforeAutospacing="0" w:after="0" w:afterAutospacing="0"/>
              <w:rPr>
                <w:sz w:val="18"/>
                <w:szCs w:val="18"/>
              </w:rPr>
            </w:pPr>
            <w:r>
              <w:rPr>
                <w:sz w:val="18"/>
                <w:szCs w:val="18"/>
              </w:rPr>
              <w:t>Cash paid for amounts included in the measurement of lease liabilitie</w:t>
            </w:r>
            <w:r>
              <w:rPr>
                <w:sz w:val="18"/>
                <w:szCs w:val="18"/>
              </w:rPr>
              <w:t>s</w:t>
            </w:r>
          </w:p>
        </w:tc>
        <w:tc>
          <w:tcPr>
            <w:tcW w:w="0" w:type="auto"/>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rPr>
                <w:sz w:val="18"/>
                <w:szCs w:val="18"/>
              </w:rPr>
            </w:pPr>
            <w:r>
              <w:rPr>
                <w:sz w:val="18"/>
                <w:szCs w:val="18"/>
              </w:rPr>
              <w:t> </w:t>
            </w:r>
          </w:p>
        </w:tc>
      </w:tr>
      <w:tr w:rsidR="00000000">
        <w:trPr>
          <w:divId w:val="1795827769"/>
          <w:trHeight w:val="180"/>
          <w:tblCellSpacing w:w="15" w:type="dxa"/>
        </w:trPr>
        <w:tc>
          <w:tcPr>
            <w:tcW w:w="0" w:type="auto"/>
            <w:vAlign w:val="center"/>
            <w:hideMark/>
          </w:tcPr>
          <w:p w:rsidR="00000000" w:rsidRDefault="00A32496">
            <w:pPr>
              <w:pStyle w:val="a3"/>
              <w:spacing w:before="0" w:beforeAutospacing="0" w:after="0" w:afterAutospacing="0"/>
              <w:ind w:left="100"/>
              <w:rPr>
                <w:sz w:val="18"/>
                <w:szCs w:val="18"/>
              </w:rPr>
            </w:pPr>
            <w:r>
              <w:rPr>
                <w:sz w:val="18"/>
                <w:szCs w:val="18"/>
              </w:rPr>
              <w:t>Operating cash flows used in operating lease</w:t>
            </w:r>
            <w:r>
              <w:rPr>
                <w:sz w:val="18"/>
                <w:szCs w:val="18"/>
              </w:rPr>
              <w:t>s</w:t>
            </w:r>
          </w:p>
        </w:tc>
        <w:tc>
          <w:tcPr>
            <w:tcW w:w="0" w:type="auto"/>
            <w:vAlign w:val="center"/>
            <w:hideMark/>
          </w:tcPr>
          <w:p w:rsidR="00000000" w:rsidRDefault="00A32496">
            <w:pPr>
              <w:pStyle w:val="a3"/>
              <w:spacing w:before="0" w:beforeAutospacing="0" w:after="0" w:afterAutospacing="0"/>
              <w:ind w:left="100"/>
              <w:rPr>
                <w:sz w:val="18"/>
                <w:szCs w:val="18"/>
              </w:rPr>
            </w:pPr>
            <w:r>
              <w:rPr>
                <w:sz w:val="18"/>
                <w:szCs w:val="18"/>
              </w:rPr>
              <w:t> </w:t>
            </w:r>
          </w:p>
        </w:tc>
        <w:tc>
          <w:tcPr>
            <w:tcW w:w="0" w:type="auto"/>
            <w:noWrap/>
            <w:vAlign w:val="center"/>
            <w:hideMark/>
          </w:tcPr>
          <w:p w:rsidR="00000000" w:rsidRDefault="00A32496">
            <w:pPr>
              <w:pStyle w:val="a3"/>
              <w:spacing w:before="0" w:beforeAutospacing="0" w:after="0" w:afterAutospacing="0"/>
              <w:rPr>
                <w:sz w:val="18"/>
                <w:szCs w:val="18"/>
              </w:rPr>
            </w:pPr>
            <w:r>
              <w:rPr>
                <w:sz w:val="18"/>
                <w:szCs w:val="18"/>
              </w:rPr>
              <w:t>$</w:t>
            </w:r>
          </w:p>
        </w:tc>
        <w:tc>
          <w:tcPr>
            <w:tcW w:w="0" w:type="auto"/>
            <w:vAlign w:val="center"/>
            <w:hideMark/>
          </w:tcPr>
          <w:p w:rsidR="00000000" w:rsidRDefault="00A32496">
            <w:pPr>
              <w:pStyle w:val="a3"/>
              <w:spacing w:before="0" w:beforeAutospacing="0" w:after="0" w:afterAutospacing="0"/>
              <w:jc w:val="right"/>
              <w:rPr>
                <w:sz w:val="20"/>
                <w:szCs w:val="20"/>
              </w:rPr>
            </w:pPr>
            <w:r>
              <w:rPr>
                <w:sz w:val="18"/>
                <w:szCs w:val="18"/>
              </w:rPr>
              <w:t>7,17</w:t>
            </w:r>
            <w:r>
              <w:rPr>
                <w:sz w:val="18"/>
                <w:szCs w:val="18"/>
              </w:rPr>
              <w:t>1</w:t>
            </w:r>
          </w:p>
        </w:tc>
        <w:tc>
          <w:tcPr>
            <w:tcW w:w="0" w:type="auto"/>
            <w:noWrap/>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ind w:left="100"/>
              <w:rPr>
                <w:sz w:val="18"/>
                <w:szCs w:val="18"/>
              </w:rPr>
            </w:pPr>
            <w:r>
              <w:rPr>
                <w:sz w:val="18"/>
                <w:szCs w:val="18"/>
              </w:rPr>
              <w:t> </w:t>
            </w:r>
          </w:p>
        </w:tc>
        <w:tc>
          <w:tcPr>
            <w:tcW w:w="0" w:type="auto"/>
            <w:noWrap/>
            <w:vAlign w:val="center"/>
            <w:hideMark/>
          </w:tcPr>
          <w:p w:rsidR="00000000" w:rsidRDefault="00A32496">
            <w:pPr>
              <w:pStyle w:val="a3"/>
              <w:spacing w:before="0" w:beforeAutospacing="0" w:after="0" w:afterAutospacing="0"/>
              <w:rPr>
                <w:sz w:val="18"/>
                <w:szCs w:val="18"/>
              </w:rPr>
            </w:pPr>
            <w:r>
              <w:rPr>
                <w:sz w:val="18"/>
                <w:szCs w:val="18"/>
              </w:rPr>
              <w:t>$</w:t>
            </w:r>
          </w:p>
        </w:tc>
        <w:tc>
          <w:tcPr>
            <w:tcW w:w="0" w:type="auto"/>
            <w:vAlign w:val="center"/>
            <w:hideMark/>
          </w:tcPr>
          <w:p w:rsidR="00000000" w:rsidRDefault="00A32496">
            <w:pPr>
              <w:pStyle w:val="a3"/>
              <w:spacing w:before="0" w:beforeAutospacing="0" w:after="0" w:afterAutospacing="0"/>
              <w:jc w:val="right"/>
              <w:rPr>
                <w:sz w:val="20"/>
                <w:szCs w:val="20"/>
              </w:rPr>
            </w:pPr>
            <w:r>
              <w:rPr>
                <w:sz w:val="18"/>
                <w:szCs w:val="18"/>
              </w:rPr>
              <w:t>6,27</w:t>
            </w:r>
            <w:r>
              <w:rPr>
                <w:sz w:val="18"/>
                <w:szCs w:val="18"/>
              </w:rPr>
              <w:t>3</w:t>
            </w:r>
          </w:p>
        </w:tc>
        <w:tc>
          <w:tcPr>
            <w:tcW w:w="0" w:type="auto"/>
            <w:noWrap/>
            <w:vAlign w:val="center"/>
            <w:hideMark/>
          </w:tcPr>
          <w:p w:rsidR="00000000" w:rsidRDefault="00A32496">
            <w:pPr>
              <w:pStyle w:val="a3"/>
              <w:spacing w:before="0" w:beforeAutospacing="0" w:after="0" w:afterAutospacing="0"/>
              <w:rPr>
                <w:sz w:val="18"/>
                <w:szCs w:val="18"/>
              </w:rPr>
            </w:pPr>
            <w:r>
              <w:rPr>
                <w:sz w:val="18"/>
                <w:szCs w:val="18"/>
              </w:rPr>
              <w:t> </w:t>
            </w:r>
          </w:p>
        </w:tc>
      </w:tr>
      <w:tr w:rsidR="00000000">
        <w:trPr>
          <w:divId w:val="1795827769"/>
          <w:trHeight w:val="180"/>
          <w:tblCellSpacing w:w="15" w:type="dxa"/>
        </w:trPr>
        <w:tc>
          <w:tcPr>
            <w:tcW w:w="0" w:type="auto"/>
            <w:vAlign w:val="center"/>
            <w:hideMark/>
          </w:tcPr>
          <w:p w:rsidR="00000000" w:rsidRDefault="00A32496">
            <w:pPr>
              <w:pStyle w:val="a3"/>
              <w:spacing w:before="0" w:beforeAutospacing="0" w:after="0" w:afterAutospacing="0"/>
              <w:ind w:left="100"/>
              <w:rPr>
                <w:sz w:val="18"/>
                <w:szCs w:val="18"/>
              </w:rPr>
            </w:pPr>
            <w:r>
              <w:rPr>
                <w:sz w:val="18"/>
                <w:szCs w:val="18"/>
              </w:rPr>
              <w:t>Operating cash flows used in finance lease</w:t>
            </w:r>
            <w:r>
              <w:rPr>
                <w:sz w:val="18"/>
                <w:szCs w:val="18"/>
              </w:rPr>
              <w:t>s</w:t>
            </w:r>
          </w:p>
        </w:tc>
        <w:tc>
          <w:tcPr>
            <w:tcW w:w="0" w:type="auto"/>
            <w:vAlign w:val="center"/>
            <w:hideMark/>
          </w:tcPr>
          <w:p w:rsidR="00000000" w:rsidRDefault="00A32496">
            <w:pPr>
              <w:pStyle w:val="a3"/>
              <w:spacing w:before="0" w:beforeAutospacing="0" w:after="0" w:afterAutospacing="0"/>
              <w:ind w:left="100"/>
              <w:rPr>
                <w:sz w:val="18"/>
                <w:szCs w:val="18"/>
              </w:rPr>
            </w:pPr>
            <w:r>
              <w:rPr>
                <w:sz w:val="18"/>
                <w:szCs w:val="18"/>
              </w:rPr>
              <w:t> </w:t>
            </w:r>
          </w:p>
        </w:tc>
        <w:tc>
          <w:tcPr>
            <w:tcW w:w="0" w:type="auto"/>
            <w:noWrap/>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jc w:val="right"/>
              <w:rPr>
                <w:sz w:val="20"/>
                <w:szCs w:val="20"/>
              </w:rPr>
            </w:pPr>
            <w:r>
              <w:rPr>
                <w:sz w:val="18"/>
                <w:szCs w:val="18"/>
              </w:rPr>
              <w:t>33</w:t>
            </w:r>
            <w:r>
              <w:rPr>
                <w:sz w:val="18"/>
                <w:szCs w:val="18"/>
              </w:rPr>
              <w:t>5</w:t>
            </w:r>
          </w:p>
        </w:tc>
        <w:tc>
          <w:tcPr>
            <w:tcW w:w="0" w:type="auto"/>
            <w:noWrap/>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ind w:left="100"/>
              <w:rPr>
                <w:sz w:val="18"/>
                <w:szCs w:val="18"/>
              </w:rPr>
            </w:pPr>
            <w:r>
              <w:rPr>
                <w:sz w:val="18"/>
                <w:szCs w:val="18"/>
              </w:rPr>
              <w:t> </w:t>
            </w:r>
          </w:p>
        </w:tc>
        <w:tc>
          <w:tcPr>
            <w:tcW w:w="0" w:type="auto"/>
            <w:noWrap/>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jc w:val="right"/>
              <w:rPr>
                <w:sz w:val="20"/>
                <w:szCs w:val="20"/>
              </w:rPr>
            </w:pPr>
            <w:r>
              <w:rPr>
                <w:sz w:val="18"/>
                <w:szCs w:val="18"/>
              </w:rPr>
              <w:t>30</w:t>
            </w:r>
            <w:r>
              <w:rPr>
                <w:sz w:val="18"/>
                <w:szCs w:val="18"/>
              </w:rPr>
              <w:t>0</w:t>
            </w:r>
          </w:p>
        </w:tc>
        <w:tc>
          <w:tcPr>
            <w:tcW w:w="0" w:type="auto"/>
            <w:noWrap/>
            <w:vAlign w:val="center"/>
            <w:hideMark/>
          </w:tcPr>
          <w:p w:rsidR="00000000" w:rsidRDefault="00A32496">
            <w:pPr>
              <w:pStyle w:val="a3"/>
              <w:spacing w:before="0" w:beforeAutospacing="0" w:after="0" w:afterAutospacing="0"/>
              <w:rPr>
                <w:sz w:val="18"/>
                <w:szCs w:val="18"/>
              </w:rPr>
            </w:pPr>
            <w:r>
              <w:rPr>
                <w:sz w:val="18"/>
                <w:szCs w:val="18"/>
              </w:rPr>
              <w:t> </w:t>
            </w:r>
          </w:p>
        </w:tc>
      </w:tr>
      <w:tr w:rsidR="00000000">
        <w:trPr>
          <w:divId w:val="1795827769"/>
          <w:trHeight w:val="180"/>
          <w:tblCellSpacing w:w="15" w:type="dxa"/>
        </w:trPr>
        <w:tc>
          <w:tcPr>
            <w:tcW w:w="0" w:type="auto"/>
            <w:vAlign w:val="center"/>
            <w:hideMark/>
          </w:tcPr>
          <w:p w:rsidR="00000000" w:rsidRDefault="00A32496">
            <w:pPr>
              <w:pStyle w:val="a3"/>
              <w:spacing w:before="0" w:beforeAutospacing="0" w:after="0" w:afterAutospacing="0"/>
              <w:ind w:left="100"/>
              <w:rPr>
                <w:sz w:val="18"/>
                <w:szCs w:val="18"/>
              </w:rPr>
            </w:pPr>
            <w:r>
              <w:rPr>
                <w:sz w:val="18"/>
                <w:szCs w:val="18"/>
              </w:rPr>
              <w:t>Financing cash flows used in finance lease</w:t>
            </w:r>
            <w:r>
              <w:rPr>
                <w:sz w:val="18"/>
                <w:szCs w:val="18"/>
              </w:rPr>
              <w:t>s</w:t>
            </w:r>
          </w:p>
        </w:tc>
        <w:tc>
          <w:tcPr>
            <w:tcW w:w="0" w:type="auto"/>
            <w:vAlign w:val="center"/>
            <w:hideMark/>
          </w:tcPr>
          <w:p w:rsidR="00000000" w:rsidRDefault="00A32496">
            <w:pPr>
              <w:pStyle w:val="a3"/>
              <w:spacing w:before="0" w:beforeAutospacing="0" w:after="0" w:afterAutospacing="0"/>
              <w:ind w:left="100"/>
              <w:rPr>
                <w:sz w:val="18"/>
                <w:szCs w:val="18"/>
              </w:rPr>
            </w:pPr>
            <w:r>
              <w:rPr>
                <w:sz w:val="18"/>
                <w:szCs w:val="18"/>
              </w:rPr>
              <w:t> </w:t>
            </w:r>
          </w:p>
        </w:tc>
        <w:tc>
          <w:tcPr>
            <w:tcW w:w="0" w:type="auto"/>
            <w:noWrap/>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jc w:val="right"/>
              <w:rPr>
                <w:sz w:val="20"/>
                <w:szCs w:val="20"/>
              </w:rPr>
            </w:pPr>
            <w:r>
              <w:rPr>
                <w:sz w:val="18"/>
                <w:szCs w:val="18"/>
              </w:rPr>
              <w:t>2,90</w:t>
            </w:r>
            <w:r>
              <w:rPr>
                <w:sz w:val="18"/>
                <w:szCs w:val="18"/>
              </w:rPr>
              <w:t>6</w:t>
            </w:r>
          </w:p>
        </w:tc>
        <w:tc>
          <w:tcPr>
            <w:tcW w:w="0" w:type="auto"/>
            <w:noWrap/>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ind w:left="100"/>
              <w:rPr>
                <w:sz w:val="18"/>
                <w:szCs w:val="18"/>
              </w:rPr>
            </w:pPr>
            <w:r>
              <w:rPr>
                <w:sz w:val="18"/>
                <w:szCs w:val="18"/>
              </w:rPr>
              <w:t> </w:t>
            </w:r>
          </w:p>
        </w:tc>
        <w:tc>
          <w:tcPr>
            <w:tcW w:w="0" w:type="auto"/>
            <w:noWrap/>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jc w:val="right"/>
              <w:rPr>
                <w:sz w:val="20"/>
                <w:szCs w:val="20"/>
              </w:rPr>
            </w:pPr>
            <w:r>
              <w:rPr>
                <w:sz w:val="18"/>
                <w:szCs w:val="18"/>
              </w:rPr>
              <w:t>2,36</w:t>
            </w:r>
            <w:r>
              <w:rPr>
                <w:sz w:val="18"/>
                <w:szCs w:val="18"/>
              </w:rPr>
              <w:t>7</w:t>
            </w:r>
          </w:p>
        </w:tc>
        <w:tc>
          <w:tcPr>
            <w:tcW w:w="0" w:type="auto"/>
            <w:noWrap/>
            <w:vAlign w:val="center"/>
            <w:hideMark/>
          </w:tcPr>
          <w:p w:rsidR="00000000" w:rsidRDefault="00A32496">
            <w:pPr>
              <w:pStyle w:val="a3"/>
              <w:spacing w:before="0" w:beforeAutospacing="0" w:after="0" w:afterAutospacing="0"/>
              <w:rPr>
                <w:sz w:val="18"/>
                <w:szCs w:val="18"/>
              </w:rPr>
            </w:pPr>
            <w:r>
              <w:rPr>
                <w:sz w:val="18"/>
                <w:szCs w:val="18"/>
              </w:rPr>
              <w:t> </w:t>
            </w:r>
          </w:p>
        </w:tc>
      </w:tr>
      <w:tr w:rsidR="00000000">
        <w:trPr>
          <w:divId w:val="1795827769"/>
          <w:tblCellSpacing w:w="15" w:type="dxa"/>
        </w:trPr>
        <w:tc>
          <w:tcPr>
            <w:tcW w:w="0" w:type="auto"/>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rPr>
                <w:sz w:val="18"/>
                <w:szCs w:val="18"/>
              </w:rPr>
            </w:pPr>
            <w:r>
              <w:rPr>
                <w:sz w:val="18"/>
                <w:szCs w:val="18"/>
              </w:rPr>
              <w:t> </w:t>
            </w:r>
          </w:p>
        </w:tc>
      </w:tr>
      <w:tr w:rsidR="00000000">
        <w:trPr>
          <w:divId w:val="1795827769"/>
          <w:trHeight w:val="180"/>
          <w:tblCellSpacing w:w="15" w:type="dxa"/>
        </w:trPr>
        <w:tc>
          <w:tcPr>
            <w:tcW w:w="0" w:type="auto"/>
            <w:vAlign w:val="center"/>
            <w:hideMark/>
          </w:tcPr>
          <w:p w:rsidR="00000000" w:rsidRDefault="00A32496">
            <w:pPr>
              <w:pStyle w:val="a3"/>
              <w:spacing w:before="0" w:beforeAutospacing="0" w:after="0" w:afterAutospacing="0"/>
              <w:rPr>
                <w:sz w:val="18"/>
                <w:szCs w:val="18"/>
              </w:rPr>
            </w:pPr>
            <w:r>
              <w:rPr>
                <w:sz w:val="18"/>
                <w:szCs w:val="18"/>
              </w:rPr>
              <w:t>Lease liabilities arising from new ROU asset</w:t>
            </w:r>
            <w:r>
              <w:rPr>
                <w:sz w:val="18"/>
                <w:szCs w:val="18"/>
              </w:rPr>
              <w:t>s</w:t>
            </w:r>
          </w:p>
        </w:tc>
        <w:tc>
          <w:tcPr>
            <w:tcW w:w="0" w:type="auto"/>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rPr>
                <w:sz w:val="18"/>
                <w:szCs w:val="18"/>
              </w:rPr>
            </w:pPr>
            <w:r>
              <w:rPr>
                <w:sz w:val="18"/>
                <w:szCs w:val="18"/>
              </w:rPr>
              <w:t> </w:t>
            </w:r>
          </w:p>
        </w:tc>
      </w:tr>
      <w:tr w:rsidR="00000000">
        <w:trPr>
          <w:divId w:val="1795827769"/>
          <w:trHeight w:val="180"/>
          <w:tblCellSpacing w:w="15" w:type="dxa"/>
        </w:trPr>
        <w:tc>
          <w:tcPr>
            <w:tcW w:w="0" w:type="auto"/>
            <w:vAlign w:val="center"/>
            <w:hideMark/>
          </w:tcPr>
          <w:p w:rsidR="00000000" w:rsidRDefault="00A32496">
            <w:pPr>
              <w:pStyle w:val="a3"/>
              <w:spacing w:before="0" w:beforeAutospacing="0" w:after="0" w:afterAutospacing="0"/>
              <w:ind w:left="100"/>
              <w:rPr>
                <w:sz w:val="18"/>
                <w:szCs w:val="18"/>
              </w:rPr>
            </w:pPr>
            <w:r>
              <w:rPr>
                <w:sz w:val="18"/>
                <w:szCs w:val="18"/>
              </w:rPr>
              <w:t>Operating lease</w:t>
            </w:r>
            <w:r>
              <w:rPr>
                <w:sz w:val="18"/>
                <w:szCs w:val="18"/>
              </w:rPr>
              <w:t>s</w:t>
            </w:r>
          </w:p>
        </w:tc>
        <w:tc>
          <w:tcPr>
            <w:tcW w:w="0" w:type="auto"/>
            <w:vAlign w:val="center"/>
            <w:hideMark/>
          </w:tcPr>
          <w:p w:rsidR="00000000" w:rsidRDefault="00A32496">
            <w:pPr>
              <w:pStyle w:val="a3"/>
              <w:spacing w:before="0" w:beforeAutospacing="0" w:after="0" w:afterAutospacing="0"/>
              <w:ind w:left="100"/>
              <w:rPr>
                <w:sz w:val="18"/>
                <w:szCs w:val="18"/>
              </w:rPr>
            </w:pPr>
            <w:r>
              <w:rPr>
                <w:sz w:val="18"/>
                <w:szCs w:val="18"/>
              </w:rPr>
              <w:t> </w:t>
            </w:r>
          </w:p>
        </w:tc>
        <w:tc>
          <w:tcPr>
            <w:tcW w:w="0" w:type="auto"/>
            <w:noWrap/>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jc w:val="right"/>
              <w:rPr>
                <w:sz w:val="20"/>
                <w:szCs w:val="20"/>
              </w:rPr>
            </w:pPr>
            <w:r>
              <w:rPr>
                <w:sz w:val="18"/>
                <w:szCs w:val="18"/>
              </w:rPr>
              <w:t>11,78</w:t>
            </w:r>
            <w:r>
              <w:rPr>
                <w:sz w:val="18"/>
                <w:szCs w:val="18"/>
              </w:rPr>
              <w:t>6</w:t>
            </w:r>
          </w:p>
        </w:tc>
        <w:tc>
          <w:tcPr>
            <w:tcW w:w="0" w:type="auto"/>
            <w:noWrap/>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ind w:left="100"/>
              <w:rPr>
                <w:sz w:val="18"/>
                <w:szCs w:val="18"/>
              </w:rPr>
            </w:pPr>
            <w:r>
              <w:rPr>
                <w:sz w:val="18"/>
                <w:szCs w:val="18"/>
              </w:rPr>
              <w:t> </w:t>
            </w:r>
          </w:p>
        </w:tc>
        <w:tc>
          <w:tcPr>
            <w:tcW w:w="0" w:type="auto"/>
            <w:noWrap/>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jc w:val="right"/>
              <w:rPr>
                <w:sz w:val="20"/>
                <w:szCs w:val="20"/>
              </w:rPr>
            </w:pPr>
            <w:r>
              <w:rPr>
                <w:sz w:val="18"/>
                <w:szCs w:val="18"/>
              </w:rPr>
              <w:t>5,07</w:t>
            </w:r>
            <w:r>
              <w:rPr>
                <w:sz w:val="18"/>
                <w:szCs w:val="18"/>
              </w:rPr>
              <w:t>8</w:t>
            </w:r>
          </w:p>
        </w:tc>
        <w:tc>
          <w:tcPr>
            <w:tcW w:w="0" w:type="auto"/>
            <w:noWrap/>
            <w:vAlign w:val="center"/>
            <w:hideMark/>
          </w:tcPr>
          <w:p w:rsidR="00000000" w:rsidRDefault="00A32496">
            <w:pPr>
              <w:pStyle w:val="a3"/>
              <w:spacing w:before="0" w:beforeAutospacing="0" w:after="0" w:afterAutospacing="0"/>
              <w:rPr>
                <w:sz w:val="18"/>
                <w:szCs w:val="18"/>
              </w:rPr>
            </w:pPr>
            <w:r>
              <w:rPr>
                <w:sz w:val="18"/>
                <w:szCs w:val="18"/>
              </w:rPr>
              <w:t> </w:t>
            </w:r>
          </w:p>
        </w:tc>
      </w:tr>
      <w:tr w:rsidR="00000000">
        <w:trPr>
          <w:divId w:val="1795827769"/>
          <w:trHeight w:val="180"/>
          <w:tblCellSpacing w:w="15" w:type="dxa"/>
        </w:trPr>
        <w:tc>
          <w:tcPr>
            <w:tcW w:w="0" w:type="auto"/>
            <w:vAlign w:val="center"/>
            <w:hideMark/>
          </w:tcPr>
          <w:p w:rsidR="00000000" w:rsidRDefault="00A32496">
            <w:pPr>
              <w:pStyle w:val="a3"/>
              <w:spacing w:before="0" w:beforeAutospacing="0" w:after="0" w:afterAutospacing="0"/>
              <w:ind w:left="100"/>
              <w:rPr>
                <w:sz w:val="18"/>
                <w:szCs w:val="18"/>
              </w:rPr>
            </w:pPr>
            <w:r>
              <w:rPr>
                <w:sz w:val="18"/>
                <w:szCs w:val="18"/>
              </w:rPr>
              <w:t>Finance lease</w:t>
            </w:r>
            <w:r>
              <w:rPr>
                <w:sz w:val="18"/>
                <w:szCs w:val="18"/>
              </w:rPr>
              <w:t>s</w:t>
            </w:r>
          </w:p>
        </w:tc>
        <w:tc>
          <w:tcPr>
            <w:tcW w:w="0" w:type="auto"/>
            <w:vAlign w:val="center"/>
            <w:hideMark/>
          </w:tcPr>
          <w:p w:rsidR="00000000" w:rsidRDefault="00A32496">
            <w:pPr>
              <w:pStyle w:val="a3"/>
              <w:spacing w:before="0" w:beforeAutospacing="0" w:after="0" w:afterAutospacing="0"/>
              <w:ind w:left="100"/>
              <w:rPr>
                <w:sz w:val="18"/>
                <w:szCs w:val="18"/>
              </w:rPr>
            </w:pPr>
            <w:r>
              <w:rPr>
                <w:sz w:val="18"/>
                <w:szCs w:val="18"/>
              </w:rPr>
              <w:t> </w:t>
            </w:r>
          </w:p>
        </w:tc>
        <w:tc>
          <w:tcPr>
            <w:tcW w:w="0" w:type="auto"/>
            <w:noWrap/>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jc w:val="right"/>
              <w:rPr>
                <w:sz w:val="20"/>
                <w:szCs w:val="20"/>
              </w:rPr>
            </w:pPr>
            <w:r>
              <w:rPr>
                <w:sz w:val="18"/>
                <w:szCs w:val="18"/>
              </w:rPr>
              <w:t>3,93</w:t>
            </w:r>
            <w:r>
              <w:rPr>
                <w:sz w:val="18"/>
                <w:szCs w:val="18"/>
              </w:rPr>
              <w:t>9</w:t>
            </w:r>
          </w:p>
        </w:tc>
        <w:tc>
          <w:tcPr>
            <w:tcW w:w="0" w:type="auto"/>
            <w:noWrap/>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ind w:left="100"/>
              <w:rPr>
                <w:sz w:val="18"/>
                <w:szCs w:val="18"/>
              </w:rPr>
            </w:pPr>
            <w:r>
              <w:rPr>
                <w:sz w:val="18"/>
                <w:szCs w:val="18"/>
              </w:rPr>
              <w:t> </w:t>
            </w:r>
          </w:p>
        </w:tc>
        <w:tc>
          <w:tcPr>
            <w:tcW w:w="0" w:type="auto"/>
            <w:noWrap/>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jc w:val="right"/>
              <w:rPr>
                <w:sz w:val="20"/>
                <w:szCs w:val="20"/>
              </w:rPr>
            </w:pPr>
            <w:r>
              <w:rPr>
                <w:sz w:val="18"/>
                <w:szCs w:val="18"/>
              </w:rPr>
              <w:t>2,71</w:t>
            </w:r>
            <w:r>
              <w:rPr>
                <w:sz w:val="18"/>
                <w:szCs w:val="18"/>
              </w:rPr>
              <w:t>9</w:t>
            </w:r>
          </w:p>
        </w:tc>
        <w:tc>
          <w:tcPr>
            <w:tcW w:w="0" w:type="auto"/>
            <w:noWrap/>
            <w:vAlign w:val="center"/>
            <w:hideMark/>
          </w:tcPr>
          <w:p w:rsidR="00000000" w:rsidRDefault="00A32496">
            <w:pPr>
              <w:pStyle w:val="a3"/>
              <w:spacing w:before="0" w:beforeAutospacing="0" w:after="0" w:afterAutospacing="0"/>
              <w:rPr>
                <w:sz w:val="18"/>
                <w:szCs w:val="18"/>
              </w:rPr>
            </w:pPr>
            <w:r>
              <w:rPr>
                <w:sz w:val="18"/>
                <w:szCs w:val="18"/>
              </w:rPr>
              <w:t> </w:t>
            </w:r>
          </w:p>
        </w:tc>
      </w:tr>
    </w:tbl>
    <w:p w:rsidR="00000000" w:rsidRDefault="00A32496">
      <w:pPr>
        <w:pStyle w:val="a3"/>
        <w:spacing w:before="240" w:beforeAutospacing="0" w:after="0" w:afterAutospacing="0"/>
        <w:ind w:firstLine="555"/>
        <w:divId w:val="439027925"/>
        <w:rPr>
          <w:sz w:val="20"/>
          <w:szCs w:val="20"/>
        </w:rPr>
      </w:pPr>
      <w:r>
        <w:rPr>
          <w:sz w:val="20"/>
          <w:szCs w:val="20"/>
        </w:rPr>
        <w:t>Weighted average remaining lease terms and weighted average discount rates were</w:t>
      </w:r>
      <w:r>
        <w:rPr>
          <w:sz w:val="20"/>
          <w:szCs w:val="20"/>
        </w:rPr>
        <w:t>:</w:t>
      </w:r>
    </w:p>
    <w:p w:rsidR="00000000" w:rsidRDefault="00A32496">
      <w:pPr>
        <w:pStyle w:val="a3"/>
        <w:spacing w:before="0" w:beforeAutospacing="0" w:after="0" w:afterAutospacing="0"/>
        <w:ind w:firstLine="555"/>
        <w:divId w:val="439027925"/>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414"/>
        <w:gridCol w:w="105"/>
        <w:gridCol w:w="106"/>
        <w:gridCol w:w="1182"/>
        <w:gridCol w:w="210"/>
        <w:gridCol w:w="105"/>
        <w:gridCol w:w="106"/>
        <w:gridCol w:w="1192"/>
        <w:gridCol w:w="225"/>
      </w:tblGrid>
      <w:tr w:rsidR="00000000">
        <w:trPr>
          <w:divId w:val="439027925"/>
          <w:tblCellSpacing w:w="15" w:type="dxa"/>
        </w:trPr>
        <w:tc>
          <w:tcPr>
            <w:tcW w:w="2694" w:type="pct"/>
            <w:vAlign w:val="center"/>
            <w:hideMark/>
          </w:tcPr>
          <w:p w:rsidR="00000000" w:rsidRDefault="00A32496">
            <w:pPr>
              <w:rPr>
                <w:sz w:val="20"/>
                <w:szCs w:val="20"/>
              </w:rPr>
            </w:pPr>
          </w:p>
        </w:tc>
        <w:tc>
          <w:tcPr>
            <w:tcW w:w="89"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959"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89"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966"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r>
      <w:tr w:rsidR="00000000">
        <w:trPr>
          <w:divId w:val="439027925"/>
          <w:trHeight w:val="180"/>
          <w:tblCellSpacing w:w="15" w:type="dxa"/>
        </w:trPr>
        <w:tc>
          <w:tcPr>
            <w:tcW w:w="0" w:type="auto"/>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gridSpan w:val="6"/>
            <w:vAlign w:val="center"/>
            <w:hideMark/>
          </w:tcPr>
          <w:p w:rsidR="00000000" w:rsidRDefault="00A32496">
            <w:pPr>
              <w:pStyle w:val="a3"/>
              <w:spacing w:before="0" w:beforeAutospacing="0" w:after="0" w:afterAutospacing="0"/>
              <w:jc w:val="center"/>
              <w:rPr>
                <w:sz w:val="18"/>
                <w:szCs w:val="18"/>
              </w:rPr>
            </w:pPr>
            <w:r>
              <w:rPr>
                <w:b/>
                <w:bCs/>
                <w:sz w:val="18"/>
                <w:szCs w:val="18"/>
              </w:rPr>
              <w:t>September 30, 202</w:t>
            </w:r>
            <w:r>
              <w:rPr>
                <w:b/>
                <w:bCs/>
                <w:sz w:val="18"/>
                <w:szCs w:val="18"/>
              </w:rPr>
              <w:t>2</w:t>
            </w:r>
          </w:p>
        </w:tc>
        <w:tc>
          <w:tcPr>
            <w:tcW w:w="0" w:type="auto"/>
            <w:vAlign w:val="center"/>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439027925"/>
          <w:trHeight w:val="180"/>
          <w:tblCellSpacing w:w="15" w:type="dxa"/>
        </w:trPr>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A32496">
            <w:pPr>
              <w:pStyle w:val="a3"/>
              <w:spacing w:before="0" w:beforeAutospacing="0" w:after="0" w:afterAutospacing="0"/>
              <w:jc w:val="center"/>
              <w:rPr>
                <w:sz w:val="18"/>
                <w:szCs w:val="18"/>
              </w:rPr>
            </w:pPr>
            <w:r>
              <w:rPr>
                <w:b/>
                <w:bCs/>
                <w:sz w:val="18"/>
                <w:szCs w:val="18"/>
              </w:rPr>
              <w:t>Operating Lease</w:t>
            </w:r>
            <w:r>
              <w:rPr>
                <w:b/>
                <w:bCs/>
                <w:sz w:val="18"/>
                <w:szCs w:val="18"/>
              </w:rPr>
              <w:t>s</w:t>
            </w:r>
          </w:p>
        </w:tc>
        <w:tc>
          <w:tcPr>
            <w:tcW w:w="0" w:type="auto"/>
            <w:vAlign w:val="center"/>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jc w:val="center"/>
              <w:rPr>
                <w:sz w:val="18"/>
                <w:szCs w:val="18"/>
              </w:rPr>
            </w:pPr>
            <w:r>
              <w:rPr>
                <w:sz w:val="18"/>
                <w:szCs w:val="18"/>
              </w:rPr>
              <w:t> </w:t>
            </w:r>
          </w:p>
        </w:tc>
        <w:tc>
          <w:tcPr>
            <w:tcW w:w="0" w:type="auto"/>
            <w:gridSpan w:val="2"/>
            <w:vAlign w:val="center"/>
            <w:hideMark/>
          </w:tcPr>
          <w:p w:rsidR="00000000" w:rsidRDefault="00A32496">
            <w:pPr>
              <w:pStyle w:val="a3"/>
              <w:spacing w:before="0" w:beforeAutospacing="0" w:after="0" w:afterAutospacing="0"/>
              <w:jc w:val="center"/>
              <w:rPr>
                <w:sz w:val="18"/>
                <w:szCs w:val="18"/>
              </w:rPr>
            </w:pPr>
            <w:r>
              <w:rPr>
                <w:b/>
                <w:bCs/>
                <w:sz w:val="18"/>
                <w:szCs w:val="18"/>
              </w:rPr>
              <w:t>Finance Lease</w:t>
            </w:r>
            <w:r>
              <w:rPr>
                <w:b/>
                <w:bCs/>
                <w:sz w:val="18"/>
                <w:szCs w:val="18"/>
              </w:rPr>
              <w:t>s</w:t>
            </w:r>
          </w:p>
        </w:tc>
        <w:tc>
          <w:tcPr>
            <w:tcW w:w="0" w:type="auto"/>
            <w:vAlign w:val="center"/>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439027925"/>
          <w:trHeight w:val="180"/>
          <w:tblCellSpacing w:w="15" w:type="dxa"/>
        </w:trPr>
        <w:tc>
          <w:tcPr>
            <w:tcW w:w="0" w:type="auto"/>
            <w:vAlign w:val="center"/>
            <w:hideMark/>
          </w:tcPr>
          <w:p w:rsidR="00000000" w:rsidRDefault="00A32496">
            <w:pPr>
              <w:pStyle w:val="a3"/>
              <w:spacing w:before="0" w:beforeAutospacing="0" w:after="0" w:afterAutospacing="0"/>
              <w:rPr>
                <w:sz w:val="18"/>
                <w:szCs w:val="18"/>
              </w:rPr>
            </w:pPr>
            <w:r>
              <w:rPr>
                <w:sz w:val="18"/>
                <w:szCs w:val="18"/>
              </w:rPr>
              <w:t>Weighted average remaining lease term (years</w:t>
            </w:r>
            <w:r>
              <w:rPr>
                <w:sz w:val="18"/>
                <w:szCs w:val="18"/>
              </w:rPr>
              <w:t>)</w:t>
            </w:r>
          </w:p>
        </w:tc>
        <w:tc>
          <w:tcPr>
            <w:tcW w:w="0" w:type="auto"/>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A32496">
            <w:pPr>
              <w:pStyle w:val="a3"/>
              <w:spacing w:before="0" w:beforeAutospacing="0" w:after="0" w:afterAutospacing="0"/>
              <w:jc w:val="right"/>
              <w:rPr>
                <w:sz w:val="20"/>
                <w:szCs w:val="20"/>
              </w:rPr>
            </w:pPr>
            <w:r>
              <w:rPr>
                <w:sz w:val="18"/>
                <w:szCs w:val="18"/>
              </w:rPr>
              <w:t>4.5</w:t>
            </w:r>
            <w:r>
              <w:rPr>
                <w:sz w:val="18"/>
                <w:szCs w:val="18"/>
              </w:rPr>
              <w:t>6</w:t>
            </w:r>
          </w:p>
        </w:tc>
        <w:tc>
          <w:tcPr>
            <w:tcW w:w="0" w:type="auto"/>
            <w:vAlign w:val="center"/>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jc w:val="right"/>
              <w:rPr>
                <w:sz w:val="20"/>
                <w:szCs w:val="20"/>
              </w:rPr>
            </w:pPr>
            <w:r>
              <w:rPr>
                <w:sz w:val="18"/>
                <w:szCs w:val="18"/>
              </w:rPr>
              <w:t>3.3</w:t>
            </w:r>
            <w:r>
              <w:rPr>
                <w:sz w:val="18"/>
                <w:szCs w:val="18"/>
              </w:rPr>
              <w:t>2</w:t>
            </w:r>
          </w:p>
        </w:tc>
        <w:tc>
          <w:tcPr>
            <w:tcW w:w="0" w:type="auto"/>
            <w:noWrap/>
            <w:vAlign w:val="center"/>
            <w:hideMark/>
          </w:tcPr>
          <w:p w:rsidR="00000000" w:rsidRDefault="00A32496">
            <w:pPr>
              <w:pStyle w:val="a3"/>
              <w:spacing w:before="0" w:beforeAutospacing="0" w:after="0" w:afterAutospacing="0"/>
              <w:rPr>
                <w:sz w:val="18"/>
                <w:szCs w:val="18"/>
              </w:rPr>
            </w:pPr>
            <w:r>
              <w:rPr>
                <w:sz w:val="18"/>
                <w:szCs w:val="18"/>
              </w:rPr>
              <w:t> </w:t>
            </w:r>
          </w:p>
        </w:tc>
      </w:tr>
      <w:tr w:rsidR="00000000">
        <w:trPr>
          <w:divId w:val="439027925"/>
          <w:trHeight w:val="180"/>
          <w:tblCellSpacing w:w="15" w:type="dxa"/>
        </w:trPr>
        <w:tc>
          <w:tcPr>
            <w:tcW w:w="0" w:type="auto"/>
            <w:vAlign w:val="center"/>
            <w:hideMark/>
          </w:tcPr>
          <w:p w:rsidR="00000000" w:rsidRDefault="00A32496">
            <w:pPr>
              <w:pStyle w:val="a3"/>
              <w:spacing w:before="0" w:beforeAutospacing="0" w:after="0" w:afterAutospacing="0"/>
              <w:rPr>
                <w:sz w:val="18"/>
                <w:szCs w:val="18"/>
              </w:rPr>
            </w:pPr>
            <w:r>
              <w:rPr>
                <w:sz w:val="18"/>
                <w:szCs w:val="18"/>
              </w:rPr>
              <w:t>Weighted average discount rat</w:t>
            </w:r>
            <w:r>
              <w:rPr>
                <w:sz w:val="18"/>
                <w:szCs w:val="18"/>
              </w:rPr>
              <w:t>e</w:t>
            </w:r>
          </w:p>
        </w:tc>
        <w:tc>
          <w:tcPr>
            <w:tcW w:w="0" w:type="auto"/>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A32496">
            <w:pPr>
              <w:pStyle w:val="a3"/>
              <w:spacing w:before="0" w:beforeAutospacing="0" w:after="0" w:afterAutospacing="0"/>
              <w:jc w:val="right"/>
              <w:rPr>
                <w:sz w:val="20"/>
                <w:szCs w:val="20"/>
              </w:rPr>
            </w:pPr>
            <w:r>
              <w:rPr>
                <w:sz w:val="18"/>
                <w:szCs w:val="18"/>
              </w:rPr>
              <w:t>2.5</w:t>
            </w:r>
            <w:r>
              <w:rPr>
                <w:sz w:val="18"/>
                <w:szCs w:val="18"/>
              </w:rPr>
              <w:t>8</w:t>
            </w:r>
            <w:r>
              <w:rPr>
                <w:sz w:val="18"/>
                <w:szCs w:val="18"/>
              </w:rPr>
              <w:t>%</w:t>
            </w:r>
          </w:p>
        </w:tc>
        <w:tc>
          <w:tcPr>
            <w:tcW w:w="0" w:type="auto"/>
            <w:vAlign w:val="center"/>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jc w:val="right"/>
              <w:rPr>
                <w:sz w:val="18"/>
                <w:szCs w:val="18"/>
              </w:rPr>
            </w:pPr>
            <w:r>
              <w:rPr>
                <w:sz w:val="18"/>
                <w:szCs w:val="18"/>
              </w:rPr>
              <w:t> </w:t>
            </w:r>
          </w:p>
        </w:tc>
        <w:tc>
          <w:tcPr>
            <w:tcW w:w="0" w:type="auto"/>
            <w:gridSpan w:val="2"/>
            <w:vAlign w:val="center"/>
            <w:hideMark/>
          </w:tcPr>
          <w:p w:rsidR="00000000" w:rsidRDefault="00A32496">
            <w:pPr>
              <w:pStyle w:val="a3"/>
              <w:spacing w:before="0" w:beforeAutospacing="0" w:after="0" w:afterAutospacing="0"/>
              <w:jc w:val="right"/>
              <w:rPr>
                <w:sz w:val="20"/>
                <w:szCs w:val="20"/>
              </w:rPr>
            </w:pPr>
            <w:r>
              <w:rPr>
                <w:sz w:val="18"/>
                <w:szCs w:val="18"/>
              </w:rPr>
              <w:t>5.2</w:t>
            </w:r>
            <w:r>
              <w:rPr>
                <w:sz w:val="18"/>
                <w:szCs w:val="18"/>
              </w:rPr>
              <w:t>7</w:t>
            </w:r>
            <w:r>
              <w:rPr>
                <w:sz w:val="18"/>
                <w:szCs w:val="18"/>
              </w:rPr>
              <w:t>%</w:t>
            </w:r>
          </w:p>
        </w:tc>
        <w:tc>
          <w:tcPr>
            <w:tcW w:w="0" w:type="auto"/>
            <w:vAlign w:val="center"/>
            <w:hideMark/>
          </w:tcPr>
          <w:p w:rsidR="00000000" w:rsidRDefault="00A32496">
            <w:pPr>
              <w:pStyle w:val="a3"/>
              <w:spacing w:before="0" w:beforeAutospacing="0" w:after="0" w:afterAutospacing="0"/>
              <w:jc w:val="right"/>
              <w:rPr>
                <w:sz w:val="18"/>
                <w:szCs w:val="18"/>
              </w:rPr>
            </w:pPr>
            <w:r>
              <w:rPr>
                <w:sz w:val="18"/>
                <w:szCs w:val="18"/>
              </w:rPr>
              <w:t> </w:t>
            </w:r>
          </w:p>
        </w:tc>
      </w:tr>
      <w:tr w:rsidR="00000000">
        <w:trPr>
          <w:divId w:val="439027925"/>
          <w:tblCellSpacing w:w="15" w:type="dxa"/>
        </w:trPr>
        <w:tc>
          <w:tcPr>
            <w:tcW w:w="0" w:type="auto"/>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jc w:val="right"/>
              <w:rPr>
                <w:sz w:val="18"/>
                <w:szCs w:val="18"/>
              </w:rPr>
            </w:pPr>
            <w:r>
              <w:rPr>
                <w:sz w:val="18"/>
                <w:szCs w:val="18"/>
              </w:rPr>
              <w:t> </w:t>
            </w:r>
          </w:p>
        </w:tc>
        <w:tc>
          <w:tcPr>
            <w:tcW w:w="0" w:type="auto"/>
            <w:gridSpan w:val="2"/>
            <w:vAlign w:val="center"/>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jc w:val="right"/>
              <w:rPr>
                <w:sz w:val="18"/>
                <w:szCs w:val="18"/>
              </w:rPr>
            </w:pPr>
            <w:r>
              <w:rPr>
                <w:sz w:val="18"/>
                <w:szCs w:val="18"/>
              </w:rPr>
              <w:t> </w:t>
            </w:r>
          </w:p>
        </w:tc>
      </w:tr>
      <w:tr w:rsidR="00000000">
        <w:trPr>
          <w:divId w:val="439027925"/>
          <w:trHeight w:val="180"/>
          <w:tblCellSpacing w:w="15" w:type="dxa"/>
        </w:trPr>
        <w:tc>
          <w:tcPr>
            <w:tcW w:w="0" w:type="auto"/>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gridSpan w:val="6"/>
            <w:vAlign w:val="center"/>
            <w:hideMark/>
          </w:tcPr>
          <w:p w:rsidR="00000000" w:rsidRDefault="00A32496">
            <w:pPr>
              <w:pStyle w:val="a3"/>
              <w:spacing w:before="0" w:beforeAutospacing="0" w:after="0" w:afterAutospacing="0"/>
              <w:jc w:val="center"/>
              <w:rPr>
                <w:sz w:val="18"/>
                <w:szCs w:val="18"/>
              </w:rPr>
            </w:pPr>
            <w:r>
              <w:rPr>
                <w:b/>
                <w:bCs/>
                <w:sz w:val="18"/>
                <w:szCs w:val="18"/>
              </w:rPr>
              <w:t>September 30, 202</w:t>
            </w:r>
            <w:r>
              <w:rPr>
                <w:b/>
                <w:bCs/>
                <w:sz w:val="18"/>
                <w:szCs w:val="18"/>
              </w:rPr>
              <w:t>1</w:t>
            </w:r>
          </w:p>
        </w:tc>
        <w:tc>
          <w:tcPr>
            <w:tcW w:w="0" w:type="auto"/>
            <w:vAlign w:val="center"/>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439027925"/>
          <w:trHeight w:val="180"/>
          <w:tblCellSpacing w:w="15" w:type="dxa"/>
        </w:trPr>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A32496">
            <w:pPr>
              <w:pStyle w:val="a3"/>
              <w:spacing w:before="0" w:beforeAutospacing="0" w:after="0" w:afterAutospacing="0"/>
              <w:jc w:val="center"/>
              <w:rPr>
                <w:sz w:val="18"/>
                <w:szCs w:val="18"/>
              </w:rPr>
            </w:pPr>
            <w:r>
              <w:rPr>
                <w:b/>
                <w:bCs/>
                <w:sz w:val="18"/>
                <w:szCs w:val="18"/>
              </w:rPr>
              <w:t>Operating Lease</w:t>
            </w:r>
            <w:r>
              <w:rPr>
                <w:b/>
                <w:bCs/>
                <w:sz w:val="18"/>
                <w:szCs w:val="18"/>
              </w:rPr>
              <w:t>s</w:t>
            </w:r>
          </w:p>
        </w:tc>
        <w:tc>
          <w:tcPr>
            <w:tcW w:w="0" w:type="auto"/>
            <w:vAlign w:val="center"/>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jc w:val="center"/>
              <w:rPr>
                <w:sz w:val="18"/>
                <w:szCs w:val="18"/>
              </w:rPr>
            </w:pPr>
            <w:r>
              <w:rPr>
                <w:sz w:val="18"/>
                <w:szCs w:val="18"/>
              </w:rPr>
              <w:t> </w:t>
            </w:r>
          </w:p>
        </w:tc>
        <w:tc>
          <w:tcPr>
            <w:tcW w:w="0" w:type="auto"/>
            <w:gridSpan w:val="2"/>
            <w:vAlign w:val="center"/>
            <w:hideMark/>
          </w:tcPr>
          <w:p w:rsidR="00000000" w:rsidRDefault="00A32496">
            <w:pPr>
              <w:pStyle w:val="a3"/>
              <w:spacing w:before="0" w:beforeAutospacing="0" w:after="0" w:afterAutospacing="0"/>
              <w:jc w:val="center"/>
              <w:rPr>
                <w:sz w:val="18"/>
                <w:szCs w:val="18"/>
              </w:rPr>
            </w:pPr>
            <w:r>
              <w:rPr>
                <w:b/>
                <w:bCs/>
                <w:sz w:val="18"/>
                <w:szCs w:val="18"/>
              </w:rPr>
              <w:t>Finance Lease</w:t>
            </w:r>
            <w:r>
              <w:rPr>
                <w:b/>
                <w:bCs/>
                <w:sz w:val="18"/>
                <w:szCs w:val="18"/>
              </w:rPr>
              <w:t>s</w:t>
            </w:r>
          </w:p>
        </w:tc>
        <w:tc>
          <w:tcPr>
            <w:tcW w:w="0" w:type="auto"/>
            <w:vAlign w:val="center"/>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439027925"/>
          <w:trHeight w:val="180"/>
          <w:tblCellSpacing w:w="15" w:type="dxa"/>
        </w:trPr>
        <w:tc>
          <w:tcPr>
            <w:tcW w:w="0" w:type="auto"/>
            <w:vAlign w:val="center"/>
            <w:hideMark/>
          </w:tcPr>
          <w:p w:rsidR="00000000" w:rsidRDefault="00A32496">
            <w:pPr>
              <w:pStyle w:val="a3"/>
              <w:spacing w:before="0" w:beforeAutospacing="0" w:after="0" w:afterAutospacing="0"/>
              <w:rPr>
                <w:sz w:val="18"/>
                <w:szCs w:val="18"/>
              </w:rPr>
            </w:pPr>
            <w:r>
              <w:rPr>
                <w:sz w:val="18"/>
                <w:szCs w:val="18"/>
              </w:rPr>
              <w:t>Weighted average remaining lease term (years</w:t>
            </w:r>
            <w:r>
              <w:rPr>
                <w:sz w:val="18"/>
                <w:szCs w:val="18"/>
              </w:rPr>
              <w:t>)</w:t>
            </w:r>
          </w:p>
        </w:tc>
        <w:tc>
          <w:tcPr>
            <w:tcW w:w="0" w:type="auto"/>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A32496">
            <w:pPr>
              <w:pStyle w:val="a3"/>
              <w:spacing w:before="0" w:beforeAutospacing="0" w:after="0" w:afterAutospacing="0"/>
              <w:jc w:val="right"/>
              <w:rPr>
                <w:sz w:val="20"/>
                <w:szCs w:val="20"/>
              </w:rPr>
            </w:pPr>
            <w:r>
              <w:rPr>
                <w:sz w:val="18"/>
                <w:szCs w:val="18"/>
              </w:rPr>
              <w:t>5.2</w:t>
            </w:r>
            <w:r>
              <w:rPr>
                <w:sz w:val="18"/>
                <w:szCs w:val="18"/>
              </w:rPr>
              <w:t>2</w:t>
            </w:r>
          </w:p>
        </w:tc>
        <w:tc>
          <w:tcPr>
            <w:tcW w:w="0" w:type="auto"/>
            <w:vAlign w:val="center"/>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jc w:val="right"/>
              <w:rPr>
                <w:sz w:val="20"/>
                <w:szCs w:val="20"/>
              </w:rPr>
            </w:pPr>
            <w:r>
              <w:rPr>
                <w:sz w:val="18"/>
                <w:szCs w:val="18"/>
              </w:rPr>
              <w:t>2.8</w:t>
            </w:r>
            <w:r>
              <w:rPr>
                <w:sz w:val="18"/>
                <w:szCs w:val="18"/>
              </w:rPr>
              <w:t>0</w:t>
            </w:r>
          </w:p>
        </w:tc>
        <w:tc>
          <w:tcPr>
            <w:tcW w:w="0" w:type="auto"/>
            <w:noWrap/>
            <w:vAlign w:val="center"/>
            <w:hideMark/>
          </w:tcPr>
          <w:p w:rsidR="00000000" w:rsidRDefault="00A32496">
            <w:pPr>
              <w:pStyle w:val="a3"/>
              <w:spacing w:before="0" w:beforeAutospacing="0" w:after="0" w:afterAutospacing="0"/>
              <w:rPr>
                <w:sz w:val="18"/>
                <w:szCs w:val="18"/>
              </w:rPr>
            </w:pPr>
            <w:r>
              <w:rPr>
                <w:sz w:val="18"/>
                <w:szCs w:val="18"/>
              </w:rPr>
              <w:t> </w:t>
            </w:r>
          </w:p>
        </w:tc>
      </w:tr>
      <w:tr w:rsidR="00000000">
        <w:trPr>
          <w:divId w:val="439027925"/>
          <w:trHeight w:val="180"/>
          <w:tblCellSpacing w:w="15" w:type="dxa"/>
        </w:trPr>
        <w:tc>
          <w:tcPr>
            <w:tcW w:w="0" w:type="auto"/>
            <w:vAlign w:val="center"/>
            <w:hideMark/>
          </w:tcPr>
          <w:p w:rsidR="00000000" w:rsidRDefault="00A32496">
            <w:pPr>
              <w:pStyle w:val="a3"/>
              <w:spacing w:before="0" w:beforeAutospacing="0" w:after="0" w:afterAutospacing="0"/>
              <w:rPr>
                <w:sz w:val="18"/>
                <w:szCs w:val="18"/>
              </w:rPr>
            </w:pPr>
            <w:r>
              <w:rPr>
                <w:sz w:val="18"/>
                <w:szCs w:val="18"/>
              </w:rPr>
              <w:t>Weighted average discount rat</w:t>
            </w:r>
            <w:r>
              <w:rPr>
                <w:sz w:val="18"/>
                <w:szCs w:val="18"/>
              </w:rPr>
              <w:t>e</w:t>
            </w:r>
          </w:p>
        </w:tc>
        <w:tc>
          <w:tcPr>
            <w:tcW w:w="0" w:type="auto"/>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jc w:val="right"/>
              <w:rPr>
                <w:sz w:val="20"/>
                <w:szCs w:val="20"/>
              </w:rPr>
            </w:pPr>
            <w:r>
              <w:rPr>
                <w:sz w:val="18"/>
                <w:szCs w:val="18"/>
              </w:rPr>
              <w:t>2.6</w:t>
            </w:r>
            <w:r>
              <w:rPr>
                <w:sz w:val="18"/>
                <w:szCs w:val="18"/>
              </w:rPr>
              <w:t>2</w:t>
            </w:r>
          </w:p>
        </w:tc>
        <w:tc>
          <w:tcPr>
            <w:tcW w:w="0" w:type="auto"/>
            <w:noWrap/>
            <w:vAlign w:val="center"/>
            <w:hideMark/>
          </w:tcPr>
          <w:p w:rsidR="00000000" w:rsidRDefault="00A32496">
            <w:pPr>
              <w:pStyle w:val="a3"/>
              <w:spacing w:before="0" w:beforeAutospacing="0" w:after="0" w:afterAutospacing="0"/>
              <w:rPr>
                <w:sz w:val="18"/>
                <w:szCs w:val="18"/>
              </w:rPr>
            </w:pPr>
            <w:r>
              <w:rPr>
                <w:sz w:val="18"/>
                <w:szCs w:val="18"/>
              </w:rPr>
              <w:t>%</w:t>
            </w:r>
          </w:p>
        </w:tc>
        <w:tc>
          <w:tcPr>
            <w:tcW w:w="0" w:type="auto"/>
            <w:vAlign w:val="center"/>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jc w:val="right"/>
              <w:rPr>
                <w:sz w:val="20"/>
                <w:szCs w:val="20"/>
              </w:rPr>
            </w:pPr>
            <w:r>
              <w:rPr>
                <w:sz w:val="18"/>
                <w:szCs w:val="18"/>
              </w:rPr>
              <w:t>4.9</w:t>
            </w:r>
            <w:r>
              <w:rPr>
                <w:sz w:val="18"/>
                <w:szCs w:val="18"/>
              </w:rPr>
              <w:t>5</w:t>
            </w:r>
          </w:p>
        </w:tc>
        <w:tc>
          <w:tcPr>
            <w:tcW w:w="0" w:type="auto"/>
            <w:noWrap/>
            <w:vAlign w:val="center"/>
            <w:hideMark/>
          </w:tcPr>
          <w:p w:rsidR="00000000" w:rsidRDefault="00A32496">
            <w:pPr>
              <w:pStyle w:val="a3"/>
              <w:spacing w:before="0" w:beforeAutospacing="0" w:after="0" w:afterAutospacing="0"/>
              <w:rPr>
                <w:sz w:val="18"/>
                <w:szCs w:val="18"/>
              </w:rPr>
            </w:pPr>
            <w:r>
              <w:rPr>
                <w:sz w:val="18"/>
                <w:szCs w:val="18"/>
              </w:rPr>
              <w:t>%</w:t>
            </w:r>
          </w:p>
        </w:tc>
      </w:tr>
    </w:tbl>
    <w:p w:rsidR="00000000" w:rsidRDefault="00A32496">
      <w:pPr>
        <w:pStyle w:val="a3"/>
        <w:spacing w:before="0" w:beforeAutospacing="0" w:after="0" w:afterAutospacing="0"/>
        <w:divId w:val="439027925"/>
        <w:rPr>
          <w:sz w:val="20"/>
          <w:szCs w:val="20"/>
        </w:rPr>
      </w:pPr>
      <w:r>
        <w:rPr>
          <w:sz w:val="20"/>
          <w:szCs w:val="20"/>
        </w:rPr>
        <w:t> </w:t>
      </w:r>
    </w:p>
    <w:p w:rsidR="00000000" w:rsidRDefault="00A32496">
      <w:pPr>
        <w:pStyle w:val="a3"/>
        <w:spacing w:before="240" w:beforeAutospacing="0" w:after="0" w:afterAutospacing="0"/>
        <w:jc w:val="center"/>
        <w:divId w:val="439027925"/>
        <w:rPr>
          <w:sz w:val="20"/>
          <w:szCs w:val="20"/>
        </w:rPr>
      </w:pPr>
      <w:r>
        <w:rPr>
          <w:sz w:val="20"/>
          <w:szCs w:val="20"/>
        </w:rPr>
        <w:t>1</w:t>
      </w:r>
      <w:r>
        <w:rPr>
          <w:sz w:val="20"/>
          <w:szCs w:val="20"/>
        </w:rPr>
        <w:t>0</w:t>
      </w:r>
    </w:p>
    <w:p w:rsidR="00000000" w:rsidRDefault="00A32496">
      <w:pPr>
        <w:divId w:val="439027925"/>
        <w:rPr>
          <w:rFonts w:eastAsia="Times New Roman"/>
        </w:rPr>
      </w:pPr>
      <w:r>
        <w:rPr>
          <w:rFonts w:eastAsia="Times New Roman"/>
        </w:rPr>
        <w:pict>
          <v:rect id="_x0000_i1036" style="width:0;height:1.5pt" o:hralign="center" o:hrstd="t" o:hr="t" fillcolor="#a0a0a0" stroked="f"/>
        </w:pict>
      </w:r>
    </w:p>
    <w:p w:rsidR="00000000" w:rsidRDefault="00A32496">
      <w:pPr>
        <w:pStyle w:val="a3"/>
        <w:spacing w:before="0" w:beforeAutospacing="0" w:after="0" w:afterAutospacing="0"/>
        <w:divId w:val="439027925"/>
        <w:rPr>
          <w:sz w:val="20"/>
          <w:szCs w:val="20"/>
        </w:rPr>
      </w:pPr>
      <w:r>
        <w:rPr>
          <w:sz w:val="20"/>
          <w:szCs w:val="20"/>
        </w:rPr>
        <w:t> </w:t>
      </w:r>
    </w:p>
    <w:p w:rsidR="00000000" w:rsidRDefault="00A32496">
      <w:pPr>
        <w:pStyle w:val="a3"/>
        <w:spacing w:before="240" w:beforeAutospacing="0" w:after="0" w:afterAutospacing="0"/>
        <w:ind w:firstLine="555"/>
        <w:divId w:val="462499371"/>
        <w:rPr>
          <w:sz w:val="20"/>
          <w:szCs w:val="20"/>
        </w:rPr>
      </w:pPr>
      <w:r>
        <w:rPr>
          <w:sz w:val="20"/>
          <w:szCs w:val="20"/>
        </w:rPr>
        <w:t>The following is a schedule by year of the maturities of lease liabilities with original terms in excess of one year</w:t>
      </w:r>
      <w:r>
        <w:rPr>
          <w:sz w:val="20"/>
          <w:szCs w:val="20"/>
        </w:rPr>
        <w:t>:</w:t>
      </w:r>
    </w:p>
    <w:p w:rsidR="00000000" w:rsidRDefault="00A32496">
      <w:pPr>
        <w:pStyle w:val="a3"/>
        <w:spacing w:before="0" w:beforeAutospacing="0" w:after="0" w:afterAutospacing="0"/>
        <w:ind w:firstLine="555"/>
        <w:divId w:val="462499371"/>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428"/>
        <w:gridCol w:w="205"/>
        <w:gridCol w:w="151"/>
        <w:gridCol w:w="1180"/>
        <w:gridCol w:w="120"/>
        <w:gridCol w:w="124"/>
        <w:gridCol w:w="150"/>
        <w:gridCol w:w="1152"/>
        <w:gridCol w:w="135"/>
      </w:tblGrid>
      <w:tr w:rsidR="00000000">
        <w:trPr>
          <w:divId w:val="462499371"/>
          <w:tblCellSpacing w:w="15" w:type="dxa"/>
        </w:trPr>
        <w:tc>
          <w:tcPr>
            <w:tcW w:w="2704" w:type="pct"/>
            <w:vAlign w:val="center"/>
            <w:hideMark/>
          </w:tcPr>
          <w:p w:rsidR="00000000" w:rsidRDefault="00A32496">
            <w:pPr>
              <w:rPr>
                <w:sz w:val="20"/>
                <w:szCs w:val="20"/>
              </w:rPr>
            </w:pPr>
          </w:p>
        </w:tc>
        <w:tc>
          <w:tcPr>
            <w:tcW w:w="114"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945"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113"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923"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r>
      <w:tr w:rsidR="00000000">
        <w:trPr>
          <w:divId w:val="462499371"/>
          <w:trHeight w:val="180"/>
          <w:tblCellSpacing w:w="15" w:type="dxa"/>
        </w:trPr>
        <w:tc>
          <w:tcPr>
            <w:tcW w:w="0" w:type="auto"/>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A32496">
            <w:pPr>
              <w:pStyle w:val="a3"/>
              <w:spacing w:before="0" w:beforeAutospacing="0" w:after="0" w:afterAutospacing="0"/>
              <w:jc w:val="center"/>
              <w:rPr>
                <w:sz w:val="18"/>
                <w:szCs w:val="18"/>
              </w:rPr>
            </w:pPr>
            <w:r>
              <w:rPr>
                <w:b/>
                <w:bCs/>
                <w:sz w:val="18"/>
                <w:szCs w:val="18"/>
              </w:rPr>
              <w:t>Operating Lease</w:t>
            </w:r>
            <w:r>
              <w:rPr>
                <w:b/>
                <w:bCs/>
                <w:sz w:val="18"/>
                <w:szCs w:val="18"/>
              </w:rPr>
              <w:t>s</w:t>
            </w:r>
          </w:p>
        </w:tc>
        <w:tc>
          <w:tcPr>
            <w:tcW w:w="0" w:type="auto"/>
            <w:vAlign w:val="center"/>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A32496">
            <w:pPr>
              <w:pStyle w:val="a3"/>
              <w:spacing w:before="0" w:beforeAutospacing="0" w:after="0" w:afterAutospacing="0"/>
              <w:jc w:val="center"/>
              <w:rPr>
                <w:sz w:val="18"/>
                <w:szCs w:val="18"/>
              </w:rPr>
            </w:pPr>
            <w:r>
              <w:rPr>
                <w:b/>
                <w:bCs/>
                <w:sz w:val="18"/>
                <w:szCs w:val="18"/>
              </w:rPr>
              <w:t>Finance Lease</w:t>
            </w:r>
            <w:r>
              <w:rPr>
                <w:b/>
                <w:bCs/>
                <w:sz w:val="18"/>
                <w:szCs w:val="18"/>
              </w:rPr>
              <w:t>s</w:t>
            </w:r>
          </w:p>
        </w:tc>
        <w:tc>
          <w:tcPr>
            <w:tcW w:w="0" w:type="auto"/>
            <w:vAlign w:val="center"/>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462499371"/>
          <w:trHeight w:val="180"/>
          <w:tblCellSpacing w:w="15" w:type="dxa"/>
        </w:trPr>
        <w:tc>
          <w:tcPr>
            <w:tcW w:w="0" w:type="auto"/>
            <w:vAlign w:val="center"/>
            <w:hideMark/>
          </w:tcPr>
          <w:p w:rsidR="00000000" w:rsidRDefault="00A32496">
            <w:pPr>
              <w:pStyle w:val="a3"/>
              <w:spacing w:before="0" w:beforeAutospacing="0" w:after="0" w:afterAutospacing="0"/>
              <w:ind w:left="100"/>
              <w:rPr>
                <w:sz w:val="18"/>
                <w:szCs w:val="18"/>
              </w:rPr>
            </w:pPr>
            <w:r>
              <w:rPr>
                <w:sz w:val="18"/>
                <w:szCs w:val="18"/>
              </w:rPr>
              <w:t>Remainder of 202</w:t>
            </w:r>
            <w:r>
              <w:rPr>
                <w:sz w:val="18"/>
                <w:szCs w:val="18"/>
              </w:rPr>
              <w:t>2</w:t>
            </w:r>
          </w:p>
        </w:tc>
        <w:tc>
          <w:tcPr>
            <w:tcW w:w="0" w:type="auto"/>
            <w:vAlign w:val="center"/>
            <w:hideMark/>
          </w:tcPr>
          <w:p w:rsidR="00000000" w:rsidRDefault="00A32496">
            <w:pPr>
              <w:pStyle w:val="a3"/>
              <w:spacing w:before="0" w:beforeAutospacing="0" w:after="0" w:afterAutospacing="0"/>
              <w:ind w:left="10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2,44</w:t>
            </w:r>
            <w:r>
              <w:rPr>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1,18</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462499371"/>
          <w:trHeight w:val="180"/>
          <w:tblCellSpacing w:w="15" w:type="dxa"/>
        </w:trPr>
        <w:tc>
          <w:tcPr>
            <w:tcW w:w="0" w:type="auto"/>
            <w:vAlign w:val="center"/>
            <w:hideMark/>
          </w:tcPr>
          <w:p w:rsidR="00000000" w:rsidRDefault="00A32496">
            <w:pPr>
              <w:pStyle w:val="a3"/>
              <w:spacing w:before="0" w:beforeAutospacing="0" w:after="0" w:afterAutospacing="0"/>
              <w:ind w:left="100"/>
              <w:rPr>
                <w:sz w:val="18"/>
                <w:szCs w:val="18"/>
              </w:rPr>
            </w:pPr>
            <w:r>
              <w:rPr>
                <w:sz w:val="18"/>
                <w:szCs w:val="18"/>
              </w:rPr>
              <w:t>202</w:t>
            </w:r>
            <w:r>
              <w:rPr>
                <w:sz w:val="18"/>
                <w:szCs w:val="18"/>
              </w:rPr>
              <w:t>3</w:t>
            </w:r>
          </w:p>
        </w:tc>
        <w:tc>
          <w:tcPr>
            <w:tcW w:w="0" w:type="auto"/>
            <w:vAlign w:val="center"/>
            <w:hideMark/>
          </w:tcPr>
          <w:p w:rsidR="00000000" w:rsidRDefault="00A32496">
            <w:pPr>
              <w:pStyle w:val="a3"/>
              <w:spacing w:before="0" w:beforeAutospacing="0" w:after="0" w:afterAutospacing="0"/>
              <w:ind w:left="10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8,29</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3,87</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462499371"/>
          <w:trHeight w:val="180"/>
          <w:tblCellSpacing w:w="15" w:type="dxa"/>
        </w:trPr>
        <w:tc>
          <w:tcPr>
            <w:tcW w:w="0" w:type="auto"/>
            <w:vAlign w:val="center"/>
            <w:hideMark/>
          </w:tcPr>
          <w:p w:rsidR="00000000" w:rsidRDefault="00A32496">
            <w:pPr>
              <w:pStyle w:val="a3"/>
              <w:spacing w:before="0" w:beforeAutospacing="0" w:after="0" w:afterAutospacing="0"/>
              <w:ind w:left="100"/>
              <w:rPr>
                <w:sz w:val="18"/>
                <w:szCs w:val="18"/>
              </w:rPr>
            </w:pPr>
            <w:r>
              <w:rPr>
                <w:sz w:val="18"/>
                <w:szCs w:val="18"/>
              </w:rPr>
              <w:t>202</w:t>
            </w:r>
            <w:r>
              <w:rPr>
                <w:sz w:val="18"/>
                <w:szCs w:val="18"/>
              </w:rPr>
              <w:t>4</w:t>
            </w:r>
          </w:p>
        </w:tc>
        <w:tc>
          <w:tcPr>
            <w:tcW w:w="0" w:type="auto"/>
            <w:vAlign w:val="center"/>
            <w:hideMark/>
          </w:tcPr>
          <w:p w:rsidR="00000000" w:rsidRDefault="00A32496">
            <w:pPr>
              <w:pStyle w:val="a3"/>
              <w:spacing w:before="0" w:beforeAutospacing="0" w:after="0" w:afterAutospacing="0"/>
              <w:ind w:left="10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6,59</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2,78</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462499371"/>
          <w:trHeight w:val="180"/>
          <w:tblCellSpacing w:w="15" w:type="dxa"/>
        </w:trPr>
        <w:tc>
          <w:tcPr>
            <w:tcW w:w="0" w:type="auto"/>
            <w:vAlign w:val="center"/>
            <w:hideMark/>
          </w:tcPr>
          <w:p w:rsidR="00000000" w:rsidRDefault="00A32496">
            <w:pPr>
              <w:pStyle w:val="a3"/>
              <w:spacing w:before="0" w:beforeAutospacing="0" w:after="0" w:afterAutospacing="0"/>
              <w:ind w:left="100"/>
              <w:rPr>
                <w:sz w:val="18"/>
                <w:szCs w:val="18"/>
              </w:rPr>
            </w:pPr>
            <w:r>
              <w:rPr>
                <w:sz w:val="18"/>
                <w:szCs w:val="18"/>
              </w:rPr>
              <w:t>202</w:t>
            </w:r>
            <w:r>
              <w:rPr>
                <w:sz w:val="18"/>
                <w:szCs w:val="18"/>
              </w:rPr>
              <w:t>5</w:t>
            </w:r>
          </w:p>
        </w:tc>
        <w:tc>
          <w:tcPr>
            <w:tcW w:w="0" w:type="auto"/>
            <w:vAlign w:val="center"/>
            <w:hideMark/>
          </w:tcPr>
          <w:p w:rsidR="00000000" w:rsidRDefault="00A32496">
            <w:pPr>
              <w:pStyle w:val="a3"/>
              <w:spacing w:before="0" w:beforeAutospacing="0" w:after="0" w:afterAutospacing="0"/>
              <w:ind w:left="10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4,68</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1,88</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462499371"/>
          <w:trHeight w:val="180"/>
          <w:tblCellSpacing w:w="15" w:type="dxa"/>
        </w:trPr>
        <w:tc>
          <w:tcPr>
            <w:tcW w:w="0" w:type="auto"/>
            <w:vAlign w:val="center"/>
            <w:hideMark/>
          </w:tcPr>
          <w:p w:rsidR="00000000" w:rsidRDefault="00A32496">
            <w:pPr>
              <w:pStyle w:val="a3"/>
              <w:spacing w:before="0" w:beforeAutospacing="0" w:after="0" w:afterAutospacing="0"/>
              <w:ind w:left="100"/>
              <w:rPr>
                <w:sz w:val="18"/>
                <w:szCs w:val="18"/>
              </w:rPr>
            </w:pPr>
            <w:r>
              <w:rPr>
                <w:sz w:val="18"/>
                <w:szCs w:val="18"/>
              </w:rPr>
              <w:t>2026 and thereafte</w:t>
            </w:r>
            <w:r>
              <w:rPr>
                <w:sz w:val="18"/>
                <w:szCs w:val="18"/>
              </w:rPr>
              <w:t>r</w:t>
            </w:r>
          </w:p>
        </w:tc>
        <w:tc>
          <w:tcPr>
            <w:tcW w:w="0" w:type="auto"/>
            <w:vAlign w:val="center"/>
            <w:hideMark/>
          </w:tcPr>
          <w:p w:rsidR="00000000" w:rsidRDefault="00A32496">
            <w:pPr>
              <w:pStyle w:val="a3"/>
              <w:spacing w:before="0" w:beforeAutospacing="0" w:after="0" w:afterAutospacing="0"/>
              <w:ind w:left="10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8,73</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1,57</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462499371"/>
          <w:trHeight w:val="180"/>
          <w:tblCellSpacing w:w="15" w:type="dxa"/>
        </w:trPr>
        <w:tc>
          <w:tcPr>
            <w:tcW w:w="0" w:type="auto"/>
            <w:vAlign w:val="center"/>
            <w:hideMark/>
          </w:tcPr>
          <w:p w:rsidR="00000000" w:rsidRDefault="00A32496">
            <w:pPr>
              <w:pStyle w:val="a3"/>
              <w:spacing w:before="0" w:beforeAutospacing="0" w:after="0" w:afterAutospacing="0"/>
              <w:rPr>
                <w:sz w:val="18"/>
                <w:szCs w:val="18"/>
              </w:rPr>
            </w:pPr>
            <w:r>
              <w:rPr>
                <w:sz w:val="18"/>
                <w:szCs w:val="18"/>
              </w:rPr>
              <w:t>Total undiscounted future minimum lease payment</w:t>
            </w:r>
            <w:r>
              <w:rPr>
                <w:sz w:val="18"/>
                <w:szCs w:val="18"/>
              </w:rPr>
              <w:t>s</w:t>
            </w:r>
          </w:p>
        </w:tc>
        <w:tc>
          <w:tcPr>
            <w:tcW w:w="0" w:type="auto"/>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30,75</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11,28</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462499371"/>
          <w:trHeight w:val="180"/>
          <w:tblCellSpacing w:w="15" w:type="dxa"/>
        </w:trPr>
        <w:tc>
          <w:tcPr>
            <w:tcW w:w="0" w:type="auto"/>
            <w:vAlign w:val="center"/>
            <w:hideMark/>
          </w:tcPr>
          <w:p w:rsidR="00000000" w:rsidRDefault="00A32496">
            <w:pPr>
              <w:pStyle w:val="a3"/>
              <w:spacing w:before="0" w:beforeAutospacing="0" w:after="0" w:afterAutospacing="0"/>
              <w:rPr>
                <w:sz w:val="18"/>
                <w:szCs w:val="18"/>
              </w:rPr>
            </w:pPr>
            <w:r>
              <w:rPr>
                <w:sz w:val="18"/>
                <w:szCs w:val="18"/>
              </w:rPr>
              <w:t>Less imputed interes</w:t>
            </w:r>
            <w:r>
              <w:rPr>
                <w:sz w:val="18"/>
                <w:szCs w:val="18"/>
              </w:rPr>
              <w:t>t</w:t>
            </w:r>
          </w:p>
        </w:tc>
        <w:tc>
          <w:tcPr>
            <w:tcW w:w="0" w:type="auto"/>
            <w:vAlign w:val="center"/>
            <w:hideMark/>
          </w:tcPr>
          <w:p w:rsidR="00000000" w:rsidRDefault="00A32496">
            <w:pPr>
              <w:pStyle w:val="a3"/>
              <w:spacing w:before="0" w:beforeAutospacing="0" w:after="0" w:afterAutospacing="0"/>
              <w:ind w:left="10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1,77</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center"/>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95</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r>
      <w:tr w:rsidR="00000000">
        <w:trPr>
          <w:divId w:val="462499371"/>
          <w:trHeight w:val="180"/>
          <w:tblCellSpacing w:w="15" w:type="dxa"/>
        </w:trPr>
        <w:tc>
          <w:tcPr>
            <w:tcW w:w="0" w:type="auto"/>
            <w:vAlign w:val="center"/>
            <w:hideMark/>
          </w:tcPr>
          <w:p w:rsidR="00000000" w:rsidRDefault="00A32496">
            <w:pPr>
              <w:pStyle w:val="a3"/>
              <w:spacing w:before="0" w:beforeAutospacing="0" w:after="0" w:afterAutospacing="0"/>
              <w:rPr>
                <w:sz w:val="18"/>
                <w:szCs w:val="18"/>
              </w:rPr>
            </w:pPr>
            <w:r>
              <w:rPr>
                <w:sz w:val="18"/>
                <w:szCs w:val="18"/>
              </w:rPr>
              <w:t>Total discounted future minimum lease payment</w:t>
            </w:r>
            <w:r>
              <w:rPr>
                <w:sz w:val="18"/>
                <w:szCs w:val="18"/>
              </w:rPr>
              <w:t>s</w:t>
            </w:r>
          </w:p>
        </w:tc>
        <w:tc>
          <w:tcPr>
            <w:tcW w:w="0" w:type="auto"/>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center"/>
            <w:hideMark/>
          </w:tcPr>
          <w:p w:rsidR="00000000" w:rsidRDefault="00A32496">
            <w:pPr>
              <w:pStyle w:val="a3"/>
              <w:spacing w:before="0" w:beforeAutospacing="0" w:after="0" w:afterAutospacing="0"/>
              <w:rPr>
                <w:sz w:val="18"/>
                <w:szCs w:val="18"/>
              </w:rPr>
            </w:pPr>
            <w:r>
              <w:rPr>
                <w:sz w:val="18"/>
                <w:szCs w:val="18"/>
              </w:rPr>
              <w:t>$</w:t>
            </w:r>
          </w:p>
        </w:tc>
        <w:tc>
          <w:tcPr>
            <w:tcW w:w="0" w:type="auto"/>
            <w:vAlign w:val="center"/>
            <w:hideMark/>
          </w:tcPr>
          <w:p w:rsidR="00000000" w:rsidRDefault="00A32496">
            <w:pPr>
              <w:pStyle w:val="a3"/>
              <w:spacing w:before="0" w:beforeAutospacing="0" w:after="0" w:afterAutospacing="0"/>
              <w:jc w:val="right"/>
              <w:rPr>
                <w:sz w:val="20"/>
                <w:szCs w:val="20"/>
              </w:rPr>
            </w:pPr>
            <w:r>
              <w:rPr>
                <w:sz w:val="18"/>
                <w:szCs w:val="18"/>
              </w:rPr>
              <w:t>28,97</w:t>
            </w:r>
            <w:r>
              <w:rPr>
                <w:sz w:val="18"/>
                <w:szCs w:val="18"/>
              </w:rPr>
              <w:t>1</w:t>
            </w:r>
          </w:p>
        </w:tc>
        <w:tc>
          <w:tcPr>
            <w:tcW w:w="0" w:type="auto"/>
            <w:noWrap/>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center"/>
            <w:hideMark/>
          </w:tcPr>
          <w:p w:rsidR="00000000" w:rsidRDefault="00A32496">
            <w:pPr>
              <w:pStyle w:val="a3"/>
              <w:spacing w:before="0" w:beforeAutospacing="0" w:after="0" w:afterAutospacing="0"/>
              <w:rPr>
                <w:sz w:val="18"/>
                <w:szCs w:val="18"/>
              </w:rPr>
            </w:pPr>
            <w:r>
              <w:rPr>
                <w:sz w:val="18"/>
                <w:szCs w:val="18"/>
              </w:rPr>
              <w:t>$</w:t>
            </w:r>
          </w:p>
        </w:tc>
        <w:tc>
          <w:tcPr>
            <w:tcW w:w="0" w:type="auto"/>
            <w:vAlign w:val="center"/>
            <w:hideMark/>
          </w:tcPr>
          <w:p w:rsidR="00000000" w:rsidRDefault="00A32496">
            <w:pPr>
              <w:pStyle w:val="a3"/>
              <w:spacing w:before="0" w:beforeAutospacing="0" w:after="0" w:afterAutospacing="0"/>
              <w:jc w:val="right"/>
              <w:rPr>
                <w:sz w:val="20"/>
                <w:szCs w:val="20"/>
              </w:rPr>
            </w:pPr>
            <w:r>
              <w:rPr>
                <w:sz w:val="18"/>
                <w:szCs w:val="18"/>
              </w:rPr>
              <w:t>10,32</w:t>
            </w:r>
            <w:r>
              <w:rPr>
                <w:sz w:val="18"/>
                <w:szCs w:val="18"/>
              </w:rPr>
              <w:t>5</w:t>
            </w:r>
          </w:p>
        </w:tc>
        <w:tc>
          <w:tcPr>
            <w:tcW w:w="0" w:type="auto"/>
            <w:noWrap/>
            <w:vAlign w:val="center"/>
            <w:hideMark/>
          </w:tcPr>
          <w:p w:rsidR="00000000" w:rsidRDefault="00A32496">
            <w:pPr>
              <w:pStyle w:val="a3"/>
              <w:spacing w:before="0" w:beforeAutospacing="0" w:after="0" w:afterAutospacing="0"/>
              <w:rPr>
                <w:sz w:val="18"/>
                <w:szCs w:val="18"/>
              </w:rPr>
            </w:pPr>
            <w:r>
              <w:rPr>
                <w:sz w:val="18"/>
                <w:szCs w:val="18"/>
              </w:rPr>
              <w:t> </w:t>
            </w:r>
          </w:p>
        </w:tc>
      </w:tr>
    </w:tbl>
    <w:p w:rsidR="00000000" w:rsidRDefault="00A32496">
      <w:pPr>
        <w:pStyle w:val="a3"/>
        <w:spacing w:before="0" w:beforeAutospacing="0" w:after="0" w:afterAutospacing="0"/>
        <w:rPr>
          <w:sz w:val="20"/>
          <w:szCs w:val="20"/>
        </w:rPr>
      </w:pPr>
      <w:r>
        <w:rPr>
          <w:sz w:val="20"/>
          <w:szCs w:val="20"/>
        </w:rPr>
        <w:t> </w:t>
      </w:r>
    </w:p>
    <w:p w:rsidR="00000000" w:rsidRDefault="00A32496">
      <w:pPr>
        <w:pStyle w:val="a3"/>
        <w:spacing w:before="360" w:beforeAutospacing="0" w:after="0" w:afterAutospacing="0"/>
        <w:divId w:val="594290046"/>
        <w:rPr>
          <w:sz w:val="20"/>
          <w:szCs w:val="20"/>
        </w:rPr>
      </w:pPr>
      <w:r>
        <w:rPr>
          <w:b/>
          <w:bCs/>
          <w:sz w:val="20"/>
          <w:szCs w:val="20"/>
        </w:rPr>
        <w:t>7. BUSINESS ACQUISITION</w:t>
      </w:r>
      <w:r>
        <w:rPr>
          <w:b/>
          <w:bCs/>
          <w:sz w:val="20"/>
          <w:szCs w:val="20"/>
        </w:rPr>
        <w:t>S</w:t>
      </w:r>
    </w:p>
    <w:p w:rsidR="00000000" w:rsidRDefault="00A32496">
      <w:pPr>
        <w:pStyle w:val="a3"/>
        <w:spacing w:before="240" w:beforeAutospacing="0" w:after="0" w:afterAutospacing="0"/>
        <w:ind w:firstLine="555"/>
        <w:divId w:val="594290046"/>
        <w:rPr>
          <w:sz w:val="20"/>
          <w:szCs w:val="20"/>
        </w:rPr>
      </w:pPr>
      <w:r>
        <w:rPr>
          <w:sz w:val="20"/>
          <w:szCs w:val="20"/>
        </w:rPr>
        <w:t>In line with the Company’s strategic growth initiatives</w:t>
      </w:r>
      <w:r>
        <w:rPr>
          <w:sz w:val="20"/>
          <w:szCs w:val="20"/>
        </w:rPr>
        <w:t>, the Company acquired certain businesses during the nine months ended September 30, 2022 and during the year ended December 31, 2021. The results of each of those acquired businesses are included in the unaudited condensed consolidated financial statement</w:t>
      </w:r>
      <w:r>
        <w:rPr>
          <w:sz w:val="20"/>
          <w:szCs w:val="20"/>
        </w:rPr>
        <w:t>s beginning on the acquisition date. Each transaction qualified as an acquisition of a business and was accounted for as a business combination. All acquisitions resulted in the recognition of goodwill. The Company paid these premiums resulting in such goo</w:t>
      </w:r>
      <w:r>
        <w:rPr>
          <w:sz w:val="20"/>
          <w:szCs w:val="20"/>
        </w:rPr>
        <w:t>dwill for a number of reasons, including expected synergies from combining operations of the acquiree and the Company while also growing the Company’s customer base, acquiring assembled workforces, expanding its presence in certain markets and expanding an</w:t>
      </w:r>
      <w:r>
        <w:rPr>
          <w:sz w:val="20"/>
          <w:szCs w:val="20"/>
        </w:rPr>
        <w:t>d advancing its product and service offerings. The Company recorded the assets acquired and liabilities assumed at their acquisition date fair value, with the difference between the fair value of the net assets acquired and the acquisition consideration re</w:t>
      </w:r>
      <w:r>
        <w:rPr>
          <w:sz w:val="20"/>
          <w:szCs w:val="20"/>
        </w:rPr>
        <w:t>flected as goodwill</w:t>
      </w:r>
      <w:r>
        <w:rPr>
          <w:sz w:val="20"/>
          <w:szCs w:val="20"/>
        </w:rPr>
        <w:t>.</w:t>
      </w:r>
    </w:p>
    <w:p w:rsidR="00000000" w:rsidRDefault="00A32496">
      <w:pPr>
        <w:pStyle w:val="a3"/>
        <w:spacing w:before="240" w:beforeAutospacing="0" w:after="0" w:afterAutospacing="0"/>
        <w:ind w:firstLine="555"/>
        <w:divId w:val="594290046"/>
        <w:rPr>
          <w:sz w:val="20"/>
          <w:szCs w:val="20"/>
        </w:rPr>
      </w:pPr>
      <w:r>
        <w:rPr>
          <w:sz w:val="20"/>
          <w:szCs w:val="20"/>
        </w:rPr>
        <w:t>The identifiable intangible assets for significant acquisitions are valued using the excess earnings method discounted cash flow approach for customer relationships, the relief from royalty method for trade names, the patent and external proprietary softwa</w:t>
      </w:r>
      <w:r>
        <w:rPr>
          <w:sz w:val="20"/>
          <w:szCs w:val="20"/>
        </w:rPr>
        <w:t>re, the “with and without” method for covenants not to compete and the replacement cost method for the internal proprietary software by incorporating Level 3 inputs as described under the fair value hierarchy of ASC 820. These unobservable inputs reflect t</w:t>
      </w:r>
      <w:r>
        <w:rPr>
          <w:sz w:val="20"/>
          <w:szCs w:val="20"/>
        </w:rPr>
        <w:t>he Company’s own assumptions about which assumptions market participants would use in pricing an asset on a non-recurring basis. These assets will be amortized over their respective estimated useful lives</w:t>
      </w:r>
      <w:r>
        <w:rPr>
          <w:sz w:val="20"/>
          <w:szCs w:val="20"/>
        </w:rPr>
        <w:t>.</w:t>
      </w:r>
    </w:p>
    <w:p w:rsidR="00000000" w:rsidRDefault="00A32496">
      <w:pPr>
        <w:pStyle w:val="a3"/>
        <w:spacing w:before="240" w:beforeAutospacing="0" w:after="0" w:afterAutospacing="0"/>
        <w:ind w:firstLine="555"/>
        <w:divId w:val="594290046"/>
        <w:rPr>
          <w:sz w:val="20"/>
          <w:szCs w:val="20"/>
        </w:rPr>
      </w:pPr>
      <w:r>
        <w:rPr>
          <w:sz w:val="20"/>
          <w:szCs w:val="20"/>
        </w:rPr>
        <w:t>Other purchase price obligations (primarily deferr</w:t>
      </w:r>
      <w:r>
        <w:rPr>
          <w:sz w:val="20"/>
          <w:szCs w:val="20"/>
        </w:rPr>
        <w:t>ed purchase price liabilities and target working capital liabilities or receivables) are included on the unaudited condensed consolidated statements of financial position in accounts payable and other accrued liabilities, other non-current liabilities or a</w:t>
      </w:r>
      <w:r>
        <w:rPr>
          <w:sz w:val="20"/>
          <w:szCs w:val="20"/>
        </w:rPr>
        <w:t>ccounts receivable-net in the case of working capital deficits. Contingent consideration outstanding from acquisitions are included on the unaudited condensed consolidated statements of financial position in business acquisition contingent consideration, c</w:t>
      </w:r>
      <w:r>
        <w:rPr>
          <w:sz w:val="20"/>
          <w:szCs w:val="20"/>
        </w:rPr>
        <w:t>urrent or in business acquisitions contingent consideration, long-term. The contingent consideration elements of the purchase price of the acquisitions are related to earn-outs which are based on the expected achievement of revenue or earnings thresholds a</w:t>
      </w:r>
      <w:r>
        <w:rPr>
          <w:sz w:val="20"/>
          <w:szCs w:val="20"/>
        </w:rPr>
        <w:t>s of the date of the acquisition and for which the maximum potential amount is limited</w:t>
      </w:r>
      <w:r>
        <w:rPr>
          <w:sz w:val="20"/>
          <w:szCs w:val="20"/>
        </w:rPr>
        <w:t>.</w:t>
      </w:r>
    </w:p>
    <w:p w:rsidR="00000000" w:rsidRDefault="00A32496">
      <w:pPr>
        <w:pStyle w:val="a3"/>
        <w:spacing w:before="240" w:beforeAutospacing="0" w:after="0" w:afterAutospacing="0"/>
        <w:ind w:firstLine="555"/>
        <w:divId w:val="594290046"/>
        <w:rPr>
          <w:sz w:val="20"/>
          <w:szCs w:val="20"/>
        </w:rPr>
      </w:pPr>
      <w:r>
        <w:rPr>
          <w:sz w:val="20"/>
          <w:szCs w:val="20"/>
        </w:rPr>
        <w:t xml:space="preserve">The Company considers several factors when determining whether or not contingent consideration liabilities are part of the purchase price, including the following: (i) </w:t>
      </w:r>
      <w:r>
        <w:rPr>
          <w:sz w:val="20"/>
          <w:szCs w:val="20"/>
        </w:rPr>
        <w:t>the valuation of its acquisitions is not supported solely by the initial consideration paid, (ii) the former stockholders of acquired companies that remain as key employees receive compensation other than contingent consideration payments at a reasonable l</w:t>
      </w:r>
      <w:r>
        <w:rPr>
          <w:sz w:val="20"/>
          <w:szCs w:val="20"/>
        </w:rPr>
        <w:t>evel compared with the compensation of the Company’s other key employees and (iii) contingent consideration payments are not affected by employment termination. The Company reviews and assesses the estimated fair value of contingent consideration at each r</w:t>
      </w:r>
      <w:r>
        <w:rPr>
          <w:sz w:val="20"/>
          <w:szCs w:val="20"/>
        </w:rPr>
        <w:t>eporting period</w:t>
      </w:r>
      <w:r>
        <w:rPr>
          <w:sz w:val="20"/>
          <w:szCs w:val="20"/>
        </w:rPr>
        <w:t>.</w:t>
      </w:r>
    </w:p>
    <w:p w:rsidR="00000000" w:rsidRDefault="00A32496">
      <w:pPr>
        <w:pStyle w:val="a3"/>
        <w:spacing w:before="240" w:beforeAutospacing="0" w:after="0" w:afterAutospacing="0"/>
        <w:ind w:firstLine="555"/>
        <w:divId w:val="594290046"/>
        <w:rPr>
          <w:sz w:val="20"/>
          <w:szCs w:val="20"/>
        </w:rPr>
      </w:pPr>
      <w:r>
        <w:rPr>
          <w:sz w:val="20"/>
          <w:szCs w:val="20"/>
        </w:rPr>
        <w:t xml:space="preserve">The Company may be required to make up to </w:t>
      </w:r>
      <w:r>
        <w:rPr>
          <w:sz w:val="20"/>
          <w:szCs w:val="20"/>
        </w:rPr>
        <w:t>$</w:t>
      </w:r>
      <w:r>
        <w:rPr>
          <w:sz w:val="20"/>
          <w:szCs w:val="20"/>
        </w:rPr>
        <w:t>8.</w:t>
      </w:r>
      <w:r>
        <w:rPr>
          <w:sz w:val="20"/>
          <w:szCs w:val="20"/>
        </w:rPr>
        <w:t>5</w:t>
      </w:r>
      <w:r>
        <w:rPr>
          <w:sz w:val="20"/>
          <w:szCs w:val="20"/>
        </w:rPr>
        <w:t xml:space="preserve"> million in aggregate earn-out payments between the years 2023 and 2026 in connection with certain of its business acquisitions, up to </w:t>
      </w:r>
      <w:r>
        <w:rPr>
          <w:sz w:val="20"/>
          <w:szCs w:val="20"/>
        </w:rPr>
        <w:t>$</w:t>
      </w:r>
      <w:r>
        <w:rPr>
          <w:sz w:val="20"/>
          <w:szCs w:val="20"/>
        </w:rPr>
        <w:t>3.</w:t>
      </w:r>
      <w:r>
        <w:rPr>
          <w:sz w:val="20"/>
          <w:szCs w:val="20"/>
        </w:rPr>
        <w:t>0</w:t>
      </w:r>
      <w:r>
        <w:rPr>
          <w:sz w:val="20"/>
          <w:szCs w:val="20"/>
        </w:rPr>
        <w:t xml:space="preserve"> million of which may be paid in cash</w:t>
      </w:r>
      <w:r>
        <w:rPr>
          <w:sz w:val="20"/>
          <w:szCs w:val="20"/>
        </w:rPr>
        <w:t>.</w:t>
      </w:r>
    </w:p>
    <w:p w:rsidR="00000000" w:rsidRDefault="00A32496">
      <w:pPr>
        <w:pStyle w:val="a3"/>
        <w:spacing w:before="240" w:beforeAutospacing="0" w:after="0" w:afterAutospacing="0"/>
        <w:ind w:firstLine="555"/>
        <w:divId w:val="594290046"/>
        <w:rPr>
          <w:sz w:val="20"/>
          <w:szCs w:val="20"/>
        </w:rPr>
      </w:pPr>
      <w:r>
        <w:rPr>
          <w:sz w:val="20"/>
          <w:szCs w:val="20"/>
        </w:rPr>
        <w:t>Transaction cos</w:t>
      </w:r>
      <w:r>
        <w:rPr>
          <w:sz w:val="20"/>
          <w:szCs w:val="20"/>
        </w:rPr>
        <w:t>ts related to business combinations totaled</w:t>
      </w:r>
      <w:r>
        <w:rPr>
          <w:sz w:val="20"/>
          <w:szCs w:val="20"/>
        </w:rPr>
        <w:t xml:space="preserve"> </w:t>
      </w:r>
      <w:r>
        <w:rPr>
          <w:sz w:val="20"/>
          <w:szCs w:val="20"/>
        </w:rPr>
        <w:t>$</w:t>
      </w:r>
      <w:r>
        <w:rPr>
          <w:sz w:val="20"/>
          <w:szCs w:val="20"/>
        </w:rPr>
        <w:t>0.</w:t>
      </w:r>
      <w:r>
        <w:rPr>
          <w:sz w:val="20"/>
          <w:szCs w:val="20"/>
        </w:rPr>
        <w:t>4</w:t>
      </w:r>
      <w:r>
        <w:rPr>
          <w:sz w:val="20"/>
          <w:szCs w:val="20"/>
        </w:rPr>
        <w:t xml:space="preserve"> millio</w:t>
      </w:r>
      <w:r>
        <w:rPr>
          <w:sz w:val="20"/>
          <w:szCs w:val="20"/>
        </w:rPr>
        <w:t>n</w:t>
      </w:r>
      <w:r>
        <w:rPr>
          <w:sz w:val="20"/>
          <w:szCs w:val="20"/>
        </w:rPr>
        <w:t xml:space="preserve"> and </w:t>
      </w:r>
      <w:r>
        <w:rPr>
          <w:sz w:val="20"/>
          <w:szCs w:val="20"/>
        </w:rPr>
        <w:t>$</w:t>
      </w:r>
      <w:r>
        <w:rPr>
          <w:sz w:val="20"/>
          <w:szCs w:val="20"/>
        </w:rPr>
        <w:t>1.</w:t>
      </w:r>
      <w:r>
        <w:rPr>
          <w:sz w:val="20"/>
          <w:szCs w:val="20"/>
        </w:rPr>
        <w:t>4</w:t>
      </w:r>
      <w:r>
        <w:rPr>
          <w:sz w:val="20"/>
          <w:szCs w:val="20"/>
        </w:rPr>
        <w:t xml:space="preserve"> millio</w:t>
      </w:r>
      <w:r>
        <w:rPr>
          <w:sz w:val="20"/>
          <w:szCs w:val="20"/>
        </w:rPr>
        <w:t>n</w:t>
      </w:r>
      <w:r>
        <w:t xml:space="preserve"> </w:t>
      </w:r>
      <w:r>
        <w:rPr>
          <w:sz w:val="20"/>
          <w:szCs w:val="20"/>
        </w:rPr>
        <w:t>for the three and nine months ended September 30, 2022, respectively, an</w:t>
      </w:r>
      <w:r>
        <w:rPr>
          <w:sz w:val="20"/>
          <w:szCs w:val="20"/>
        </w:rPr>
        <w:t>d</w:t>
      </w:r>
      <w:r>
        <w:rPr>
          <w:sz w:val="20"/>
          <w:szCs w:val="20"/>
        </w:rPr>
        <w:t xml:space="preserve"> </w:t>
      </w:r>
      <w:r>
        <w:rPr>
          <w:sz w:val="20"/>
          <w:szCs w:val="20"/>
        </w:rPr>
        <w:t>$</w:t>
      </w:r>
      <w:r>
        <w:rPr>
          <w:sz w:val="20"/>
          <w:szCs w:val="20"/>
        </w:rPr>
        <w:t>0.</w:t>
      </w:r>
      <w:r>
        <w:rPr>
          <w:sz w:val="20"/>
          <w:szCs w:val="20"/>
        </w:rPr>
        <w:t>9</w:t>
      </w:r>
      <w:r>
        <w:rPr>
          <w:sz w:val="20"/>
          <w:szCs w:val="20"/>
        </w:rPr>
        <w:t xml:space="preserve"> million and </w:t>
      </w:r>
      <w:r>
        <w:rPr>
          <w:sz w:val="20"/>
          <w:szCs w:val="20"/>
        </w:rPr>
        <w:t>$</w:t>
      </w:r>
      <w:r>
        <w:rPr>
          <w:sz w:val="20"/>
          <w:szCs w:val="20"/>
        </w:rPr>
        <w:t>1.</w:t>
      </w:r>
      <w:r>
        <w:rPr>
          <w:sz w:val="20"/>
          <w:szCs w:val="20"/>
        </w:rPr>
        <w:t>7</w:t>
      </w:r>
      <w:r>
        <w:rPr>
          <w:sz w:val="20"/>
          <w:szCs w:val="20"/>
        </w:rPr>
        <w:t xml:space="preserve"> million for th</w:t>
      </w:r>
      <w:r>
        <w:rPr>
          <w:sz w:val="20"/>
          <w:szCs w:val="20"/>
        </w:rPr>
        <w:t>e</w:t>
      </w:r>
      <w:r>
        <w:rPr>
          <w:sz w:val="20"/>
          <w:szCs w:val="20"/>
        </w:rPr>
        <w:t xml:space="preserve"> three and nine months ended September 30, 2021, respectively. These co</w:t>
      </w:r>
      <w:r>
        <w:rPr>
          <w:sz w:val="20"/>
          <w:szCs w:val="20"/>
        </w:rPr>
        <w:t>sts are expensed within selling, general and administrative expense in the accompanying unaudited condensed consolidated statements of operations</w:t>
      </w:r>
      <w:r>
        <w:rPr>
          <w:sz w:val="20"/>
          <w:szCs w:val="20"/>
        </w:rPr>
        <w:t>.</w:t>
      </w:r>
    </w:p>
    <w:p w:rsidR="00000000" w:rsidRDefault="00A32496">
      <w:pPr>
        <w:pStyle w:val="a3"/>
        <w:spacing w:before="240" w:beforeAutospacing="0" w:after="0" w:afterAutospacing="0"/>
        <w:jc w:val="center"/>
        <w:divId w:val="594290046"/>
        <w:rPr>
          <w:sz w:val="20"/>
          <w:szCs w:val="20"/>
        </w:rPr>
      </w:pPr>
      <w:r>
        <w:rPr>
          <w:sz w:val="20"/>
          <w:szCs w:val="20"/>
        </w:rPr>
        <w:t>1</w:t>
      </w:r>
      <w:r>
        <w:rPr>
          <w:sz w:val="20"/>
          <w:szCs w:val="20"/>
        </w:rPr>
        <w:t>1</w:t>
      </w:r>
    </w:p>
    <w:p w:rsidR="00000000" w:rsidRDefault="00A32496">
      <w:pPr>
        <w:divId w:val="594290046"/>
        <w:rPr>
          <w:rFonts w:eastAsia="Times New Roman"/>
        </w:rPr>
      </w:pPr>
      <w:r>
        <w:rPr>
          <w:rFonts w:eastAsia="Times New Roman"/>
        </w:rPr>
        <w:pict>
          <v:rect id="_x0000_i1037" style="width:0;height:1.5pt" o:hralign="center" o:hrstd="t" o:hr="t" fillcolor="#a0a0a0" stroked="f"/>
        </w:pict>
      </w:r>
    </w:p>
    <w:p w:rsidR="00000000" w:rsidRDefault="00A32496">
      <w:pPr>
        <w:pStyle w:val="a3"/>
        <w:spacing w:before="0" w:beforeAutospacing="0" w:after="0" w:afterAutospacing="0"/>
        <w:divId w:val="594290046"/>
        <w:rPr>
          <w:sz w:val="20"/>
          <w:szCs w:val="20"/>
        </w:rPr>
      </w:pPr>
      <w:r>
        <w:rPr>
          <w:sz w:val="20"/>
          <w:szCs w:val="20"/>
        </w:rPr>
        <w:t> </w:t>
      </w:r>
    </w:p>
    <w:p w:rsidR="00000000" w:rsidRDefault="00A32496">
      <w:pPr>
        <w:pStyle w:val="a3"/>
        <w:spacing w:before="240" w:beforeAutospacing="0" w:after="0" w:afterAutospacing="0"/>
        <w:ind w:firstLine="555"/>
        <w:divId w:val="594290046"/>
        <w:rPr>
          <w:sz w:val="20"/>
          <w:szCs w:val="20"/>
        </w:rPr>
      </w:pPr>
      <w:r>
        <w:rPr>
          <w:b/>
          <w:bCs/>
          <w:sz w:val="20"/>
          <w:szCs w:val="20"/>
        </w:rPr>
        <w:t>Acquisitions Completed During the Nine Months Ended September 30, 20</w:t>
      </w:r>
      <w:r>
        <w:rPr>
          <w:b/>
          <w:bCs/>
          <w:sz w:val="20"/>
          <w:szCs w:val="20"/>
        </w:rPr>
        <w:t>2</w:t>
      </w:r>
      <w:r>
        <w:rPr>
          <w:b/>
          <w:bCs/>
          <w:sz w:val="20"/>
          <w:szCs w:val="20"/>
        </w:rPr>
        <w:t>2</w:t>
      </w:r>
    </w:p>
    <w:p w:rsidR="00000000" w:rsidRDefault="00A32496">
      <w:pPr>
        <w:pStyle w:val="a3"/>
        <w:spacing w:before="240" w:beforeAutospacing="0" w:after="0" w:afterAutospacing="0"/>
        <w:ind w:firstLine="555"/>
        <w:divId w:val="594290046"/>
        <w:rPr>
          <w:sz w:val="20"/>
          <w:szCs w:val="20"/>
        </w:rPr>
      </w:pPr>
      <w:r>
        <w:rPr>
          <w:b/>
          <w:bCs/>
          <w:i/>
          <w:iCs/>
          <w:sz w:val="20"/>
          <w:szCs w:val="20"/>
        </w:rPr>
        <w:t>Environmental Standards, Inc. (“EnvStd”</w:t>
      </w:r>
      <w:r>
        <w:rPr>
          <w:b/>
          <w:bCs/>
          <w:i/>
          <w:iCs/>
          <w:sz w:val="20"/>
          <w:szCs w:val="20"/>
        </w:rPr>
        <w:t>)</w:t>
      </w:r>
      <w:r>
        <w:rPr>
          <w:sz w:val="20"/>
          <w:szCs w:val="20"/>
        </w:rPr>
        <w:t>—In January 2022, the Company completed the acquisition of Environmental Standards, Inc. by acquiring</w:t>
      </w:r>
      <w:r>
        <w:rPr>
          <w:sz w:val="20"/>
          <w:szCs w:val="20"/>
        </w:rPr>
        <w:t xml:space="preserve"> </w:t>
      </w:r>
      <w:r>
        <w:rPr>
          <w:sz w:val="20"/>
          <w:szCs w:val="20"/>
        </w:rPr>
        <w:t>100.</w:t>
      </w:r>
      <w:r>
        <w:rPr>
          <w:sz w:val="20"/>
          <w:szCs w:val="20"/>
        </w:rPr>
        <w:t>0</w:t>
      </w:r>
      <w:r>
        <w:rPr>
          <w:sz w:val="20"/>
          <w:szCs w:val="20"/>
        </w:rPr>
        <w:t>% of its common stock. EnvStd is a provider of environmental consulting services. EnvStd is based in</w:t>
      </w:r>
      <w:r>
        <w:rPr>
          <w:sz w:val="20"/>
          <w:szCs w:val="20"/>
        </w:rPr>
        <w:t xml:space="preserve"> </w:t>
      </w:r>
      <w:r>
        <w:rPr>
          <w:sz w:val="20"/>
          <w:szCs w:val="20"/>
        </w:rPr>
        <w:t>Valle</w:t>
      </w:r>
      <w:r>
        <w:rPr>
          <w:sz w:val="20"/>
          <w:szCs w:val="20"/>
        </w:rPr>
        <w:t>y Forge, PA with satellite locations nationwide. The upfront cash payment made to acquire EnvStd was funded through cash on hand</w:t>
      </w:r>
      <w:r>
        <w:rPr>
          <w:sz w:val="20"/>
          <w:szCs w:val="20"/>
        </w:rPr>
        <w:t>.</w:t>
      </w:r>
      <w:r>
        <w:rPr>
          <w:sz w:val="20"/>
          <w:szCs w:val="20"/>
        </w:rPr>
        <w:t xml:space="preserve"> </w:t>
      </w:r>
    </w:p>
    <w:p w:rsidR="00000000" w:rsidRDefault="00A32496">
      <w:pPr>
        <w:pStyle w:val="a3"/>
        <w:spacing w:before="240" w:beforeAutospacing="0" w:after="0" w:afterAutospacing="0"/>
        <w:ind w:firstLine="555"/>
        <w:divId w:val="594290046"/>
        <w:rPr>
          <w:sz w:val="20"/>
          <w:szCs w:val="20"/>
        </w:rPr>
      </w:pPr>
      <w:r>
        <w:rPr>
          <w:b/>
          <w:bCs/>
          <w:i/>
          <w:iCs/>
          <w:sz w:val="20"/>
          <w:szCs w:val="20"/>
        </w:rPr>
        <w:t>Industrial Automation Group, Inc. (“IAG”</w:t>
      </w:r>
      <w:r>
        <w:rPr>
          <w:b/>
          <w:bCs/>
          <w:i/>
          <w:iCs/>
          <w:sz w:val="20"/>
          <w:szCs w:val="20"/>
        </w:rPr>
        <w:t>)</w:t>
      </w:r>
      <w:r>
        <w:rPr>
          <w:sz w:val="20"/>
          <w:szCs w:val="20"/>
        </w:rPr>
        <w:t>—In January 2022, the Company completed the acquisition of Industrial Automation Gro</w:t>
      </w:r>
      <w:r>
        <w:rPr>
          <w:sz w:val="20"/>
          <w:szCs w:val="20"/>
        </w:rPr>
        <w:t>up, Inc. by acquiring certain of its employees and a covenant not to compete. The upfront cash payment made to acquire IAG was funded through cash on hand. IAG is based in Atlanta, GA</w:t>
      </w:r>
      <w:r>
        <w:rPr>
          <w:sz w:val="20"/>
          <w:szCs w:val="20"/>
        </w:rPr>
        <w:t>.</w:t>
      </w:r>
    </w:p>
    <w:p w:rsidR="00000000" w:rsidRDefault="00A32496">
      <w:pPr>
        <w:pStyle w:val="a3"/>
        <w:spacing w:before="240" w:beforeAutospacing="0" w:after="0" w:afterAutospacing="0"/>
        <w:ind w:firstLine="555"/>
        <w:divId w:val="594290046"/>
        <w:rPr>
          <w:sz w:val="20"/>
          <w:szCs w:val="20"/>
        </w:rPr>
      </w:pPr>
      <w:r>
        <w:rPr>
          <w:b/>
          <w:bCs/>
          <w:i/>
          <w:iCs/>
          <w:sz w:val="20"/>
          <w:szCs w:val="20"/>
        </w:rPr>
        <w:t>TriAD Environmental Consultants, Inc. (“TriAD”</w:t>
      </w:r>
      <w:r>
        <w:rPr>
          <w:b/>
          <w:bCs/>
          <w:i/>
          <w:iCs/>
          <w:sz w:val="20"/>
          <w:szCs w:val="20"/>
        </w:rPr>
        <w:t>)</w:t>
      </w:r>
      <w:r>
        <w:rPr>
          <w:sz w:val="20"/>
          <w:szCs w:val="20"/>
        </w:rPr>
        <w:t>—In August 2022, the Com</w:t>
      </w:r>
      <w:r>
        <w:rPr>
          <w:sz w:val="20"/>
          <w:szCs w:val="20"/>
        </w:rPr>
        <w:t>pany completed the acquisition of TriAD Environmental Consultants, Inc. by acquiring</w:t>
      </w:r>
      <w:r>
        <w:rPr>
          <w:sz w:val="20"/>
          <w:szCs w:val="20"/>
        </w:rPr>
        <w:t xml:space="preserve"> </w:t>
      </w:r>
      <w:r>
        <w:rPr>
          <w:sz w:val="20"/>
          <w:szCs w:val="20"/>
        </w:rPr>
        <w:t>100.</w:t>
      </w:r>
      <w:r>
        <w:rPr>
          <w:sz w:val="20"/>
          <w:szCs w:val="20"/>
        </w:rPr>
        <w:t>0</w:t>
      </w:r>
      <w:r>
        <w:rPr>
          <w:sz w:val="20"/>
          <w:szCs w:val="20"/>
        </w:rPr>
        <w:t>% of its common stock. TriAD is a provider of environmental consulting services. TriAD is based in Nashville, TN. The upfront cash payment made to acquire TriAD was f</w:t>
      </w:r>
      <w:r>
        <w:rPr>
          <w:sz w:val="20"/>
          <w:szCs w:val="20"/>
        </w:rPr>
        <w:t>unded through cash on hand</w:t>
      </w:r>
      <w:r>
        <w:rPr>
          <w:sz w:val="20"/>
          <w:szCs w:val="20"/>
        </w:rPr>
        <w:t>.</w:t>
      </w:r>
      <w:r>
        <w:rPr>
          <w:sz w:val="20"/>
          <w:szCs w:val="20"/>
        </w:rPr>
        <w:t xml:space="preserve"> </w:t>
      </w:r>
    </w:p>
    <w:p w:rsidR="00000000" w:rsidRDefault="00A32496">
      <w:pPr>
        <w:pStyle w:val="a3"/>
        <w:spacing w:before="240" w:beforeAutospacing="0" w:after="0" w:afterAutospacing="0"/>
        <w:ind w:firstLine="555"/>
        <w:divId w:val="594290046"/>
        <w:rPr>
          <w:sz w:val="20"/>
          <w:szCs w:val="20"/>
        </w:rPr>
      </w:pPr>
      <w:r>
        <w:rPr>
          <w:b/>
          <w:bCs/>
          <w:i/>
          <w:iCs/>
          <w:sz w:val="20"/>
          <w:szCs w:val="20"/>
        </w:rPr>
        <w:t>AirKinetics, Inc. (“AirKinetics”</w:t>
      </w:r>
      <w:r>
        <w:rPr>
          <w:b/>
          <w:bCs/>
          <w:i/>
          <w:iCs/>
          <w:sz w:val="20"/>
          <w:szCs w:val="20"/>
        </w:rPr>
        <w:t>)</w:t>
      </w:r>
      <w:r>
        <w:rPr>
          <w:sz w:val="20"/>
          <w:szCs w:val="20"/>
        </w:rPr>
        <w:t>—In September 2022, the Company completed the acquisition of AirKinetics, Inc. by acquiring</w:t>
      </w:r>
      <w:r>
        <w:rPr>
          <w:sz w:val="20"/>
          <w:szCs w:val="20"/>
        </w:rPr>
        <w:t xml:space="preserve"> </w:t>
      </w:r>
      <w:r>
        <w:rPr>
          <w:sz w:val="20"/>
          <w:szCs w:val="20"/>
        </w:rPr>
        <w:t>100.</w:t>
      </w:r>
      <w:r>
        <w:rPr>
          <w:sz w:val="20"/>
          <w:szCs w:val="20"/>
        </w:rPr>
        <w:t>0</w:t>
      </w:r>
      <w:r>
        <w:rPr>
          <w:sz w:val="20"/>
          <w:szCs w:val="20"/>
        </w:rPr>
        <w:t>% of its common stock. AirKinetics is a provider of emissions testing services. AirKinetics is ba</w:t>
      </w:r>
      <w:r>
        <w:rPr>
          <w:sz w:val="20"/>
          <w:szCs w:val="20"/>
        </w:rPr>
        <w:t>sed in Anaheim, CA. The upfront cash payment made to acquire AirKinetics was funded through cash on hand</w:t>
      </w:r>
      <w:r>
        <w:rPr>
          <w:sz w:val="20"/>
          <w:szCs w:val="20"/>
        </w:rPr>
        <w:t>.</w:t>
      </w:r>
      <w:r>
        <w:rPr>
          <w:sz w:val="20"/>
          <w:szCs w:val="20"/>
        </w:rPr>
        <w:t xml:space="preserve"> </w:t>
      </w:r>
    </w:p>
    <w:p w:rsidR="00000000" w:rsidRDefault="00A32496">
      <w:pPr>
        <w:pStyle w:val="a3"/>
        <w:spacing w:before="240" w:beforeAutospacing="0" w:after="0" w:afterAutospacing="0"/>
        <w:ind w:firstLine="555"/>
        <w:divId w:val="32075271"/>
        <w:rPr>
          <w:sz w:val="20"/>
          <w:szCs w:val="20"/>
        </w:rPr>
      </w:pPr>
      <w:r>
        <w:rPr>
          <w:sz w:val="20"/>
          <w:szCs w:val="20"/>
        </w:rPr>
        <w:t>The following table summarizes the elements of the purchase price of the acquisitions completed during the</w:t>
      </w:r>
      <w:r>
        <w:rPr>
          <w:sz w:val="20"/>
          <w:szCs w:val="20"/>
        </w:rPr>
        <w:t xml:space="preserve"> </w:t>
      </w:r>
      <w:r>
        <w:rPr>
          <w:sz w:val="20"/>
          <w:szCs w:val="20"/>
        </w:rPr>
        <w:t>nine months ended September 30, 2022</w:t>
      </w:r>
      <w:r>
        <w:rPr>
          <w:sz w:val="20"/>
          <w:szCs w:val="20"/>
        </w:rPr>
        <w:t>:</w:t>
      </w:r>
    </w:p>
    <w:p w:rsidR="00000000" w:rsidRDefault="00A32496">
      <w:pPr>
        <w:pStyle w:val="a3"/>
        <w:spacing w:before="0" w:beforeAutospacing="0" w:after="0" w:afterAutospacing="0"/>
        <w:ind w:firstLine="555"/>
        <w:divId w:val="32075271"/>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04"/>
        <w:gridCol w:w="105"/>
        <w:gridCol w:w="150"/>
        <w:gridCol w:w="555"/>
        <w:gridCol w:w="105"/>
        <w:gridCol w:w="105"/>
        <w:gridCol w:w="151"/>
        <w:gridCol w:w="676"/>
        <w:gridCol w:w="105"/>
        <w:gridCol w:w="105"/>
        <w:gridCol w:w="151"/>
        <w:gridCol w:w="946"/>
        <w:gridCol w:w="105"/>
        <w:gridCol w:w="105"/>
        <w:gridCol w:w="151"/>
        <w:gridCol w:w="1041"/>
        <w:gridCol w:w="105"/>
        <w:gridCol w:w="105"/>
        <w:gridCol w:w="151"/>
        <w:gridCol w:w="1048"/>
        <w:gridCol w:w="105"/>
        <w:gridCol w:w="105"/>
        <w:gridCol w:w="151"/>
        <w:gridCol w:w="656"/>
        <w:gridCol w:w="120"/>
      </w:tblGrid>
      <w:tr w:rsidR="00000000">
        <w:trPr>
          <w:divId w:val="32075271"/>
          <w:tblCellSpacing w:w="15" w:type="dxa"/>
        </w:trPr>
        <w:tc>
          <w:tcPr>
            <w:tcW w:w="798" w:type="pct"/>
            <w:vAlign w:val="center"/>
            <w:hideMark/>
          </w:tcPr>
          <w:p w:rsidR="00000000" w:rsidRDefault="00A32496">
            <w:pPr>
              <w:rPr>
                <w:sz w:val="20"/>
                <w:szCs w:val="20"/>
              </w:rPr>
            </w:pPr>
          </w:p>
        </w:tc>
        <w:tc>
          <w:tcPr>
            <w:tcW w:w="64"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385"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64"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469"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64"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645"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64"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634"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64"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707"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64"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373"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r>
      <w:tr w:rsidR="00000000">
        <w:trPr>
          <w:divId w:val="32075271"/>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Cas</w:t>
            </w:r>
            <w:r>
              <w:rPr>
                <w:b/>
                <w:bCs/>
                <w:sz w:val="18"/>
                <w:szCs w:val="18"/>
              </w:rPr>
              <w:t>h</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Common</w:t>
            </w:r>
            <w:r>
              <w:rPr>
                <w:b/>
                <w:bCs/>
                <w:sz w:val="18"/>
                <w:szCs w:val="18"/>
              </w:rPr>
              <w:br/>
              <w:t>Stoc</w:t>
            </w:r>
            <w:r>
              <w:rPr>
                <w:b/>
                <w:bCs/>
                <w:sz w:val="18"/>
                <w:szCs w:val="18"/>
              </w:rPr>
              <w:t>k</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Other</w:t>
            </w:r>
            <w:r>
              <w:rPr>
                <w:b/>
                <w:bCs/>
                <w:sz w:val="18"/>
                <w:szCs w:val="18"/>
              </w:rPr>
              <w:br/>
              <w:t>Purchase</w:t>
            </w:r>
            <w:r>
              <w:rPr>
                <w:b/>
                <w:bCs/>
                <w:sz w:val="18"/>
                <w:szCs w:val="18"/>
              </w:rPr>
              <w:br/>
              <w:t>Price</w:t>
            </w:r>
            <w:r>
              <w:rPr>
                <w:b/>
                <w:bCs/>
                <w:sz w:val="18"/>
                <w:szCs w:val="18"/>
              </w:rPr>
              <w:br/>
              <w:t>Components</w:t>
            </w:r>
            <w:r>
              <w:rPr>
                <w:b/>
                <w:bCs/>
                <w:sz w:val="18"/>
                <w:szCs w:val="18"/>
              </w:rPr>
              <w:br/>
              <w:t>Curren</w:t>
            </w:r>
            <w:r>
              <w:rPr>
                <w:b/>
                <w:bCs/>
                <w:sz w:val="18"/>
                <w:szCs w:val="18"/>
              </w:rPr>
              <w:t>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Contingent</w:t>
            </w:r>
            <w:r>
              <w:rPr>
                <w:b/>
                <w:bCs/>
                <w:sz w:val="18"/>
                <w:szCs w:val="18"/>
              </w:rPr>
              <w:br/>
              <w:t>Consideration</w:t>
            </w:r>
            <w:r>
              <w:rPr>
                <w:b/>
                <w:bCs/>
                <w:sz w:val="18"/>
                <w:szCs w:val="18"/>
              </w:rPr>
              <w:br/>
              <w:t>Curren</w:t>
            </w:r>
            <w:r>
              <w:rPr>
                <w:b/>
                <w:bCs/>
                <w:sz w:val="18"/>
                <w:szCs w:val="18"/>
              </w:rPr>
              <w:t>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Contingent</w:t>
            </w:r>
            <w:r>
              <w:rPr>
                <w:b/>
                <w:bCs/>
                <w:sz w:val="18"/>
                <w:szCs w:val="18"/>
              </w:rPr>
              <w:br/>
              <w:t>Consideration</w:t>
            </w:r>
            <w:r>
              <w:rPr>
                <w:b/>
                <w:bCs/>
                <w:sz w:val="18"/>
                <w:szCs w:val="18"/>
              </w:rPr>
              <w:br/>
              <w:t>Long Ter</w:t>
            </w:r>
            <w:r>
              <w:rPr>
                <w:b/>
                <w:bCs/>
                <w:sz w:val="18"/>
                <w:szCs w:val="18"/>
              </w:rPr>
              <w:t>m</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Total</w:t>
            </w:r>
            <w:r>
              <w:rPr>
                <w:b/>
                <w:bCs/>
                <w:sz w:val="18"/>
                <w:szCs w:val="18"/>
              </w:rPr>
              <w:br/>
              <w:t>Purchase</w:t>
            </w:r>
            <w:r>
              <w:rPr>
                <w:b/>
                <w:bCs/>
                <w:sz w:val="18"/>
                <w:szCs w:val="18"/>
              </w:rPr>
              <w:br/>
              <w:t>Pric</w:t>
            </w:r>
            <w:r>
              <w:rPr>
                <w:b/>
                <w:bCs/>
                <w:sz w:val="18"/>
                <w:szCs w:val="18"/>
              </w:rPr>
              <w:t>e</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32075271"/>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EnvSt</w:t>
            </w:r>
            <w:r>
              <w:rPr>
                <w:sz w:val="18"/>
                <w:szCs w:val="18"/>
              </w:rPr>
              <w:t>d</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14,47</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52</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1,16</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16,16</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32075271"/>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All other 2022 acquisition</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7,65</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47</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5</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8,17</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32075271"/>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   Tota</w:t>
            </w:r>
            <w:r>
              <w:rPr>
                <w:sz w:val="18"/>
                <w:szCs w:val="18"/>
              </w:rPr>
              <w:t>l</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22,12</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99</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1,21</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24,33</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bl>
    <w:p w:rsidR="00000000" w:rsidRDefault="00A32496">
      <w:pPr>
        <w:pStyle w:val="a3"/>
        <w:spacing w:before="240" w:beforeAutospacing="0" w:after="0" w:afterAutospacing="0"/>
        <w:ind w:firstLine="555"/>
        <w:divId w:val="594290046"/>
        <w:rPr>
          <w:sz w:val="20"/>
          <w:szCs w:val="20"/>
        </w:rPr>
      </w:pPr>
      <w:r>
        <w:rPr>
          <w:sz w:val="20"/>
          <w:szCs w:val="20"/>
        </w:rPr>
        <w:t>The other purchase price components of the EnvStd purchase price consist of a surplus working capital amount, which will be finalized in the fourth quarter of 2022 and a seller make-whole for taxes related to a 338(h)(10) election. The other purchase price</w:t>
      </w:r>
      <w:r>
        <w:rPr>
          <w:sz w:val="20"/>
          <w:szCs w:val="20"/>
        </w:rPr>
        <w:t xml:space="preserve"> components of all the other acquisitions purchase price mainly consist of surplus/deficit working capital amounts</w:t>
      </w:r>
      <w:r>
        <w:rPr>
          <w:sz w:val="20"/>
          <w:szCs w:val="20"/>
        </w:rPr>
        <w:t>.</w:t>
      </w:r>
      <w:r>
        <w:rPr>
          <w:sz w:val="20"/>
          <w:szCs w:val="20"/>
        </w:rPr>
        <w:t xml:space="preserve"> </w:t>
      </w:r>
    </w:p>
    <w:p w:rsidR="00000000" w:rsidRDefault="00A32496">
      <w:pPr>
        <w:pStyle w:val="a3"/>
        <w:spacing w:before="240" w:beforeAutospacing="0" w:after="0" w:afterAutospacing="0"/>
        <w:ind w:firstLine="555"/>
        <w:divId w:val="1987542692"/>
        <w:rPr>
          <w:sz w:val="20"/>
          <w:szCs w:val="20"/>
        </w:rPr>
      </w:pPr>
      <w:r>
        <w:rPr>
          <w:sz w:val="20"/>
          <w:szCs w:val="20"/>
        </w:rPr>
        <w:t>The preliminary purchase price attributable to the acquisitions was allocated as follows</w:t>
      </w:r>
      <w:r>
        <w:rPr>
          <w:sz w:val="20"/>
          <w:szCs w:val="20"/>
        </w:rPr>
        <w:t>:</w:t>
      </w:r>
    </w:p>
    <w:p w:rsidR="00000000" w:rsidRDefault="00A32496">
      <w:pPr>
        <w:pStyle w:val="a3"/>
        <w:spacing w:before="0" w:beforeAutospacing="0" w:after="0" w:afterAutospacing="0"/>
        <w:ind w:firstLine="555"/>
        <w:divId w:val="1987542692"/>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34"/>
        <w:gridCol w:w="120"/>
        <w:gridCol w:w="150"/>
        <w:gridCol w:w="851"/>
        <w:gridCol w:w="105"/>
        <w:gridCol w:w="113"/>
        <w:gridCol w:w="151"/>
        <w:gridCol w:w="943"/>
        <w:gridCol w:w="105"/>
        <w:gridCol w:w="113"/>
        <w:gridCol w:w="150"/>
        <w:gridCol w:w="851"/>
        <w:gridCol w:w="120"/>
      </w:tblGrid>
      <w:tr w:rsidR="00000000">
        <w:trPr>
          <w:divId w:val="1987542692"/>
          <w:tblCellSpacing w:w="15" w:type="dxa"/>
        </w:trPr>
        <w:tc>
          <w:tcPr>
            <w:tcW w:w="2854" w:type="pct"/>
            <w:vAlign w:val="center"/>
            <w:hideMark/>
          </w:tcPr>
          <w:p w:rsidR="00000000" w:rsidRDefault="00A32496">
            <w:pPr>
              <w:rPr>
                <w:sz w:val="20"/>
                <w:szCs w:val="20"/>
              </w:rPr>
            </w:pPr>
          </w:p>
        </w:tc>
        <w:tc>
          <w:tcPr>
            <w:tcW w:w="66"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29"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66"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87"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66"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29"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r>
      <w:tr w:rsidR="00000000">
        <w:trPr>
          <w:divId w:val="1987542692"/>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EnvSt</w:t>
            </w:r>
            <w:r>
              <w:rPr>
                <w:b/>
                <w:bCs/>
                <w:sz w:val="18"/>
                <w:szCs w:val="18"/>
              </w:rPr>
              <w:t>d</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All Other 2022 Acquisition</w:t>
            </w:r>
            <w:r>
              <w:rPr>
                <w:b/>
                <w:bCs/>
                <w:sz w:val="18"/>
                <w:szCs w:val="18"/>
              </w:rPr>
              <w:t>s</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Tota</w:t>
            </w:r>
            <w:r>
              <w:rPr>
                <w:b/>
                <w:bCs/>
                <w:sz w:val="18"/>
                <w:szCs w:val="18"/>
              </w:rPr>
              <w:t>l</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1987542692"/>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Cas</w:t>
            </w:r>
            <w:r>
              <w:rPr>
                <w:sz w:val="18"/>
                <w:szCs w:val="18"/>
              </w:rPr>
              <w:t>h</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29</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48</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78</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987542692"/>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Accounts receivable and contract asset</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5,20</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1,84</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7,04</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987542692"/>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Other current asset</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45</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47</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987542692"/>
          <w:trHeight w:val="180"/>
          <w:tblCellSpacing w:w="15" w:type="dxa"/>
        </w:trPr>
        <w:tc>
          <w:tcPr>
            <w:tcW w:w="0" w:type="auto"/>
            <w:hideMark/>
          </w:tcPr>
          <w:p w:rsidR="00000000" w:rsidRDefault="00A32496">
            <w:pPr>
              <w:pStyle w:val="a3"/>
              <w:spacing w:before="0" w:beforeAutospacing="0" w:after="0" w:afterAutospacing="0"/>
              <w:ind w:left="200"/>
              <w:rPr>
                <w:sz w:val="18"/>
                <w:szCs w:val="18"/>
              </w:rPr>
            </w:pPr>
            <w:r>
              <w:rPr>
                <w:sz w:val="18"/>
                <w:szCs w:val="18"/>
              </w:rPr>
              <w:t>Current asset</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5,95</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2,35</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8,30</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987542692"/>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Property and equipmen</w:t>
            </w:r>
            <w:r>
              <w:rPr>
                <w:sz w:val="18"/>
                <w:szCs w:val="18"/>
              </w:rPr>
              <w:t>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16</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17</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987542692"/>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Operating lease right-of-use asset—ne</w:t>
            </w:r>
            <w:r>
              <w:rPr>
                <w:sz w:val="18"/>
                <w:szCs w:val="18"/>
              </w:rPr>
              <w:t>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2,89</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21</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3,11</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987542692"/>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Customer relationship</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5,80</w:t>
            </w:r>
            <w:r>
              <w:rPr>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2,71</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8,52</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987542692"/>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Trade name</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1,01</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25</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1,26</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987542692"/>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Covenants not to compet</w:t>
            </w:r>
            <w:r>
              <w:rPr>
                <w:sz w:val="18"/>
                <w:szCs w:val="18"/>
              </w:rPr>
              <w:t>e</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26</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39</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66</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987542692"/>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Goodwil</w:t>
            </w:r>
            <w:r>
              <w:rPr>
                <w:sz w:val="18"/>
                <w:szCs w:val="18"/>
              </w:rPr>
              <w:t>l</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4,10</w:t>
            </w:r>
            <w:r>
              <w:rPr>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2,96</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7,07</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987542692"/>
          <w:trHeight w:val="180"/>
          <w:tblCellSpacing w:w="15" w:type="dxa"/>
        </w:trPr>
        <w:tc>
          <w:tcPr>
            <w:tcW w:w="0" w:type="auto"/>
            <w:hideMark/>
          </w:tcPr>
          <w:p w:rsidR="00000000" w:rsidRDefault="00A32496">
            <w:pPr>
              <w:pStyle w:val="a3"/>
              <w:spacing w:before="0" w:beforeAutospacing="0" w:after="0" w:afterAutospacing="0"/>
              <w:ind w:left="200"/>
              <w:rPr>
                <w:sz w:val="18"/>
                <w:szCs w:val="18"/>
              </w:rPr>
            </w:pPr>
            <w:r>
              <w:rPr>
                <w:sz w:val="18"/>
                <w:szCs w:val="18"/>
              </w:rPr>
              <w:t>Total asset</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20,20</w:t>
            </w:r>
            <w:r>
              <w:rPr>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8,90</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29,10</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987542692"/>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Current liabilitie</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1,71</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61</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2,33</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987542692"/>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Operating lease liability—net of</w:t>
            </w:r>
            <w:r>
              <w:rPr>
                <w:sz w:val="18"/>
                <w:szCs w:val="18"/>
              </w:rPr>
              <w:br/>
              <w:t>   current portio</w:t>
            </w:r>
            <w:r>
              <w:rPr>
                <w:sz w:val="18"/>
                <w:szCs w:val="18"/>
              </w:rPr>
              <w:t>n</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2,32</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11</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2,43</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987542692"/>
          <w:trHeight w:val="180"/>
          <w:tblCellSpacing w:w="15" w:type="dxa"/>
        </w:trPr>
        <w:tc>
          <w:tcPr>
            <w:tcW w:w="0" w:type="auto"/>
            <w:hideMark/>
          </w:tcPr>
          <w:p w:rsidR="00000000" w:rsidRDefault="00A32496">
            <w:pPr>
              <w:pStyle w:val="a3"/>
              <w:spacing w:before="0" w:beforeAutospacing="0" w:after="0" w:afterAutospacing="0"/>
              <w:ind w:left="200"/>
              <w:rPr>
                <w:sz w:val="18"/>
                <w:szCs w:val="18"/>
              </w:rPr>
            </w:pPr>
            <w:r>
              <w:rPr>
                <w:sz w:val="18"/>
                <w:szCs w:val="18"/>
              </w:rPr>
              <w:t>Total liabilitie</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4,04</w:t>
            </w:r>
            <w:r>
              <w:rPr>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72</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4,77</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987542692"/>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Purchase pric</w:t>
            </w:r>
            <w:r>
              <w:rPr>
                <w:sz w:val="18"/>
                <w:szCs w:val="18"/>
              </w:rPr>
              <w:t>e</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16,16</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8,17</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24,33</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bl>
    <w:p w:rsidR="00000000" w:rsidRDefault="00A32496">
      <w:pPr>
        <w:pStyle w:val="a3"/>
        <w:spacing w:before="240" w:beforeAutospacing="0" w:after="0" w:afterAutospacing="0"/>
        <w:ind w:firstLine="555"/>
        <w:divId w:val="1781073424"/>
        <w:rPr>
          <w:sz w:val="20"/>
          <w:szCs w:val="20"/>
        </w:rPr>
      </w:pPr>
      <w:r>
        <w:rPr>
          <w:sz w:val="20"/>
          <w:szCs w:val="20"/>
        </w:rPr>
        <w:t>The weighted average useful lives for the acquired companies’ identifiable intangible assets are as follows</w:t>
      </w:r>
      <w:r>
        <w:rPr>
          <w:sz w:val="20"/>
          <w:szCs w:val="20"/>
        </w:rPr>
        <w:t>:</w:t>
      </w:r>
    </w:p>
    <w:p w:rsidR="00000000" w:rsidRDefault="00A32496">
      <w:pPr>
        <w:pStyle w:val="a3"/>
        <w:spacing w:before="0" w:beforeAutospacing="0" w:after="0" w:afterAutospacing="0"/>
        <w:ind w:firstLine="555"/>
        <w:divId w:val="1781073424"/>
        <w:rPr>
          <w:sz w:val="20"/>
          <w:szCs w:val="20"/>
        </w:rPr>
      </w:pPr>
      <w:r>
        <w:rPr>
          <w:sz w:val="20"/>
          <w:szCs w:val="20"/>
        </w:rPr>
        <w:t> </w:t>
      </w:r>
    </w:p>
    <w:p w:rsidR="00000000" w:rsidRDefault="00A32496">
      <w:pPr>
        <w:pStyle w:val="a3"/>
        <w:spacing w:before="240" w:beforeAutospacing="0" w:after="0" w:afterAutospacing="0"/>
        <w:jc w:val="center"/>
        <w:divId w:val="1781073424"/>
        <w:rPr>
          <w:sz w:val="20"/>
          <w:szCs w:val="20"/>
        </w:rPr>
      </w:pPr>
      <w:r>
        <w:rPr>
          <w:sz w:val="20"/>
          <w:szCs w:val="20"/>
        </w:rPr>
        <w:t>1</w:t>
      </w:r>
      <w:r>
        <w:rPr>
          <w:sz w:val="20"/>
          <w:szCs w:val="20"/>
        </w:rPr>
        <w:t>2</w:t>
      </w:r>
    </w:p>
    <w:p w:rsidR="00000000" w:rsidRDefault="00A32496">
      <w:pPr>
        <w:divId w:val="1781073424"/>
        <w:rPr>
          <w:rFonts w:eastAsia="Times New Roman"/>
          <w:sz w:val="20"/>
          <w:szCs w:val="20"/>
        </w:rPr>
      </w:pPr>
      <w:r>
        <w:rPr>
          <w:rFonts w:eastAsia="Times New Roman"/>
          <w:sz w:val="20"/>
          <w:szCs w:val="20"/>
        </w:rPr>
        <w:pict>
          <v:rect id="_x0000_i1038" style="width:0;height:1.5pt" o:hralign="center" o:hrstd="t" o:hr="t" fillcolor="#a0a0a0" stroked="f"/>
        </w:pict>
      </w:r>
    </w:p>
    <w:p w:rsidR="00000000" w:rsidRDefault="00A32496">
      <w:pPr>
        <w:pStyle w:val="a3"/>
        <w:spacing w:before="0" w:beforeAutospacing="0" w:after="0" w:afterAutospacing="0"/>
        <w:divId w:val="1781073424"/>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30"/>
        <w:gridCol w:w="2387"/>
        <w:gridCol w:w="2387"/>
        <w:gridCol w:w="2402"/>
      </w:tblGrid>
      <w:tr w:rsidR="00000000">
        <w:trPr>
          <w:divId w:val="1781073424"/>
          <w:tblCellSpacing w:w="15" w:type="dxa"/>
        </w:trPr>
        <w:tc>
          <w:tcPr>
            <w:tcW w:w="665" w:type="pct"/>
            <w:vAlign w:val="center"/>
            <w:hideMark/>
          </w:tcPr>
          <w:p w:rsidR="00000000" w:rsidRDefault="00A32496">
            <w:pPr>
              <w:rPr>
                <w:sz w:val="20"/>
                <w:szCs w:val="20"/>
              </w:rPr>
            </w:pPr>
          </w:p>
        </w:tc>
        <w:tc>
          <w:tcPr>
            <w:tcW w:w="1444" w:type="pct"/>
            <w:vAlign w:val="center"/>
            <w:hideMark/>
          </w:tcPr>
          <w:p w:rsidR="00000000" w:rsidRDefault="00A32496">
            <w:pPr>
              <w:rPr>
                <w:rFonts w:eastAsia="Times New Roman"/>
                <w:sz w:val="20"/>
                <w:szCs w:val="20"/>
              </w:rPr>
            </w:pPr>
          </w:p>
        </w:tc>
        <w:tc>
          <w:tcPr>
            <w:tcW w:w="1444" w:type="pct"/>
            <w:vAlign w:val="center"/>
            <w:hideMark/>
          </w:tcPr>
          <w:p w:rsidR="00000000" w:rsidRDefault="00A32496">
            <w:pPr>
              <w:rPr>
                <w:rFonts w:eastAsia="Times New Roman"/>
                <w:sz w:val="20"/>
                <w:szCs w:val="20"/>
              </w:rPr>
            </w:pPr>
          </w:p>
        </w:tc>
        <w:tc>
          <w:tcPr>
            <w:tcW w:w="1444" w:type="pct"/>
            <w:vAlign w:val="center"/>
            <w:hideMark/>
          </w:tcPr>
          <w:p w:rsidR="00000000" w:rsidRDefault="00A32496">
            <w:pPr>
              <w:rPr>
                <w:rFonts w:eastAsia="Times New Roman"/>
                <w:sz w:val="20"/>
                <w:szCs w:val="20"/>
              </w:rPr>
            </w:pPr>
          </w:p>
        </w:tc>
      </w:tr>
      <w:tr w:rsidR="00000000">
        <w:trPr>
          <w:divId w:val="1781073424"/>
          <w:trHeight w:val="180"/>
          <w:tblCellSpacing w:w="15" w:type="dxa"/>
        </w:trPr>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jc w:val="center"/>
              <w:rPr>
                <w:sz w:val="18"/>
                <w:szCs w:val="18"/>
              </w:rPr>
            </w:pPr>
            <w:r>
              <w:rPr>
                <w:b/>
                <w:bCs/>
                <w:sz w:val="18"/>
                <w:szCs w:val="18"/>
              </w:rPr>
              <w:t>Customer Relationship</w:t>
            </w:r>
            <w:r>
              <w:rPr>
                <w:b/>
                <w:bCs/>
                <w:sz w:val="18"/>
                <w:szCs w:val="18"/>
              </w:rPr>
              <w:t>s</w:t>
            </w:r>
          </w:p>
        </w:tc>
        <w:tc>
          <w:tcPr>
            <w:tcW w:w="0" w:type="auto"/>
            <w:vAlign w:val="center"/>
            <w:hideMark/>
          </w:tcPr>
          <w:p w:rsidR="00000000" w:rsidRDefault="00A32496">
            <w:pPr>
              <w:pStyle w:val="a3"/>
              <w:spacing w:before="0" w:beforeAutospacing="0" w:after="0" w:afterAutospacing="0"/>
              <w:jc w:val="center"/>
              <w:rPr>
                <w:sz w:val="18"/>
                <w:szCs w:val="18"/>
              </w:rPr>
            </w:pPr>
            <w:r>
              <w:rPr>
                <w:b/>
                <w:bCs/>
                <w:sz w:val="18"/>
                <w:szCs w:val="18"/>
              </w:rPr>
              <w:t>Tradename</w:t>
            </w:r>
            <w:r>
              <w:rPr>
                <w:b/>
                <w:bCs/>
                <w:sz w:val="18"/>
                <w:szCs w:val="18"/>
              </w:rPr>
              <w:t>s</w:t>
            </w:r>
          </w:p>
        </w:tc>
        <w:tc>
          <w:tcPr>
            <w:tcW w:w="0" w:type="auto"/>
            <w:vAlign w:val="center"/>
            <w:hideMark/>
          </w:tcPr>
          <w:p w:rsidR="00000000" w:rsidRDefault="00A32496">
            <w:pPr>
              <w:pStyle w:val="a3"/>
              <w:spacing w:before="0" w:beforeAutospacing="0" w:after="0" w:afterAutospacing="0"/>
              <w:jc w:val="center"/>
              <w:rPr>
                <w:sz w:val="18"/>
                <w:szCs w:val="18"/>
              </w:rPr>
            </w:pPr>
            <w:r>
              <w:rPr>
                <w:b/>
                <w:bCs/>
                <w:sz w:val="18"/>
                <w:szCs w:val="18"/>
              </w:rPr>
              <w:t>Covenants Not to Compet</w:t>
            </w:r>
            <w:r>
              <w:rPr>
                <w:b/>
                <w:bCs/>
                <w:sz w:val="18"/>
                <w:szCs w:val="18"/>
              </w:rPr>
              <w:t>e</w:t>
            </w:r>
          </w:p>
        </w:tc>
      </w:tr>
      <w:tr w:rsidR="00000000">
        <w:trPr>
          <w:divId w:val="1781073424"/>
          <w:trHeight w:val="180"/>
          <w:tblCellSpacing w:w="15" w:type="dxa"/>
        </w:trPr>
        <w:tc>
          <w:tcPr>
            <w:tcW w:w="0" w:type="auto"/>
            <w:vAlign w:val="bottom"/>
            <w:hideMark/>
          </w:tcPr>
          <w:p w:rsidR="00000000" w:rsidRDefault="00A32496">
            <w:pPr>
              <w:pStyle w:val="a3"/>
              <w:spacing w:before="0" w:beforeAutospacing="0" w:after="0" w:afterAutospacing="0"/>
              <w:rPr>
                <w:sz w:val="18"/>
                <w:szCs w:val="18"/>
              </w:rPr>
            </w:pPr>
            <w:r>
              <w:rPr>
                <w:sz w:val="18"/>
                <w:szCs w:val="18"/>
              </w:rPr>
              <w:t>EnvSt</w:t>
            </w:r>
            <w:r>
              <w:rPr>
                <w:sz w:val="18"/>
                <w:szCs w:val="18"/>
              </w:rPr>
              <w:t>d</w:t>
            </w:r>
          </w:p>
        </w:tc>
        <w:tc>
          <w:tcPr>
            <w:tcW w:w="0" w:type="auto"/>
            <w:vAlign w:val="bottom"/>
            <w:hideMark/>
          </w:tcPr>
          <w:p w:rsidR="00000000" w:rsidRDefault="00A32496">
            <w:pPr>
              <w:pStyle w:val="a3"/>
              <w:spacing w:before="0" w:beforeAutospacing="0" w:after="0" w:afterAutospacing="0"/>
              <w:jc w:val="center"/>
              <w:rPr>
                <w:sz w:val="20"/>
                <w:szCs w:val="20"/>
              </w:rPr>
            </w:pPr>
            <w:r>
              <w:rPr>
                <w:sz w:val="18"/>
                <w:szCs w:val="18"/>
              </w:rPr>
              <w:t>7</w:t>
            </w:r>
          </w:p>
        </w:tc>
        <w:tc>
          <w:tcPr>
            <w:tcW w:w="0" w:type="auto"/>
            <w:vAlign w:val="bottom"/>
            <w:hideMark/>
          </w:tcPr>
          <w:p w:rsidR="00000000" w:rsidRDefault="00A32496">
            <w:pPr>
              <w:pStyle w:val="a3"/>
              <w:spacing w:before="0" w:beforeAutospacing="0" w:after="0" w:afterAutospacing="0"/>
              <w:jc w:val="center"/>
              <w:rPr>
                <w:sz w:val="20"/>
                <w:szCs w:val="20"/>
              </w:rPr>
            </w:pPr>
            <w:r>
              <w:rPr>
                <w:sz w:val="18"/>
                <w:szCs w:val="18"/>
              </w:rPr>
              <w:t>2</w:t>
            </w:r>
          </w:p>
        </w:tc>
        <w:tc>
          <w:tcPr>
            <w:tcW w:w="0" w:type="auto"/>
            <w:vAlign w:val="bottom"/>
            <w:hideMark/>
          </w:tcPr>
          <w:p w:rsidR="00000000" w:rsidRDefault="00A32496">
            <w:pPr>
              <w:pStyle w:val="a3"/>
              <w:spacing w:before="0" w:beforeAutospacing="0" w:after="0" w:afterAutospacing="0"/>
              <w:jc w:val="center"/>
              <w:rPr>
                <w:sz w:val="20"/>
                <w:szCs w:val="20"/>
              </w:rPr>
            </w:pPr>
            <w:r>
              <w:rPr>
                <w:sz w:val="18"/>
                <w:szCs w:val="18"/>
              </w:rPr>
              <w:t>5</w:t>
            </w:r>
          </w:p>
        </w:tc>
      </w:tr>
      <w:tr w:rsidR="00000000">
        <w:trPr>
          <w:divId w:val="1781073424"/>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All other 2022 acquisition</w:t>
            </w:r>
            <w:r>
              <w:rPr>
                <w:sz w:val="18"/>
                <w:szCs w:val="18"/>
              </w:rPr>
              <w:t>s</w:t>
            </w:r>
          </w:p>
        </w:tc>
        <w:tc>
          <w:tcPr>
            <w:tcW w:w="0" w:type="auto"/>
            <w:vAlign w:val="bottom"/>
            <w:hideMark/>
          </w:tcPr>
          <w:p w:rsidR="00000000" w:rsidRDefault="00A32496">
            <w:pPr>
              <w:pStyle w:val="a3"/>
              <w:spacing w:before="0" w:beforeAutospacing="0" w:after="0" w:afterAutospacing="0"/>
              <w:jc w:val="center"/>
              <w:rPr>
                <w:sz w:val="20"/>
                <w:szCs w:val="20"/>
              </w:rPr>
            </w:pPr>
            <w:r>
              <w:rPr>
                <w:sz w:val="18"/>
                <w:szCs w:val="18"/>
              </w:rPr>
              <w:t>7</w:t>
            </w:r>
          </w:p>
        </w:tc>
        <w:tc>
          <w:tcPr>
            <w:tcW w:w="0" w:type="auto"/>
            <w:vAlign w:val="bottom"/>
            <w:hideMark/>
          </w:tcPr>
          <w:p w:rsidR="00000000" w:rsidRDefault="00A32496">
            <w:pPr>
              <w:pStyle w:val="a3"/>
              <w:spacing w:before="0" w:beforeAutospacing="0" w:after="0" w:afterAutospacing="0"/>
              <w:jc w:val="center"/>
              <w:rPr>
                <w:sz w:val="20"/>
                <w:szCs w:val="20"/>
              </w:rPr>
            </w:pPr>
            <w:r>
              <w:rPr>
                <w:sz w:val="18"/>
                <w:szCs w:val="18"/>
              </w:rPr>
              <w:t>2</w:t>
            </w:r>
          </w:p>
        </w:tc>
        <w:tc>
          <w:tcPr>
            <w:tcW w:w="0" w:type="auto"/>
            <w:vAlign w:val="bottom"/>
            <w:hideMark/>
          </w:tcPr>
          <w:p w:rsidR="00000000" w:rsidRDefault="00A32496">
            <w:pPr>
              <w:pStyle w:val="a3"/>
              <w:spacing w:before="0" w:beforeAutospacing="0" w:after="0" w:afterAutospacing="0"/>
              <w:jc w:val="center"/>
              <w:rPr>
                <w:sz w:val="20"/>
                <w:szCs w:val="20"/>
              </w:rPr>
            </w:pPr>
            <w:r>
              <w:rPr>
                <w:sz w:val="18"/>
                <w:szCs w:val="18"/>
              </w:rPr>
              <w:t>5</w:t>
            </w:r>
          </w:p>
        </w:tc>
      </w:tr>
    </w:tbl>
    <w:p w:rsidR="00000000" w:rsidRDefault="00A32496">
      <w:pPr>
        <w:pStyle w:val="a3"/>
        <w:spacing w:before="240" w:beforeAutospacing="0" w:after="0" w:afterAutospacing="0"/>
        <w:ind w:firstLine="555"/>
        <w:divId w:val="594290046"/>
        <w:rPr>
          <w:sz w:val="20"/>
          <w:szCs w:val="20"/>
        </w:rPr>
      </w:pPr>
      <w:r>
        <w:rPr>
          <w:sz w:val="20"/>
          <w:szCs w:val="20"/>
        </w:rPr>
        <w:t>Goodwill associated with the EnvStd and IAG acquisitions are deductible for income tax purposes</w:t>
      </w:r>
      <w:r>
        <w:rPr>
          <w:sz w:val="20"/>
          <w:szCs w:val="20"/>
        </w:rPr>
        <w:t>.</w:t>
      </w:r>
    </w:p>
    <w:p w:rsidR="00000000" w:rsidRDefault="00A32496">
      <w:pPr>
        <w:pStyle w:val="a3"/>
        <w:spacing w:before="240" w:beforeAutospacing="0" w:after="0" w:afterAutospacing="0"/>
        <w:ind w:firstLine="555"/>
        <w:divId w:val="594290046"/>
        <w:rPr>
          <w:sz w:val="20"/>
          <w:szCs w:val="20"/>
        </w:rPr>
      </w:pPr>
      <w:r>
        <w:rPr>
          <w:sz w:val="20"/>
          <w:szCs w:val="20"/>
        </w:rPr>
        <w:t>For the acquisitions completed during the nine months ended September 30, 2022, the results of operations since the acquisit</w:t>
      </w:r>
      <w:r>
        <w:rPr>
          <w:sz w:val="20"/>
          <w:szCs w:val="20"/>
        </w:rPr>
        <w:t xml:space="preserve">ion dates have been combined with those of the Company. The Company’s unaudited condensed consolidated statement of operations for the three and nine months ended September 30, 2022 includes revenue of </w:t>
      </w:r>
      <w:r>
        <w:rPr>
          <w:sz w:val="20"/>
          <w:szCs w:val="20"/>
        </w:rPr>
        <w:t>$</w:t>
      </w:r>
      <w:r>
        <w:rPr>
          <w:sz w:val="20"/>
          <w:szCs w:val="20"/>
        </w:rPr>
        <w:t>5.</w:t>
      </w:r>
      <w:r>
        <w:rPr>
          <w:sz w:val="20"/>
          <w:szCs w:val="20"/>
        </w:rPr>
        <w:t>6</w:t>
      </w:r>
      <w:r>
        <w:rPr>
          <w:sz w:val="20"/>
          <w:szCs w:val="20"/>
        </w:rPr>
        <w:t xml:space="preserve"> million and </w:t>
      </w:r>
      <w:r>
        <w:rPr>
          <w:sz w:val="20"/>
          <w:szCs w:val="20"/>
        </w:rPr>
        <w:t>$</w:t>
      </w:r>
      <w:r>
        <w:rPr>
          <w:sz w:val="20"/>
          <w:szCs w:val="20"/>
        </w:rPr>
        <w:t>13.</w:t>
      </w:r>
      <w:r>
        <w:rPr>
          <w:sz w:val="20"/>
          <w:szCs w:val="20"/>
        </w:rPr>
        <w:t>2</w:t>
      </w:r>
      <w:r>
        <w:rPr>
          <w:sz w:val="20"/>
          <w:szCs w:val="20"/>
        </w:rPr>
        <w:t xml:space="preserve"> million, respectively, and pre-</w:t>
      </w:r>
      <w:r>
        <w:rPr>
          <w:sz w:val="20"/>
          <w:szCs w:val="20"/>
        </w:rPr>
        <w:t xml:space="preserve">tax income of </w:t>
      </w:r>
      <w:r>
        <w:rPr>
          <w:sz w:val="20"/>
          <w:szCs w:val="20"/>
        </w:rPr>
        <w:t>$</w:t>
      </w:r>
      <w:r>
        <w:rPr>
          <w:sz w:val="20"/>
          <w:szCs w:val="20"/>
        </w:rPr>
        <w:t>1.</w:t>
      </w:r>
      <w:r>
        <w:rPr>
          <w:sz w:val="20"/>
          <w:szCs w:val="20"/>
        </w:rPr>
        <w:t>0</w:t>
      </w:r>
      <w:r>
        <w:rPr>
          <w:sz w:val="20"/>
          <w:szCs w:val="20"/>
        </w:rPr>
        <w:t xml:space="preserve"> million and </w:t>
      </w:r>
      <w:r>
        <w:rPr>
          <w:sz w:val="20"/>
          <w:szCs w:val="20"/>
        </w:rPr>
        <w:t>$</w:t>
      </w:r>
      <w:r>
        <w:rPr>
          <w:sz w:val="20"/>
          <w:szCs w:val="20"/>
        </w:rPr>
        <w:t>1.</w:t>
      </w:r>
      <w:r>
        <w:rPr>
          <w:sz w:val="20"/>
          <w:szCs w:val="20"/>
        </w:rPr>
        <w:t>7</w:t>
      </w:r>
      <w:r>
        <w:rPr>
          <w:sz w:val="20"/>
          <w:szCs w:val="20"/>
        </w:rPr>
        <w:t xml:space="preserve"> million, respectively, related to these acquisitions. EnvStd is included in the Company’s Assessment, Permitting and Response segment, IAG and TriAD are included in the Remediation and Reuse segment and AirKinetics is in</w:t>
      </w:r>
      <w:r>
        <w:rPr>
          <w:sz w:val="20"/>
          <w:szCs w:val="20"/>
        </w:rPr>
        <w:t>cluded in the Measurement and Analysis segment</w:t>
      </w:r>
      <w:r>
        <w:rPr>
          <w:sz w:val="20"/>
          <w:szCs w:val="20"/>
        </w:rPr>
        <w:t>.</w:t>
      </w:r>
    </w:p>
    <w:p w:rsidR="00000000" w:rsidRDefault="00A32496">
      <w:pPr>
        <w:pStyle w:val="a3"/>
        <w:spacing w:before="240" w:beforeAutospacing="0" w:after="0" w:afterAutospacing="0"/>
        <w:jc w:val="center"/>
        <w:divId w:val="594290046"/>
        <w:rPr>
          <w:sz w:val="20"/>
          <w:szCs w:val="20"/>
        </w:rPr>
      </w:pPr>
      <w:r>
        <w:rPr>
          <w:sz w:val="20"/>
          <w:szCs w:val="20"/>
        </w:rPr>
        <w:t>1</w:t>
      </w:r>
      <w:r>
        <w:rPr>
          <w:sz w:val="20"/>
          <w:szCs w:val="20"/>
        </w:rPr>
        <w:t>3</w:t>
      </w:r>
    </w:p>
    <w:p w:rsidR="00000000" w:rsidRDefault="00A32496">
      <w:pPr>
        <w:divId w:val="594290046"/>
        <w:rPr>
          <w:rFonts w:eastAsia="Times New Roman"/>
        </w:rPr>
      </w:pPr>
      <w:r>
        <w:rPr>
          <w:rFonts w:eastAsia="Times New Roman"/>
        </w:rPr>
        <w:pict>
          <v:rect id="_x0000_i1039" style="width:0;height:1.5pt" o:hralign="center" o:hrstd="t" o:hr="t" fillcolor="#a0a0a0" stroked="f"/>
        </w:pict>
      </w:r>
    </w:p>
    <w:p w:rsidR="00000000" w:rsidRDefault="00A32496">
      <w:pPr>
        <w:pStyle w:val="a3"/>
        <w:spacing w:before="0" w:beforeAutospacing="0" w:after="0" w:afterAutospacing="0"/>
        <w:divId w:val="594290046"/>
        <w:rPr>
          <w:sz w:val="20"/>
          <w:szCs w:val="20"/>
        </w:rPr>
      </w:pPr>
      <w:r>
        <w:rPr>
          <w:sz w:val="20"/>
          <w:szCs w:val="20"/>
        </w:rPr>
        <w:t> </w:t>
      </w:r>
    </w:p>
    <w:p w:rsidR="00000000" w:rsidRDefault="00A32496">
      <w:pPr>
        <w:pStyle w:val="a3"/>
        <w:spacing w:before="240" w:beforeAutospacing="0" w:after="0" w:afterAutospacing="0"/>
        <w:ind w:firstLine="555"/>
        <w:divId w:val="594290046"/>
        <w:rPr>
          <w:sz w:val="20"/>
          <w:szCs w:val="20"/>
        </w:rPr>
      </w:pPr>
      <w:r>
        <w:rPr>
          <w:b/>
          <w:bCs/>
          <w:sz w:val="20"/>
          <w:szCs w:val="20"/>
        </w:rPr>
        <w:t>Acquisitions Completed During the Year Ended December 31, 202</w:t>
      </w:r>
      <w:r>
        <w:rPr>
          <w:b/>
          <w:bCs/>
          <w:sz w:val="20"/>
          <w:szCs w:val="20"/>
        </w:rPr>
        <w:t>1</w:t>
      </w:r>
    </w:p>
    <w:p w:rsidR="00000000" w:rsidRDefault="00A32496">
      <w:pPr>
        <w:pStyle w:val="a3"/>
        <w:spacing w:before="240" w:beforeAutospacing="0" w:after="0" w:afterAutospacing="0"/>
        <w:ind w:firstLine="555"/>
        <w:divId w:val="594290046"/>
        <w:rPr>
          <w:sz w:val="20"/>
          <w:szCs w:val="20"/>
        </w:rPr>
      </w:pPr>
      <w:r>
        <w:rPr>
          <w:b/>
          <w:bCs/>
          <w:i/>
          <w:iCs/>
          <w:sz w:val="20"/>
          <w:szCs w:val="20"/>
        </w:rPr>
        <w:t>MSE Group, LLC (“MSE”</w:t>
      </w:r>
      <w:r>
        <w:rPr>
          <w:b/>
          <w:bCs/>
          <w:i/>
          <w:iCs/>
          <w:sz w:val="20"/>
          <w:szCs w:val="20"/>
        </w:rPr>
        <w:t>)</w:t>
      </w:r>
      <w:r>
        <w:rPr>
          <w:sz w:val="20"/>
          <w:szCs w:val="20"/>
        </w:rPr>
        <w:t>—</w:t>
      </w:r>
      <w:r>
        <w:rPr>
          <w:sz w:val="20"/>
          <w:szCs w:val="20"/>
        </w:rPr>
        <w:t>In January 2021, the Company completed the acquisition of MSE Group, LLC by acquiring</w:t>
      </w:r>
      <w:r>
        <w:rPr>
          <w:sz w:val="20"/>
          <w:szCs w:val="20"/>
        </w:rPr>
        <w:t xml:space="preserve"> </w:t>
      </w:r>
      <w:r>
        <w:rPr>
          <w:sz w:val="20"/>
          <w:szCs w:val="20"/>
        </w:rPr>
        <w:t>100.</w:t>
      </w:r>
      <w:r>
        <w:rPr>
          <w:sz w:val="20"/>
          <w:szCs w:val="20"/>
        </w:rPr>
        <w:t>0</w:t>
      </w:r>
      <w:r>
        <w:rPr>
          <w:sz w:val="20"/>
          <w:szCs w:val="20"/>
        </w:rPr>
        <w:t>% of its membership interests. MSE is a provider of environmental assessment, permitting and remediation services primarily to the U.S. federal government. MSE is ba</w:t>
      </w:r>
      <w:r>
        <w:rPr>
          <w:sz w:val="20"/>
          <w:szCs w:val="20"/>
        </w:rPr>
        <w:t>sed in Orlando, FL with additional offices in Tampa, Orlando, Jacksonville, San Antonio, TX, and Wilmington, NC, and satellite locations nationwide. The upfront cash payment made to acquire MSE was funded through cash on hand and the common stock portion o</w:t>
      </w:r>
      <w:r>
        <w:rPr>
          <w:sz w:val="20"/>
          <w:szCs w:val="20"/>
        </w:rPr>
        <w:t>f the purchase price was funded through the issuance of</w:t>
      </w:r>
      <w:r>
        <w:rPr>
          <w:sz w:val="20"/>
          <w:szCs w:val="20"/>
        </w:rPr>
        <w:t xml:space="preserve"> </w:t>
      </w:r>
      <w:r>
        <w:rPr>
          <w:sz w:val="20"/>
          <w:szCs w:val="20"/>
        </w:rPr>
        <w:t>71,74</w:t>
      </w:r>
      <w:r>
        <w:rPr>
          <w:sz w:val="20"/>
          <w:szCs w:val="20"/>
        </w:rPr>
        <w:t>0</w:t>
      </w:r>
      <w:r>
        <w:rPr>
          <w:sz w:val="20"/>
          <w:szCs w:val="20"/>
        </w:rPr>
        <w:t xml:space="preserve"> shares of common stock</w:t>
      </w:r>
      <w:r>
        <w:rPr>
          <w:sz w:val="20"/>
          <w:szCs w:val="20"/>
        </w:rPr>
        <w:t>.</w:t>
      </w:r>
      <w:r>
        <w:rPr>
          <w:sz w:val="20"/>
          <w:szCs w:val="20"/>
        </w:rPr>
        <w:t xml:space="preserve"> </w:t>
      </w:r>
    </w:p>
    <w:p w:rsidR="00000000" w:rsidRDefault="00A32496">
      <w:pPr>
        <w:pStyle w:val="a3"/>
        <w:spacing w:before="240" w:beforeAutospacing="0" w:after="0" w:afterAutospacing="0"/>
        <w:ind w:firstLine="555"/>
        <w:divId w:val="594290046"/>
        <w:rPr>
          <w:sz w:val="20"/>
          <w:szCs w:val="20"/>
        </w:rPr>
      </w:pPr>
      <w:r>
        <w:rPr>
          <w:b/>
          <w:bCs/>
          <w:i/>
          <w:iCs/>
          <w:sz w:val="20"/>
          <w:szCs w:val="20"/>
        </w:rPr>
        <w:t>Vista Analytical Laboratory, Inc. (“Vista”</w:t>
      </w:r>
      <w:r>
        <w:rPr>
          <w:b/>
          <w:bCs/>
          <w:i/>
          <w:iCs/>
          <w:sz w:val="20"/>
          <w:szCs w:val="20"/>
        </w:rPr>
        <w:t>)</w:t>
      </w:r>
      <w:r>
        <w:rPr>
          <w:sz w:val="20"/>
          <w:szCs w:val="20"/>
        </w:rPr>
        <w:t>—In June 2021, the Company completed the acquisition of Vista Analytical Laboratory, Inc. (“Vista”) by acquiring</w:t>
      </w:r>
      <w:r>
        <w:rPr>
          <w:sz w:val="20"/>
          <w:szCs w:val="20"/>
        </w:rPr>
        <w:t xml:space="preserve"> </w:t>
      </w:r>
      <w:r>
        <w:rPr>
          <w:sz w:val="20"/>
          <w:szCs w:val="20"/>
        </w:rPr>
        <w:t>100.</w:t>
      </w:r>
      <w:r>
        <w:rPr>
          <w:sz w:val="20"/>
          <w:szCs w:val="20"/>
        </w:rPr>
        <w:t>0</w:t>
      </w:r>
      <w:r>
        <w:rPr>
          <w:sz w:val="20"/>
          <w:szCs w:val="20"/>
        </w:rPr>
        <w:t>% of it</w:t>
      </w:r>
      <w:r>
        <w:rPr>
          <w:sz w:val="20"/>
          <w:szCs w:val="20"/>
        </w:rPr>
        <w:t>s common stock. Vista provides specialty analytical services related to Per- and polyfluoroalkyl substances (“PFAS”) and other semi-volatile organic compounds. Vista is based in Dorado Hills, CA. The upfront cash payment made to acquire Vista was funded th</w:t>
      </w:r>
      <w:r>
        <w:rPr>
          <w:sz w:val="20"/>
          <w:szCs w:val="20"/>
        </w:rPr>
        <w:t>rough cash on hand and the common stock portion of the purchase price was funded through the issuance of</w:t>
      </w:r>
      <w:r>
        <w:rPr>
          <w:sz w:val="20"/>
          <w:szCs w:val="20"/>
        </w:rPr>
        <w:t xml:space="preserve"> </w:t>
      </w:r>
      <w:r>
        <w:rPr>
          <w:sz w:val="20"/>
          <w:szCs w:val="20"/>
        </w:rPr>
        <w:t>9,32</w:t>
      </w:r>
      <w:r>
        <w:rPr>
          <w:sz w:val="20"/>
          <w:szCs w:val="20"/>
        </w:rPr>
        <w:t>2</w:t>
      </w:r>
      <w:r>
        <w:rPr>
          <w:sz w:val="20"/>
          <w:szCs w:val="20"/>
        </w:rPr>
        <w:t xml:space="preserve"> shares of common stock</w:t>
      </w:r>
      <w:r>
        <w:rPr>
          <w:sz w:val="20"/>
          <w:szCs w:val="20"/>
        </w:rPr>
        <w:t>.</w:t>
      </w:r>
      <w:r>
        <w:rPr>
          <w:sz w:val="20"/>
          <w:szCs w:val="20"/>
        </w:rPr>
        <w:t xml:space="preserve"> </w:t>
      </w:r>
    </w:p>
    <w:p w:rsidR="00000000" w:rsidRDefault="00A32496">
      <w:pPr>
        <w:pStyle w:val="a3"/>
        <w:spacing w:before="240" w:beforeAutospacing="0" w:after="0" w:afterAutospacing="0"/>
        <w:ind w:firstLine="555"/>
        <w:divId w:val="594290046"/>
        <w:rPr>
          <w:sz w:val="20"/>
          <w:szCs w:val="20"/>
        </w:rPr>
      </w:pPr>
      <w:r>
        <w:rPr>
          <w:b/>
          <w:bCs/>
          <w:i/>
          <w:iCs/>
          <w:sz w:val="20"/>
          <w:szCs w:val="20"/>
        </w:rPr>
        <w:t>Environmental Intelligence, LLC (“EI”)</w:t>
      </w:r>
      <w:r>
        <w:rPr>
          <w:b/>
          <w:bCs/>
          <w:i/>
          <w:iCs/>
          <w:sz w:val="20"/>
          <w:szCs w:val="20"/>
        </w:rPr>
        <w:t xml:space="preserve"> </w:t>
      </w:r>
      <w:r>
        <w:rPr>
          <w:sz w:val="20"/>
          <w:szCs w:val="20"/>
        </w:rPr>
        <w:t>—In July 2021, the Company completed the acquisition of Environmental Intelligenc</w:t>
      </w:r>
      <w:r>
        <w:rPr>
          <w:sz w:val="20"/>
          <w:szCs w:val="20"/>
        </w:rPr>
        <w:t>e, LLC (“EI”</w:t>
      </w:r>
      <w:r>
        <w:rPr>
          <w:sz w:val="20"/>
          <w:szCs w:val="20"/>
        </w:rPr>
        <w:t>)</w:t>
      </w:r>
      <w:r>
        <w:t xml:space="preserve"> </w:t>
      </w:r>
      <w:r>
        <w:rPr>
          <w:sz w:val="20"/>
          <w:szCs w:val="20"/>
        </w:rPr>
        <w:t>by acquiring</w:t>
      </w:r>
      <w:r>
        <w:rPr>
          <w:sz w:val="20"/>
          <w:szCs w:val="20"/>
        </w:rPr>
        <w:t xml:space="preserve"> </w:t>
      </w:r>
      <w:r>
        <w:rPr>
          <w:sz w:val="20"/>
          <w:szCs w:val="20"/>
        </w:rPr>
        <w:t>100.</w:t>
      </w:r>
      <w:r>
        <w:rPr>
          <w:sz w:val="20"/>
          <w:szCs w:val="20"/>
        </w:rPr>
        <w:t>0</w:t>
      </w:r>
      <w:r>
        <w:rPr>
          <w:sz w:val="20"/>
          <w:szCs w:val="20"/>
        </w:rPr>
        <w:t>% of its membership interests. EI provides environmental consulting services and is recognized for its innovative work in wildlife mitigation and biological assessments. EI is based in Laguna Beach, CA and enhances Montrose’</w:t>
      </w:r>
      <w:r>
        <w:rPr>
          <w:sz w:val="20"/>
          <w:szCs w:val="20"/>
        </w:rPr>
        <w:t>s ecological planning and service capabilities in California and the US West Coast. The upfront cash payment made to acquire EI was funded through cash on hand and the common stock portion of the purchase price was funded through the issuance of</w:t>
      </w:r>
      <w:r>
        <w:rPr>
          <w:sz w:val="20"/>
          <w:szCs w:val="20"/>
        </w:rPr>
        <w:t xml:space="preserve"> </w:t>
      </w:r>
      <w:r>
        <w:rPr>
          <w:sz w:val="20"/>
          <w:szCs w:val="20"/>
        </w:rPr>
        <w:t>43,10</w:t>
      </w:r>
      <w:r>
        <w:rPr>
          <w:sz w:val="20"/>
          <w:szCs w:val="20"/>
        </w:rPr>
        <w:t>0</w:t>
      </w:r>
      <w:r>
        <w:rPr>
          <w:sz w:val="20"/>
          <w:szCs w:val="20"/>
        </w:rPr>
        <w:t xml:space="preserve"> sha</w:t>
      </w:r>
      <w:r>
        <w:rPr>
          <w:sz w:val="20"/>
          <w:szCs w:val="20"/>
        </w:rPr>
        <w:t>res of common stock</w:t>
      </w:r>
      <w:r>
        <w:rPr>
          <w:sz w:val="20"/>
          <w:szCs w:val="20"/>
        </w:rPr>
        <w:t>.</w:t>
      </w:r>
    </w:p>
    <w:p w:rsidR="00000000" w:rsidRDefault="00A32496">
      <w:pPr>
        <w:pStyle w:val="a3"/>
        <w:spacing w:before="240" w:beforeAutospacing="0" w:after="0" w:afterAutospacing="0"/>
        <w:ind w:firstLine="555"/>
        <w:divId w:val="594290046"/>
        <w:rPr>
          <w:sz w:val="20"/>
          <w:szCs w:val="20"/>
        </w:rPr>
      </w:pPr>
      <w:r>
        <w:rPr>
          <w:b/>
          <w:bCs/>
          <w:i/>
          <w:iCs/>
          <w:sz w:val="20"/>
          <w:szCs w:val="20"/>
        </w:rPr>
        <w:t>SensibleIoT, LLC (“Sensible”)</w:t>
      </w:r>
      <w:r>
        <w:rPr>
          <w:b/>
          <w:bCs/>
          <w:i/>
          <w:iCs/>
          <w:sz w:val="20"/>
          <w:szCs w:val="20"/>
        </w:rPr>
        <w:t xml:space="preserve"> </w:t>
      </w:r>
      <w:r>
        <w:rPr>
          <w:sz w:val="20"/>
          <w:szCs w:val="20"/>
        </w:rPr>
        <w:t>—In August, 2021, the Company completed the business acquisition of SensibleIoT, LLC (“Sensible”) by acquiring</w:t>
      </w:r>
      <w:r>
        <w:rPr>
          <w:sz w:val="20"/>
          <w:szCs w:val="20"/>
        </w:rPr>
        <w:t xml:space="preserve"> </w:t>
      </w:r>
      <w:r>
        <w:rPr>
          <w:sz w:val="20"/>
          <w:szCs w:val="20"/>
        </w:rPr>
        <w:t>100.</w:t>
      </w:r>
      <w:r>
        <w:rPr>
          <w:sz w:val="20"/>
          <w:szCs w:val="20"/>
        </w:rPr>
        <w:t>0</w:t>
      </w:r>
      <w:r>
        <w:rPr>
          <w:sz w:val="20"/>
          <w:szCs w:val="20"/>
        </w:rPr>
        <w:t>% of its membership interests. Sensible is a technology platform that connects sensors an</w:t>
      </w:r>
      <w:r>
        <w:rPr>
          <w:sz w:val="20"/>
          <w:szCs w:val="20"/>
        </w:rPr>
        <w:t>d sources of environment data to a central, proprietary database that enables real-time client interaction. Sensible provides Montrose with an advanced ability to integrate environmental services and enhance environmental data analytics for clients. The up</w:t>
      </w:r>
      <w:r>
        <w:rPr>
          <w:sz w:val="20"/>
          <w:szCs w:val="20"/>
        </w:rPr>
        <w:t>front cash payment made to acquire Sensible was funded through cash on hand and the common stock portion of the purchase price was funded through the issuance of</w:t>
      </w:r>
      <w:r>
        <w:rPr>
          <w:sz w:val="20"/>
          <w:szCs w:val="20"/>
        </w:rPr>
        <w:t xml:space="preserve"> </w:t>
      </w:r>
      <w:r>
        <w:rPr>
          <w:sz w:val="20"/>
          <w:szCs w:val="20"/>
        </w:rPr>
        <w:t>19,63</w:t>
      </w:r>
      <w:r>
        <w:rPr>
          <w:sz w:val="20"/>
          <w:szCs w:val="20"/>
        </w:rPr>
        <w:t>8</w:t>
      </w:r>
      <w:r>
        <w:rPr>
          <w:sz w:val="20"/>
          <w:szCs w:val="20"/>
        </w:rPr>
        <w:t xml:space="preserve"> shares of common stock</w:t>
      </w:r>
      <w:r>
        <w:rPr>
          <w:sz w:val="20"/>
          <w:szCs w:val="20"/>
        </w:rPr>
        <w:t>.</w:t>
      </w:r>
    </w:p>
    <w:p w:rsidR="00000000" w:rsidRDefault="00A32496">
      <w:pPr>
        <w:pStyle w:val="a3"/>
        <w:spacing w:before="240" w:beforeAutospacing="0" w:after="0" w:afterAutospacing="0"/>
        <w:ind w:firstLine="555"/>
        <w:divId w:val="594290046"/>
        <w:rPr>
          <w:sz w:val="20"/>
          <w:szCs w:val="20"/>
        </w:rPr>
      </w:pPr>
      <w:r>
        <w:rPr>
          <w:b/>
          <w:bCs/>
          <w:i/>
          <w:iCs/>
          <w:sz w:val="20"/>
          <w:szCs w:val="20"/>
        </w:rPr>
        <w:t>Environmental Chemistry, Inc. (“ECI”</w:t>
      </w:r>
      <w:r>
        <w:rPr>
          <w:b/>
          <w:bCs/>
          <w:i/>
          <w:iCs/>
          <w:sz w:val="20"/>
          <w:szCs w:val="20"/>
        </w:rPr>
        <w:t>)</w:t>
      </w:r>
      <w:r>
        <w:rPr>
          <w:sz w:val="20"/>
          <w:szCs w:val="20"/>
        </w:rPr>
        <w:t xml:space="preserve"> —In October 2021, the Com</w:t>
      </w:r>
      <w:r>
        <w:rPr>
          <w:sz w:val="20"/>
          <w:szCs w:val="20"/>
        </w:rPr>
        <w:t>pany completed the business acquisition of Environmental Chemistry, Inc. (“ECI”) by acquiring</w:t>
      </w:r>
      <w:r>
        <w:rPr>
          <w:sz w:val="20"/>
          <w:szCs w:val="20"/>
        </w:rPr>
        <w:t xml:space="preserve"> </w:t>
      </w:r>
      <w:r>
        <w:rPr>
          <w:sz w:val="20"/>
          <w:szCs w:val="20"/>
        </w:rPr>
        <w:t>100.</w:t>
      </w:r>
      <w:r>
        <w:rPr>
          <w:sz w:val="20"/>
          <w:szCs w:val="20"/>
        </w:rPr>
        <w:t>0</w:t>
      </w:r>
      <w:r>
        <w:rPr>
          <w:sz w:val="20"/>
          <w:szCs w:val="20"/>
        </w:rPr>
        <w:t>% of its common stock. ECI provides a full suite of environmental laboratory analytical services to industrial, governmental, and engineering/consulting clie</w:t>
      </w:r>
      <w:r>
        <w:rPr>
          <w:sz w:val="20"/>
          <w:szCs w:val="20"/>
        </w:rPr>
        <w:t>nts. Combined with the Company’s existing Houston, TX laboratory, ECI (located also in Houston, TX) will enable Montrose to provide air, water and soil analytical services in the gulf coast region. The upfront cash payment made to acquire ECI was funded th</w:t>
      </w:r>
      <w:r>
        <w:rPr>
          <w:sz w:val="20"/>
          <w:szCs w:val="20"/>
        </w:rPr>
        <w:t>rough cash on hand</w:t>
      </w:r>
      <w:r>
        <w:rPr>
          <w:sz w:val="20"/>
          <w:szCs w:val="20"/>
        </w:rPr>
        <w:t>.</w:t>
      </w:r>
    </w:p>
    <w:p w:rsidR="00000000" w:rsidRDefault="00A32496">
      <w:pPr>
        <w:pStyle w:val="a3"/>
        <w:spacing w:before="240" w:beforeAutospacing="0" w:after="0" w:afterAutospacing="0"/>
        <w:ind w:firstLine="555"/>
        <w:divId w:val="594290046"/>
        <w:rPr>
          <w:sz w:val="20"/>
          <w:szCs w:val="20"/>
        </w:rPr>
      </w:pPr>
      <w:r>
        <w:rPr>
          <w:b/>
          <w:bCs/>
          <w:i/>
          <w:iCs/>
          <w:sz w:val="20"/>
          <w:szCs w:val="20"/>
        </w:rPr>
        <w:t>Horizon Water and Environment, LLC (“Horizon”</w:t>
      </w:r>
      <w:r>
        <w:rPr>
          <w:b/>
          <w:bCs/>
          <w:i/>
          <w:iCs/>
          <w:sz w:val="20"/>
          <w:szCs w:val="20"/>
        </w:rPr>
        <w:t>)</w:t>
      </w:r>
      <w:r>
        <w:rPr>
          <w:sz w:val="20"/>
          <w:szCs w:val="20"/>
        </w:rPr>
        <w:t>— In November 2021, the Company completed the business acquisition of Horizon Water and Environment, LLC (“Horizon”) by acquiring</w:t>
      </w:r>
      <w:r>
        <w:rPr>
          <w:sz w:val="20"/>
          <w:szCs w:val="20"/>
        </w:rPr>
        <w:t xml:space="preserve"> </w:t>
      </w:r>
      <w:r>
        <w:rPr>
          <w:sz w:val="20"/>
          <w:szCs w:val="20"/>
        </w:rPr>
        <w:t>100.</w:t>
      </w:r>
      <w:r>
        <w:rPr>
          <w:sz w:val="20"/>
          <w:szCs w:val="20"/>
        </w:rPr>
        <w:t>0</w:t>
      </w:r>
      <w:r>
        <w:rPr>
          <w:sz w:val="20"/>
          <w:szCs w:val="20"/>
        </w:rPr>
        <w:t>% of its membership interests. Horizon is an environmen</w:t>
      </w:r>
      <w:r>
        <w:rPr>
          <w:sz w:val="20"/>
          <w:szCs w:val="20"/>
        </w:rPr>
        <w:t>tal consulting firm specializing in planning, watershed science, and environmental compliance for water and natural resource projects. The upfront cash payment made to acquire Horizon was funded through cash on hand and the common stock portion of the purc</w:t>
      </w:r>
      <w:r>
        <w:rPr>
          <w:sz w:val="20"/>
          <w:szCs w:val="20"/>
        </w:rPr>
        <w:t>hase price was funded through the issuance of</w:t>
      </w:r>
      <w:r>
        <w:rPr>
          <w:sz w:val="20"/>
          <w:szCs w:val="20"/>
        </w:rPr>
        <w:t xml:space="preserve"> </w:t>
      </w:r>
      <w:r>
        <w:rPr>
          <w:sz w:val="20"/>
          <w:szCs w:val="20"/>
        </w:rPr>
        <w:t>34,92</w:t>
      </w:r>
      <w:r>
        <w:rPr>
          <w:sz w:val="20"/>
          <w:szCs w:val="20"/>
        </w:rPr>
        <w:t>1</w:t>
      </w:r>
      <w:r>
        <w:rPr>
          <w:sz w:val="20"/>
          <w:szCs w:val="20"/>
        </w:rPr>
        <w:t xml:space="preserve"> shares of common stock</w:t>
      </w:r>
      <w:r>
        <w:rPr>
          <w:sz w:val="20"/>
          <w:szCs w:val="20"/>
        </w:rPr>
        <w:t>.</w:t>
      </w:r>
    </w:p>
    <w:p w:rsidR="00000000" w:rsidRDefault="00A32496">
      <w:pPr>
        <w:pStyle w:val="a3"/>
        <w:spacing w:before="240" w:beforeAutospacing="0" w:after="0" w:afterAutospacing="0"/>
        <w:ind w:firstLine="555"/>
        <w:divId w:val="2043096184"/>
        <w:rPr>
          <w:sz w:val="20"/>
          <w:szCs w:val="20"/>
        </w:rPr>
      </w:pPr>
      <w:r>
        <w:rPr>
          <w:sz w:val="20"/>
          <w:szCs w:val="20"/>
        </w:rPr>
        <w:t>The following table summarizes the elements of the purchase price of the acquisitions completed during the year ended</w:t>
      </w:r>
      <w:r>
        <w:rPr>
          <w:sz w:val="20"/>
          <w:szCs w:val="20"/>
        </w:rPr>
        <w:t xml:space="preserve"> </w:t>
      </w:r>
      <w:r>
        <w:rPr>
          <w:sz w:val="20"/>
          <w:szCs w:val="20"/>
        </w:rPr>
        <w:t>December 31, 2021</w:t>
      </w:r>
      <w:r>
        <w:rPr>
          <w:sz w:val="20"/>
          <w:szCs w:val="20"/>
        </w:rPr>
        <w:t>:</w:t>
      </w:r>
    </w:p>
    <w:p w:rsidR="00000000" w:rsidRDefault="00A32496">
      <w:pPr>
        <w:pStyle w:val="a3"/>
        <w:spacing w:before="0" w:beforeAutospacing="0" w:after="0" w:afterAutospacing="0"/>
        <w:divId w:val="2043096184"/>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45"/>
        <w:gridCol w:w="105"/>
        <w:gridCol w:w="150"/>
        <w:gridCol w:w="555"/>
        <w:gridCol w:w="105"/>
        <w:gridCol w:w="105"/>
        <w:gridCol w:w="151"/>
        <w:gridCol w:w="673"/>
        <w:gridCol w:w="105"/>
        <w:gridCol w:w="105"/>
        <w:gridCol w:w="151"/>
        <w:gridCol w:w="913"/>
        <w:gridCol w:w="120"/>
        <w:gridCol w:w="105"/>
        <w:gridCol w:w="151"/>
        <w:gridCol w:w="1027"/>
        <w:gridCol w:w="105"/>
        <w:gridCol w:w="105"/>
        <w:gridCol w:w="151"/>
        <w:gridCol w:w="1027"/>
        <w:gridCol w:w="105"/>
        <w:gridCol w:w="105"/>
        <w:gridCol w:w="151"/>
        <w:gridCol w:w="671"/>
        <w:gridCol w:w="120"/>
      </w:tblGrid>
      <w:tr w:rsidR="00000000">
        <w:trPr>
          <w:divId w:val="2043096184"/>
          <w:tblCellSpacing w:w="15" w:type="dxa"/>
        </w:trPr>
        <w:tc>
          <w:tcPr>
            <w:tcW w:w="1093" w:type="pct"/>
            <w:vAlign w:val="center"/>
            <w:hideMark/>
          </w:tcPr>
          <w:p w:rsidR="00000000" w:rsidRDefault="00A32496">
            <w:pPr>
              <w:rPr>
                <w:sz w:val="20"/>
                <w:szCs w:val="20"/>
              </w:rPr>
            </w:pPr>
          </w:p>
        </w:tc>
        <w:tc>
          <w:tcPr>
            <w:tcW w:w="55"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449"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5"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483"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5"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05"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5"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32"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5"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32"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5"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472"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r>
      <w:tr w:rsidR="00000000">
        <w:trPr>
          <w:divId w:val="2043096184"/>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Cas</w:t>
            </w:r>
            <w:r>
              <w:rPr>
                <w:b/>
                <w:bCs/>
                <w:sz w:val="18"/>
                <w:szCs w:val="18"/>
              </w:rPr>
              <w:t>h</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Common</w:t>
            </w:r>
            <w:r>
              <w:rPr>
                <w:b/>
                <w:bCs/>
                <w:sz w:val="18"/>
                <w:szCs w:val="18"/>
              </w:rPr>
              <w:br/>
              <w:t>Stoc</w:t>
            </w:r>
            <w:r>
              <w:rPr>
                <w:b/>
                <w:bCs/>
                <w:sz w:val="18"/>
                <w:szCs w:val="18"/>
              </w:rPr>
              <w:t>k</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Other</w:t>
            </w:r>
            <w:r>
              <w:rPr>
                <w:b/>
                <w:bCs/>
                <w:sz w:val="18"/>
                <w:szCs w:val="18"/>
              </w:rPr>
              <w:br/>
              <w:t>Purchase</w:t>
            </w:r>
            <w:r>
              <w:rPr>
                <w:b/>
                <w:bCs/>
                <w:sz w:val="18"/>
                <w:szCs w:val="18"/>
              </w:rPr>
              <w:br/>
              <w:t>Price</w:t>
            </w:r>
            <w:r>
              <w:rPr>
                <w:b/>
                <w:bCs/>
                <w:sz w:val="18"/>
                <w:szCs w:val="18"/>
              </w:rPr>
              <w:br/>
              <w:t>Components</w:t>
            </w:r>
            <w:r>
              <w:rPr>
                <w:b/>
                <w:bCs/>
                <w:sz w:val="18"/>
                <w:szCs w:val="18"/>
              </w:rPr>
              <w:br/>
              <w:t>Curren</w:t>
            </w:r>
            <w:r>
              <w:rPr>
                <w:b/>
                <w:bCs/>
                <w:sz w:val="18"/>
                <w:szCs w:val="18"/>
              </w:rPr>
              <w:t>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Contingent</w:t>
            </w:r>
            <w:r>
              <w:rPr>
                <w:b/>
                <w:bCs/>
                <w:sz w:val="18"/>
                <w:szCs w:val="18"/>
              </w:rPr>
              <w:br/>
              <w:t>Consideration</w:t>
            </w:r>
            <w:r>
              <w:rPr>
                <w:b/>
                <w:bCs/>
                <w:sz w:val="18"/>
                <w:szCs w:val="18"/>
              </w:rPr>
              <w:br/>
              <w:t>Curren</w:t>
            </w:r>
            <w:r>
              <w:rPr>
                <w:b/>
                <w:bCs/>
                <w:sz w:val="18"/>
                <w:szCs w:val="18"/>
              </w:rPr>
              <w:t>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Contingent</w:t>
            </w:r>
            <w:r>
              <w:rPr>
                <w:b/>
                <w:bCs/>
                <w:sz w:val="18"/>
                <w:szCs w:val="18"/>
              </w:rPr>
              <w:br/>
              <w:t>Consideration</w:t>
            </w:r>
            <w:r>
              <w:rPr>
                <w:b/>
                <w:bCs/>
                <w:sz w:val="18"/>
                <w:szCs w:val="18"/>
              </w:rPr>
              <w:br/>
              <w:t>Long Ter</w:t>
            </w:r>
            <w:r>
              <w:rPr>
                <w:b/>
                <w:bCs/>
                <w:sz w:val="18"/>
                <w:szCs w:val="18"/>
              </w:rPr>
              <w:t>m</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Total</w:t>
            </w:r>
            <w:r>
              <w:rPr>
                <w:b/>
                <w:bCs/>
                <w:sz w:val="18"/>
                <w:szCs w:val="18"/>
              </w:rPr>
              <w:br/>
              <w:t>Purchase</w:t>
            </w:r>
            <w:r>
              <w:rPr>
                <w:b/>
                <w:bCs/>
                <w:sz w:val="18"/>
                <w:szCs w:val="18"/>
              </w:rPr>
              <w:br/>
              <w:t>Pric</w:t>
            </w:r>
            <w:r>
              <w:rPr>
                <w:b/>
                <w:bCs/>
                <w:sz w:val="18"/>
                <w:szCs w:val="18"/>
              </w:rPr>
              <w:t>e</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2043096184"/>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MS</w:t>
            </w:r>
            <w:r>
              <w:rPr>
                <w:sz w:val="18"/>
                <w:szCs w:val="18"/>
              </w:rPr>
              <w:t>E</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9,08</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2,27</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10,70</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1,55</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25</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23,85</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2043096184"/>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E</w:t>
            </w:r>
            <w:r>
              <w:rPr>
                <w:sz w:val="18"/>
                <w:szCs w:val="18"/>
              </w:rPr>
              <w:t>I</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20,72</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2,27</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6</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22,93</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2043096184"/>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All other 2021 acquisition</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29,68</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3,77</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1,22</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1,25</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4,35</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40,28</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2043096184"/>
          <w:trHeight w:val="180"/>
          <w:tblCellSpacing w:w="15" w:type="dxa"/>
        </w:trPr>
        <w:tc>
          <w:tcPr>
            <w:tcW w:w="0" w:type="auto"/>
            <w:vAlign w:val="bottom"/>
            <w:hideMark/>
          </w:tcPr>
          <w:p w:rsidR="00000000" w:rsidRDefault="00A32496">
            <w:pPr>
              <w:pStyle w:val="a3"/>
              <w:spacing w:before="0" w:beforeAutospacing="0" w:after="0" w:afterAutospacing="0"/>
              <w:rPr>
                <w:sz w:val="18"/>
                <w:szCs w:val="18"/>
              </w:rPr>
            </w:pPr>
            <w:r>
              <w:rPr>
                <w:sz w:val="18"/>
                <w:szCs w:val="18"/>
              </w:rPr>
              <w:t>Tota</w:t>
            </w:r>
            <w:r>
              <w:rPr>
                <w:sz w:val="18"/>
                <w:szCs w:val="18"/>
              </w:rPr>
              <w:t>l</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59,48</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8,32</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11,86</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2,80</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4,60</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87,07</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bl>
    <w:p w:rsidR="00000000" w:rsidRDefault="00A32496">
      <w:pPr>
        <w:pStyle w:val="a3"/>
        <w:spacing w:before="240" w:beforeAutospacing="0" w:after="0" w:afterAutospacing="0"/>
        <w:ind w:firstLine="555"/>
        <w:divId w:val="594290046"/>
        <w:rPr>
          <w:sz w:val="20"/>
          <w:szCs w:val="20"/>
        </w:rPr>
      </w:pPr>
      <w:r>
        <w:rPr>
          <w:sz w:val="20"/>
          <w:szCs w:val="20"/>
        </w:rPr>
        <w:t>The other purchase price components of the MSE purchase price consist of a surplus working capital amount on the date of close, a seller make-whole for taxes related to a 338(h)(10) election, an integration payment liability and a purchase price true up re</w:t>
      </w:r>
      <w:r>
        <w:rPr>
          <w:sz w:val="20"/>
          <w:szCs w:val="20"/>
        </w:rPr>
        <w:t>lated to MSE’s financial performance in the fourth quarter of 2020. The other purchase price components of the EI purchase price consist of a surplus working capital amount on the date of close. The other purchase price components of all the other acquisit</w:t>
      </w:r>
      <w:r>
        <w:rPr>
          <w:sz w:val="20"/>
          <w:szCs w:val="20"/>
        </w:rPr>
        <w:t>ions purchase price mainly consist of surplus/deficit working capital amounts and 338(h)(10) election liabilities</w:t>
      </w:r>
      <w:r>
        <w:rPr>
          <w:sz w:val="20"/>
          <w:szCs w:val="20"/>
        </w:rPr>
        <w:t>.</w:t>
      </w:r>
      <w:r>
        <w:rPr>
          <w:sz w:val="20"/>
          <w:szCs w:val="20"/>
        </w:rPr>
        <w:t xml:space="preserve"> </w:t>
      </w:r>
    </w:p>
    <w:p w:rsidR="00000000" w:rsidRDefault="00A32496">
      <w:pPr>
        <w:pStyle w:val="a3"/>
        <w:spacing w:before="240" w:beforeAutospacing="0" w:after="0" w:afterAutospacing="0"/>
        <w:jc w:val="center"/>
        <w:divId w:val="594290046"/>
        <w:rPr>
          <w:sz w:val="20"/>
          <w:szCs w:val="20"/>
        </w:rPr>
      </w:pPr>
      <w:r>
        <w:rPr>
          <w:sz w:val="20"/>
          <w:szCs w:val="20"/>
        </w:rPr>
        <w:t>1</w:t>
      </w:r>
      <w:r>
        <w:rPr>
          <w:sz w:val="20"/>
          <w:szCs w:val="20"/>
        </w:rPr>
        <w:t>4</w:t>
      </w:r>
    </w:p>
    <w:p w:rsidR="00000000" w:rsidRDefault="00A32496">
      <w:pPr>
        <w:divId w:val="594290046"/>
        <w:rPr>
          <w:rFonts w:eastAsia="Times New Roman"/>
        </w:rPr>
      </w:pPr>
      <w:r>
        <w:rPr>
          <w:rFonts w:eastAsia="Times New Roman"/>
        </w:rPr>
        <w:pict>
          <v:rect id="_x0000_i1040" style="width:0;height:1.5pt" o:hralign="center" o:hrstd="t" o:hr="t" fillcolor="#a0a0a0" stroked="f"/>
        </w:pict>
      </w:r>
    </w:p>
    <w:p w:rsidR="00000000" w:rsidRDefault="00A32496">
      <w:pPr>
        <w:pStyle w:val="a3"/>
        <w:spacing w:before="0" w:beforeAutospacing="0" w:after="0" w:afterAutospacing="0"/>
        <w:divId w:val="594290046"/>
        <w:rPr>
          <w:sz w:val="20"/>
          <w:szCs w:val="20"/>
        </w:rPr>
      </w:pPr>
      <w:r>
        <w:rPr>
          <w:sz w:val="20"/>
          <w:szCs w:val="20"/>
        </w:rPr>
        <w:t> </w:t>
      </w:r>
    </w:p>
    <w:p w:rsidR="00000000" w:rsidRDefault="00A32496">
      <w:pPr>
        <w:pStyle w:val="a3"/>
        <w:spacing w:before="240" w:beforeAutospacing="0" w:after="0" w:afterAutospacing="0"/>
        <w:ind w:firstLine="555"/>
        <w:divId w:val="82725292"/>
        <w:rPr>
          <w:sz w:val="20"/>
          <w:szCs w:val="20"/>
        </w:rPr>
      </w:pPr>
      <w:r>
        <w:rPr>
          <w:sz w:val="20"/>
          <w:szCs w:val="20"/>
        </w:rPr>
        <w:t>The purchase price attributable to the acquisitions was allocated as follows</w:t>
      </w:r>
      <w:r>
        <w:rPr>
          <w:sz w:val="20"/>
          <w:szCs w:val="20"/>
        </w:rPr>
        <w:t>:</w:t>
      </w:r>
    </w:p>
    <w:p w:rsidR="00000000" w:rsidRDefault="00A32496">
      <w:pPr>
        <w:pStyle w:val="a3"/>
        <w:spacing w:before="0" w:beforeAutospacing="0" w:after="0" w:afterAutospacing="0"/>
        <w:divId w:val="82725292"/>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927"/>
        <w:gridCol w:w="105"/>
        <w:gridCol w:w="150"/>
        <w:gridCol w:w="747"/>
        <w:gridCol w:w="105"/>
        <w:gridCol w:w="105"/>
        <w:gridCol w:w="150"/>
        <w:gridCol w:w="747"/>
        <w:gridCol w:w="105"/>
        <w:gridCol w:w="105"/>
        <w:gridCol w:w="151"/>
        <w:gridCol w:w="869"/>
        <w:gridCol w:w="105"/>
        <w:gridCol w:w="105"/>
        <w:gridCol w:w="150"/>
        <w:gridCol w:w="729"/>
        <w:gridCol w:w="120"/>
      </w:tblGrid>
      <w:tr w:rsidR="00000000">
        <w:trPr>
          <w:divId w:val="82725292"/>
          <w:tblCellSpacing w:w="15" w:type="dxa"/>
        </w:trPr>
        <w:tc>
          <w:tcPr>
            <w:tcW w:w="2098" w:type="pct"/>
            <w:vAlign w:val="center"/>
            <w:hideMark/>
          </w:tcPr>
          <w:p w:rsidR="00000000" w:rsidRDefault="00A32496">
            <w:pPr>
              <w:rPr>
                <w:sz w:val="20"/>
                <w:szCs w:val="20"/>
              </w:rPr>
            </w:pPr>
          </w:p>
        </w:tc>
        <w:tc>
          <w:tcPr>
            <w:tcW w:w="62"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54"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62"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54"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62"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86"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62"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54"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r>
      <w:tr w:rsidR="00000000">
        <w:trPr>
          <w:divId w:val="82725292"/>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MS</w:t>
            </w:r>
            <w:r>
              <w:rPr>
                <w:b/>
                <w:bCs/>
                <w:sz w:val="18"/>
                <w:szCs w:val="18"/>
              </w:rPr>
              <w:t>E</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E</w:t>
            </w:r>
            <w:r>
              <w:rPr>
                <w:b/>
                <w:bCs/>
                <w:sz w:val="18"/>
                <w:szCs w:val="18"/>
              </w:rPr>
              <w:t>I</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All other 2021</w:t>
            </w:r>
            <w:r>
              <w:rPr>
                <w:b/>
                <w:bCs/>
                <w:sz w:val="18"/>
                <w:szCs w:val="18"/>
              </w:rPr>
              <w:br/>
              <w:t>acquisition</w:t>
            </w:r>
            <w:r>
              <w:rPr>
                <w:b/>
                <w:bCs/>
                <w:sz w:val="18"/>
                <w:szCs w:val="18"/>
              </w:rPr>
              <w:t>s</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Tota</w:t>
            </w:r>
            <w:r>
              <w:rPr>
                <w:b/>
                <w:bCs/>
                <w:sz w:val="18"/>
                <w:szCs w:val="18"/>
              </w:rPr>
              <w:t>l</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82725292"/>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Cas</w:t>
            </w:r>
            <w:r>
              <w:rPr>
                <w:sz w:val="18"/>
                <w:szCs w:val="18"/>
              </w:rPr>
              <w:t>h</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2,81</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25</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69</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3,75</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82725292"/>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Accounts receivabl</w:t>
            </w:r>
            <w:r>
              <w:rPr>
                <w:sz w:val="18"/>
                <w:szCs w:val="18"/>
              </w:rPr>
              <w:t>e</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2,98</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4,67</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4,13</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11,78</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82725292"/>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Other current asset</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8</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28</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40</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82725292"/>
          <w:trHeight w:val="180"/>
          <w:tblCellSpacing w:w="15" w:type="dxa"/>
        </w:trPr>
        <w:tc>
          <w:tcPr>
            <w:tcW w:w="0" w:type="auto"/>
            <w:hideMark/>
          </w:tcPr>
          <w:p w:rsidR="00000000" w:rsidRDefault="00A32496">
            <w:pPr>
              <w:pStyle w:val="a3"/>
              <w:spacing w:before="0" w:beforeAutospacing="0" w:after="0" w:afterAutospacing="0"/>
              <w:ind w:left="200"/>
              <w:rPr>
                <w:sz w:val="18"/>
                <w:szCs w:val="18"/>
              </w:rPr>
            </w:pPr>
            <w:r>
              <w:rPr>
                <w:sz w:val="18"/>
                <w:szCs w:val="18"/>
              </w:rPr>
              <w:t>Current asset</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5,82</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5,00</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5,11</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15,94</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82725292"/>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Property and equipmen</w:t>
            </w:r>
            <w:r>
              <w:rPr>
                <w:sz w:val="18"/>
                <w:szCs w:val="18"/>
              </w:rPr>
              <w:t>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51</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1,16</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1,71</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82725292"/>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Operating lease right-of-use asset—ne</w:t>
            </w:r>
            <w:r>
              <w:rPr>
                <w:sz w:val="18"/>
                <w:szCs w:val="18"/>
              </w:rPr>
              <w:t>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74</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10</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2,23</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3,07</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82725292"/>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Customer relationship</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8,72</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10,07</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12,83</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31,62</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82725292"/>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Trade name</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52</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99</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1,95</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3,47</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82725292"/>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Covenants not to compet</w:t>
            </w:r>
            <w:r>
              <w:rPr>
                <w:sz w:val="18"/>
                <w:szCs w:val="18"/>
              </w:rPr>
              <w:t>e</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92</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51</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1,24</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2,68</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82725292"/>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Acquired Technolog</w:t>
            </w:r>
            <w:r>
              <w:rPr>
                <w:sz w:val="18"/>
                <w:szCs w:val="18"/>
              </w:rPr>
              <w:t>y</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32</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32</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82725292"/>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Goodwil</w:t>
            </w:r>
            <w:r>
              <w:rPr>
                <w:sz w:val="18"/>
                <w:szCs w:val="18"/>
              </w:rPr>
              <w:t>l</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8,17</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8,96</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19,56</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36,70</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82725292"/>
          <w:trHeight w:val="180"/>
          <w:tblCellSpacing w:w="15" w:type="dxa"/>
        </w:trPr>
        <w:tc>
          <w:tcPr>
            <w:tcW w:w="0" w:type="auto"/>
            <w:hideMark/>
          </w:tcPr>
          <w:p w:rsidR="00000000" w:rsidRDefault="00A32496">
            <w:pPr>
              <w:pStyle w:val="a3"/>
              <w:spacing w:before="0" w:beforeAutospacing="0" w:after="0" w:afterAutospacing="0"/>
              <w:ind w:left="200"/>
              <w:rPr>
                <w:sz w:val="18"/>
                <w:szCs w:val="18"/>
              </w:rPr>
            </w:pPr>
            <w:r>
              <w:rPr>
                <w:sz w:val="18"/>
                <w:szCs w:val="18"/>
              </w:rPr>
              <w:t>Total asset</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25,41</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25,68</w:t>
            </w:r>
            <w:r>
              <w:rPr>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44,44</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95,54</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82725292"/>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Current liabilitie</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1,00</w:t>
            </w:r>
            <w:r>
              <w:rPr>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2,71</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2,35</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6,07</w:t>
            </w:r>
            <w:r>
              <w:rPr>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82725292"/>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Operating lease liability—net of</w:t>
            </w:r>
            <w:r>
              <w:rPr>
                <w:sz w:val="18"/>
                <w:szCs w:val="18"/>
              </w:rPr>
              <w:br/>
              <w:t>   current portio</w:t>
            </w:r>
            <w:r>
              <w:rPr>
                <w:sz w:val="18"/>
                <w:szCs w:val="18"/>
              </w:rPr>
              <w:t>n</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54</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1,80</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2,38</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82725292"/>
          <w:trHeight w:val="180"/>
          <w:tblCellSpacing w:w="15" w:type="dxa"/>
        </w:trPr>
        <w:tc>
          <w:tcPr>
            <w:tcW w:w="0" w:type="auto"/>
            <w:hideMark/>
          </w:tcPr>
          <w:p w:rsidR="00000000" w:rsidRDefault="00A32496">
            <w:pPr>
              <w:pStyle w:val="a3"/>
              <w:spacing w:before="0" w:beforeAutospacing="0" w:after="0" w:afterAutospacing="0"/>
              <w:ind w:left="200"/>
              <w:rPr>
                <w:sz w:val="18"/>
                <w:szCs w:val="18"/>
              </w:rPr>
            </w:pPr>
            <w:r>
              <w:rPr>
                <w:sz w:val="18"/>
                <w:szCs w:val="18"/>
              </w:rPr>
              <w:t>Total liabilitie</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1,55</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2,75</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4,15</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8,46</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82725292"/>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Purchase pric</w:t>
            </w:r>
            <w:r>
              <w:rPr>
                <w:sz w:val="18"/>
                <w:szCs w:val="18"/>
              </w:rPr>
              <w:t>e</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23,85</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22,93</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40,28</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87,07</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bl>
    <w:p w:rsidR="00000000" w:rsidRDefault="00A32496">
      <w:pPr>
        <w:pStyle w:val="a3"/>
        <w:spacing w:before="240" w:beforeAutospacing="0" w:after="0" w:afterAutospacing="0"/>
        <w:ind w:firstLine="555"/>
        <w:divId w:val="1071734639"/>
        <w:rPr>
          <w:sz w:val="20"/>
          <w:szCs w:val="20"/>
        </w:rPr>
      </w:pPr>
      <w:r>
        <w:rPr>
          <w:sz w:val="20"/>
          <w:szCs w:val="20"/>
        </w:rPr>
        <w:t>The weighted average useful lives for the acquired companies’ identifiable intangible assets are as follows</w:t>
      </w:r>
      <w:r>
        <w:rPr>
          <w:sz w:val="20"/>
          <w:szCs w:val="20"/>
        </w:rPr>
        <w:t>:</w:t>
      </w:r>
    </w:p>
    <w:p w:rsidR="00000000" w:rsidRDefault="00A32496">
      <w:pPr>
        <w:pStyle w:val="a3"/>
        <w:spacing w:before="0" w:beforeAutospacing="0" w:after="0" w:afterAutospacing="0"/>
        <w:ind w:firstLine="555"/>
        <w:divId w:val="1071734639"/>
        <w:rPr>
          <w:sz w:val="20"/>
          <w:szCs w:val="20"/>
        </w:rPr>
      </w:pPr>
      <w:r>
        <w:rPr>
          <w:sz w:val="20"/>
          <w:szCs w:val="20"/>
        </w:rPr>
        <w:t> </w:t>
      </w:r>
    </w:p>
    <w:tbl>
      <w:tblPr>
        <w:tblW w:w="4350" w:type="pct"/>
        <w:tblCellSpacing w:w="15" w:type="dxa"/>
        <w:tblCellMar>
          <w:top w:w="15" w:type="dxa"/>
          <w:left w:w="15" w:type="dxa"/>
          <w:bottom w:w="15" w:type="dxa"/>
          <w:right w:w="15" w:type="dxa"/>
        </w:tblCellMar>
        <w:tblLook w:val="04A0" w:firstRow="1" w:lastRow="0" w:firstColumn="1" w:lastColumn="0" w:noHBand="0" w:noVBand="1"/>
      </w:tblPr>
      <w:tblGrid>
        <w:gridCol w:w="2255"/>
        <w:gridCol w:w="1239"/>
        <w:gridCol w:w="1239"/>
        <w:gridCol w:w="1239"/>
        <w:gridCol w:w="1254"/>
      </w:tblGrid>
      <w:tr w:rsidR="00000000">
        <w:trPr>
          <w:divId w:val="1071734639"/>
          <w:tblCellSpacing w:w="15" w:type="dxa"/>
        </w:trPr>
        <w:tc>
          <w:tcPr>
            <w:tcW w:w="1568" w:type="pct"/>
            <w:vAlign w:val="center"/>
            <w:hideMark/>
          </w:tcPr>
          <w:p w:rsidR="00000000" w:rsidRDefault="00A32496">
            <w:pPr>
              <w:rPr>
                <w:sz w:val="20"/>
                <w:szCs w:val="20"/>
              </w:rPr>
            </w:pPr>
          </w:p>
        </w:tc>
        <w:tc>
          <w:tcPr>
            <w:tcW w:w="857" w:type="pct"/>
            <w:vAlign w:val="center"/>
            <w:hideMark/>
          </w:tcPr>
          <w:p w:rsidR="00000000" w:rsidRDefault="00A32496">
            <w:pPr>
              <w:rPr>
                <w:rFonts w:eastAsia="Times New Roman"/>
                <w:sz w:val="20"/>
                <w:szCs w:val="20"/>
              </w:rPr>
            </w:pPr>
          </w:p>
        </w:tc>
        <w:tc>
          <w:tcPr>
            <w:tcW w:w="857" w:type="pct"/>
            <w:vAlign w:val="center"/>
            <w:hideMark/>
          </w:tcPr>
          <w:p w:rsidR="00000000" w:rsidRDefault="00A32496">
            <w:pPr>
              <w:rPr>
                <w:rFonts w:eastAsia="Times New Roman"/>
                <w:sz w:val="20"/>
                <w:szCs w:val="20"/>
              </w:rPr>
            </w:pPr>
          </w:p>
        </w:tc>
        <w:tc>
          <w:tcPr>
            <w:tcW w:w="857" w:type="pct"/>
            <w:vAlign w:val="center"/>
            <w:hideMark/>
          </w:tcPr>
          <w:p w:rsidR="00000000" w:rsidRDefault="00A32496">
            <w:pPr>
              <w:rPr>
                <w:rFonts w:eastAsia="Times New Roman"/>
                <w:sz w:val="20"/>
                <w:szCs w:val="20"/>
              </w:rPr>
            </w:pPr>
          </w:p>
        </w:tc>
        <w:tc>
          <w:tcPr>
            <w:tcW w:w="857" w:type="pct"/>
            <w:vAlign w:val="center"/>
            <w:hideMark/>
          </w:tcPr>
          <w:p w:rsidR="00000000" w:rsidRDefault="00A32496">
            <w:pPr>
              <w:rPr>
                <w:rFonts w:eastAsia="Times New Roman"/>
                <w:sz w:val="20"/>
                <w:szCs w:val="20"/>
              </w:rPr>
            </w:pPr>
          </w:p>
        </w:tc>
      </w:tr>
      <w:tr w:rsidR="00000000">
        <w:trPr>
          <w:divId w:val="1071734639"/>
          <w:trHeight w:val="180"/>
          <w:tblCellSpacing w:w="15" w:type="dxa"/>
        </w:trPr>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jc w:val="center"/>
              <w:rPr>
                <w:sz w:val="18"/>
                <w:szCs w:val="18"/>
              </w:rPr>
            </w:pPr>
            <w:r>
              <w:rPr>
                <w:b/>
                <w:bCs/>
                <w:sz w:val="18"/>
                <w:szCs w:val="18"/>
              </w:rPr>
              <w:t>Customer Relationship</w:t>
            </w:r>
            <w:r>
              <w:rPr>
                <w:b/>
                <w:bCs/>
                <w:sz w:val="18"/>
                <w:szCs w:val="18"/>
              </w:rPr>
              <w:t>s</w:t>
            </w:r>
          </w:p>
        </w:tc>
        <w:tc>
          <w:tcPr>
            <w:tcW w:w="0" w:type="auto"/>
            <w:vAlign w:val="center"/>
            <w:hideMark/>
          </w:tcPr>
          <w:p w:rsidR="00000000" w:rsidRDefault="00A32496">
            <w:pPr>
              <w:pStyle w:val="a3"/>
              <w:spacing w:before="0" w:beforeAutospacing="0" w:after="0" w:afterAutospacing="0"/>
              <w:jc w:val="center"/>
              <w:rPr>
                <w:sz w:val="18"/>
                <w:szCs w:val="18"/>
              </w:rPr>
            </w:pPr>
            <w:r>
              <w:rPr>
                <w:b/>
                <w:bCs/>
                <w:sz w:val="18"/>
                <w:szCs w:val="18"/>
              </w:rPr>
              <w:t>Tradename</w:t>
            </w:r>
            <w:r>
              <w:rPr>
                <w:b/>
                <w:bCs/>
                <w:sz w:val="18"/>
                <w:szCs w:val="18"/>
              </w:rPr>
              <w:t>s</w:t>
            </w:r>
          </w:p>
        </w:tc>
        <w:tc>
          <w:tcPr>
            <w:tcW w:w="0" w:type="auto"/>
            <w:vAlign w:val="center"/>
            <w:hideMark/>
          </w:tcPr>
          <w:p w:rsidR="00000000" w:rsidRDefault="00A32496">
            <w:pPr>
              <w:pStyle w:val="a3"/>
              <w:spacing w:before="0" w:beforeAutospacing="0" w:after="0" w:afterAutospacing="0"/>
              <w:jc w:val="center"/>
              <w:rPr>
                <w:sz w:val="18"/>
                <w:szCs w:val="18"/>
              </w:rPr>
            </w:pPr>
            <w:r>
              <w:rPr>
                <w:b/>
                <w:bCs/>
                <w:sz w:val="18"/>
                <w:szCs w:val="18"/>
              </w:rPr>
              <w:t>Covenants Not to Compet</w:t>
            </w:r>
            <w:r>
              <w:rPr>
                <w:b/>
                <w:bCs/>
                <w:sz w:val="18"/>
                <w:szCs w:val="18"/>
              </w:rPr>
              <w:t>e</w:t>
            </w:r>
          </w:p>
        </w:tc>
        <w:tc>
          <w:tcPr>
            <w:tcW w:w="0" w:type="auto"/>
            <w:vAlign w:val="center"/>
            <w:hideMark/>
          </w:tcPr>
          <w:p w:rsidR="00000000" w:rsidRDefault="00A32496">
            <w:pPr>
              <w:pStyle w:val="a3"/>
              <w:spacing w:before="0" w:beforeAutospacing="0" w:after="0" w:afterAutospacing="0"/>
              <w:jc w:val="center"/>
              <w:rPr>
                <w:sz w:val="18"/>
                <w:szCs w:val="18"/>
              </w:rPr>
            </w:pPr>
            <w:r>
              <w:rPr>
                <w:b/>
                <w:bCs/>
                <w:sz w:val="18"/>
                <w:szCs w:val="18"/>
              </w:rPr>
              <w:t>Developed Technolog</w:t>
            </w:r>
            <w:r>
              <w:rPr>
                <w:b/>
                <w:bCs/>
                <w:sz w:val="18"/>
                <w:szCs w:val="18"/>
              </w:rPr>
              <w:t>y</w:t>
            </w:r>
          </w:p>
        </w:tc>
      </w:tr>
      <w:tr w:rsidR="00000000">
        <w:trPr>
          <w:divId w:val="1071734639"/>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MS</w:t>
            </w:r>
            <w:r>
              <w:rPr>
                <w:sz w:val="18"/>
                <w:szCs w:val="18"/>
              </w:rPr>
              <w:t>E</w:t>
            </w:r>
          </w:p>
        </w:tc>
        <w:tc>
          <w:tcPr>
            <w:tcW w:w="0" w:type="auto"/>
            <w:vAlign w:val="center"/>
            <w:hideMark/>
          </w:tcPr>
          <w:p w:rsidR="00000000" w:rsidRDefault="00A32496">
            <w:pPr>
              <w:pStyle w:val="a3"/>
              <w:spacing w:before="0" w:beforeAutospacing="0" w:after="0" w:afterAutospacing="0"/>
              <w:jc w:val="center"/>
              <w:rPr>
                <w:sz w:val="20"/>
                <w:szCs w:val="20"/>
              </w:rPr>
            </w:pPr>
            <w:r>
              <w:rPr>
                <w:sz w:val="18"/>
                <w:szCs w:val="18"/>
              </w:rPr>
              <w:t>2</w:t>
            </w:r>
            <w:r>
              <w:rPr>
                <w:sz w:val="18"/>
                <w:szCs w:val="18"/>
              </w:rPr>
              <w:t>-</w:t>
            </w:r>
            <w:r>
              <w:rPr>
                <w:sz w:val="18"/>
                <w:szCs w:val="18"/>
              </w:rPr>
              <w:t>7</w:t>
            </w:r>
          </w:p>
        </w:tc>
        <w:tc>
          <w:tcPr>
            <w:tcW w:w="0" w:type="auto"/>
            <w:vAlign w:val="center"/>
            <w:hideMark/>
          </w:tcPr>
          <w:p w:rsidR="00000000" w:rsidRDefault="00A32496">
            <w:pPr>
              <w:pStyle w:val="a3"/>
              <w:spacing w:before="0" w:beforeAutospacing="0" w:after="0" w:afterAutospacing="0"/>
              <w:jc w:val="center"/>
              <w:rPr>
                <w:sz w:val="20"/>
                <w:szCs w:val="20"/>
              </w:rPr>
            </w:pPr>
            <w:r>
              <w:rPr>
                <w:sz w:val="18"/>
                <w:szCs w:val="18"/>
              </w:rPr>
              <w:t>2</w:t>
            </w:r>
          </w:p>
        </w:tc>
        <w:tc>
          <w:tcPr>
            <w:tcW w:w="0" w:type="auto"/>
            <w:vAlign w:val="center"/>
            <w:hideMark/>
          </w:tcPr>
          <w:p w:rsidR="00000000" w:rsidRDefault="00A32496">
            <w:pPr>
              <w:pStyle w:val="a3"/>
              <w:spacing w:before="0" w:beforeAutospacing="0" w:after="0" w:afterAutospacing="0"/>
              <w:jc w:val="center"/>
              <w:rPr>
                <w:sz w:val="20"/>
                <w:szCs w:val="20"/>
              </w:rPr>
            </w:pPr>
            <w:r>
              <w:rPr>
                <w:sz w:val="18"/>
                <w:szCs w:val="18"/>
              </w:rPr>
              <w:t>5</w:t>
            </w:r>
          </w:p>
        </w:tc>
        <w:tc>
          <w:tcPr>
            <w:tcW w:w="0" w:type="auto"/>
            <w:vAlign w:val="center"/>
            <w:hideMark/>
          </w:tcPr>
          <w:p w:rsidR="00000000" w:rsidRDefault="00A32496">
            <w:pPr>
              <w:pStyle w:val="a3"/>
              <w:spacing w:before="0" w:beforeAutospacing="0" w:after="0" w:afterAutospacing="0"/>
              <w:jc w:val="center"/>
              <w:rPr>
                <w:sz w:val="18"/>
                <w:szCs w:val="18"/>
              </w:rPr>
            </w:pPr>
            <w:r>
              <w:rPr>
                <w:sz w:val="18"/>
                <w:szCs w:val="18"/>
              </w:rPr>
              <w:t>n/</w:t>
            </w:r>
            <w:r>
              <w:rPr>
                <w:sz w:val="18"/>
                <w:szCs w:val="18"/>
              </w:rPr>
              <w:t>a</w:t>
            </w:r>
          </w:p>
        </w:tc>
      </w:tr>
      <w:tr w:rsidR="00000000">
        <w:trPr>
          <w:divId w:val="1071734639"/>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E</w:t>
            </w:r>
            <w:r>
              <w:rPr>
                <w:sz w:val="18"/>
                <w:szCs w:val="18"/>
              </w:rPr>
              <w:t>I</w:t>
            </w:r>
          </w:p>
        </w:tc>
        <w:tc>
          <w:tcPr>
            <w:tcW w:w="0" w:type="auto"/>
            <w:vAlign w:val="center"/>
            <w:hideMark/>
          </w:tcPr>
          <w:p w:rsidR="00000000" w:rsidRDefault="00A32496">
            <w:pPr>
              <w:pStyle w:val="a3"/>
              <w:spacing w:before="0" w:beforeAutospacing="0" w:after="0" w:afterAutospacing="0"/>
              <w:jc w:val="center"/>
              <w:rPr>
                <w:sz w:val="20"/>
                <w:szCs w:val="20"/>
              </w:rPr>
            </w:pPr>
            <w:r>
              <w:rPr>
                <w:sz w:val="18"/>
                <w:szCs w:val="18"/>
              </w:rPr>
              <w:t>1</w:t>
            </w:r>
            <w:r>
              <w:rPr>
                <w:sz w:val="18"/>
                <w:szCs w:val="18"/>
              </w:rPr>
              <w:t>0</w:t>
            </w:r>
          </w:p>
        </w:tc>
        <w:tc>
          <w:tcPr>
            <w:tcW w:w="0" w:type="auto"/>
            <w:vAlign w:val="center"/>
            <w:hideMark/>
          </w:tcPr>
          <w:p w:rsidR="00000000" w:rsidRDefault="00A32496">
            <w:pPr>
              <w:pStyle w:val="a3"/>
              <w:spacing w:before="0" w:beforeAutospacing="0" w:after="0" w:afterAutospacing="0"/>
              <w:jc w:val="center"/>
              <w:rPr>
                <w:sz w:val="20"/>
                <w:szCs w:val="20"/>
              </w:rPr>
            </w:pPr>
            <w:r>
              <w:rPr>
                <w:sz w:val="18"/>
                <w:szCs w:val="18"/>
              </w:rPr>
              <w:t>5</w:t>
            </w:r>
          </w:p>
        </w:tc>
        <w:tc>
          <w:tcPr>
            <w:tcW w:w="0" w:type="auto"/>
            <w:vAlign w:val="center"/>
            <w:hideMark/>
          </w:tcPr>
          <w:p w:rsidR="00000000" w:rsidRDefault="00A32496">
            <w:pPr>
              <w:pStyle w:val="a3"/>
              <w:spacing w:before="0" w:beforeAutospacing="0" w:after="0" w:afterAutospacing="0"/>
              <w:jc w:val="center"/>
              <w:rPr>
                <w:sz w:val="20"/>
                <w:szCs w:val="20"/>
              </w:rPr>
            </w:pPr>
            <w:r>
              <w:rPr>
                <w:sz w:val="18"/>
                <w:szCs w:val="18"/>
              </w:rPr>
              <w:t>5</w:t>
            </w:r>
          </w:p>
        </w:tc>
        <w:tc>
          <w:tcPr>
            <w:tcW w:w="0" w:type="auto"/>
            <w:vAlign w:val="center"/>
            <w:hideMark/>
          </w:tcPr>
          <w:p w:rsidR="00000000" w:rsidRDefault="00A32496">
            <w:pPr>
              <w:pStyle w:val="a3"/>
              <w:spacing w:before="0" w:beforeAutospacing="0" w:after="0" w:afterAutospacing="0"/>
              <w:jc w:val="center"/>
              <w:rPr>
                <w:sz w:val="18"/>
                <w:szCs w:val="18"/>
              </w:rPr>
            </w:pPr>
            <w:r>
              <w:rPr>
                <w:sz w:val="18"/>
                <w:szCs w:val="18"/>
              </w:rPr>
              <w:t>n/</w:t>
            </w:r>
            <w:r>
              <w:rPr>
                <w:sz w:val="18"/>
                <w:szCs w:val="18"/>
              </w:rPr>
              <w:t>a</w:t>
            </w:r>
          </w:p>
        </w:tc>
      </w:tr>
      <w:tr w:rsidR="00000000">
        <w:trPr>
          <w:divId w:val="1071734639"/>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All other 2021 acquisition</w:t>
            </w:r>
            <w:r>
              <w:rPr>
                <w:sz w:val="18"/>
                <w:szCs w:val="18"/>
              </w:rPr>
              <w:t>s</w:t>
            </w:r>
          </w:p>
        </w:tc>
        <w:tc>
          <w:tcPr>
            <w:tcW w:w="0" w:type="auto"/>
            <w:vAlign w:val="center"/>
            <w:hideMark/>
          </w:tcPr>
          <w:p w:rsidR="00000000" w:rsidRDefault="00A32496">
            <w:pPr>
              <w:pStyle w:val="a3"/>
              <w:spacing w:before="0" w:beforeAutospacing="0" w:after="0" w:afterAutospacing="0"/>
              <w:jc w:val="center"/>
              <w:rPr>
                <w:sz w:val="20"/>
                <w:szCs w:val="20"/>
              </w:rPr>
            </w:pPr>
            <w:r>
              <w:rPr>
                <w:sz w:val="18"/>
                <w:szCs w:val="18"/>
              </w:rPr>
              <w:t>1</w:t>
            </w:r>
            <w:r>
              <w:rPr>
                <w:sz w:val="18"/>
                <w:szCs w:val="18"/>
              </w:rPr>
              <w:t>0</w:t>
            </w:r>
          </w:p>
        </w:tc>
        <w:tc>
          <w:tcPr>
            <w:tcW w:w="0" w:type="auto"/>
            <w:vAlign w:val="center"/>
            <w:hideMark/>
          </w:tcPr>
          <w:p w:rsidR="00000000" w:rsidRDefault="00A32496">
            <w:pPr>
              <w:pStyle w:val="a3"/>
              <w:spacing w:before="0" w:beforeAutospacing="0" w:after="0" w:afterAutospacing="0"/>
              <w:jc w:val="center"/>
              <w:rPr>
                <w:sz w:val="20"/>
                <w:szCs w:val="20"/>
              </w:rPr>
            </w:pPr>
            <w:r>
              <w:rPr>
                <w:sz w:val="18"/>
                <w:szCs w:val="18"/>
              </w:rPr>
              <w:t>n/a</w:t>
            </w:r>
            <w:r>
              <w:rPr>
                <w:sz w:val="18"/>
                <w:szCs w:val="18"/>
              </w:rPr>
              <w:t>-</w:t>
            </w:r>
            <w:r>
              <w:rPr>
                <w:sz w:val="18"/>
                <w:szCs w:val="18"/>
              </w:rPr>
              <w:t>3</w:t>
            </w:r>
          </w:p>
        </w:tc>
        <w:tc>
          <w:tcPr>
            <w:tcW w:w="0" w:type="auto"/>
            <w:vAlign w:val="center"/>
            <w:hideMark/>
          </w:tcPr>
          <w:p w:rsidR="00000000" w:rsidRDefault="00A32496">
            <w:pPr>
              <w:pStyle w:val="a3"/>
              <w:spacing w:before="0" w:beforeAutospacing="0" w:after="0" w:afterAutospacing="0"/>
              <w:jc w:val="center"/>
              <w:rPr>
                <w:sz w:val="20"/>
                <w:szCs w:val="20"/>
              </w:rPr>
            </w:pPr>
            <w:r>
              <w:rPr>
                <w:sz w:val="18"/>
                <w:szCs w:val="18"/>
              </w:rPr>
              <w:t>n/a</w:t>
            </w:r>
            <w:r>
              <w:rPr>
                <w:sz w:val="18"/>
                <w:szCs w:val="18"/>
              </w:rPr>
              <w:t>-</w:t>
            </w:r>
            <w:r>
              <w:rPr>
                <w:sz w:val="18"/>
                <w:szCs w:val="18"/>
              </w:rPr>
              <w:t>5</w:t>
            </w:r>
          </w:p>
        </w:tc>
        <w:tc>
          <w:tcPr>
            <w:tcW w:w="0" w:type="auto"/>
            <w:vAlign w:val="center"/>
            <w:hideMark/>
          </w:tcPr>
          <w:p w:rsidR="00000000" w:rsidRDefault="00A32496">
            <w:pPr>
              <w:pStyle w:val="a3"/>
              <w:spacing w:before="0" w:beforeAutospacing="0" w:after="0" w:afterAutospacing="0"/>
              <w:jc w:val="center"/>
              <w:rPr>
                <w:sz w:val="20"/>
                <w:szCs w:val="20"/>
              </w:rPr>
            </w:pPr>
            <w:r>
              <w:rPr>
                <w:sz w:val="18"/>
                <w:szCs w:val="18"/>
              </w:rPr>
              <w:t>n/a</w:t>
            </w:r>
            <w:r>
              <w:rPr>
                <w:sz w:val="18"/>
                <w:szCs w:val="18"/>
              </w:rPr>
              <w:t>-</w:t>
            </w:r>
            <w:r>
              <w:rPr>
                <w:sz w:val="18"/>
                <w:szCs w:val="18"/>
              </w:rPr>
              <w:t>5</w:t>
            </w:r>
          </w:p>
        </w:tc>
      </w:tr>
    </w:tbl>
    <w:p w:rsidR="00000000" w:rsidRDefault="00A32496">
      <w:pPr>
        <w:pStyle w:val="a3"/>
        <w:spacing w:before="240" w:beforeAutospacing="0" w:after="0" w:afterAutospacing="0"/>
        <w:ind w:firstLine="555"/>
        <w:divId w:val="594290046"/>
        <w:rPr>
          <w:sz w:val="20"/>
          <w:szCs w:val="20"/>
        </w:rPr>
      </w:pPr>
      <w:r>
        <w:rPr>
          <w:sz w:val="20"/>
          <w:szCs w:val="20"/>
        </w:rPr>
        <w:t>Goodwill associated with all of these acquisitions is deductible for income tax purposes</w:t>
      </w:r>
      <w:r>
        <w:rPr>
          <w:sz w:val="20"/>
          <w:szCs w:val="20"/>
        </w:rPr>
        <w:t>.</w:t>
      </w:r>
    </w:p>
    <w:p w:rsidR="00000000" w:rsidRDefault="00A32496">
      <w:pPr>
        <w:pStyle w:val="a3"/>
        <w:spacing w:before="240" w:beforeAutospacing="0" w:after="0" w:afterAutospacing="0"/>
        <w:ind w:firstLine="555"/>
        <w:divId w:val="594290046"/>
        <w:rPr>
          <w:sz w:val="20"/>
          <w:szCs w:val="20"/>
        </w:rPr>
      </w:pPr>
      <w:r>
        <w:rPr>
          <w:sz w:val="20"/>
          <w:szCs w:val="20"/>
        </w:rPr>
        <w:t>For the acquisitions completed during the year ended December 31, 2021, the results of operations since the acquisition dates have been combined with those of the Com</w:t>
      </w:r>
      <w:r>
        <w:rPr>
          <w:sz w:val="20"/>
          <w:szCs w:val="20"/>
        </w:rPr>
        <w:t>pany. The Company’s unaudited condensed consolidated statement of operations for the three and nine months ended September 30, 202</w:t>
      </w:r>
      <w:r>
        <w:rPr>
          <w:sz w:val="20"/>
          <w:szCs w:val="20"/>
        </w:rPr>
        <w:t>1</w:t>
      </w:r>
      <w:r>
        <w:rPr>
          <w:sz w:val="20"/>
          <w:szCs w:val="20"/>
        </w:rPr>
        <w:t xml:space="preserve"> includes revenue of </w:t>
      </w:r>
      <w:r>
        <w:rPr>
          <w:sz w:val="20"/>
          <w:szCs w:val="20"/>
        </w:rPr>
        <w:t>$</w:t>
      </w:r>
      <w:r>
        <w:rPr>
          <w:sz w:val="20"/>
          <w:szCs w:val="20"/>
        </w:rPr>
        <w:t>11.</w:t>
      </w:r>
      <w:r>
        <w:rPr>
          <w:sz w:val="20"/>
          <w:szCs w:val="20"/>
        </w:rPr>
        <w:t>9</w:t>
      </w:r>
      <w:r>
        <w:rPr>
          <w:sz w:val="20"/>
          <w:szCs w:val="20"/>
        </w:rPr>
        <w:t xml:space="preserve"> million and </w:t>
      </w:r>
      <w:r>
        <w:rPr>
          <w:sz w:val="20"/>
          <w:szCs w:val="20"/>
        </w:rPr>
        <w:t>$</w:t>
      </w:r>
      <w:r>
        <w:rPr>
          <w:sz w:val="20"/>
          <w:szCs w:val="20"/>
        </w:rPr>
        <w:t>19.</w:t>
      </w:r>
      <w:r>
        <w:rPr>
          <w:sz w:val="20"/>
          <w:szCs w:val="20"/>
        </w:rPr>
        <w:t>7</w:t>
      </w:r>
      <w:r>
        <w:rPr>
          <w:sz w:val="20"/>
          <w:szCs w:val="20"/>
        </w:rPr>
        <w:t xml:space="preserve"> million, respectively, and pre-tax (loss) of $</w:t>
      </w:r>
      <w:r>
        <w:rPr>
          <w:sz w:val="20"/>
          <w:szCs w:val="20"/>
        </w:rPr>
        <w:t>(</w:t>
      </w:r>
      <w:r>
        <w:rPr>
          <w:sz w:val="20"/>
          <w:szCs w:val="20"/>
        </w:rPr>
        <w:t>0.</w:t>
      </w:r>
      <w:r>
        <w:rPr>
          <w:sz w:val="20"/>
          <w:szCs w:val="20"/>
        </w:rPr>
        <w:t>2</w:t>
      </w:r>
      <w:r>
        <w:rPr>
          <w:sz w:val="20"/>
          <w:szCs w:val="20"/>
        </w:rPr>
        <w:t>) million and</w:t>
      </w:r>
      <w:r>
        <w:rPr>
          <w:sz w:val="20"/>
          <w:szCs w:val="20"/>
        </w:rPr>
        <w:t xml:space="preserve"> </w:t>
      </w:r>
      <w:r>
        <w:rPr>
          <w:sz w:val="20"/>
          <w:szCs w:val="20"/>
        </w:rPr>
        <w:t>zer</w:t>
      </w:r>
      <w:r>
        <w:rPr>
          <w:sz w:val="20"/>
          <w:szCs w:val="20"/>
        </w:rPr>
        <w:t>o</w:t>
      </w:r>
      <w:r>
        <w:rPr>
          <w:sz w:val="20"/>
          <w:szCs w:val="20"/>
        </w:rPr>
        <w:t>, respective</w:t>
      </w:r>
      <w:r>
        <w:rPr>
          <w:sz w:val="20"/>
          <w:szCs w:val="20"/>
        </w:rPr>
        <w:t>ly, related to the acquisitions completed prior to</w:t>
      </w:r>
      <w:r>
        <w:rPr>
          <w:sz w:val="20"/>
          <w:szCs w:val="20"/>
        </w:rPr>
        <w:t xml:space="preserve"> </w:t>
      </w:r>
      <w:r>
        <w:rPr>
          <w:sz w:val="20"/>
          <w:szCs w:val="20"/>
        </w:rPr>
        <w:t>September 30, 2021. MSE is included in the Company’s Remediation and Reuse segment, Vista, Sensible and ECI are included in the Company’s Measurement and Analysis segment and EI and Horizon are included in</w:t>
      </w:r>
      <w:r>
        <w:rPr>
          <w:sz w:val="20"/>
          <w:szCs w:val="20"/>
        </w:rPr>
        <w:t xml:space="preserve"> the Company's Assessment, Permitting and Response segment</w:t>
      </w:r>
      <w:r>
        <w:rPr>
          <w:sz w:val="20"/>
          <w:szCs w:val="20"/>
        </w:rPr>
        <w:t>.</w:t>
      </w:r>
      <w:r>
        <w:rPr>
          <w:sz w:val="20"/>
          <w:szCs w:val="20"/>
        </w:rPr>
        <w:t xml:space="preserve"> </w:t>
      </w:r>
    </w:p>
    <w:p w:rsidR="00000000" w:rsidRDefault="00A32496">
      <w:pPr>
        <w:pStyle w:val="a3"/>
        <w:spacing w:before="240" w:beforeAutospacing="0" w:after="0" w:afterAutospacing="0"/>
        <w:ind w:firstLine="555"/>
        <w:divId w:val="594290046"/>
        <w:rPr>
          <w:sz w:val="20"/>
          <w:szCs w:val="20"/>
        </w:rPr>
      </w:pPr>
      <w:r>
        <w:rPr>
          <w:b/>
          <w:bCs/>
          <w:sz w:val="20"/>
          <w:szCs w:val="20"/>
        </w:rPr>
        <w:t>Supplemental Unaudited Pro-Form</w:t>
      </w:r>
      <w:r>
        <w:rPr>
          <w:b/>
          <w:bCs/>
          <w:sz w:val="20"/>
          <w:szCs w:val="20"/>
        </w:rPr>
        <w:t>a</w:t>
      </w:r>
      <w:r>
        <w:rPr>
          <w:sz w:val="20"/>
          <w:szCs w:val="20"/>
        </w:rPr>
        <w:t>—</w:t>
      </w:r>
      <w:r>
        <w:rPr>
          <w:sz w:val="20"/>
          <w:szCs w:val="20"/>
        </w:rPr>
        <w:t>The unaudited condensed consolidated financial information summarized in the following table gives effect to the</w:t>
      </w:r>
      <w:r>
        <w:rPr>
          <w:sz w:val="20"/>
          <w:szCs w:val="20"/>
        </w:rPr>
        <w:t xml:space="preserve"> </w:t>
      </w:r>
      <w:r>
        <w:rPr>
          <w:sz w:val="20"/>
          <w:szCs w:val="20"/>
        </w:rPr>
        <w:t>2022 and the 2021 acquisitions discussed above as</w:t>
      </w:r>
      <w:r>
        <w:rPr>
          <w:sz w:val="20"/>
          <w:szCs w:val="20"/>
        </w:rPr>
        <w:t>suming they occurred on January 1, 2021. These unaudited consolidated pro forma operating results do not assume any impact from revenue, cost or other operating synergies that are expected or may have been realized as a result of the acquisitions. These un</w:t>
      </w:r>
      <w:r>
        <w:rPr>
          <w:sz w:val="20"/>
          <w:szCs w:val="20"/>
        </w:rPr>
        <w:t>audited consolidated pro forma operating results are presented for illustrative purposes only and are not indicative of the operating results that would have been achieved had the acquisitions occurred on January 1, 2021, nor does the information purport t</w:t>
      </w:r>
      <w:r>
        <w:rPr>
          <w:sz w:val="20"/>
          <w:szCs w:val="20"/>
        </w:rPr>
        <w:t>o reflect results for any future period</w:t>
      </w:r>
      <w:r>
        <w:rPr>
          <w:sz w:val="20"/>
          <w:szCs w:val="20"/>
        </w:rPr>
        <w:t>.</w:t>
      </w:r>
    </w:p>
    <w:p w:rsidR="00000000" w:rsidRDefault="00A32496">
      <w:pPr>
        <w:pStyle w:val="a3"/>
        <w:spacing w:before="0" w:beforeAutospacing="0" w:after="0" w:afterAutospacing="0"/>
        <w:ind w:firstLine="555"/>
        <w:divId w:val="1873498268"/>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04"/>
        <w:gridCol w:w="105"/>
        <w:gridCol w:w="150"/>
        <w:gridCol w:w="645"/>
        <w:gridCol w:w="120"/>
        <w:gridCol w:w="105"/>
        <w:gridCol w:w="151"/>
        <w:gridCol w:w="915"/>
        <w:gridCol w:w="105"/>
        <w:gridCol w:w="105"/>
        <w:gridCol w:w="151"/>
        <w:gridCol w:w="971"/>
        <w:gridCol w:w="120"/>
        <w:gridCol w:w="105"/>
        <w:gridCol w:w="150"/>
        <w:gridCol w:w="645"/>
        <w:gridCol w:w="120"/>
        <w:gridCol w:w="105"/>
        <w:gridCol w:w="151"/>
        <w:gridCol w:w="914"/>
        <w:gridCol w:w="105"/>
        <w:gridCol w:w="105"/>
        <w:gridCol w:w="151"/>
        <w:gridCol w:w="973"/>
        <w:gridCol w:w="135"/>
      </w:tblGrid>
      <w:tr w:rsidR="00000000">
        <w:trPr>
          <w:divId w:val="1873498268"/>
          <w:tblCellSpacing w:w="15" w:type="dxa"/>
        </w:trPr>
        <w:tc>
          <w:tcPr>
            <w:tcW w:w="709" w:type="pct"/>
            <w:vAlign w:val="center"/>
            <w:hideMark/>
          </w:tcPr>
          <w:p w:rsidR="00000000" w:rsidRDefault="00A32496">
            <w:pPr>
              <w:rPr>
                <w:sz w:val="20"/>
                <w:szCs w:val="20"/>
              </w:rPr>
            </w:pPr>
          </w:p>
        </w:tc>
        <w:tc>
          <w:tcPr>
            <w:tcW w:w="72"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270"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72"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676"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72"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677"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72"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270"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72"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662"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72"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698"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r>
      <w:tr w:rsidR="00000000">
        <w:trPr>
          <w:divId w:val="1873498268"/>
          <w:trHeight w:val="180"/>
          <w:tblCellSpacing w:w="15" w:type="dxa"/>
        </w:trPr>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2"/>
            <w:vAlign w:val="bottom"/>
            <w:hideMark/>
          </w:tcPr>
          <w:p w:rsidR="00000000" w:rsidRDefault="00A32496">
            <w:pPr>
              <w:pStyle w:val="a3"/>
              <w:spacing w:before="0" w:beforeAutospacing="0" w:after="0" w:afterAutospacing="0"/>
              <w:jc w:val="center"/>
              <w:rPr>
                <w:sz w:val="18"/>
                <w:szCs w:val="18"/>
              </w:rPr>
            </w:pPr>
            <w:r>
              <w:rPr>
                <w:b/>
                <w:bCs/>
                <w:sz w:val="18"/>
                <w:szCs w:val="18"/>
              </w:rPr>
              <w:t>For the Three Months Ended September 30</w:t>
            </w:r>
            <w:r>
              <w:rPr>
                <w:b/>
                <w:bCs/>
                <w:sz w:val="18"/>
                <w:szCs w:val="18"/>
              </w:rPr>
              <w: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1873498268"/>
          <w:trHeight w:val="180"/>
          <w:tblCellSpacing w:w="15" w:type="dxa"/>
        </w:trPr>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10"/>
            <w:vAlign w:val="bottom"/>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10"/>
            <w:vAlign w:val="bottom"/>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1873498268"/>
          <w:trHeight w:val="180"/>
          <w:tblCellSpacing w:w="15" w:type="dxa"/>
        </w:trPr>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2"/>
            <w:vAlign w:val="bottom"/>
            <w:hideMark/>
          </w:tcPr>
          <w:p w:rsidR="00000000" w:rsidRDefault="00A32496">
            <w:pPr>
              <w:pStyle w:val="a3"/>
              <w:spacing w:before="0" w:beforeAutospacing="0" w:after="0" w:afterAutospacing="0"/>
              <w:jc w:val="center"/>
              <w:rPr>
                <w:sz w:val="18"/>
                <w:szCs w:val="18"/>
              </w:rPr>
            </w:pPr>
            <w:r>
              <w:rPr>
                <w:b/>
                <w:bCs/>
                <w:sz w:val="18"/>
                <w:szCs w:val="18"/>
              </w:rPr>
              <w:t>(Unaudited</w:t>
            </w:r>
            <w:r>
              <w:rPr>
                <w:b/>
                <w:bCs/>
                <w:sz w:val="18"/>
                <w:szCs w:val="18"/>
              </w:rPr>
              <w: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1873498268"/>
          <w:trHeight w:val="180"/>
          <w:tblCellSpacing w:w="15" w:type="dxa"/>
        </w:trPr>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As</w:t>
            </w:r>
            <w:r>
              <w:rPr>
                <w:b/>
                <w:bCs/>
                <w:sz w:val="18"/>
                <w:szCs w:val="18"/>
              </w:rPr>
              <w:br/>
              <w:t>reporte</w:t>
            </w:r>
            <w:r>
              <w:rPr>
                <w:b/>
                <w:bCs/>
                <w:sz w:val="18"/>
                <w:szCs w:val="18"/>
              </w:rPr>
              <w:t>d</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Acquisitions</w:t>
            </w:r>
            <w:r>
              <w:rPr>
                <w:b/>
                <w:bCs/>
                <w:sz w:val="18"/>
                <w:szCs w:val="18"/>
              </w:rPr>
              <w:br/>
              <w:t>Pro-Form</w:t>
            </w:r>
            <w:r>
              <w:rPr>
                <w:b/>
                <w:bCs/>
                <w:sz w:val="18"/>
                <w:szCs w:val="18"/>
              </w:rPr>
              <w:t>a</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Consolidated</w:t>
            </w:r>
            <w:r>
              <w:rPr>
                <w:b/>
                <w:bCs/>
                <w:sz w:val="18"/>
                <w:szCs w:val="18"/>
              </w:rPr>
              <w:br/>
              <w:t>Pro-Form</w:t>
            </w:r>
            <w:r>
              <w:rPr>
                <w:b/>
                <w:bCs/>
                <w:sz w:val="18"/>
                <w:szCs w:val="18"/>
              </w:rPr>
              <w:t>a</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As</w:t>
            </w:r>
            <w:r>
              <w:rPr>
                <w:b/>
                <w:bCs/>
                <w:sz w:val="18"/>
                <w:szCs w:val="18"/>
              </w:rPr>
              <w:br/>
              <w:t>reporte</w:t>
            </w:r>
            <w:r>
              <w:rPr>
                <w:b/>
                <w:bCs/>
                <w:sz w:val="18"/>
                <w:szCs w:val="18"/>
              </w:rPr>
              <w:t>d</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Acquisitions</w:t>
            </w:r>
            <w:r>
              <w:rPr>
                <w:b/>
                <w:bCs/>
                <w:sz w:val="18"/>
                <w:szCs w:val="18"/>
              </w:rPr>
              <w:br/>
              <w:t>Pro-Form</w:t>
            </w:r>
            <w:r>
              <w:rPr>
                <w:b/>
                <w:bCs/>
                <w:sz w:val="18"/>
                <w:szCs w:val="18"/>
              </w:rPr>
              <w:t>a</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Consolidated</w:t>
            </w:r>
            <w:r>
              <w:rPr>
                <w:b/>
                <w:bCs/>
                <w:sz w:val="18"/>
                <w:szCs w:val="18"/>
              </w:rPr>
              <w:br/>
              <w:t>Pro-Form</w:t>
            </w:r>
            <w:r>
              <w:rPr>
                <w:b/>
                <w:bCs/>
                <w:sz w:val="18"/>
                <w:szCs w:val="18"/>
              </w:rPr>
              <w:t>a</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1873498268"/>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Revenue</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130,31</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1,20</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131,51</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132,57</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9,45</w:t>
            </w:r>
            <w:r>
              <w:rPr>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142,03</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873498268"/>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Net (loss) incom</w:t>
            </w:r>
            <w:r>
              <w:rPr>
                <w:sz w:val="18"/>
                <w:szCs w:val="18"/>
              </w:rPr>
              <w:t>e</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5,72</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29</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5,43</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2,22</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1,47</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3,70</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873498268"/>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r>
      <w:tr w:rsidR="00000000">
        <w:trPr>
          <w:divId w:val="1873498268"/>
          <w:trHeight w:val="180"/>
          <w:tblCellSpacing w:w="15" w:type="dxa"/>
        </w:trPr>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2"/>
            <w:vAlign w:val="bottom"/>
            <w:hideMark/>
          </w:tcPr>
          <w:p w:rsidR="00000000" w:rsidRDefault="00A32496">
            <w:pPr>
              <w:pStyle w:val="a3"/>
              <w:spacing w:before="0" w:beforeAutospacing="0" w:after="0" w:afterAutospacing="0"/>
              <w:jc w:val="center"/>
              <w:rPr>
                <w:sz w:val="18"/>
                <w:szCs w:val="18"/>
              </w:rPr>
            </w:pPr>
            <w:r>
              <w:rPr>
                <w:b/>
                <w:bCs/>
                <w:sz w:val="18"/>
                <w:szCs w:val="18"/>
              </w:rPr>
              <w:t>For the Nine Months Ended September 30</w:t>
            </w:r>
            <w:r>
              <w:rPr>
                <w:b/>
                <w:bCs/>
                <w:sz w:val="18"/>
                <w:szCs w:val="18"/>
              </w:rPr>
              <w: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1873498268"/>
          <w:trHeight w:val="180"/>
          <w:tblCellSpacing w:w="15" w:type="dxa"/>
        </w:trPr>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10"/>
            <w:vAlign w:val="bottom"/>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10"/>
            <w:vAlign w:val="bottom"/>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1873498268"/>
          <w:trHeight w:val="180"/>
          <w:tblCellSpacing w:w="15" w:type="dxa"/>
        </w:trPr>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2"/>
            <w:vAlign w:val="bottom"/>
            <w:hideMark/>
          </w:tcPr>
          <w:p w:rsidR="00000000" w:rsidRDefault="00A32496">
            <w:pPr>
              <w:pStyle w:val="a3"/>
              <w:spacing w:before="0" w:beforeAutospacing="0" w:after="0" w:afterAutospacing="0"/>
              <w:jc w:val="center"/>
              <w:rPr>
                <w:sz w:val="18"/>
                <w:szCs w:val="18"/>
              </w:rPr>
            </w:pPr>
            <w:r>
              <w:rPr>
                <w:b/>
                <w:bCs/>
                <w:sz w:val="18"/>
                <w:szCs w:val="18"/>
              </w:rPr>
              <w:t>(Unaudited</w:t>
            </w:r>
            <w:r>
              <w:rPr>
                <w:b/>
                <w:bCs/>
                <w:sz w:val="18"/>
                <w:szCs w:val="18"/>
              </w:rPr>
              <w: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1873498268"/>
          <w:trHeight w:val="180"/>
          <w:tblCellSpacing w:w="15" w:type="dxa"/>
        </w:trPr>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As</w:t>
            </w:r>
            <w:r>
              <w:rPr>
                <w:b/>
                <w:bCs/>
                <w:sz w:val="18"/>
                <w:szCs w:val="18"/>
              </w:rPr>
              <w:br/>
            </w:r>
            <w:r>
              <w:rPr>
                <w:b/>
                <w:bCs/>
                <w:sz w:val="18"/>
                <w:szCs w:val="18"/>
              </w:rPr>
              <w:t>reporte</w:t>
            </w:r>
            <w:r>
              <w:rPr>
                <w:b/>
                <w:bCs/>
                <w:sz w:val="18"/>
                <w:szCs w:val="18"/>
              </w:rPr>
              <w:t>d</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Acquisitions</w:t>
            </w:r>
            <w:r>
              <w:rPr>
                <w:b/>
                <w:bCs/>
                <w:sz w:val="18"/>
                <w:szCs w:val="18"/>
              </w:rPr>
              <w:br/>
              <w:t>Pro-Form</w:t>
            </w:r>
            <w:r>
              <w:rPr>
                <w:b/>
                <w:bCs/>
                <w:sz w:val="18"/>
                <w:szCs w:val="18"/>
              </w:rPr>
              <w:t>a</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Consolidated</w:t>
            </w:r>
            <w:r>
              <w:rPr>
                <w:b/>
                <w:bCs/>
                <w:sz w:val="18"/>
                <w:szCs w:val="18"/>
              </w:rPr>
              <w:br/>
              <w:t>Pro-Form</w:t>
            </w:r>
            <w:r>
              <w:rPr>
                <w:b/>
                <w:bCs/>
                <w:sz w:val="18"/>
                <w:szCs w:val="18"/>
              </w:rPr>
              <w:t>a</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As</w:t>
            </w:r>
            <w:r>
              <w:rPr>
                <w:b/>
                <w:bCs/>
                <w:sz w:val="18"/>
                <w:szCs w:val="18"/>
              </w:rPr>
              <w:br/>
              <w:t>reporte</w:t>
            </w:r>
            <w:r>
              <w:rPr>
                <w:b/>
                <w:bCs/>
                <w:sz w:val="18"/>
                <w:szCs w:val="18"/>
              </w:rPr>
              <w:t>d</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Acquisitions</w:t>
            </w:r>
            <w:r>
              <w:rPr>
                <w:b/>
                <w:bCs/>
                <w:sz w:val="18"/>
                <w:szCs w:val="18"/>
              </w:rPr>
              <w:br/>
              <w:t>Pro-Form</w:t>
            </w:r>
            <w:r>
              <w:rPr>
                <w:b/>
                <w:bCs/>
                <w:sz w:val="18"/>
                <w:szCs w:val="18"/>
              </w:rPr>
              <w:t>a</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Consolidated</w:t>
            </w:r>
            <w:r>
              <w:rPr>
                <w:b/>
                <w:bCs/>
                <w:sz w:val="18"/>
                <w:szCs w:val="18"/>
              </w:rPr>
              <w:br/>
              <w:t>Pro-Form</w:t>
            </w:r>
            <w:r>
              <w:rPr>
                <w:b/>
                <w:bCs/>
                <w:sz w:val="18"/>
                <w:szCs w:val="18"/>
              </w:rPr>
              <w:t>a</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1873498268"/>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Revenue</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404,90</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6,42</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411,32</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402,61</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39,81</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442,43</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873498268"/>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Net (loss) incom</w:t>
            </w:r>
            <w:r>
              <w:rPr>
                <w:sz w:val="18"/>
                <w:szCs w:val="18"/>
              </w:rPr>
              <w:t>e</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21,00</w:t>
            </w:r>
            <w:r>
              <w:rPr>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83</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20,17</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23,85</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6,84</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17,00</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r>
    </w:tbl>
    <w:p w:rsidR="00000000" w:rsidRDefault="00A32496">
      <w:pPr>
        <w:pStyle w:val="a3"/>
        <w:spacing w:before="0" w:beforeAutospacing="0" w:after="0" w:afterAutospacing="0"/>
        <w:rPr>
          <w:sz w:val="20"/>
          <w:szCs w:val="20"/>
        </w:rPr>
      </w:pPr>
      <w:r>
        <w:rPr>
          <w:sz w:val="20"/>
          <w:szCs w:val="20"/>
        </w:rPr>
        <w:t> </w:t>
      </w:r>
    </w:p>
    <w:p w:rsidR="00000000" w:rsidRDefault="00A32496">
      <w:pPr>
        <w:pStyle w:val="a3"/>
        <w:spacing w:before="240" w:beforeAutospacing="0" w:after="0" w:afterAutospacing="0"/>
        <w:jc w:val="center"/>
        <w:rPr>
          <w:sz w:val="20"/>
          <w:szCs w:val="20"/>
        </w:rPr>
      </w:pPr>
      <w:r>
        <w:rPr>
          <w:sz w:val="20"/>
          <w:szCs w:val="20"/>
        </w:rPr>
        <w:t>1</w:t>
      </w:r>
      <w:r>
        <w:rPr>
          <w:sz w:val="20"/>
          <w:szCs w:val="20"/>
        </w:rPr>
        <w:t>5</w:t>
      </w:r>
    </w:p>
    <w:p w:rsidR="00000000" w:rsidRDefault="00A32496">
      <w:pPr>
        <w:rPr>
          <w:rFonts w:eastAsia="Times New Roman"/>
        </w:rPr>
      </w:pPr>
      <w:r>
        <w:rPr>
          <w:rFonts w:eastAsia="Times New Roman"/>
        </w:rPr>
        <w:pict>
          <v:rect id="_x0000_i1041" style="width:0;height:1.5pt" o:hralign="center" o:hrstd="t" o:hr="t" fillcolor="#a0a0a0" stroked="f"/>
        </w:pict>
      </w:r>
    </w:p>
    <w:p w:rsidR="00000000" w:rsidRDefault="00A32496">
      <w:pPr>
        <w:pStyle w:val="a3"/>
        <w:spacing w:before="0" w:beforeAutospacing="0" w:after="0" w:afterAutospacing="0"/>
        <w:rPr>
          <w:sz w:val="20"/>
          <w:szCs w:val="20"/>
        </w:rPr>
      </w:pPr>
      <w:r>
        <w:rPr>
          <w:sz w:val="20"/>
          <w:szCs w:val="20"/>
        </w:rPr>
        <w:t> </w:t>
      </w:r>
    </w:p>
    <w:p w:rsidR="00000000" w:rsidRDefault="00A32496">
      <w:pPr>
        <w:pStyle w:val="a3"/>
        <w:spacing w:before="360" w:beforeAutospacing="0" w:after="0" w:afterAutospacing="0"/>
        <w:divId w:val="1059675013"/>
        <w:rPr>
          <w:sz w:val="20"/>
          <w:szCs w:val="20"/>
        </w:rPr>
      </w:pPr>
      <w:r>
        <w:rPr>
          <w:b/>
          <w:bCs/>
          <w:sz w:val="20"/>
          <w:szCs w:val="20"/>
        </w:rPr>
        <w:t>8. GOODWILL AND INTANGIBLE ASSET</w:t>
      </w:r>
      <w:r>
        <w:rPr>
          <w:b/>
          <w:bCs/>
          <w:sz w:val="20"/>
          <w:szCs w:val="20"/>
        </w:rPr>
        <w:t>S</w:t>
      </w:r>
    </w:p>
    <w:p w:rsidR="00000000" w:rsidRDefault="00A32496">
      <w:pPr>
        <w:pStyle w:val="a3"/>
        <w:spacing w:before="240" w:beforeAutospacing="0" w:after="0" w:afterAutospacing="0"/>
        <w:ind w:firstLine="555"/>
        <w:divId w:val="1873570222"/>
        <w:rPr>
          <w:sz w:val="20"/>
          <w:szCs w:val="20"/>
        </w:rPr>
      </w:pPr>
      <w:r>
        <w:rPr>
          <w:sz w:val="20"/>
          <w:szCs w:val="20"/>
        </w:rPr>
        <w:t>Amounts related to goodwill are as follows</w:t>
      </w:r>
      <w:r>
        <w:rPr>
          <w:sz w:val="20"/>
          <w:szCs w:val="20"/>
        </w:rPr>
        <w:t>:</w:t>
      </w:r>
    </w:p>
    <w:p w:rsidR="00000000" w:rsidRDefault="00A32496">
      <w:pPr>
        <w:pStyle w:val="a3"/>
        <w:spacing w:before="0" w:beforeAutospacing="0" w:after="0" w:afterAutospacing="0"/>
        <w:divId w:val="1873570222"/>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28"/>
        <w:gridCol w:w="105"/>
        <w:gridCol w:w="151"/>
        <w:gridCol w:w="1001"/>
        <w:gridCol w:w="120"/>
        <w:gridCol w:w="105"/>
        <w:gridCol w:w="151"/>
        <w:gridCol w:w="1039"/>
        <w:gridCol w:w="105"/>
        <w:gridCol w:w="105"/>
        <w:gridCol w:w="151"/>
        <w:gridCol w:w="1005"/>
        <w:gridCol w:w="105"/>
        <w:gridCol w:w="105"/>
        <w:gridCol w:w="150"/>
        <w:gridCol w:w="645"/>
        <w:gridCol w:w="135"/>
      </w:tblGrid>
      <w:tr w:rsidR="00000000">
        <w:trPr>
          <w:divId w:val="1873570222"/>
          <w:tblCellSpacing w:w="15" w:type="dxa"/>
        </w:trPr>
        <w:tc>
          <w:tcPr>
            <w:tcW w:w="2006" w:type="pct"/>
            <w:vAlign w:val="center"/>
            <w:hideMark/>
          </w:tcPr>
          <w:p w:rsidR="00000000" w:rsidRDefault="00A32496">
            <w:pPr>
              <w:rPr>
                <w:sz w:val="20"/>
                <w:szCs w:val="20"/>
              </w:rPr>
            </w:pPr>
          </w:p>
        </w:tc>
        <w:tc>
          <w:tcPr>
            <w:tcW w:w="62"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651"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62"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675"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62"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667"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62"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350"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r>
      <w:tr w:rsidR="00000000">
        <w:trPr>
          <w:divId w:val="1873570222"/>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Assessment,</w:t>
            </w:r>
            <w:r>
              <w:rPr>
                <w:b/>
                <w:bCs/>
                <w:sz w:val="18"/>
                <w:szCs w:val="18"/>
              </w:rPr>
              <w:br/>
              <w:t>Permitting</w:t>
            </w:r>
            <w:r>
              <w:rPr>
                <w:b/>
                <w:bCs/>
                <w:sz w:val="18"/>
                <w:szCs w:val="18"/>
              </w:rPr>
              <w:br/>
              <w:t>and Respons</w:t>
            </w:r>
            <w:r>
              <w:rPr>
                <w:b/>
                <w:bCs/>
                <w:sz w:val="18"/>
                <w:szCs w:val="18"/>
              </w:rPr>
              <w:t>e</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Measurement</w:t>
            </w:r>
            <w:r>
              <w:rPr>
                <w:b/>
                <w:bCs/>
                <w:sz w:val="18"/>
                <w:szCs w:val="18"/>
              </w:rPr>
              <w:br/>
              <w:t>and</w:t>
            </w:r>
            <w:r>
              <w:rPr>
                <w:b/>
                <w:bCs/>
                <w:sz w:val="18"/>
                <w:szCs w:val="18"/>
              </w:rPr>
              <w:br/>
              <w:t>Analysi</w:t>
            </w:r>
            <w:r>
              <w:rPr>
                <w:b/>
                <w:bCs/>
                <w:sz w:val="18"/>
                <w:szCs w:val="18"/>
              </w:rPr>
              <w:t>s</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Remediation</w:t>
            </w:r>
            <w:r>
              <w:rPr>
                <w:b/>
                <w:bCs/>
                <w:sz w:val="18"/>
                <w:szCs w:val="18"/>
              </w:rPr>
              <w:br/>
              <w:t>and</w:t>
            </w:r>
            <w:r>
              <w:rPr>
                <w:b/>
                <w:bCs/>
                <w:sz w:val="18"/>
                <w:szCs w:val="18"/>
              </w:rPr>
              <w:br/>
              <w:t>Reus</w:t>
            </w:r>
            <w:r>
              <w:rPr>
                <w:b/>
                <w:bCs/>
                <w:sz w:val="18"/>
                <w:szCs w:val="18"/>
              </w:rPr>
              <w:t>e</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Tota</w:t>
            </w:r>
            <w:r>
              <w:rPr>
                <w:b/>
                <w:bCs/>
                <w:sz w:val="18"/>
                <w:szCs w:val="18"/>
              </w:rPr>
              <w:t>l</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1873570222"/>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Balance as of December 31, 202</w:t>
            </w:r>
            <w:r>
              <w:rPr>
                <w:sz w:val="18"/>
                <w:szCs w:val="18"/>
              </w:rPr>
              <w:t>1</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176,54</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83,77</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51,63</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311,94</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873570222"/>
          <w:trHeight w:val="180"/>
          <w:tblCellSpacing w:w="15" w:type="dxa"/>
        </w:trPr>
        <w:tc>
          <w:tcPr>
            <w:tcW w:w="0" w:type="auto"/>
            <w:hideMark/>
          </w:tcPr>
          <w:p w:rsidR="00000000" w:rsidRDefault="00A32496">
            <w:pPr>
              <w:pStyle w:val="a3"/>
              <w:spacing w:before="0" w:beforeAutospacing="0" w:after="0" w:afterAutospacing="0"/>
              <w:ind w:left="200"/>
              <w:rPr>
                <w:sz w:val="18"/>
                <w:szCs w:val="18"/>
              </w:rPr>
            </w:pPr>
            <w:r>
              <w:rPr>
                <w:sz w:val="18"/>
                <w:szCs w:val="18"/>
              </w:rPr>
              <w:t>Goodwill acquired during the perio</w:t>
            </w:r>
            <w:r>
              <w:rPr>
                <w:sz w:val="18"/>
                <w:szCs w:val="18"/>
              </w:rPr>
              <w:t>d</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4,76</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2,15</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15</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7,07</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873570222"/>
          <w:trHeight w:val="180"/>
          <w:tblCellSpacing w:w="15" w:type="dxa"/>
        </w:trPr>
        <w:tc>
          <w:tcPr>
            <w:tcW w:w="0" w:type="auto"/>
            <w:hideMark/>
          </w:tcPr>
          <w:p w:rsidR="00000000" w:rsidRDefault="00A32496">
            <w:pPr>
              <w:pStyle w:val="a3"/>
              <w:spacing w:before="0" w:beforeAutospacing="0" w:after="0" w:afterAutospacing="0"/>
              <w:ind w:left="200"/>
              <w:rPr>
                <w:sz w:val="18"/>
                <w:szCs w:val="18"/>
              </w:rPr>
            </w:pPr>
            <w:r>
              <w:rPr>
                <w:sz w:val="18"/>
                <w:szCs w:val="18"/>
              </w:rPr>
              <w:t>Acquisitions measurement period adjustment</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89</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29</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60</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r>
      <w:tr w:rsidR="00000000">
        <w:trPr>
          <w:divId w:val="1873570222"/>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Balance as of September 30, 202</w:t>
            </w:r>
            <w:r>
              <w:rPr>
                <w:sz w:val="18"/>
                <w:szCs w:val="18"/>
              </w:rPr>
              <w:t>2</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180,40</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86,22</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51,78</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318,41</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bl>
    <w:p w:rsidR="00000000" w:rsidRDefault="00A32496">
      <w:pPr>
        <w:pStyle w:val="a3"/>
        <w:spacing w:before="240" w:beforeAutospacing="0" w:after="0" w:afterAutospacing="0"/>
        <w:ind w:firstLine="555"/>
        <w:divId w:val="651254021"/>
        <w:rPr>
          <w:sz w:val="20"/>
          <w:szCs w:val="20"/>
        </w:rPr>
      </w:pPr>
      <w:r>
        <w:rPr>
          <w:sz w:val="20"/>
          <w:szCs w:val="20"/>
        </w:rPr>
        <w:t>Amounts related to finite-lived intangible assets are as follows</w:t>
      </w:r>
      <w:r>
        <w:rPr>
          <w:sz w:val="20"/>
          <w:szCs w:val="20"/>
        </w:rPr>
        <w:t>:</w:t>
      </w:r>
    </w:p>
    <w:p w:rsidR="00000000" w:rsidRDefault="00A32496">
      <w:pPr>
        <w:pStyle w:val="a3"/>
        <w:spacing w:before="0" w:beforeAutospacing="0" w:after="0" w:afterAutospacing="0"/>
        <w:divId w:val="651254021"/>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654"/>
        <w:gridCol w:w="134"/>
        <w:gridCol w:w="1207"/>
        <w:gridCol w:w="135"/>
        <w:gridCol w:w="150"/>
        <w:gridCol w:w="1060"/>
        <w:gridCol w:w="105"/>
        <w:gridCol w:w="135"/>
        <w:gridCol w:w="151"/>
        <w:gridCol w:w="1123"/>
        <w:gridCol w:w="105"/>
        <w:gridCol w:w="135"/>
        <w:gridCol w:w="151"/>
        <w:gridCol w:w="1110"/>
        <w:gridCol w:w="120"/>
      </w:tblGrid>
      <w:tr w:rsidR="00000000">
        <w:trPr>
          <w:divId w:val="651254021"/>
          <w:tblCellSpacing w:w="15" w:type="dxa"/>
        </w:trPr>
        <w:tc>
          <w:tcPr>
            <w:tcW w:w="1163" w:type="pct"/>
            <w:vAlign w:val="center"/>
            <w:hideMark/>
          </w:tcPr>
          <w:p w:rsidR="00000000" w:rsidRDefault="00A32496">
            <w:pPr>
              <w:rPr>
                <w:sz w:val="20"/>
                <w:szCs w:val="20"/>
              </w:rPr>
            </w:pPr>
          </w:p>
        </w:tc>
        <w:tc>
          <w:tcPr>
            <w:tcW w:w="88" w:type="pct"/>
            <w:vAlign w:val="center"/>
            <w:hideMark/>
          </w:tcPr>
          <w:p w:rsidR="00000000" w:rsidRDefault="00A32496">
            <w:pPr>
              <w:rPr>
                <w:rFonts w:eastAsia="Times New Roman"/>
                <w:sz w:val="20"/>
                <w:szCs w:val="20"/>
              </w:rPr>
            </w:pPr>
          </w:p>
        </w:tc>
        <w:tc>
          <w:tcPr>
            <w:tcW w:w="854" w:type="pct"/>
            <w:vAlign w:val="center"/>
            <w:hideMark/>
          </w:tcPr>
          <w:p w:rsidR="00000000" w:rsidRDefault="00A32496">
            <w:pPr>
              <w:rPr>
                <w:rFonts w:eastAsia="Times New Roman"/>
                <w:sz w:val="20"/>
                <w:szCs w:val="20"/>
              </w:rPr>
            </w:pPr>
          </w:p>
        </w:tc>
        <w:tc>
          <w:tcPr>
            <w:tcW w:w="88"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748"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88"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793"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88"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784"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r>
      <w:tr w:rsidR="00000000">
        <w:trPr>
          <w:divId w:val="651254021"/>
          <w:trHeight w:val="180"/>
          <w:tblCellSpacing w:w="15" w:type="dxa"/>
        </w:trPr>
        <w:tc>
          <w:tcPr>
            <w:tcW w:w="0" w:type="auto"/>
            <w:vAlign w:val="bottom"/>
            <w:hideMark/>
          </w:tcPr>
          <w:p w:rsidR="00000000" w:rsidRDefault="00A32496">
            <w:pPr>
              <w:pStyle w:val="a3"/>
              <w:spacing w:before="0" w:beforeAutospacing="0" w:after="0" w:afterAutospacing="0"/>
              <w:rPr>
                <w:sz w:val="18"/>
                <w:szCs w:val="18"/>
              </w:rPr>
            </w:pPr>
            <w:r>
              <w:rPr>
                <w:b/>
                <w:bCs/>
                <w:sz w:val="18"/>
                <w:szCs w:val="18"/>
              </w:rPr>
              <w:t>September 30, 202</w:t>
            </w:r>
            <w:r>
              <w:rPr>
                <w:b/>
                <w:bCs/>
                <w:sz w:val="18"/>
                <w:szCs w:val="18"/>
              </w:rPr>
              <w:t>2</w:t>
            </w:r>
          </w:p>
        </w:tc>
        <w:tc>
          <w:tcPr>
            <w:tcW w:w="0" w:type="auto"/>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jc w:val="center"/>
              <w:rPr>
                <w:sz w:val="18"/>
                <w:szCs w:val="18"/>
              </w:rPr>
            </w:pPr>
            <w:r>
              <w:rPr>
                <w:b/>
                <w:bCs/>
                <w:sz w:val="18"/>
                <w:szCs w:val="18"/>
              </w:rPr>
              <w:t>Estimated</w:t>
            </w:r>
            <w:r>
              <w:rPr>
                <w:b/>
                <w:bCs/>
                <w:sz w:val="18"/>
                <w:szCs w:val="18"/>
              </w:rPr>
              <w:br/>
              <w:t>Useful Lif</w:t>
            </w:r>
            <w:r>
              <w:rPr>
                <w:b/>
                <w:bCs/>
                <w:sz w:val="18"/>
                <w:szCs w:val="18"/>
              </w:rPr>
              <w:t>e</w:t>
            </w:r>
          </w:p>
        </w:tc>
        <w:tc>
          <w:tcPr>
            <w:tcW w:w="0" w:type="auto"/>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A32496">
            <w:pPr>
              <w:pStyle w:val="a3"/>
              <w:spacing w:before="0" w:beforeAutospacing="0" w:after="0" w:afterAutospacing="0"/>
              <w:jc w:val="center"/>
              <w:rPr>
                <w:sz w:val="18"/>
                <w:szCs w:val="18"/>
              </w:rPr>
            </w:pPr>
            <w:r>
              <w:rPr>
                <w:b/>
                <w:bCs/>
                <w:sz w:val="18"/>
                <w:szCs w:val="18"/>
              </w:rPr>
              <w:t>Gross</w:t>
            </w:r>
            <w:r>
              <w:rPr>
                <w:b/>
                <w:bCs/>
                <w:sz w:val="18"/>
                <w:szCs w:val="18"/>
              </w:rPr>
              <w:br/>
              <w:t>Balanc</w:t>
            </w:r>
            <w:r>
              <w:rPr>
                <w:b/>
                <w:bCs/>
                <w:sz w:val="18"/>
                <w:szCs w:val="18"/>
              </w:rPr>
              <w:t>e</w:t>
            </w:r>
          </w:p>
        </w:tc>
        <w:tc>
          <w:tcPr>
            <w:tcW w:w="0" w:type="auto"/>
            <w:vAlign w:val="center"/>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A32496">
            <w:pPr>
              <w:pStyle w:val="a3"/>
              <w:spacing w:before="0" w:beforeAutospacing="0" w:after="0" w:afterAutospacing="0"/>
              <w:jc w:val="center"/>
              <w:rPr>
                <w:sz w:val="18"/>
                <w:szCs w:val="18"/>
              </w:rPr>
            </w:pPr>
            <w:r>
              <w:rPr>
                <w:b/>
                <w:bCs/>
                <w:sz w:val="18"/>
                <w:szCs w:val="18"/>
              </w:rPr>
              <w:t>Accumulated</w:t>
            </w:r>
            <w:r>
              <w:rPr>
                <w:b/>
                <w:bCs/>
                <w:sz w:val="18"/>
                <w:szCs w:val="18"/>
              </w:rPr>
              <w:br/>
              <w:t>Amortizatio</w:t>
            </w:r>
            <w:r>
              <w:rPr>
                <w:b/>
                <w:bCs/>
                <w:sz w:val="18"/>
                <w:szCs w:val="18"/>
              </w:rPr>
              <w:t>n</w:t>
            </w:r>
          </w:p>
        </w:tc>
        <w:tc>
          <w:tcPr>
            <w:tcW w:w="0" w:type="auto"/>
            <w:vAlign w:val="center"/>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A32496">
            <w:pPr>
              <w:pStyle w:val="a3"/>
              <w:spacing w:before="0" w:beforeAutospacing="0" w:after="0" w:afterAutospacing="0"/>
              <w:jc w:val="center"/>
              <w:rPr>
                <w:sz w:val="18"/>
                <w:szCs w:val="18"/>
              </w:rPr>
            </w:pPr>
            <w:r>
              <w:rPr>
                <w:b/>
                <w:bCs/>
                <w:sz w:val="18"/>
                <w:szCs w:val="18"/>
              </w:rPr>
              <w:t>Total</w:t>
            </w:r>
            <w:r>
              <w:rPr>
                <w:b/>
                <w:bCs/>
                <w:sz w:val="18"/>
                <w:szCs w:val="18"/>
              </w:rPr>
              <w:br/>
              <w:t>Intangible</w:t>
            </w:r>
            <w:r>
              <w:rPr>
                <w:b/>
                <w:bCs/>
                <w:sz w:val="18"/>
                <w:szCs w:val="18"/>
              </w:rPr>
              <w:br/>
              <w:t>Assets—Ne</w:t>
            </w:r>
            <w:r>
              <w:rPr>
                <w:b/>
                <w:bCs/>
                <w:sz w:val="18"/>
                <w:szCs w:val="18"/>
              </w:rPr>
              <w:t>t</w:t>
            </w:r>
          </w:p>
        </w:tc>
        <w:tc>
          <w:tcPr>
            <w:tcW w:w="0" w:type="auto"/>
            <w:vAlign w:val="center"/>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651254021"/>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Finite lived intangible asset</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r>
      <w:tr w:rsidR="00000000">
        <w:trPr>
          <w:divId w:val="651254021"/>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Customer relationship</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20"/>
                <w:szCs w:val="20"/>
              </w:rPr>
            </w:pPr>
            <w:r>
              <w:rPr>
                <w:sz w:val="18"/>
                <w:szCs w:val="18"/>
              </w:rPr>
              <w:t>2</w:t>
            </w:r>
            <w:r>
              <w:rPr>
                <w:sz w:val="18"/>
                <w:szCs w:val="18"/>
              </w:rPr>
              <w:t>-</w:t>
            </w:r>
            <w:r>
              <w:rPr>
                <w:sz w:val="18"/>
                <w:szCs w:val="18"/>
              </w:rPr>
              <w:t>15</w:t>
            </w:r>
            <w:r>
              <w:rPr>
                <w:sz w:val="18"/>
                <w:szCs w:val="18"/>
              </w:rPr>
              <w:t xml:space="preserve"> </w:t>
            </w:r>
            <w:r>
              <w:rPr>
                <w:sz w:val="18"/>
                <w:szCs w:val="18"/>
              </w:rPr>
              <w:t>year</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204,92</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90,57</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114,35</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651254021"/>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Covenants not to compet</w:t>
            </w:r>
            <w:r>
              <w:rPr>
                <w:sz w:val="18"/>
                <w:szCs w:val="18"/>
              </w:rPr>
              <w:t>e</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20"/>
                <w:szCs w:val="20"/>
              </w:rPr>
            </w:pPr>
            <w:r>
              <w:rPr>
                <w:sz w:val="18"/>
                <w:szCs w:val="18"/>
              </w:rPr>
              <w:t>4</w:t>
            </w:r>
            <w:r>
              <w:rPr>
                <w:sz w:val="18"/>
                <w:szCs w:val="18"/>
              </w:rPr>
              <w:t>-</w:t>
            </w:r>
            <w:r>
              <w:rPr>
                <w:sz w:val="18"/>
                <w:szCs w:val="18"/>
              </w:rPr>
              <w:t>5</w:t>
            </w:r>
            <w:r>
              <w:rPr>
                <w:sz w:val="18"/>
                <w:szCs w:val="18"/>
              </w:rPr>
              <w:t xml:space="preserve"> </w:t>
            </w:r>
            <w:r>
              <w:rPr>
                <w:sz w:val="18"/>
                <w:szCs w:val="18"/>
              </w:rPr>
              <w:t>year</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33,28</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27,52</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5,76</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651254021"/>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Trade name</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20"/>
                <w:szCs w:val="20"/>
              </w:rPr>
            </w:pPr>
            <w:r>
              <w:rPr>
                <w:sz w:val="18"/>
                <w:szCs w:val="18"/>
              </w:rPr>
              <w:t>1</w:t>
            </w:r>
            <w:r>
              <w:rPr>
                <w:sz w:val="18"/>
                <w:szCs w:val="18"/>
              </w:rPr>
              <w:t>-</w:t>
            </w:r>
            <w:r>
              <w:rPr>
                <w:sz w:val="18"/>
                <w:szCs w:val="18"/>
              </w:rPr>
              <w:t>5</w:t>
            </w:r>
            <w:r>
              <w:rPr>
                <w:sz w:val="18"/>
                <w:szCs w:val="18"/>
              </w:rPr>
              <w:t xml:space="preserve"> </w:t>
            </w:r>
            <w:r>
              <w:rPr>
                <w:sz w:val="18"/>
                <w:szCs w:val="18"/>
              </w:rPr>
              <w:t>year</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21,67</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17,44</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4,23</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651254021"/>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Proprietary softwar</w:t>
            </w:r>
            <w:r>
              <w:rPr>
                <w:sz w:val="18"/>
                <w:szCs w:val="18"/>
              </w:rPr>
              <w:t>e</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20"/>
                <w:szCs w:val="20"/>
              </w:rPr>
            </w:pPr>
            <w:r>
              <w:rPr>
                <w:sz w:val="18"/>
                <w:szCs w:val="18"/>
              </w:rPr>
              <w:t>3</w:t>
            </w:r>
            <w:r>
              <w:rPr>
                <w:sz w:val="18"/>
                <w:szCs w:val="18"/>
              </w:rPr>
              <w:t>-</w:t>
            </w:r>
            <w:r>
              <w:rPr>
                <w:sz w:val="18"/>
                <w:szCs w:val="18"/>
              </w:rPr>
              <w:t>5</w:t>
            </w:r>
            <w:r>
              <w:rPr>
                <w:sz w:val="18"/>
                <w:szCs w:val="18"/>
              </w:rPr>
              <w:t xml:space="preserve"> </w:t>
            </w:r>
            <w:r>
              <w:rPr>
                <w:sz w:val="18"/>
                <w:szCs w:val="18"/>
              </w:rPr>
              <w:t>year</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22,46</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14,71</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7,75</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651254021"/>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Paten</w:t>
            </w:r>
            <w:r>
              <w:rPr>
                <w:sz w:val="18"/>
                <w:szCs w:val="18"/>
              </w:rPr>
              <w:t>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20"/>
                <w:szCs w:val="20"/>
              </w:rPr>
            </w:pPr>
            <w:r>
              <w:rPr>
                <w:sz w:val="18"/>
                <w:szCs w:val="18"/>
              </w:rPr>
              <w:t>16</w:t>
            </w:r>
            <w:r>
              <w:rPr>
                <w:sz w:val="18"/>
                <w:szCs w:val="18"/>
              </w:rPr>
              <w:t xml:space="preserve"> </w:t>
            </w:r>
            <w:r>
              <w:rPr>
                <w:sz w:val="18"/>
                <w:szCs w:val="18"/>
              </w:rPr>
              <w:t>year</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17,47</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3,30</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14,17</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651254021"/>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Total other intangible assets</w:t>
            </w:r>
            <w:r>
              <w:rPr>
                <w:sz w:val="18"/>
                <w:szCs w:val="18"/>
              </w:rPr>
              <w:br/>
              <w:t>   —ne</w:t>
            </w:r>
            <w:r>
              <w:rPr>
                <w:sz w:val="18"/>
                <w:szCs w:val="18"/>
              </w:rPr>
              <w:t>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299,83</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153,56</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146,26</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bl>
    <w:p w:rsidR="00000000" w:rsidRDefault="00A32496">
      <w:pPr>
        <w:pStyle w:val="a3"/>
        <w:spacing w:before="0" w:beforeAutospacing="0" w:after="0" w:afterAutospacing="0"/>
        <w:divId w:val="651254021"/>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654"/>
        <w:gridCol w:w="134"/>
        <w:gridCol w:w="1207"/>
        <w:gridCol w:w="134"/>
        <w:gridCol w:w="150"/>
        <w:gridCol w:w="1059"/>
        <w:gridCol w:w="105"/>
        <w:gridCol w:w="134"/>
        <w:gridCol w:w="151"/>
        <w:gridCol w:w="1122"/>
        <w:gridCol w:w="105"/>
        <w:gridCol w:w="137"/>
        <w:gridCol w:w="151"/>
        <w:gridCol w:w="1112"/>
        <w:gridCol w:w="120"/>
      </w:tblGrid>
      <w:tr w:rsidR="00000000">
        <w:trPr>
          <w:divId w:val="651254021"/>
          <w:tblCellSpacing w:w="15" w:type="dxa"/>
        </w:trPr>
        <w:tc>
          <w:tcPr>
            <w:tcW w:w="1163" w:type="pct"/>
            <w:vAlign w:val="center"/>
            <w:hideMark/>
          </w:tcPr>
          <w:p w:rsidR="00000000" w:rsidRDefault="00A32496">
            <w:pPr>
              <w:rPr>
                <w:sz w:val="20"/>
                <w:szCs w:val="20"/>
              </w:rPr>
            </w:pPr>
          </w:p>
        </w:tc>
        <w:tc>
          <w:tcPr>
            <w:tcW w:w="88" w:type="pct"/>
            <w:vAlign w:val="center"/>
            <w:hideMark/>
          </w:tcPr>
          <w:p w:rsidR="00000000" w:rsidRDefault="00A32496">
            <w:pPr>
              <w:rPr>
                <w:rFonts w:eastAsia="Times New Roman"/>
                <w:sz w:val="20"/>
                <w:szCs w:val="20"/>
              </w:rPr>
            </w:pPr>
          </w:p>
        </w:tc>
        <w:tc>
          <w:tcPr>
            <w:tcW w:w="854" w:type="pct"/>
            <w:vAlign w:val="center"/>
            <w:hideMark/>
          </w:tcPr>
          <w:p w:rsidR="00000000" w:rsidRDefault="00A32496">
            <w:pPr>
              <w:rPr>
                <w:rFonts w:eastAsia="Times New Roman"/>
                <w:sz w:val="20"/>
                <w:szCs w:val="20"/>
              </w:rPr>
            </w:pPr>
          </w:p>
        </w:tc>
        <w:tc>
          <w:tcPr>
            <w:tcW w:w="88"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748"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88"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793"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89"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785"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r>
      <w:tr w:rsidR="00000000">
        <w:trPr>
          <w:divId w:val="651254021"/>
          <w:trHeight w:val="180"/>
          <w:tblCellSpacing w:w="15" w:type="dxa"/>
        </w:trPr>
        <w:tc>
          <w:tcPr>
            <w:tcW w:w="0" w:type="auto"/>
            <w:vAlign w:val="bottom"/>
            <w:hideMark/>
          </w:tcPr>
          <w:p w:rsidR="00000000" w:rsidRDefault="00A32496">
            <w:pPr>
              <w:pStyle w:val="a3"/>
              <w:spacing w:before="0" w:beforeAutospacing="0" w:after="0" w:afterAutospacing="0"/>
              <w:rPr>
                <w:sz w:val="18"/>
                <w:szCs w:val="18"/>
              </w:rPr>
            </w:pPr>
            <w:r>
              <w:rPr>
                <w:b/>
                <w:bCs/>
                <w:sz w:val="18"/>
                <w:szCs w:val="18"/>
              </w:rPr>
              <w:t>December 31, 202</w:t>
            </w:r>
            <w:r>
              <w:rPr>
                <w:b/>
                <w:bCs/>
                <w:sz w:val="18"/>
                <w:szCs w:val="18"/>
              </w:rPr>
              <w:t>1</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18"/>
                <w:szCs w:val="18"/>
              </w:rPr>
            </w:pPr>
            <w:r>
              <w:rPr>
                <w:b/>
                <w:bCs/>
                <w:sz w:val="18"/>
                <w:szCs w:val="18"/>
              </w:rPr>
              <w:t>Estimated</w:t>
            </w:r>
            <w:r>
              <w:rPr>
                <w:b/>
                <w:bCs/>
                <w:sz w:val="18"/>
                <w:szCs w:val="18"/>
              </w:rPr>
              <w:br/>
              <w:t>Useful Lif</w:t>
            </w:r>
            <w:r>
              <w:rPr>
                <w:b/>
                <w:bCs/>
                <w:sz w:val="18"/>
                <w:szCs w:val="18"/>
              </w:rPr>
              <w:t>e</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Gross</w:t>
            </w:r>
            <w:r>
              <w:rPr>
                <w:b/>
                <w:bCs/>
                <w:sz w:val="18"/>
                <w:szCs w:val="18"/>
              </w:rPr>
              <w:br/>
              <w:t>Balanc</w:t>
            </w:r>
            <w:r>
              <w:rPr>
                <w:b/>
                <w:bCs/>
                <w:sz w:val="18"/>
                <w:szCs w:val="18"/>
              </w:rPr>
              <w:t>e</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Accumulated</w:t>
            </w:r>
            <w:r>
              <w:rPr>
                <w:b/>
                <w:bCs/>
                <w:sz w:val="18"/>
                <w:szCs w:val="18"/>
              </w:rPr>
              <w:br/>
              <w:t>Amortizatio</w:t>
            </w:r>
            <w:r>
              <w:rPr>
                <w:b/>
                <w:bCs/>
                <w:sz w:val="18"/>
                <w:szCs w:val="18"/>
              </w:rPr>
              <w:t>n</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Total</w:t>
            </w:r>
            <w:r>
              <w:rPr>
                <w:b/>
                <w:bCs/>
                <w:sz w:val="18"/>
                <w:szCs w:val="18"/>
              </w:rPr>
              <w:br/>
              <w:t>Intangible</w:t>
            </w:r>
            <w:r>
              <w:rPr>
                <w:b/>
                <w:bCs/>
                <w:sz w:val="18"/>
                <w:szCs w:val="18"/>
              </w:rPr>
              <w:br/>
              <w:t>Assets—Ne</w:t>
            </w:r>
            <w:r>
              <w:rPr>
                <w:b/>
                <w:bCs/>
                <w:sz w:val="18"/>
                <w:szCs w:val="18"/>
              </w:rPr>
              <w:t>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651254021"/>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Finite lived intangible asset</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r>
      <w:tr w:rsidR="00000000">
        <w:trPr>
          <w:divId w:val="651254021"/>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Customer relationship</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20"/>
                <w:szCs w:val="20"/>
              </w:rPr>
            </w:pPr>
            <w:r>
              <w:rPr>
                <w:sz w:val="18"/>
                <w:szCs w:val="18"/>
              </w:rPr>
              <w:t>2</w:t>
            </w:r>
            <w:r>
              <w:rPr>
                <w:sz w:val="18"/>
                <w:szCs w:val="18"/>
              </w:rPr>
              <w:t>-</w:t>
            </w:r>
            <w:r>
              <w:rPr>
                <w:sz w:val="18"/>
                <w:szCs w:val="18"/>
              </w:rPr>
              <w:t>15</w:t>
            </w:r>
            <w:r>
              <w:rPr>
                <w:sz w:val="18"/>
                <w:szCs w:val="18"/>
              </w:rPr>
              <w:t xml:space="preserve"> </w:t>
            </w:r>
            <w:r>
              <w:rPr>
                <w:sz w:val="18"/>
                <w:szCs w:val="18"/>
              </w:rPr>
              <w:t>year</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196,32</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74,01</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122,31</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651254021"/>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Covenants not to compet</w:t>
            </w:r>
            <w:r>
              <w:rPr>
                <w:sz w:val="18"/>
                <w:szCs w:val="18"/>
              </w:rPr>
              <w:t>e</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20"/>
                <w:szCs w:val="20"/>
              </w:rPr>
            </w:pPr>
            <w:r>
              <w:rPr>
                <w:sz w:val="18"/>
                <w:szCs w:val="18"/>
              </w:rPr>
              <w:t>4</w:t>
            </w:r>
            <w:r>
              <w:rPr>
                <w:sz w:val="18"/>
                <w:szCs w:val="18"/>
              </w:rPr>
              <w:t>-</w:t>
            </w:r>
            <w:r>
              <w:rPr>
                <w:sz w:val="18"/>
                <w:szCs w:val="18"/>
              </w:rPr>
              <w:t>5</w:t>
            </w:r>
            <w:r>
              <w:rPr>
                <w:sz w:val="18"/>
                <w:szCs w:val="18"/>
              </w:rPr>
              <w:t xml:space="preserve"> </w:t>
            </w:r>
            <w:r>
              <w:rPr>
                <w:sz w:val="18"/>
                <w:szCs w:val="18"/>
              </w:rPr>
              <w:t>year</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32,62</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25,11</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7,50</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651254021"/>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Trade name</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20"/>
                <w:szCs w:val="20"/>
              </w:rPr>
            </w:pPr>
            <w:r>
              <w:rPr>
                <w:sz w:val="18"/>
                <w:szCs w:val="18"/>
              </w:rPr>
              <w:t>1</w:t>
            </w:r>
            <w:r>
              <w:rPr>
                <w:sz w:val="18"/>
                <w:szCs w:val="18"/>
              </w:rPr>
              <w:t>-</w:t>
            </w:r>
            <w:r>
              <w:rPr>
                <w:sz w:val="18"/>
                <w:szCs w:val="18"/>
              </w:rPr>
              <w:t>5</w:t>
            </w:r>
            <w:r>
              <w:rPr>
                <w:sz w:val="18"/>
                <w:szCs w:val="18"/>
              </w:rPr>
              <w:t xml:space="preserve"> </w:t>
            </w:r>
            <w:r>
              <w:rPr>
                <w:sz w:val="18"/>
                <w:szCs w:val="18"/>
              </w:rPr>
              <w:t>year</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20,40</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15,13</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5,26</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651254021"/>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Proprietary softwar</w:t>
            </w:r>
            <w:r>
              <w:rPr>
                <w:sz w:val="18"/>
                <w:szCs w:val="18"/>
              </w:rPr>
              <w:t>e</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20"/>
                <w:szCs w:val="20"/>
              </w:rPr>
            </w:pPr>
            <w:r>
              <w:rPr>
                <w:sz w:val="18"/>
                <w:szCs w:val="18"/>
              </w:rPr>
              <w:t>3</w:t>
            </w:r>
            <w:r>
              <w:rPr>
                <w:sz w:val="18"/>
                <w:szCs w:val="18"/>
              </w:rPr>
              <w:t>-</w:t>
            </w:r>
            <w:r>
              <w:rPr>
                <w:sz w:val="18"/>
                <w:szCs w:val="18"/>
              </w:rPr>
              <w:t>5</w:t>
            </w:r>
            <w:r>
              <w:rPr>
                <w:sz w:val="18"/>
                <w:szCs w:val="18"/>
              </w:rPr>
              <w:t xml:space="preserve"> </w:t>
            </w:r>
            <w:r>
              <w:rPr>
                <w:sz w:val="18"/>
                <w:szCs w:val="18"/>
              </w:rPr>
              <w:t>year</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22,07</w:t>
            </w:r>
            <w:r>
              <w:rPr>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11,15</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10,92</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651254021"/>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Paten</w:t>
            </w:r>
            <w:r>
              <w:rPr>
                <w:sz w:val="18"/>
                <w:szCs w:val="18"/>
              </w:rPr>
              <w:t>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20"/>
                <w:szCs w:val="20"/>
              </w:rPr>
            </w:pPr>
            <w:r>
              <w:rPr>
                <w:sz w:val="18"/>
                <w:szCs w:val="18"/>
              </w:rPr>
              <w:t>16</w:t>
            </w:r>
            <w:r>
              <w:rPr>
                <w:sz w:val="18"/>
                <w:szCs w:val="18"/>
              </w:rPr>
              <w:t xml:space="preserve"> </w:t>
            </w:r>
            <w:r>
              <w:rPr>
                <w:sz w:val="18"/>
                <w:szCs w:val="18"/>
              </w:rPr>
              <w:t>year</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17,47</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2,49</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14,98</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651254021"/>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Total other intangible assets</w:t>
            </w:r>
            <w:r>
              <w:rPr>
                <w:sz w:val="18"/>
                <w:szCs w:val="18"/>
              </w:rPr>
              <w:br/>
              <w:t>   —ne</w:t>
            </w:r>
            <w:r>
              <w:rPr>
                <w:sz w:val="18"/>
                <w:szCs w:val="18"/>
              </w:rPr>
              <w:t>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288,90</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127,90</w:t>
            </w:r>
            <w:r>
              <w:rPr>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160,99</w:t>
            </w:r>
            <w:r>
              <w:rPr>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bl>
    <w:p w:rsidR="00000000" w:rsidRDefault="00A32496">
      <w:pPr>
        <w:pStyle w:val="a3"/>
        <w:spacing w:before="240" w:beforeAutospacing="0" w:after="0" w:afterAutospacing="0"/>
        <w:ind w:firstLine="555"/>
        <w:divId w:val="1059675013"/>
        <w:rPr>
          <w:sz w:val="20"/>
          <w:szCs w:val="20"/>
        </w:rPr>
      </w:pPr>
      <w:r>
        <w:rPr>
          <w:sz w:val="20"/>
          <w:szCs w:val="20"/>
        </w:rPr>
        <w:t>Intangible assets with finite lives are stated at cost, less accumulated amortization and impairment losses, if any. These intangible assets are amortized using the straight-line method over the estimated useful lives of the assets. Amortization expense wa</w:t>
      </w:r>
      <w:r>
        <w:rPr>
          <w:sz w:val="20"/>
          <w:szCs w:val="20"/>
        </w:rPr>
        <w:t xml:space="preserve">s </w:t>
      </w:r>
      <w:r>
        <w:rPr>
          <w:sz w:val="20"/>
          <w:szCs w:val="20"/>
        </w:rPr>
        <w:t>$</w:t>
      </w:r>
      <w:r>
        <w:rPr>
          <w:sz w:val="20"/>
          <w:szCs w:val="20"/>
        </w:rPr>
        <w:t>8.</w:t>
      </w:r>
      <w:r>
        <w:rPr>
          <w:sz w:val="20"/>
          <w:szCs w:val="20"/>
        </w:rPr>
        <w:t>7</w:t>
      </w:r>
      <w:r>
        <w:rPr>
          <w:sz w:val="20"/>
          <w:szCs w:val="20"/>
        </w:rPr>
        <w:t xml:space="preserve"> million and </w:t>
      </w:r>
      <w:r>
        <w:rPr>
          <w:sz w:val="20"/>
          <w:szCs w:val="20"/>
        </w:rPr>
        <w:t>$</w:t>
      </w:r>
      <w:r>
        <w:rPr>
          <w:sz w:val="20"/>
          <w:szCs w:val="20"/>
        </w:rPr>
        <w:t>27.</w:t>
      </w:r>
      <w:r>
        <w:rPr>
          <w:sz w:val="20"/>
          <w:szCs w:val="20"/>
        </w:rPr>
        <w:t>6</w:t>
      </w:r>
      <w:r>
        <w:rPr>
          <w:sz w:val="20"/>
          <w:szCs w:val="20"/>
        </w:rPr>
        <w:t xml:space="preserve"> million for the three and nine months ended September 30, 2022, respectively, an</w:t>
      </w:r>
      <w:r>
        <w:rPr>
          <w:sz w:val="20"/>
          <w:szCs w:val="20"/>
        </w:rPr>
        <w:t>d</w:t>
      </w:r>
      <w:r>
        <w:rPr>
          <w:sz w:val="20"/>
          <w:szCs w:val="20"/>
        </w:rPr>
        <w:t xml:space="preserve"> </w:t>
      </w:r>
      <w:r>
        <w:rPr>
          <w:sz w:val="20"/>
          <w:szCs w:val="20"/>
        </w:rPr>
        <w:t>$</w:t>
      </w:r>
      <w:r>
        <w:rPr>
          <w:sz w:val="20"/>
          <w:szCs w:val="20"/>
        </w:rPr>
        <w:t>8.</w:t>
      </w:r>
      <w:r>
        <w:rPr>
          <w:sz w:val="20"/>
          <w:szCs w:val="20"/>
        </w:rPr>
        <w:t>9</w:t>
      </w:r>
      <w:r>
        <w:rPr>
          <w:sz w:val="20"/>
          <w:szCs w:val="20"/>
        </w:rPr>
        <w:t xml:space="preserve"> million and </w:t>
      </w:r>
      <w:r>
        <w:rPr>
          <w:sz w:val="20"/>
          <w:szCs w:val="20"/>
        </w:rPr>
        <w:t>$</w:t>
      </w:r>
      <w:r>
        <w:rPr>
          <w:sz w:val="20"/>
          <w:szCs w:val="20"/>
        </w:rPr>
        <w:t>25.</w:t>
      </w:r>
      <w:r>
        <w:rPr>
          <w:sz w:val="20"/>
          <w:szCs w:val="20"/>
        </w:rPr>
        <w:t>9</w:t>
      </w:r>
      <w:r>
        <w:rPr>
          <w:sz w:val="20"/>
          <w:szCs w:val="20"/>
        </w:rPr>
        <w:t xml:space="preserve"> million for the</w:t>
      </w:r>
      <w:r>
        <w:rPr>
          <w:sz w:val="20"/>
          <w:szCs w:val="20"/>
        </w:rPr>
        <w:t xml:space="preserve"> </w:t>
      </w:r>
      <w:r>
        <w:rPr>
          <w:sz w:val="20"/>
          <w:szCs w:val="20"/>
        </w:rPr>
        <w:t>three and nine months ended September 30, 2021, respectively</w:t>
      </w:r>
      <w:r>
        <w:rPr>
          <w:sz w:val="20"/>
          <w:szCs w:val="20"/>
        </w:rPr>
        <w:t>.</w:t>
      </w:r>
      <w:r>
        <w:rPr>
          <w:sz w:val="20"/>
          <w:szCs w:val="20"/>
        </w:rPr>
        <w:t xml:space="preserve"> </w:t>
      </w:r>
    </w:p>
    <w:p w:rsidR="00000000" w:rsidRDefault="00A32496">
      <w:pPr>
        <w:pStyle w:val="a3"/>
        <w:spacing w:before="240" w:beforeAutospacing="0" w:after="0" w:afterAutospacing="0"/>
        <w:ind w:firstLine="555"/>
        <w:divId w:val="1528447149"/>
        <w:rPr>
          <w:sz w:val="20"/>
          <w:szCs w:val="20"/>
        </w:rPr>
      </w:pPr>
      <w:r>
        <w:rPr>
          <w:sz w:val="20"/>
          <w:szCs w:val="20"/>
        </w:rPr>
        <w:t xml:space="preserve">Future amortization expense is estimated to be </w:t>
      </w:r>
      <w:r>
        <w:rPr>
          <w:sz w:val="20"/>
          <w:szCs w:val="20"/>
        </w:rPr>
        <w:t>as follows for each of the five following years and thereafter</w:t>
      </w:r>
      <w:r>
        <w:rPr>
          <w:sz w:val="20"/>
          <w:szCs w:val="20"/>
        </w:rPr>
        <w:t>:</w:t>
      </w:r>
    </w:p>
    <w:p w:rsidR="00000000" w:rsidRDefault="00A32496">
      <w:pPr>
        <w:pStyle w:val="a3"/>
        <w:spacing w:before="0" w:beforeAutospacing="0" w:after="0" w:afterAutospacing="0"/>
        <w:divId w:val="1528447149"/>
        <w:rPr>
          <w:sz w:val="20"/>
          <w:szCs w:val="20"/>
        </w:rPr>
      </w:pPr>
      <w:r>
        <w:rPr>
          <w:sz w:val="20"/>
          <w:szCs w:val="20"/>
        </w:rPr>
        <w:t> </w:t>
      </w:r>
    </w:p>
    <w:tbl>
      <w:tblPr>
        <w:tblW w:w="3000" w:type="pct"/>
        <w:tblCellSpacing w:w="15" w:type="dxa"/>
        <w:tblCellMar>
          <w:top w:w="15" w:type="dxa"/>
          <w:left w:w="15" w:type="dxa"/>
          <w:bottom w:w="15" w:type="dxa"/>
          <w:right w:w="15" w:type="dxa"/>
        </w:tblCellMar>
        <w:tblLook w:val="04A0" w:firstRow="1" w:lastRow="0" w:firstColumn="1" w:lastColumn="0" w:noHBand="0" w:noVBand="1"/>
      </w:tblPr>
      <w:tblGrid>
        <w:gridCol w:w="3850"/>
        <w:gridCol w:w="105"/>
        <w:gridCol w:w="150"/>
        <w:gridCol w:w="759"/>
        <w:gridCol w:w="120"/>
      </w:tblGrid>
      <w:tr w:rsidR="00000000">
        <w:trPr>
          <w:divId w:val="1528447149"/>
          <w:tblCellSpacing w:w="15" w:type="dxa"/>
        </w:trPr>
        <w:tc>
          <w:tcPr>
            <w:tcW w:w="3993" w:type="pct"/>
            <w:vAlign w:val="center"/>
            <w:hideMark/>
          </w:tcPr>
          <w:p w:rsidR="00000000" w:rsidRDefault="00A32496">
            <w:pPr>
              <w:rPr>
                <w:sz w:val="20"/>
                <w:szCs w:val="20"/>
              </w:rPr>
            </w:pPr>
          </w:p>
        </w:tc>
        <w:tc>
          <w:tcPr>
            <w:tcW w:w="94"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811"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r>
      <w:tr w:rsidR="00000000">
        <w:trPr>
          <w:divId w:val="1528447149"/>
          <w:trHeight w:val="180"/>
          <w:tblCellSpacing w:w="15" w:type="dxa"/>
        </w:trPr>
        <w:tc>
          <w:tcPr>
            <w:tcW w:w="0" w:type="auto"/>
            <w:vAlign w:val="bottom"/>
            <w:hideMark/>
          </w:tcPr>
          <w:p w:rsidR="00000000" w:rsidRDefault="00A32496">
            <w:pPr>
              <w:pStyle w:val="a3"/>
              <w:spacing w:before="0" w:beforeAutospacing="0" w:after="0" w:afterAutospacing="0"/>
              <w:rPr>
                <w:sz w:val="18"/>
                <w:szCs w:val="18"/>
              </w:rPr>
            </w:pPr>
            <w:r>
              <w:rPr>
                <w:b/>
                <w:bCs/>
                <w:sz w:val="18"/>
                <w:szCs w:val="18"/>
              </w:rPr>
              <w:t>December 31</w:t>
            </w:r>
            <w:r>
              <w:rPr>
                <w:b/>
                <w:bCs/>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528447149"/>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2022 (remaining</w:t>
            </w:r>
            <w:r>
              <w:rPr>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8,13</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528447149"/>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202</w:t>
            </w:r>
            <w:r>
              <w:rPr>
                <w:sz w:val="18"/>
                <w:szCs w:val="18"/>
              </w:rPr>
              <w:t>3</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28,16</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528447149"/>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202</w:t>
            </w:r>
            <w:r>
              <w:rPr>
                <w:sz w:val="18"/>
                <w:szCs w:val="18"/>
              </w:rPr>
              <w:t>4</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23,58</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528447149"/>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202</w:t>
            </w:r>
            <w:r>
              <w:rPr>
                <w:sz w:val="18"/>
                <w:szCs w:val="18"/>
              </w:rPr>
              <w:t>5</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16,89</w:t>
            </w:r>
            <w:r>
              <w:rPr>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528447149"/>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2026 and thereafte</w:t>
            </w:r>
            <w:r>
              <w:rPr>
                <w:sz w:val="18"/>
                <w:szCs w:val="18"/>
              </w:rPr>
              <w:t>r</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69,48</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528447149"/>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Tota</w:t>
            </w:r>
            <w:r>
              <w:rPr>
                <w:sz w:val="18"/>
                <w:szCs w:val="18"/>
              </w:rPr>
              <w:t>l</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146,26</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bl>
    <w:p w:rsidR="00000000" w:rsidRDefault="00A32496">
      <w:pPr>
        <w:pStyle w:val="a3"/>
        <w:spacing w:before="0" w:beforeAutospacing="0" w:after="0" w:afterAutospacing="0"/>
        <w:rPr>
          <w:sz w:val="20"/>
          <w:szCs w:val="20"/>
        </w:rPr>
      </w:pPr>
      <w:r>
        <w:rPr>
          <w:sz w:val="20"/>
          <w:szCs w:val="20"/>
        </w:rPr>
        <w:t> </w:t>
      </w:r>
    </w:p>
    <w:p w:rsidR="00000000" w:rsidRDefault="00A32496">
      <w:pPr>
        <w:pStyle w:val="a3"/>
        <w:spacing w:before="240" w:beforeAutospacing="0" w:after="0" w:afterAutospacing="0"/>
        <w:jc w:val="center"/>
        <w:rPr>
          <w:sz w:val="20"/>
          <w:szCs w:val="20"/>
        </w:rPr>
      </w:pPr>
      <w:r>
        <w:rPr>
          <w:sz w:val="20"/>
          <w:szCs w:val="20"/>
        </w:rPr>
        <w:t>1</w:t>
      </w:r>
      <w:r>
        <w:rPr>
          <w:sz w:val="20"/>
          <w:szCs w:val="20"/>
        </w:rPr>
        <w:t>6</w:t>
      </w:r>
    </w:p>
    <w:p w:rsidR="00000000" w:rsidRDefault="00A32496">
      <w:pPr>
        <w:rPr>
          <w:rFonts w:eastAsia="Times New Roman"/>
        </w:rPr>
      </w:pPr>
      <w:r>
        <w:rPr>
          <w:rFonts w:eastAsia="Times New Roman"/>
        </w:rPr>
        <w:pict>
          <v:rect id="_x0000_i1042" style="width:0;height:1.5pt" o:hralign="center" o:hrstd="t" o:hr="t" fillcolor="#a0a0a0" stroked="f"/>
        </w:pict>
      </w:r>
    </w:p>
    <w:p w:rsidR="00000000" w:rsidRDefault="00A32496">
      <w:pPr>
        <w:pStyle w:val="a3"/>
        <w:spacing w:before="0" w:beforeAutospacing="0" w:after="0" w:afterAutospacing="0"/>
        <w:rPr>
          <w:sz w:val="20"/>
          <w:szCs w:val="20"/>
        </w:rPr>
      </w:pPr>
      <w:r>
        <w:rPr>
          <w:sz w:val="20"/>
          <w:szCs w:val="20"/>
        </w:rPr>
        <w:t> </w:t>
      </w:r>
    </w:p>
    <w:p w:rsidR="00000000" w:rsidRDefault="00A32496">
      <w:pPr>
        <w:pStyle w:val="a3"/>
        <w:spacing w:before="360" w:beforeAutospacing="0" w:after="0" w:afterAutospacing="0"/>
        <w:divId w:val="2097895611"/>
        <w:rPr>
          <w:sz w:val="20"/>
          <w:szCs w:val="20"/>
        </w:rPr>
      </w:pPr>
      <w:r>
        <w:rPr>
          <w:b/>
          <w:bCs/>
          <w:sz w:val="20"/>
          <w:szCs w:val="20"/>
        </w:rPr>
        <w:t>9. ACCOUNTS PAYABLE AND OTHER ACCRUED LIABILITIE</w:t>
      </w:r>
      <w:r>
        <w:rPr>
          <w:b/>
          <w:bCs/>
          <w:sz w:val="20"/>
          <w:szCs w:val="20"/>
        </w:rPr>
        <w:t>S</w:t>
      </w:r>
    </w:p>
    <w:p w:rsidR="00000000" w:rsidRDefault="00A32496">
      <w:pPr>
        <w:pStyle w:val="a3"/>
        <w:spacing w:before="240" w:beforeAutospacing="0" w:after="0" w:afterAutospacing="0"/>
        <w:ind w:firstLine="555"/>
        <w:divId w:val="1254165391"/>
        <w:rPr>
          <w:sz w:val="20"/>
          <w:szCs w:val="20"/>
        </w:rPr>
      </w:pPr>
      <w:r>
        <w:rPr>
          <w:sz w:val="20"/>
          <w:szCs w:val="20"/>
        </w:rPr>
        <w:t>Accounts payable and other accrued liabilities consisted of the following</w:t>
      </w:r>
      <w:r>
        <w:rPr>
          <w:sz w:val="20"/>
          <w:szCs w:val="20"/>
        </w:rPr>
        <w:t>:</w:t>
      </w:r>
    </w:p>
    <w:p w:rsidR="00000000" w:rsidRDefault="00A32496">
      <w:pPr>
        <w:pStyle w:val="a3"/>
        <w:spacing w:before="0" w:beforeAutospacing="0" w:after="0" w:afterAutospacing="0"/>
        <w:divId w:val="1254165391"/>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232"/>
        <w:gridCol w:w="105"/>
        <w:gridCol w:w="151"/>
        <w:gridCol w:w="926"/>
        <w:gridCol w:w="105"/>
        <w:gridCol w:w="105"/>
        <w:gridCol w:w="151"/>
        <w:gridCol w:w="919"/>
        <w:gridCol w:w="120"/>
      </w:tblGrid>
      <w:tr w:rsidR="00000000">
        <w:trPr>
          <w:divId w:val="1254165391"/>
          <w:tblCellSpacing w:w="15" w:type="dxa"/>
        </w:trPr>
        <w:tc>
          <w:tcPr>
            <w:tcW w:w="2920" w:type="pct"/>
            <w:vAlign w:val="center"/>
            <w:hideMark/>
          </w:tcPr>
          <w:p w:rsidR="00000000" w:rsidRDefault="00A32496">
            <w:pPr>
              <w:rPr>
                <w:sz w:val="20"/>
                <w:szCs w:val="20"/>
              </w:rPr>
            </w:pPr>
          </w:p>
        </w:tc>
        <w:tc>
          <w:tcPr>
            <w:tcW w:w="89"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853"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89"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846"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r>
      <w:tr w:rsidR="00000000">
        <w:trPr>
          <w:divId w:val="1254165391"/>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September 30</w:t>
            </w:r>
            <w:r>
              <w:rPr>
                <w:b/>
                <w:bCs/>
                <w:sz w:val="18"/>
                <w:szCs w:val="18"/>
              </w:rPr>
              <w: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December 31</w:t>
            </w:r>
            <w:r>
              <w:rPr>
                <w:b/>
                <w:bCs/>
                <w:sz w:val="18"/>
                <w:szCs w:val="18"/>
              </w:rPr>
              <w: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1254165391"/>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1254165391"/>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Accounts payabl</w:t>
            </w:r>
            <w:r>
              <w:rPr>
                <w:sz w:val="18"/>
                <w:szCs w:val="18"/>
              </w:rPr>
              <w:t>e</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19,02</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24,16</w:t>
            </w:r>
            <w:r>
              <w:rPr>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254165391"/>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Accrued expense</w:t>
            </w:r>
            <w:r>
              <w:rPr>
                <w:sz w:val="18"/>
                <w:szCs w:val="18"/>
              </w:rPr>
              <w:t>s</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12,31</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14,90</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254165391"/>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 xml:space="preserve">Other business acquisitions purchase </w:t>
            </w:r>
            <w:r>
              <w:rPr>
                <w:sz w:val="18"/>
                <w:szCs w:val="18"/>
              </w:rPr>
              <w:br/>
              <w:t>   price obligation</w:t>
            </w:r>
            <w:r>
              <w:rPr>
                <w:sz w:val="18"/>
                <w:szCs w:val="18"/>
              </w:rPr>
              <w:t>s</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50</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50</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254165391"/>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Contract liabilitie</w:t>
            </w:r>
            <w:r>
              <w:rPr>
                <w:sz w:val="18"/>
                <w:szCs w:val="18"/>
              </w:rPr>
              <w:t>s</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23,27</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27,90</w:t>
            </w:r>
            <w:r>
              <w:rPr>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254165391"/>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Other current liabilitie</w:t>
            </w:r>
            <w:r>
              <w:rPr>
                <w:sz w:val="18"/>
                <w:szCs w:val="18"/>
              </w:rPr>
              <w:t>s</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3,20</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1,45</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254165391"/>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 xml:space="preserve">Total accounts payable and </w:t>
            </w:r>
            <w:r>
              <w:rPr>
                <w:sz w:val="18"/>
                <w:szCs w:val="18"/>
              </w:rPr>
              <w:br/>
              <w:t>   other accrued liabilitie</w:t>
            </w:r>
            <w:r>
              <w:rPr>
                <w:sz w:val="18"/>
                <w:szCs w:val="18"/>
              </w:rPr>
              <w:t>s</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58,31</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68,93</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bl>
    <w:p w:rsidR="00000000" w:rsidRDefault="00A32496">
      <w:pPr>
        <w:pStyle w:val="a3"/>
        <w:spacing w:before="0" w:beforeAutospacing="0" w:after="0" w:afterAutospacing="0"/>
        <w:rPr>
          <w:sz w:val="20"/>
          <w:szCs w:val="20"/>
        </w:rPr>
      </w:pPr>
      <w:r>
        <w:rPr>
          <w:sz w:val="20"/>
          <w:szCs w:val="20"/>
        </w:rPr>
        <w:t> </w:t>
      </w:r>
    </w:p>
    <w:p w:rsidR="00000000" w:rsidRDefault="00A32496">
      <w:pPr>
        <w:pStyle w:val="a3"/>
        <w:spacing w:before="360" w:beforeAutospacing="0" w:after="0" w:afterAutospacing="0"/>
        <w:divId w:val="1347555031"/>
        <w:rPr>
          <w:sz w:val="20"/>
          <w:szCs w:val="20"/>
        </w:rPr>
      </w:pPr>
      <w:r>
        <w:rPr>
          <w:b/>
          <w:bCs/>
          <w:sz w:val="20"/>
          <w:szCs w:val="20"/>
        </w:rPr>
        <w:t>10. ACCRUED PAYROLL AND BENEFIT</w:t>
      </w:r>
      <w:r>
        <w:rPr>
          <w:b/>
          <w:bCs/>
          <w:sz w:val="20"/>
          <w:szCs w:val="20"/>
        </w:rPr>
        <w:t>S</w:t>
      </w:r>
    </w:p>
    <w:p w:rsidR="00000000" w:rsidRDefault="00A32496">
      <w:pPr>
        <w:pStyle w:val="a3"/>
        <w:spacing w:before="240" w:beforeAutospacing="0" w:after="0" w:afterAutospacing="0"/>
        <w:ind w:firstLine="555"/>
        <w:divId w:val="1291786931"/>
        <w:rPr>
          <w:sz w:val="20"/>
          <w:szCs w:val="20"/>
        </w:rPr>
      </w:pPr>
      <w:r>
        <w:rPr>
          <w:sz w:val="20"/>
          <w:szCs w:val="20"/>
        </w:rPr>
        <w:t>Accrued payroll and benefits consisted of the following</w:t>
      </w:r>
      <w:r>
        <w:rPr>
          <w:sz w:val="20"/>
          <w:szCs w:val="20"/>
        </w:rPr>
        <w:t>:</w:t>
      </w:r>
    </w:p>
    <w:p w:rsidR="00000000" w:rsidRDefault="00A32496">
      <w:pPr>
        <w:pStyle w:val="a3"/>
        <w:spacing w:before="0" w:beforeAutospacing="0" w:after="0" w:afterAutospacing="0"/>
        <w:ind w:firstLine="555"/>
        <w:divId w:val="1291786931"/>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197"/>
        <w:gridCol w:w="105"/>
        <w:gridCol w:w="151"/>
        <w:gridCol w:w="944"/>
        <w:gridCol w:w="105"/>
        <w:gridCol w:w="105"/>
        <w:gridCol w:w="151"/>
        <w:gridCol w:w="936"/>
        <w:gridCol w:w="120"/>
      </w:tblGrid>
      <w:tr w:rsidR="00000000">
        <w:trPr>
          <w:divId w:val="1291786931"/>
          <w:tblCellSpacing w:w="15" w:type="dxa"/>
        </w:trPr>
        <w:tc>
          <w:tcPr>
            <w:tcW w:w="2889" w:type="pct"/>
            <w:vAlign w:val="center"/>
            <w:hideMark/>
          </w:tcPr>
          <w:p w:rsidR="00000000" w:rsidRDefault="00A32496">
            <w:pPr>
              <w:rPr>
                <w:sz w:val="20"/>
                <w:szCs w:val="20"/>
              </w:rPr>
            </w:pPr>
          </w:p>
        </w:tc>
        <w:tc>
          <w:tcPr>
            <w:tcW w:w="95"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863"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95"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856"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r>
      <w:tr w:rsidR="00000000">
        <w:trPr>
          <w:divId w:val="1291786931"/>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September 30</w:t>
            </w:r>
            <w:r>
              <w:rPr>
                <w:b/>
                <w:bCs/>
                <w:sz w:val="18"/>
                <w:szCs w:val="18"/>
              </w:rPr>
              <w: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December 31</w:t>
            </w:r>
            <w:r>
              <w:rPr>
                <w:b/>
                <w:bCs/>
                <w:sz w:val="18"/>
                <w:szCs w:val="18"/>
              </w:rPr>
              <w: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1291786931"/>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1291786931"/>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Accrued bonuse</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7,03</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13,43</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291786931"/>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Accrued paid time of</w:t>
            </w:r>
            <w:r>
              <w:rPr>
                <w:sz w:val="18"/>
                <w:szCs w:val="18"/>
              </w:rPr>
              <w:t>f</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1,30</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1,14</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291786931"/>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Accrued payrol</w:t>
            </w:r>
            <w:r>
              <w:rPr>
                <w:sz w:val="18"/>
                <w:szCs w:val="18"/>
              </w:rPr>
              <w:t>l</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7,74</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6,54</w:t>
            </w:r>
            <w:r>
              <w:rPr>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291786931"/>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Accrued othe</w:t>
            </w:r>
            <w:r>
              <w:rPr>
                <w:sz w:val="18"/>
                <w:szCs w:val="18"/>
              </w:rPr>
              <w:t>r</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4,38</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4,84</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291786931"/>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Total accrued payroll and benefit</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20,47</w:t>
            </w:r>
            <w:r>
              <w:rPr>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25,97</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bl>
    <w:p w:rsidR="00000000" w:rsidRDefault="00A32496">
      <w:pPr>
        <w:pStyle w:val="a3"/>
        <w:spacing w:before="0" w:beforeAutospacing="0" w:after="0" w:afterAutospacing="0"/>
        <w:ind w:firstLine="555"/>
        <w:rPr>
          <w:sz w:val="20"/>
          <w:szCs w:val="20"/>
        </w:rPr>
      </w:pPr>
      <w:r>
        <w:rPr>
          <w:sz w:val="20"/>
          <w:szCs w:val="20"/>
        </w:rPr>
        <w:t> </w:t>
      </w:r>
    </w:p>
    <w:p w:rsidR="00000000" w:rsidRDefault="00A32496">
      <w:pPr>
        <w:pStyle w:val="a3"/>
        <w:spacing w:before="360" w:beforeAutospacing="0" w:after="0" w:afterAutospacing="0"/>
        <w:divId w:val="1592473022"/>
        <w:rPr>
          <w:sz w:val="20"/>
          <w:szCs w:val="20"/>
        </w:rPr>
      </w:pPr>
      <w:r>
        <w:rPr>
          <w:b/>
          <w:bCs/>
          <w:sz w:val="20"/>
          <w:szCs w:val="20"/>
        </w:rPr>
        <w:t>11. INCOME TAXE</w:t>
      </w:r>
      <w:r>
        <w:rPr>
          <w:b/>
          <w:bCs/>
          <w:sz w:val="20"/>
          <w:szCs w:val="20"/>
        </w:rPr>
        <w:t>S</w:t>
      </w:r>
    </w:p>
    <w:p w:rsidR="00000000" w:rsidRDefault="00A32496">
      <w:pPr>
        <w:pStyle w:val="a3"/>
        <w:spacing w:before="240" w:beforeAutospacing="0" w:after="0" w:afterAutospacing="0"/>
        <w:ind w:firstLine="555"/>
        <w:divId w:val="1592473022"/>
        <w:rPr>
          <w:sz w:val="20"/>
          <w:szCs w:val="20"/>
        </w:rPr>
      </w:pPr>
      <w:r>
        <w:rPr>
          <w:sz w:val="20"/>
          <w:szCs w:val="20"/>
        </w:rPr>
        <w:t>The Company calculates its interim income tax provision in accordance with ASC Topic 270, Interim Reporting (“ASC 270”), and ASC 740. The Company’s effective tax rate (“ETR”) from continuing operations was</w:t>
      </w:r>
      <w:r>
        <w:rPr>
          <w:sz w:val="20"/>
          <w:szCs w:val="20"/>
        </w:rPr>
        <w:t xml:space="preserve"> </w:t>
      </w:r>
      <w:r>
        <w:rPr>
          <w:sz w:val="20"/>
          <w:szCs w:val="20"/>
        </w:rPr>
        <w:t>3.</w:t>
      </w:r>
      <w:r>
        <w:rPr>
          <w:sz w:val="20"/>
          <w:szCs w:val="20"/>
        </w:rPr>
        <w:t>5</w:t>
      </w:r>
      <w:r>
        <w:rPr>
          <w:sz w:val="20"/>
          <w:szCs w:val="20"/>
        </w:rPr>
        <w:t>%</w:t>
      </w:r>
      <w:r>
        <w:rPr>
          <w:sz w:val="20"/>
          <w:szCs w:val="20"/>
        </w:rPr>
        <w:t xml:space="preserve"> and</w:t>
      </w:r>
      <w:r>
        <w:rPr>
          <w:sz w:val="20"/>
          <w:szCs w:val="20"/>
        </w:rPr>
        <w:t xml:space="preserve"> </w:t>
      </w:r>
      <w:r>
        <w:rPr>
          <w:sz w:val="20"/>
          <w:szCs w:val="20"/>
        </w:rPr>
        <w:t>(</w:t>
      </w:r>
      <w:r>
        <w:rPr>
          <w:sz w:val="20"/>
          <w:szCs w:val="20"/>
        </w:rPr>
        <w:t>9.</w:t>
      </w:r>
      <w:r>
        <w:rPr>
          <w:sz w:val="20"/>
          <w:szCs w:val="20"/>
        </w:rPr>
        <w:t>9</w:t>
      </w:r>
      <w:r>
        <w:rPr>
          <w:sz w:val="20"/>
          <w:szCs w:val="20"/>
        </w:rPr>
        <w:t>)</w:t>
      </w:r>
      <w:r>
        <w:rPr>
          <w:sz w:val="20"/>
          <w:szCs w:val="20"/>
        </w:rPr>
        <w:t>%</w:t>
      </w:r>
      <w:r>
        <w:rPr>
          <w:sz w:val="20"/>
          <w:szCs w:val="20"/>
        </w:rPr>
        <w:t xml:space="preserve"> for the three and nine months ende</w:t>
      </w:r>
      <w:r>
        <w:rPr>
          <w:sz w:val="20"/>
          <w:szCs w:val="20"/>
        </w:rPr>
        <w:t>d September 30, 2022, respectively, and</w:t>
      </w:r>
      <w:r>
        <w:rPr>
          <w:sz w:val="20"/>
          <w:szCs w:val="20"/>
        </w:rPr>
        <w:t xml:space="preserve"> </w:t>
      </w:r>
      <w:r>
        <w:rPr>
          <w:sz w:val="20"/>
          <w:szCs w:val="20"/>
        </w:rPr>
        <w:t>28.</w:t>
      </w:r>
      <w:r>
        <w:rPr>
          <w:sz w:val="20"/>
          <w:szCs w:val="20"/>
        </w:rPr>
        <w:t>8</w:t>
      </w:r>
      <w:r>
        <w:rPr>
          <w:sz w:val="20"/>
          <w:szCs w:val="20"/>
        </w:rPr>
        <w:t xml:space="preserve">% and </w:t>
      </w:r>
      <w:r>
        <w:rPr>
          <w:sz w:val="20"/>
          <w:szCs w:val="20"/>
        </w:rPr>
        <w:t>(</w:t>
      </w:r>
      <w:r>
        <w:rPr>
          <w:sz w:val="20"/>
          <w:szCs w:val="20"/>
        </w:rPr>
        <w:t>2.</w:t>
      </w:r>
      <w:r>
        <w:rPr>
          <w:sz w:val="20"/>
          <w:szCs w:val="20"/>
        </w:rPr>
        <w:t>8</w:t>
      </w:r>
      <w:r>
        <w:rPr>
          <w:sz w:val="20"/>
          <w:szCs w:val="20"/>
        </w:rPr>
        <w:t>)% for t</w:t>
      </w:r>
      <w:r>
        <w:rPr>
          <w:sz w:val="20"/>
          <w:szCs w:val="20"/>
        </w:rPr>
        <w:t>h</w:t>
      </w:r>
      <w:r>
        <w:rPr>
          <w:sz w:val="20"/>
          <w:szCs w:val="20"/>
        </w:rPr>
        <w:t xml:space="preserve">e three and nine months ended September 30, 2021, respectively. Income tax (benefit) expense recorded by the Company during the three and nine months ended September 30, 2022 was </w:t>
      </w:r>
      <w:r>
        <w:rPr>
          <w:sz w:val="20"/>
          <w:szCs w:val="20"/>
        </w:rPr>
        <w:t>$</w:t>
      </w:r>
      <w:r>
        <w:rPr>
          <w:sz w:val="20"/>
          <w:szCs w:val="20"/>
        </w:rPr>
        <w:t>(</w:t>
      </w:r>
      <w:r>
        <w:rPr>
          <w:sz w:val="20"/>
          <w:szCs w:val="20"/>
        </w:rPr>
        <w:t>0.</w:t>
      </w:r>
      <w:r>
        <w:rPr>
          <w:sz w:val="20"/>
          <w:szCs w:val="20"/>
        </w:rPr>
        <w:t>2</w:t>
      </w:r>
      <w:r>
        <w:rPr>
          <w:sz w:val="20"/>
          <w:szCs w:val="20"/>
        </w:rPr>
        <w:t>)</w:t>
      </w:r>
      <w:r>
        <w:rPr>
          <w:sz w:val="20"/>
          <w:szCs w:val="20"/>
        </w:rPr>
        <w:t xml:space="preserve"> million</w:t>
      </w:r>
      <w:r>
        <w:rPr>
          <w:sz w:val="20"/>
          <w:szCs w:val="20"/>
        </w:rPr>
        <w:t xml:space="preserve"> and </w:t>
      </w:r>
      <w:r>
        <w:rPr>
          <w:sz w:val="20"/>
          <w:szCs w:val="20"/>
        </w:rPr>
        <w:t>$</w:t>
      </w:r>
      <w:r>
        <w:rPr>
          <w:sz w:val="20"/>
          <w:szCs w:val="20"/>
        </w:rPr>
        <w:t>1.</w:t>
      </w:r>
      <w:r>
        <w:rPr>
          <w:sz w:val="20"/>
          <w:szCs w:val="20"/>
        </w:rPr>
        <w:t>9</w:t>
      </w:r>
      <w:r>
        <w:rPr>
          <w:sz w:val="20"/>
          <w:szCs w:val="20"/>
        </w:rPr>
        <w:t xml:space="preserve"> million, respectively. The income tax expense recorded by the Company during the three and nine months ended September 30, 202</w:t>
      </w:r>
      <w:r>
        <w:rPr>
          <w:sz w:val="20"/>
          <w:szCs w:val="20"/>
        </w:rPr>
        <w:t>1</w:t>
      </w:r>
      <w:r>
        <w:rPr>
          <w:sz w:val="20"/>
          <w:szCs w:val="20"/>
        </w:rPr>
        <w:t xml:space="preserve"> was </w:t>
      </w:r>
      <w:r>
        <w:rPr>
          <w:sz w:val="20"/>
          <w:szCs w:val="20"/>
        </w:rPr>
        <w:t>$</w:t>
      </w:r>
      <w:r>
        <w:rPr>
          <w:sz w:val="20"/>
          <w:szCs w:val="20"/>
        </w:rPr>
        <w:t>0.</w:t>
      </w:r>
      <w:r>
        <w:rPr>
          <w:sz w:val="20"/>
          <w:szCs w:val="20"/>
        </w:rPr>
        <w:t>9</w:t>
      </w:r>
      <w:r>
        <w:rPr>
          <w:sz w:val="20"/>
          <w:szCs w:val="20"/>
        </w:rPr>
        <w:t xml:space="preserve"> million and </w:t>
      </w:r>
      <w:r>
        <w:rPr>
          <w:sz w:val="20"/>
          <w:szCs w:val="20"/>
        </w:rPr>
        <w:t>$</w:t>
      </w:r>
      <w:r>
        <w:rPr>
          <w:sz w:val="20"/>
          <w:szCs w:val="20"/>
        </w:rPr>
        <w:t>0.</w:t>
      </w:r>
      <w:r>
        <w:rPr>
          <w:sz w:val="20"/>
          <w:szCs w:val="20"/>
        </w:rPr>
        <w:t>6</w:t>
      </w:r>
      <w:r>
        <w:rPr>
          <w:sz w:val="20"/>
          <w:szCs w:val="20"/>
        </w:rPr>
        <w:t xml:space="preserve"> million, respectively. Th</w:t>
      </w:r>
      <w:r>
        <w:rPr>
          <w:sz w:val="20"/>
          <w:szCs w:val="20"/>
        </w:rPr>
        <w:t>e</w:t>
      </w:r>
      <w:r>
        <w:rPr>
          <w:sz w:val="20"/>
          <w:szCs w:val="20"/>
        </w:rPr>
        <w:t xml:space="preserve"> difference between the ETR and federal statutory rate of</w:t>
      </w:r>
      <w:r>
        <w:rPr>
          <w:sz w:val="20"/>
          <w:szCs w:val="20"/>
        </w:rPr>
        <w:t xml:space="preserve"> </w:t>
      </w:r>
      <w:r>
        <w:rPr>
          <w:sz w:val="20"/>
          <w:szCs w:val="20"/>
        </w:rPr>
        <w:t>21.</w:t>
      </w:r>
      <w:r>
        <w:rPr>
          <w:sz w:val="20"/>
          <w:szCs w:val="20"/>
        </w:rPr>
        <w:t>0</w:t>
      </w:r>
      <w:r>
        <w:rPr>
          <w:sz w:val="20"/>
          <w:szCs w:val="20"/>
        </w:rPr>
        <w:t>% is</w:t>
      </w:r>
      <w:r>
        <w:rPr>
          <w:sz w:val="20"/>
          <w:szCs w:val="20"/>
        </w:rPr>
        <w:t xml:space="preserve"> primarily attributable to items recorded for U.S. GAAP but permanently disallowed for U.S. federal income tax purposes, recognition of a U.S. federal and state valuation allowance and state and foreign income tax provisions</w:t>
      </w:r>
      <w:r>
        <w:rPr>
          <w:sz w:val="20"/>
          <w:szCs w:val="20"/>
        </w:rPr>
        <w:t>.</w:t>
      </w:r>
    </w:p>
    <w:p w:rsidR="00000000" w:rsidRDefault="00A32496">
      <w:pPr>
        <w:pStyle w:val="a3"/>
        <w:spacing w:before="240" w:beforeAutospacing="0" w:after="0" w:afterAutospacing="0"/>
        <w:ind w:firstLine="555"/>
        <w:divId w:val="1592473022"/>
        <w:rPr>
          <w:sz w:val="20"/>
          <w:szCs w:val="20"/>
        </w:rPr>
      </w:pPr>
      <w:r>
        <w:rPr>
          <w:sz w:val="20"/>
          <w:szCs w:val="20"/>
        </w:rPr>
        <w:t>A valuation allowance is recorded when it is more-likely-than-not some of the Company’s deferred tax assets may not be realized. Significant judgment is applied when assessing the need for a valuation allowance and the Company considers future taxable inco</w:t>
      </w:r>
      <w:r>
        <w:rPr>
          <w:sz w:val="20"/>
          <w:szCs w:val="20"/>
        </w:rPr>
        <w:t>me, reversals of existing deferred tax assets and liabilities and ongoing prudent and feasible tax planning strategies, in making such assessment. As of September 30, 2022, the Company’s U.S. federal, state and various foreign net deferred tax assets are n</w:t>
      </w:r>
      <w:r>
        <w:rPr>
          <w:sz w:val="20"/>
          <w:szCs w:val="20"/>
        </w:rPr>
        <w:t>ot more-likely-than-not to be realized and a full valuation allowance is maintained</w:t>
      </w:r>
      <w:r>
        <w:rPr>
          <w:sz w:val="20"/>
          <w:szCs w:val="20"/>
        </w:rPr>
        <w:t>.</w:t>
      </w:r>
    </w:p>
    <w:p w:rsidR="00000000" w:rsidRDefault="00A32496">
      <w:pPr>
        <w:pStyle w:val="a3"/>
        <w:spacing w:before="240" w:beforeAutospacing="0" w:after="0" w:afterAutospacing="0"/>
        <w:ind w:firstLine="555"/>
        <w:divId w:val="1592473022"/>
        <w:rPr>
          <w:sz w:val="20"/>
          <w:szCs w:val="20"/>
        </w:rPr>
      </w:pPr>
      <w:r>
        <w:rPr>
          <w:sz w:val="20"/>
          <w:szCs w:val="20"/>
        </w:rPr>
        <w:t>The Company records uncertain tax positions in accordance with ASC 740, on the basis of a two-step process in which (i) the Company determines whether it is more likely th</w:t>
      </w:r>
      <w:r>
        <w:rPr>
          <w:sz w:val="20"/>
          <w:szCs w:val="20"/>
        </w:rPr>
        <w:t>an not a tax position will be sustained on the basis of the technical merits of such position and (ii) for those tax positions meeting the more-likely-than-not recognition threshold, the Company would recognize the largest amount of tax benefit that is mor</w:t>
      </w:r>
      <w:r>
        <w:rPr>
          <w:sz w:val="20"/>
          <w:szCs w:val="20"/>
        </w:rPr>
        <w:t>e than 50.0% likely to be realized upon ultimate settlement with the related tax authority. The Company has determined it has</w:t>
      </w:r>
      <w:r>
        <w:rPr>
          <w:sz w:val="20"/>
          <w:szCs w:val="20"/>
        </w:rPr>
        <w:t xml:space="preserve"> </w:t>
      </w:r>
      <w:r>
        <w:rPr>
          <w:sz w:val="20"/>
          <w:szCs w:val="20"/>
        </w:rPr>
        <w:t>n</w:t>
      </w:r>
      <w:r>
        <w:rPr>
          <w:sz w:val="20"/>
          <w:szCs w:val="20"/>
        </w:rPr>
        <w:t>o</w:t>
      </w:r>
      <w:r>
        <w:rPr>
          <w:sz w:val="20"/>
          <w:szCs w:val="20"/>
        </w:rPr>
        <w:t xml:space="preserve"> uncertain tax positions as of</w:t>
      </w:r>
      <w:r>
        <w:rPr>
          <w:sz w:val="20"/>
          <w:szCs w:val="20"/>
        </w:rPr>
        <w:t xml:space="preserve"> </w:t>
      </w:r>
      <w:r>
        <w:rPr>
          <w:sz w:val="20"/>
          <w:szCs w:val="20"/>
        </w:rPr>
        <w:t>September 30, 202</w:t>
      </w:r>
      <w:r>
        <w:rPr>
          <w:sz w:val="20"/>
          <w:szCs w:val="20"/>
        </w:rPr>
        <w:t>2</w:t>
      </w:r>
      <w:r>
        <w:rPr>
          <w:sz w:val="20"/>
          <w:szCs w:val="20"/>
        </w:rPr>
        <w:t>. The Company classifies interest and penalties recognized on uncertain tax pos</w:t>
      </w:r>
      <w:r>
        <w:rPr>
          <w:sz w:val="20"/>
          <w:szCs w:val="20"/>
        </w:rPr>
        <w:t>itions as a component of income tax expense</w:t>
      </w:r>
      <w:r>
        <w:rPr>
          <w:sz w:val="20"/>
          <w:szCs w:val="20"/>
        </w:rPr>
        <w:t>.</w:t>
      </w:r>
    </w:p>
    <w:p w:rsidR="00000000" w:rsidRDefault="00A32496">
      <w:pPr>
        <w:pStyle w:val="a3"/>
        <w:spacing w:before="240" w:beforeAutospacing="0" w:after="0" w:afterAutospacing="0"/>
        <w:jc w:val="center"/>
        <w:rPr>
          <w:sz w:val="20"/>
          <w:szCs w:val="20"/>
        </w:rPr>
      </w:pPr>
      <w:r>
        <w:rPr>
          <w:sz w:val="20"/>
          <w:szCs w:val="20"/>
        </w:rPr>
        <w:t>1</w:t>
      </w:r>
      <w:r>
        <w:rPr>
          <w:sz w:val="20"/>
          <w:szCs w:val="20"/>
        </w:rPr>
        <w:t>7</w:t>
      </w:r>
    </w:p>
    <w:p w:rsidR="00000000" w:rsidRDefault="00A32496">
      <w:pPr>
        <w:rPr>
          <w:rFonts w:eastAsia="Times New Roman"/>
        </w:rPr>
      </w:pPr>
      <w:r>
        <w:rPr>
          <w:rFonts w:eastAsia="Times New Roman"/>
        </w:rPr>
        <w:pict>
          <v:rect id="_x0000_i1043" style="width:0;height:1.5pt" o:hralign="center" o:hrstd="t" o:hr="t" fillcolor="#a0a0a0" stroked="f"/>
        </w:pict>
      </w:r>
    </w:p>
    <w:p w:rsidR="00000000" w:rsidRDefault="00A32496">
      <w:pPr>
        <w:pStyle w:val="a3"/>
        <w:spacing w:before="0" w:beforeAutospacing="0" w:after="0" w:afterAutospacing="0"/>
        <w:rPr>
          <w:sz w:val="20"/>
          <w:szCs w:val="20"/>
        </w:rPr>
      </w:pPr>
      <w:r>
        <w:rPr>
          <w:sz w:val="20"/>
          <w:szCs w:val="20"/>
        </w:rPr>
        <w:t> </w:t>
      </w:r>
    </w:p>
    <w:p w:rsidR="00000000" w:rsidRDefault="00A32496">
      <w:pPr>
        <w:pStyle w:val="a3"/>
        <w:spacing w:before="360" w:beforeAutospacing="0" w:after="0" w:afterAutospacing="0"/>
        <w:divId w:val="2018578228"/>
        <w:rPr>
          <w:sz w:val="20"/>
          <w:szCs w:val="20"/>
        </w:rPr>
      </w:pPr>
      <w:r>
        <w:rPr>
          <w:b/>
          <w:bCs/>
          <w:sz w:val="20"/>
          <w:szCs w:val="20"/>
        </w:rPr>
        <w:t>12. DEB</w:t>
      </w:r>
      <w:r>
        <w:rPr>
          <w:b/>
          <w:bCs/>
          <w:sz w:val="20"/>
          <w:szCs w:val="20"/>
        </w:rPr>
        <w:t>T</w:t>
      </w:r>
    </w:p>
    <w:p w:rsidR="00000000" w:rsidRDefault="00A32496">
      <w:pPr>
        <w:pStyle w:val="a3"/>
        <w:spacing w:before="240" w:beforeAutospacing="0" w:after="0" w:afterAutospacing="0"/>
        <w:ind w:firstLine="555"/>
        <w:divId w:val="1626623318"/>
        <w:rPr>
          <w:sz w:val="20"/>
          <w:szCs w:val="20"/>
        </w:rPr>
      </w:pPr>
      <w:r>
        <w:rPr>
          <w:sz w:val="20"/>
          <w:szCs w:val="20"/>
        </w:rPr>
        <w:t>Debt consisted of the following</w:t>
      </w:r>
      <w:r>
        <w:rPr>
          <w:sz w:val="20"/>
          <w:szCs w:val="20"/>
        </w:rPr>
        <w:t>:</w:t>
      </w:r>
    </w:p>
    <w:p w:rsidR="00000000" w:rsidRDefault="00A32496">
      <w:pPr>
        <w:pStyle w:val="a3"/>
        <w:spacing w:before="0" w:beforeAutospacing="0" w:after="0" w:afterAutospacing="0"/>
        <w:divId w:val="1626623318"/>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2494"/>
        <w:gridCol w:w="131"/>
        <w:gridCol w:w="151"/>
        <w:gridCol w:w="1254"/>
        <w:gridCol w:w="120"/>
        <w:gridCol w:w="131"/>
        <w:gridCol w:w="151"/>
        <w:gridCol w:w="1247"/>
        <w:gridCol w:w="135"/>
      </w:tblGrid>
      <w:tr w:rsidR="00000000">
        <w:trPr>
          <w:divId w:val="1626623318"/>
          <w:tblCellSpacing w:w="15" w:type="dxa"/>
        </w:trPr>
        <w:tc>
          <w:tcPr>
            <w:tcW w:w="2257" w:type="pct"/>
            <w:vAlign w:val="center"/>
            <w:hideMark/>
          </w:tcPr>
          <w:p w:rsidR="00000000" w:rsidRDefault="00A32496">
            <w:pPr>
              <w:rPr>
                <w:sz w:val="20"/>
                <w:szCs w:val="20"/>
              </w:rPr>
            </w:pPr>
          </w:p>
        </w:tc>
        <w:tc>
          <w:tcPr>
            <w:tcW w:w="128"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1146"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128"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1140"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r>
      <w:tr w:rsidR="00000000">
        <w:trPr>
          <w:divId w:val="1626623318"/>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September 30</w:t>
            </w:r>
            <w:r>
              <w:rPr>
                <w:b/>
                <w:bCs/>
                <w:sz w:val="18"/>
                <w:szCs w:val="18"/>
              </w:rPr>
              <w: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December 31</w:t>
            </w:r>
            <w:r>
              <w:rPr>
                <w:b/>
                <w:bCs/>
                <w:sz w:val="18"/>
                <w:szCs w:val="18"/>
              </w:rPr>
              <w: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1626623318"/>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1626623318"/>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Term loan facilit</w:t>
            </w:r>
            <w:r>
              <w:rPr>
                <w:sz w:val="18"/>
                <w:szCs w:val="18"/>
              </w:rPr>
              <w:t>y</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166,25</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175,00</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626623318"/>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Revolving line of credi</w:t>
            </w:r>
            <w:r>
              <w:rPr>
                <w:sz w:val="18"/>
                <w:szCs w:val="18"/>
              </w:rPr>
              <w:t>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626623318"/>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Less deferred debt issuance cost</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1,85</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2,24</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r>
      <w:tr w:rsidR="00000000">
        <w:trPr>
          <w:divId w:val="1626623318"/>
          <w:trHeight w:val="180"/>
          <w:tblCellSpacing w:w="15" w:type="dxa"/>
        </w:trPr>
        <w:tc>
          <w:tcPr>
            <w:tcW w:w="0" w:type="auto"/>
            <w:hideMark/>
          </w:tcPr>
          <w:p w:rsidR="00000000" w:rsidRDefault="00A32496">
            <w:pPr>
              <w:pStyle w:val="a3"/>
              <w:spacing w:before="0" w:beforeAutospacing="0" w:after="0" w:afterAutospacing="0"/>
              <w:ind w:left="200"/>
              <w:rPr>
                <w:sz w:val="18"/>
                <w:szCs w:val="18"/>
              </w:rPr>
            </w:pPr>
            <w:r>
              <w:rPr>
                <w:sz w:val="18"/>
                <w:szCs w:val="18"/>
              </w:rPr>
              <w:t>Total deb</w:t>
            </w:r>
            <w:r>
              <w:rPr>
                <w:sz w:val="18"/>
                <w:szCs w:val="18"/>
              </w:rPr>
              <w:t>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164,39</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172,75</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626623318"/>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Less current portion of long-term deb</w:t>
            </w:r>
            <w:r>
              <w:rPr>
                <w:sz w:val="18"/>
                <w:szCs w:val="18"/>
              </w:rPr>
              <w:t>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8,75</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10,93</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r>
      <w:tr w:rsidR="00000000">
        <w:trPr>
          <w:divId w:val="1626623318"/>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Long-term debt, less current portio</w:t>
            </w:r>
            <w:r>
              <w:rPr>
                <w:sz w:val="18"/>
                <w:szCs w:val="18"/>
              </w:rPr>
              <w:t>n</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155,64</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161,81</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bl>
    <w:p w:rsidR="00000000" w:rsidRDefault="00A32496">
      <w:pPr>
        <w:pStyle w:val="a3"/>
        <w:spacing w:before="240" w:beforeAutospacing="0" w:after="0" w:afterAutospacing="0"/>
        <w:ind w:firstLine="555"/>
        <w:divId w:val="2018578228"/>
        <w:rPr>
          <w:sz w:val="20"/>
          <w:szCs w:val="20"/>
        </w:rPr>
      </w:pPr>
      <w:r>
        <w:rPr>
          <w:b/>
          <w:bCs/>
          <w:sz w:val="20"/>
          <w:szCs w:val="20"/>
        </w:rPr>
        <w:t>Deferred Financing Cost</w:t>
      </w:r>
      <w:r>
        <w:rPr>
          <w:b/>
          <w:bCs/>
          <w:sz w:val="20"/>
          <w:szCs w:val="20"/>
        </w:rPr>
        <w:t>s</w:t>
      </w:r>
      <w:r>
        <w:rPr>
          <w:sz w:val="20"/>
          <w:szCs w:val="20"/>
        </w:rPr>
        <w:t>—Costs relating to debt issuance have been deferred and are presented as discounted against the underlying debt instrument. These costs are amortized to interest ex</w:t>
      </w:r>
      <w:r>
        <w:rPr>
          <w:sz w:val="20"/>
          <w:szCs w:val="20"/>
        </w:rPr>
        <w:t>pense over the terms of the underlying debt instruments</w:t>
      </w:r>
      <w:r>
        <w:rPr>
          <w:sz w:val="20"/>
          <w:szCs w:val="20"/>
        </w:rPr>
        <w:t>.</w:t>
      </w:r>
    </w:p>
    <w:p w:rsidR="00000000" w:rsidRDefault="00A32496">
      <w:pPr>
        <w:pStyle w:val="a3"/>
        <w:spacing w:before="240" w:beforeAutospacing="0" w:after="0" w:afterAutospacing="0"/>
        <w:ind w:firstLine="555"/>
        <w:divId w:val="2018578228"/>
        <w:rPr>
          <w:sz w:val="20"/>
          <w:szCs w:val="20"/>
        </w:rPr>
      </w:pPr>
      <w:r>
        <w:rPr>
          <w:b/>
          <w:bCs/>
          <w:sz w:val="20"/>
          <w:szCs w:val="20"/>
        </w:rPr>
        <w:t>2021 Credit Facilit</w:t>
      </w:r>
      <w:r>
        <w:rPr>
          <w:b/>
          <w:bCs/>
          <w:sz w:val="20"/>
          <w:szCs w:val="20"/>
        </w:rPr>
        <w:t>y</w:t>
      </w:r>
      <w:r>
        <w:rPr>
          <w:sz w:val="20"/>
          <w:szCs w:val="20"/>
        </w:rPr>
        <w:t>—On April 27, 202</w:t>
      </w:r>
      <w:r>
        <w:rPr>
          <w:sz w:val="20"/>
          <w:szCs w:val="20"/>
        </w:rPr>
        <w:t>1</w:t>
      </w:r>
      <w:r>
        <w:rPr>
          <w:sz w:val="20"/>
          <w:szCs w:val="20"/>
        </w:rPr>
        <w:t xml:space="preserve">, the Company entered into a Senior Secured Credit Agreement providing for a </w:t>
      </w:r>
      <w:r>
        <w:rPr>
          <w:sz w:val="20"/>
          <w:szCs w:val="20"/>
        </w:rPr>
        <w:t>$</w:t>
      </w:r>
      <w:r>
        <w:rPr>
          <w:sz w:val="20"/>
          <w:szCs w:val="20"/>
        </w:rPr>
        <w:t>300.</w:t>
      </w:r>
      <w:r>
        <w:rPr>
          <w:sz w:val="20"/>
          <w:szCs w:val="20"/>
        </w:rPr>
        <w:t>0</w:t>
      </w:r>
      <w:r>
        <w:rPr>
          <w:sz w:val="20"/>
          <w:szCs w:val="20"/>
        </w:rPr>
        <w:t xml:space="preserve"> </w:t>
      </w:r>
      <w:r>
        <w:rPr>
          <w:sz w:val="20"/>
          <w:szCs w:val="20"/>
        </w:rPr>
        <w:t xml:space="preserve">million credit facility comprised of a </w:t>
      </w:r>
      <w:r>
        <w:rPr>
          <w:sz w:val="20"/>
          <w:szCs w:val="20"/>
        </w:rPr>
        <w:t>$</w:t>
      </w:r>
      <w:r>
        <w:rPr>
          <w:sz w:val="20"/>
          <w:szCs w:val="20"/>
        </w:rPr>
        <w:t>175.</w:t>
      </w:r>
      <w:r>
        <w:rPr>
          <w:sz w:val="20"/>
          <w:szCs w:val="20"/>
        </w:rPr>
        <w:t>0</w:t>
      </w:r>
      <w:r>
        <w:rPr>
          <w:sz w:val="20"/>
          <w:szCs w:val="20"/>
        </w:rPr>
        <w:t xml:space="preserve"> million term loan and a </w:t>
      </w:r>
      <w:r>
        <w:rPr>
          <w:sz w:val="20"/>
          <w:szCs w:val="20"/>
        </w:rPr>
        <w:t>$</w:t>
      </w:r>
      <w:r>
        <w:rPr>
          <w:sz w:val="20"/>
          <w:szCs w:val="20"/>
        </w:rPr>
        <w:t>125.</w:t>
      </w:r>
      <w:r>
        <w:rPr>
          <w:sz w:val="20"/>
          <w:szCs w:val="20"/>
        </w:rPr>
        <w:t>0</w:t>
      </w:r>
      <w:r>
        <w:rPr>
          <w:sz w:val="20"/>
          <w:szCs w:val="20"/>
        </w:rPr>
        <w:t xml:space="preserve"> million revolving line of credit (the “2021 Credit Facility”), and used a portion of the proceeds from the 2021 Credit Facility to repay all amounts outstanding under the 2020 Cre</w:t>
      </w:r>
      <w:r>
        <w:rPr>
          <w:sz w:val="20"/>
          <w:szCs w:val="20"/>
        </w:rPr>
        <w:t xml:space="preserve">dit Facility (as defined below). The 2021 revolving credit facility includes a </w:t>
      </w:r>
      <w:r>
        <w:rPr>
          <w:sz w:val="20"/>
          <w:szCs w:val="20"/>
        </w:rPr>
        <w:t>$</w:t>
      </w:r>
      <w:r>
        <w:rPr>
          <w:sz w:val="20"/>
          <w:szCs w:val="20"/>
        </w:rPr>
        <w:t>20.</w:t>
      </w:r>
      <w:r>
        <w:rPr>
          <w:sz w:val="20"/>
          <w:szCs w:val="20"/>
        </w:rPr>
        <w:t>0</w:t>
      </w:r>
      <w:r>
        <w:rPr>
          <w:sz w:val="20"/>
          <w:szCs w:val="20"/>
        </w:rPr>
        <w:t xml:space="preserve"> million sublimit for the issuance of letters of credit. Subject to certain exceptions, all amounts under the 2021 Credit Facility will become due on</w:t>
      </w:r>
      <w:r>
        <w:rPr>
          <w:sz w:val="20"/>
          <w:szCs w:val="20"/>
        </w:rPr>
        <w:t xml:space="preserve"> </w:t>
      </w:r>
      <w:r>
        <w:rPr>
          <w:sz w:val="20"/>
          <w:szCs w:val="20"/>
        </w:rPr>
        <w:t>April 27, 202</w:t>
      </w:r>
      <w:r>
        <w:rPr>
          <w:sz w:val="20"/>
          <w:szCs w:val="20"/>
        </w:rPr>
        <w:t>6</w:t>
      </w:r>
      <w:r>
        <w:rPr>
          <w:sz w:val="20"/>
          <w:szCs w:val="20"/>
        </w:rPr>
        <w:t>. The Co</w:t>
      </w:r>
      <w:r>
        <w:rPr>
          <w:sz w:val="20"/>
          <w:szCs w:val="20"/>
        </w:rPr>
        <w:t xml:space="preserve">mpany has the option to borrow incremental term loans or request an increase in the aggregate commitments under the revolving credit facility up to an aggregate amount of </w:t>
      </w:r>
      <w:r>
        <w:rPr>
          <w:sz w:val="20"/>
          <w:szCs w:val="20"/>
        </w:rPr>
        <w:t>$</w:t>
      </w:r>
      <w:r>
        <w:rPr>
          <w:sz w:val="20"/>
          <w:szCs w:val="20"/>
        </w:rPr>
        <w:t>150.</w:t>
      </w:r>
      <w:r>
        <w:rPr>
          <w:sz w:val="20"/>
          <w:szCs w:val="20"/>
        </w:rPr>
        <w:t>0</w:t>
      </w:r>
      <w:r>
        <w:rPr>
          <w:sz w:val="20"/>
          <w:szCs w:val="20"/>
        </w:rPr>
        <w:t xml:space="preserve"> million subject to the satisfaction of certain conditions</w:t>
      </w:r>
      <w:r>
        <w:rPr>
          <w:sz w:val="20"/>
          <w:szCs w:val="20"/>
        </w:rPr>
        <w:t>.</w:t>
      </w:r>
      <w:r>
        <w:rPr>
          <w:sz w:val="20"/>
          <w:szCs w:val="20"/>
        </w:rPr>
        <w:t xml:space="preserve"> </w:t>
      </w:r>
    </w:p>
    <w:p w:rsidR="00000000" w:rsidRDefault="00A32496">
      <w:pPr>
        <w:pStyle w:val="a3"/>
        <w:spacing w:before="240" w:beforeAutospacing="0" w:after="0" w:afterAutospacing="0"/>
        <w:ind w:firstLine="555"/>
        <w:divId w:val="664476491"/>
        <w:rPr>
          <w:sz w:val="20"/>
          <w:szCs w:val="20"/>
        </w:rPr>
      </w:pPr>
      <w:r>
        <w:rPr>
          <w:sz w:val="20"/>
          <w:szCs w:val="20"/>
        </w:rPr>
        <w:t>The 2021 Credit Fa</w:t>
      </w:r>
      <w:r>
        <w:rPr>
          <w:sz w:val="20"/>
          <w:szCs w:val="20"/>
        </w:rPr>
        <w:t>cility term loan must be repaid in quarterly installments and shall amortize at the following future quarterly rates</w:t>
      </w:r>
      <w:r>
        <w:rPr>
          <w:sz w:val="20"/>
          <w:szCs w:val="20"/>
        </w:rPr>
        <w:t>:</w:t>
      </w:r>
    </w:p>
    <w:p w:rsidR="00000000" w:rsidRDefault="00A32496">
      <w:pPr>
        <w:pStyle w:val="a3"/>
        <w:spacing w:before="0" w:beforeAutospacing="0" w:after="0" w:afterAutospacing="0"/>
        <w:divId w:val="664476491"/>
        <w:rPr>
          <w:sz w:val="20"/>
          <w:szCs w:val="20"/>
        </w:rPr>
      </w:pPr>
      <w:r>
        <w:rPr>
          <w:sz w:val="20"/>
          <w:szCs w:val="20"/>
        </w:rPr>
        <w:t> </w:t>
      </w:r>
    </w:p>
    <w:tbl>
      <w:tblPr>
        <w:tblW w:w="2000" w:type="pct"/>
        <w:tblCellSpacing w:w="15" w:type="dxa"/>
        <w:tblCellMar>
          <w:top w:w="15" w:type="dxa"/>
          <w:left w:w="15" w:type="dxa"/>
          <w:bottom w:w="15" w:type="dxa"/>
          <w:right w:w="15" w:type="dxa"/>
        </w:tblCellMar>
        <w:tblLook w:val="04A0" w:firstRow="1" w:lastRow="0" w:firstColumn="1" w:lastColumn="0" w:noHBand="0" w:noVBand="1"/>
      </w:tblPr>
      <w:tblGrid>
        <w:gridCol w:w="1527"/>
        <w:gridCol w:w="1795"/>
      </w:tblGrid>
      <w:tr w:rsidR="00000000">
        <w:trPr>
          <w:divId w:val="664476491"/>
          <w:tblCellSpacing w:w="15" w:type="dxa"/>
        </w:trPr>
        <w:tc>
          <w:tcPr>
            <w:tcW w:w="2293" w:type="pct"/>
            <w:vAlign w:val="center"/>
            <w:hideMark/>
          </w:tcPr>
          <w:p w:rsidR="00000000" w:rsidRDefault="00A32496">
            <w:pPr>
              <w:rPr>
                <w:sz w:val="20"/>
                <w:szCs w:val="20"/>
              </w:rPr>
            </w:pPr>
          </w:p>
        </w:tc>
        <w:tc>
          <w:tcPr>
            <w:tcW w:w="2707" w:type="pct"/>
            <w:vAlign w:val="center"/>
            <w:hideMark/>
          </w:tcPr>
          <w:p w:rsidR="00000000" w:rsidRDefault="00A32496">
            <w:pPr>
              <w:rPr>
                <w:rFonts w:eastAsia="Times New Roman"/>
                <w:sz w:val="20"/>
                <w:szCs w:val="20"/>
              </w:rPr>
            </w:pPr>
          </w:p>
        </w:tc>
      </w:tr>
      <w:tr w:rsidR="00000000">
        <w:trPr>
          <w:divId w:val="664476491"/>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b/>
                <w:bCs/>
                <w:sz w:val="18"/>
                <w:szCs w:val="18"/>
              </w:rPr>
              <w:t>Dat</w:t>
            </w:r>
            <w:r>
              <w:rPr>
                <w:b/>
                <w:bCs/>
                <w:sz w:val="18"/>
                <w:szCs w:val="18"/>
              </w:rPr>
              <w:t>e</w:t>
            </w:r>
          </w:p>
        </w:tc>
        <w:tc>
          <w:tcPr>
            <w:tcW w:w="0" w:type="auto"/>
            <w:vAlign w:val="bottom"/>
            <w:hideMark/>
          </w:tcPr>
          <w:p w:rsidR="00000000" w:rsidRDefault="00A32496">
            <w:pPr>
              <w:pStyle w:val="a3"/>
              <w:spacing w:before="0" w:beforeAutospacing="0" w:after="0" w:afterAutospacing="0"/>
              <w:jc w:val="center"/>
              <w:rPr>
                <w:sz w:val="18"/>
                <w:szCs w:val="18"/>
              </w:rPr>
            </w:pPr>
            <w:r>
              <w:rPr>
                <w:b/>
                <w:bCs/>
                <w:sz w:val="18"/>
                <w:szCs w:val="18"/>
              </w:rPr>
              <w:t>Quarterly Installment Rat</w:t>
            </w:r>
            <w:r>
              <w:rPr>
                <w:b/>
                <w:bCs/>
                <w:sz w:val="18"/>
                <w:szCs w:val="18"/>
              </w:rPr>
              <w:t>e</w:t>
            </w:r>
          </w:p>
        </w:tc>
      </w:tr>
      <w:tr w:rsidR="00000000">
        <w:trPr>
          <w:divId w:val="664476491"/>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December 31, 202</w:t>
            </w:r>
            <w:r>
              <w:rPr>
                <w:sz w:val="18"/>
                <w:szCs w:val="18"/>
              </w:rPr>
              <w:t>2</w:t>
            </w:r>
          </w:p>
        </w:tc>
        <w:tc>
          <w:tcPr>
            <w:tcW w:w="0" w:type="auto"/>
            <w:vAlign w:val="bottom"/>
            <w:hideMark/>
          </w:tcPr>
          <w:p w:rsidR="00000000" w:rsidRDefault="00A32496">
            <w:pPr>
              <w:pStyle w:val="a3"/>
              <w:spacing w:before="0" w:beforeAutospacing="0" w:after="0" w:afterAutospacing="0"/>
              <w:jc w:val="center"/>
              <w:rPr>
                <w:sz w:val="20"/>
                <w:szCs w:val="20"/>
              </w:rPr>
            </w:pPr>
            <w:r>
              <w:rPr>
                <w:sz w:val="18"/>
                <w:szCs w:val="18"/>
              </w:rPr>
              <w:t>1.2</w:t>
            </w:r>
            <w:r>
              <w:rPr>
                <w:sz w:val="18"/>
                <w:szCs w:val="18"/>
              </w:rPr>
              <w:t>5</w:t>
            </w:r>
            <w:r>
              <w:rPr>
                <w:sz w:val="18"/>
                <w:szCs w:val="18"/>
              </w:rPr>
              <w:t>%</w:t>
            </w:r>
          </w:p>
        </w:tc>
      </w:tr>
      <w:tr w:rsidR="00000000">
        <w:trPr>
          <w:divId w:val="664476491"/>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March 31, 202</w:t>
            </w:r>
            <w:r>
              <w:rPr>
                <w:sz w:val="18"/>
                <w:szCs w:val="18"/>
              </w:rPr>
              <w:t>3</w:t>
            </w:r>
          </w:p>
        </w:tc>
        <w:tc>
          <w:tcPr>
            <w:tcW w:w="0" w:type="auto"/>
            <w:vAlign w:val="bottom"/>
            <w:hideMark/>
          </w:tcPr>
          <w:p w:rsidR="00000000" w:rsidRDefault="00A32496">
            <w:pPr>
              <w:pStyle w:val="a3"/>
              <w:spacing w:before="0" w:beforeAutospacing="0" w:after="0" w:afterAutospacing="0"/>
              <w:jc w:val="center"/>
              <w:rPr>
                <w:sz w:val="20"/>
                <w:szCs w:val="20"/>
              </w:rPr>
            </w:pPr>
            <w:r>
              <w:rPr>
                <w:sz w:val="18"/>
                <w:szCs w:val="18"/>
              </w:rPr>
              <w:t>1.2</w:t>
            </w:r>
            <w:r>
              <w:rPr>
                <w:sz w:val="18"/>
                <w:szCs w:val="18"/>
              </w:rPr>
              <w:t>5</w:t>
            </w:r>
            <w:r>
              <w:rPr>
                <w:sz w:val="18"/>
                <w:szCs w:val="18"/>
              </w:rPr>
              <w:t>%</w:t>
            </w:r>
          </w:p>
        </w:tc>
      </w:tr>
      <w:tr w:rsidR="00000000">
        <w:trPr>
          <w:divId w:val="664476491"/>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June 30, 202</w:t>
            </w:r>
            <w:r>
              <w:rPr>
                <w:sz w:val="18"/>
                <w:szCs w:val="18"/>
              </w:rPr>
              <w:t>3</w:t>
            </w:r>
          </w:p>
        </w:tc>
        <w:tc>
          <w:tcPr>
            <w:tcW w:w="0" w:type="auto"/>
            <w:vAlign w:val="bottom"/>
            <w:hideMark/>
          </w:tcPr>
          <w:p w:rsidR="00000000" w:rsidRDefault="00A32496">
            <w:pPr>
              <w:pStyle w:val="a3"/>
              <w:spacing w:before="0" w:beforeAutospacing="0" w:after="0" w:afterAutospacing="0"/>
              <w:jc w:val="center"/>
              <w:rPr>
                <w:sz w:val="20"/>
                <w:szCs w:val="20"/>
              </w:rPr>
            </w:pPr>
            <w:r>
              <w:rPr>
                <w:sz w:val="18"/>
                <w:szCs w:val="18"/>
              </w:rPr>
              <w:t>1.2</w:t>
            </w:r>
            <w:r>
              <w:rPr>
                <w:sz w:val="18"/>
                <w:szCs w:val="18"/>
              </w:rPr>
              <w:t>5</w:t>
            </w:r>
            <w:r>
              <w:rPr>
                <w:sz w:val="18"/>
                <w:szCs w:val="18"/>
              </w:rPr>
              <w:t>%</w:t>
            </w:r>
          </w:p>
        </w:tc>
      </w:tr>
      <w:tr w:rsidR="00000000">
        <w:trPr>
          <w:divId w:val="664476491"/>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September 30, 202</w:t>
            </w:r>
            <w:r>
              <w:rPr>
                <w:sz w:val="18"/>
                <w:szCs w:val="18"/>
              </w:rPr>
              <w:t>3</w:t>
            </w:r>
          </w:p>
        </w:tc>
        <w:tc>
          <w:tcPr>
            <w:tcW w:w="0" w:type="auto"/>
            <w:vAlign w:val="bottom"/>
            <w:hideMark/>
          </w:tcPr>
          <w:p w:rsidR="00000000" w:rsidRDefault="00A32496">
            <w:pPr>
              <w:pStyle w:val="a3"/>
              <w:spacing w:before="0" w:beforeAutospacing="0" w:after="0" w:afterAutospacing="0"/>
              <w:jc w:val="center"/>
              <w:rPr>
                <w:sz w:val="20"/>
                <w:szCs w:val="20"/>
              </w:rPr>
            </w:pPr>
            <w:r>
              <w:rPr>
                <w:sz w:val="18"/>
                <w:szCs w:val="18"/>
              </w:rPr>
              <w:t>1.2</w:t>
            </w:r>
            <w:r>
              <w:rPr>
                <w:sz w:val="18"/>
                <w:szCs w:val="18"/>
              </w:rPr>
              <w:t>5</w:t>
            </w:r>
            <w:r>
              <w:rPr>
                <w:sz w:val="18"/>
                <w:szCs w:val="18"/>
              </w:rPr>
              <w:t>%</w:t>
            </w:r>
          </w:p>
        </w:tc>
      </w:tr>
      <w:tr w:rsidR="00000000">
        <w:trPr>
          <w:divId w:val="664476491"/>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December 31, 202</w:t>
            </w:r>
            <w:r>
              <w:rPr>
                <w:sz w:val="18"/>
                <w:szCs w:val="18"/>
              </w:rPr>
              <w:t>3</w:t>
            </w:r>
          </w:p>
        </w:tc>
        <w:tc>
          <w:tcPr>
            <w:tcW w:w="0" w:type="auto"/>
            <w:vAlign w:val="bottom"/>
            <w:hideMark/>
          </w:tcPr>
          <w:p w:rsidR="00000000" w:rsidRDefault="00A32496">
            <w:pPr>
              <w:pStyle w:val="a3"/>
              <w:spacing w:before="0" w:beforeAutospacing="0" w:after="0" w:afterAutospacing="0"/>
              <w:jc w:val="center"/>
              <w:rPr>
                <w:sz w:val="20"/>
                <w:szCs w:val="20"/>
              </w:rPr>
            </w:pPr>
            <w:r>
              <w:rPr>
                <w:sz w:val="18"/>
                <w:szCs w:val="18"/>
              </w:rPr>
              <w:t>1.8</w:t>
            </w:r>
            <w:r>
              <w:rPr>
                <w:sz w:val="18"/>
                <w:szCs w:val="18"/>
              </w:rPr>
              <w:t>8</w:t>
            </w:r>
            <w:r>
              <w:rPr>
                <w:sz w:val="18"/>
                <w:szCs w:val="18"/>
              </w:rPr>
              <w:t>%</w:t>
            </w:r>
          </w:p>
        </w:tc>
      </w:tr>
      <w:tr w:rsidR="00000000">
        <w:trPr>
          <w:divId w:val="664476491"/>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March 31, 202</w:t>
            </w:r>
            <w:r>
              <w:rPr>
                <w:sz w:val="18"/>
                <w:szCs w:val="18"/>
              </w:rPr>
              <w:t>4</w:t>
            </w:r>
          </w:p>
        </w:tc>
        <w:tc>
          <w:tcPr>
            <w:tcW w:w="0" w:type="auto"/>
            <w:vAlign w:val="bottom"/>
            <w:hideMark/>
          </w:tcPr>
          <w:p w:rsidR="00000000" w:rsidRDefault="00A32496">
            <w:pPr>
              <w:pStyle w:val="a3"/>
              <w:spacing w:before="0" w:beforeAutospacing="0" w:after="0" w:afterAutospacing="0"/>
              <w:jc w:val="center"/>
              <w:rPr>
                <w:sz w:val="20"/>
                <w:szCs w:val="20"/>
              </w:rPr>
            </w:pPr>
            <w:r>
              <w:rPr>
                <w:sz w:val="18"/>
                <w:szCs w:val="18"/>
              </w:rPr>
              <w:t>1.8</w:t>
            </w:r>
            <w:r>
              <w:rPr>
                <w:sz w:val="18"/>
                <w:szCs w:val="18"/>
              </w:rPr>
              <w:t>8</w:t>
            </w:r>
            <w:r>
              <w:rPr>
                <w:sz w:val="18"/>
                <w:szCs w:val="18"/>
              </w:rPr>
              <w:t>%</w:t>
            </w:r>
          </w:p>
        </w:tc>
      </w:tr>
      <w:tr w:rsidR="00000000">
        <w:trPr>
          <w:divId w:val="664476491"/>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June 30, 202</w:t>
            </w:r>
            <w:r>
              <w:rPr>
                <w:sz w:val="18"/>
                <w:szCs w:val="18"/>
              </w:rPr>
              <w:t>4</w:t>
            </w:r>
          </w:p>
        </w:tc>
        <w:tc>
          <w:tcPr>
            <w:tcW w:w="0" w:type="auto"/>
            <w:vAlign w:val="bottom"/>
            <w:hideMark/>
          </w:tcPr>
          <w:p w:rsidR="00000000" w:rsidRDefault="00A32496">
            <w:pPr>
              <w:pStyle w:val="a3"/>
              <w:spacing w:before="0" w:beforeAutospacing="0" w:after="0" w:afterAutospacing="0"/>
              <w:jc w:val="center"/>
              <w:rPr>
                <w:sz w:val="20"/>
                <w:szCs w:val="20"/>
              </w:rPr>
            </w:pPr>
            <w:r>
              <w:rPr>
                <w:sz w:val="18"/>
                <w:szCs w:val="18"/>
              </w:rPr>
              <w:t>1.8</w:t>
            </w:r>
            <w:r>
              <w:rPr>
                <w:sz w:val="18"/>
                <w:szCs w:val="18"/>
              </w:rPr>
              <w:t>8</w:t>
            </w:r>
            <w:r>
              <w:rPr>
                <w:sz w:val="18"/>
                <w:szCs w:val="18"/>
              </w:rPr>
              <w:t>%</w:t>
            </w:r>
          </w:p>
        </w:tc>
      </w:tr>
      <w:tr w:rsidR="00000000">
        <w:trPr>
          <w:divId w:val="664476491"/>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September 30, 202</w:t>
            </w:r>
            <w:r>
              <w:rPr>
                <w:sz w:val="18"/>
                <w:szCs w:val="18"/>
              </w:rPr>
              <w:t>4</w:t>
            </w:r>
          </w:p>
        </w:tc>
        <w:tc>
          <w:tcPr>
            <w:tcW w:w="0" w:type="auto"/>
            <w:vAlign w:val="bottom"/>
            <w:hideMark/>
          </w:tcPr>
          <w:p w:rsidR="00000000" w:rsidRDefault="00A32496">
            <w:pPr>
              <w:pStyle w:val="a3"/>
              <w:spacing w:before="0" w:beforeAutospacing="0" w:after="0" w:afterAutospacing="0"/>
              <w:jc w:val="center"/>
              <w:rPr>
                <w:sz w:val="20"/>
                <w:szCs w:val="20"/>
              </w:rPr>
            </w:pPr>
            <w:r>
              <w:rPr>
                <w:sz w:val="18"/>
                <w:szCs w:val="18"/>
              </w:rPr>
              <w:t>1.8</w:t>
            </w:r>
            <w:r>
              <w:rPr>
                <w:sz w:val="18"/>
                <w:szCs w:val="18"/>
              </w:rPr>
              <w:t>8</w:t>
            </w:r>
            <w:r>
              <w:rPr>
                <w:sz w:val="18"/>
                <w:szCs w:val="18"/>
              </w:rPr>
              <w:t>%</w:t>
            </w:r>
          </w:p>
        </w:tc>
      </w:tr>
      <w:tr w:rsidR="00000000">
        <w:trPr>
          <w:divId w:val="664476491"/>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December 31, 202</w:t>
            </w:r>
            <w:r>
              <w:rPr>
                <w:sz w:val="18"/>
                <w:szCs w:val="18"/>
              </w:rPr>
              <w:t>4</w:t>
            </w:r>
          </w:p>
        </w:tc>
        <w:tc>
          <w:tcPr>
            <w:tcW w:w="0" w:type="auto"/>
            <w:vAlign w:val="bottom"/>
            <w:hideMark/>
          </w:tcPr>
          <w:p w:rsidR="00000000" w:rsidRDefault="00A32496">
            <w:pPr>
              <w:pStyle w:val="a3"/>
              <w:spacing w:before="0" w:beforeAutospacing="0" w:after="0" w:afterAutospacing="0"/>
              <w:jc w:val="center"/>
              <w:rPr>
                <w:sz w:val="20"/>
                <w:szCs w:val="20"/>
              </w:rPr>
            </w:pPr>
            <w:r>
              <w:rPr>
                <w:sz w:val="18"/>
                <w:szCs w:val="18"/>
              </w:rPr>
              <w:t>1.8</w:t>
            </w:r>
            <w:r>
              <w:rPr>
                <w:sz w:val="18"/>
                <w:szCs w:val="18"/>
              </w:rPr>
              <w:t>8</w:t>
            </w:r>
            <w:r>
              <w:rPr>
                <w:sz w:val="18"/>
                <w:szCs w:val="18"/>
              </w:rPr>
              <w:t>%</w:t>
            </w:r>
          </w:p>
        </w:tc>
      </w:tr>
      <w:tr w:rsidR="00000000">
        <w:trPr>
          <w:divId w:val="664476491"/>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March 31, 202</w:t>
            </w:r>
            <w:r>
              <w:rPr>
                <w:sz w:val="18"/>
                <w:szCs w:val="18"/>
              </w:rPr>
              <w:t>5</w:t>
            </w:r>
          </w:p>
        </w:tc>
        <w:tc>
          <w:tcPr>
            <w:tcW w:w="0" w:type="auto"/>
            <w:vAlign w:val="bottom"/>
            <w:hideMark/>
          </w:tcPr>
          <w:p w:rsidR="00000000" w:rsidRDefault="00A32496">
            <w:pPr>
              <w:pStyle w:val="a3"/>
              <w:spacing w:before="0" w:beforeAutospacing="0" w:after="0" w:afterAutospacing="0"/>
              <w:jc w:val="center"/>
              <w:rPr>
                <w:sz w:val="20"/>
                <w:szCs w:val="20"/>
              </w:rPr>
            </w:pPr>
            <w:r>
              <w:rPr>
                <w:sz w:val="18"/>
                <w:szCs w:val="18"/>
              </w:rPr>
              <w:t>1.8</w:t>
            </w:r>
            <w:r>
              <w:rPr>
                <w:sz w:val="18"/>
                <w:szCs w:val="18"/>
              </w:rPr>
              <w:t>8</w:t>
            </w:r>
            <w:r>
              <w:rPr>
                <w:sz w:val="18"/>
                <w:szCs w:val="18"/>
              </w:rPr>
              <w:t>%</w:t>
            </w:r>
          </w:p>
        </w:tc>
      </w:tr>
      <w:tr w:rsidR="00000000">
        <w:trPr>
          <w:divId w:val="664476491"/>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June 30, 202</w:t>
            </w:r>
            <w:r>
              <w:rPr>
                <w:sz w:val="18"/>
                <w:szCs w:val="18"/>
              </w:rPr>
              <w:t>5</w:t>
            </w:r>
          </w:p>
        </w:tc>
        <w:tc>
          <w:tcPr>
            <w:tcW w:w="0" w:type="auto"/>
            <w:vAlign w:val="bottom"/>
            <w:hideMark/>
          </w:tcPr>
          <w:p w:rsidR="00000000" w:rsidRDefault="00A32496">
            <w:pPr>
              <w:pStyle w:val="a3"/>
              <w:spacing w:before="0" w:beforeAutospacing="0" w:after="0" w:afterAutospacing="0"/>
              <w:jc w:val="center"/>
              <w:rPr>
                <w:sz w:val="20"/>
                <w:szCs w:val="20"/>
              </w:rPr>
            </w:pPr>
            <w:r>
              <w:rPr>
                <w:sz w:val="18"/>
                <w:szCs w:val="18"/>
              </w:rPr>
              <w:t>1.8</w:t>
            </w:r>
            <w:r>
              <w:rPr>
                <w:sz w:val="18"/>
                <w:szCs w:val="18"/>
              </w:rPr>
              <w:t>8</w:t>
            </w:r>
            <w:r>
              <w:rPr>
                <w:sz w:val="18"/>
                <w:szCs w:val="18"/>
              </w:rPr>
              <w:t>%</w:t>
            </w:r>
          </w:p>
        </w:tc>
      </w:tr>
      <w:tr w:rsidR="00000000">
        <w:trPr>
          <w:divId w:val="664476491"/>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September 30, 202</w:t>
            </w:r>
            <w:r>
              <w:rPr>
                <w:sz w:val="18"/>
                <w:szCs w:val="18"/>
              </w:rPr>
              <w:t>5</w:t>
            </w:r>
          </w:p>
        </w:tc>
        <w:tc>
          <w:tcPr>
            <w:tcW w:w="0" w:type="auto"/>
            <w:vAlign w:val="bottom"/>
            <w:hideMark/>
          </w:tcPr>
          <w:p w:rsidR="00000000" w:rsidRDefault="00A32496">
            <w:pPr>
              <w:pStyle w:val="a3"/>
              <w:spacing w:before="0" w:beforeAutospacing="0" w:after="0" w:afterAutospacing="0"/>
              <w:jc w:val="center"/>
              <w:rPr>
                <w:sz w:val="20"/>
                <w:szCs w:val="20"/>
              </w:rPr>
            </w:pPr>
            <w:r>
              <w:rPr>
                <w:sz w:val="18"/>
                <w:szCs w:val="18"/>
              </w:rPr>
              <w:t>1.8</w:t>
            </w:r>
            <w:r>
              <w:rPr>
                <w:sz w:val="18"/>
                <w:szCs w:val="18"/>
              </w:rPr>
              <w:t>8</w:t>
            </w:r>
            <w:r>
              <w:rPr>
                <w:sz w:val="18"/>
                <w:szCs w:val="18"/>
              </w:rPr>
              <w:t>%</w:t>
            </w:r>
          </w:p>
        </w:tc>
      </w:tr>
      <w:tr w:rsidR="00000000">
        <w:trPr>
          <w:divId w:val="664476491"/>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December 31, 202</w:t>
            </w:r>
            <w:r>
              <w:rPr>
                <w:sz w:val="18"/>
                <w:szCs w:val="18"/>
              </w:rPr>
              <w:t>5</w:t>
            </w:r>
          </w:p>
        </w:tc>
        <w:tc>
          <w:tcPr>
            <w:tcW w:w="0" w:type="auto"/>
            <w:vAlign w:val="bottom"/>
            <w:hideMark/>
          </w:tcPr>
          <w:p w:rsidR="00000000" w:rsidRDefault="00A32496">
            <w:pPr>
              <w:pStyle w:val="a3"/>
              <w:spacing w:before="0" w:beforeAutospacing="0" w:after="0" w:afterAutospacing="0"/>
              <w:jc w:val="center"/>
              <w:rPr>
                <w:sz w:val="20"/>
                <w:szCs w:val="20"/>
              </w:rPr>
            </w:pPr>
            <w:r>
              <w:rPr>
                <w:sz w:val="18"/>
                <w:szCs w:val="18"/>
              </w:rPr>
              <w:t>2.5</w:t>
            </w:r>
            <w:r>
              <w:rPr>
                <w:sz w:val="18"/>
                <w:szCs w:val="18"/>
              </w:rPr>
              <w:t>0</w:t>
            </w:r>
            <w:r>
              <w:rPr>
                <w:sz w:val="18"/>
                <w:szCs w:val="18"/>
              </w:rPr>
              <w:t>%</w:t>
            </w:r>
          </w:p>
        </w:tc>
      </w:tr>
      <w:tr w:rsidR="00000000">
        <w:trPr>
          <w:divId w:val="664476491"/>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March 31, 202</w:t>
            </w:r>
            <w:r>
              <w:rPr>
                <w:sz w:val="18"/>
                <w:szCs w:val="18"/>
              </w:rPr>
              <w:t>6</w:t>
            </w:r>
          </w:p>
        </w:tc>
        <w:tc>
          <w:tcPr>
            <w:tcW w:w="0" w:type="auto"/>
            <w:vAlign w:val="bottom"/>
            <w:hideMark/>
          </w:tcPr>
          <w:p w:rsidR="00000000" w:rsidRDefault="00A32496">
            <w:pPr>
              <w:pStyle w:val="a3"/>
              <w:spacing w:before="0" w:beforeAutospacing="0" w:after="0" w:afterAutospacing="0"/>
              <w:jc w:val="center"/>
              <w:rPr>
                <w:sz w:val="20"/>
                <w:szCs w:val="20"/>
              </w:rPr>
            </w:pPr>
            <w:r>
              <w:rPr>
                <w:sz w:val="18"/>
                <w:szCs w:val="18"/>
              </w:rPr>
              <w:t>2.5</w:t>
            </w:r>
            <w:r>
              <w:rPr>
                <w:sz w:val="18"/>
                <w:szCs w:val="18"/>
              </w:rPr>
              <w:t>0</w:t>
            </w:r>
            <w:r>
              <w:rPr>
                <w:sz w:val="18"/>
                <w:szCs w:val="18"/>
              </w:rPr>
              <w:t>%</w:t>
            </w:r>
          </w:p>
        </w:tc>
      </w:tr>
      <w:tr w:rsidR="00000000">
        <w:trPr>
          <w:divId w:val="664476491"/>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April 27, 202</w:t>
            </w:r>
            <w:r>
              <w:rPr>
                <w:sz w:val="18"/>
                <w:szCs w:val="18"/>
              </w:rPr>
              <w:t>6</w:t>
            </w:r>
          </w:p>
        </w:tc>
        <w:tc>
          <w:tcPr>
            <w:tcW w:w="0" w:type="auto"/>
            <w:vAlign w:val="bottom"/>
            <w:hideMark/>
          </w:tcPr>
          <w:p w:rsidR="00000000" w:rsidRDefault="00A32496">
            <w:pPr>
              <w:pStyle w:val="a3"/>
              <w:spacing w:before="0" w:beforeAutospacing="0" w:after="0" w:afterAutospacing="0"/>
              <w:jc w:val="center"/>
              <w:rPr>
                <w:sz w:val="20"/>
                <w:szCs w:val="20"/>
              </w:rPr>
            </w:pPr>
            <w:r>
              <w:rPr>
                <w:sz w:val="18"/>
                <w:szCs w:val="18"/>
              </w:rPr>
              <w:t>Remaining balanc</w:t>
            </w:r>
            <w:r>
              <w:rPr>
                <w:sz w:val="18"/>
                <w:szCs w:val="18"/>
              </w:rPr>
              <w:t>e</w:t>
            </w:r>
          </w:p>
        </w:tc>
      </w:tr>
    </w:tbl>
    <w:p w:rsidR="00000000" w:rsidRDefault="00A32496">
      <w:pPr>
        <w:pStyle w:val="a3"/>
        <w:spacing w:before="240" w:beforeAutospacing="0" w:after="0" w:afterAutospacing="0"/>
        <w:ind w:firstLine="555"/>
        <w:divId w:val="2018578228"/>
        <w:rPr>
          <w:sz w:val="20"/>
          <w:szCs w:val="20"/>
        </w:rPr>
      </w:pPr>
      <w:r>
        <w:rPr>
          <w:sz w:val="20"/>
          <w:szCs w:val="20"/>
        </w:rPr>
        <w:t>Repayments of quarterly installments were scheduled to begin with the quarter ended December 31, 2021.</w:t>
      </w:r>
      <w:r>
        <w:rPr>
          <w:sz w:val="20"/>
          <w:szCs w:val="20"/>
        </w:rPr>
        <w:t xml:space="preserve"> </w:t>
      </w:r>
      <w:r>
        <w:rPr>
          <w:sz w:val="20"/>
          <w:szCs w:val="20"/>
        </w:rPr>
        <w:t xml:space="preserve">The first quarterly installment repayment, amounting to </w:t>
      </w:r>
      <w:r>
        <w:rPr>
          <w:sz w:val="20"/>
          <w:szCs w:val="20"/>
        </w:rPr>
        <w:t>$</w:t>
      </w:r>
      <w:r>
        <w:rPr>
          <w:sz w:val="20"/>
          <w:szCs w:val="20"/>
        </w:rPr>
        <w:t>2.</w:t>
      </w:r>
      <w:r>
        <w:rPr>
          <w:sz w:val="20"/>
          <w:szCs w:val="20"/>
        </w:rPr>
        <w:t>2</w:t>
      </w:r>
      <w:r>
        <w:rPr>
          <w:sz w:val="20"/>
          <w:szCs w:val="20"/>
        </w:rPr>
        <w:t xml:space="preserve"> million, was billed and charged by t</w:t>
      </w:r>
      <w:r>
        <w:rPr>
          <w:sz w:val="20"/>
          <w:szCs w:val="20"/>
        </w:rPr>
        <w:t>he lenders in January 2022.</w:t>
      </w:r>
      <w:r>
        <w:rPr>
          <w:sz w:val="20"/>
          <w:szCs w:val="20"/>
        </w:rPr>
        <w:t xml:space="preserve"> </w:t>
      </w:r>
      <w:r>
        <w:rPr>
          <w:sz w:val="20"/>
          <w:szCs w:val="20"/>
        </w:rPr>
        <w:t xml:space="preserve">Exclusive of the payment made in respect of the quarter ended December 31, 2021, the three quarterly installment repayments for the nine months ended September 30, 2022 amounted to </w:t>
      </w:r>
      <w:r>
        <w:rPr>
          <w:sz w:val="20"/>
          <w:szCs w:val="20"/>
        </w:rPr>
        <w:t>$</w:t>
      </w:r>
      <w:r>
        <w:rPr>
          <w:sz w:val="20"/>
          <w:szCs w:val="20"/>
        </w:rPr>
        <w:t>6.</w:t>
      </w:r>
      <w:r>
        <w:rPr>
          <w:sz w:val="20"/>
          <w:szCs w:val="20"/>
        </w:rPr>
        <w:t>6</w:t>
      </w:r>
      <w:r>
        <w:rPr>
          <w:sz w:val="20"/>
          <w:szCs w:val="20"/>
        </w:rPr>
        <w:t xml:space="preserve"> million</w:t>
      </w:r>
      <w:r>
        <w:rPr>
          <w:sz w:val="20"/>
          <w:szCs w:val="20"/>
        </w:rPr>
        <w:t>.</w:t>
      </w:r>
    </w:p>
    <w:p w:rsidR="00000000" w:rsidRDefault="00A32496">
      <w:pPr>
        <w:pStyle w:val="a3"/>
        <w:spacing w:before="240" w:beforeAutospacing="0" w:after="0" w:afterAutospacing="0"/>
        <w:ind w:firstLine="555"/>
        <w:divId w:val="1403257628"/>
        <w:rPr>
          <w:sz w:val="20"/>
          <w:szCs w:val="20"/>
        </w:rPr>
      </w:pPr>
      <w:r>
        <w:rPr>
          <w:sz w:val="20"/>
          <w:szCs w:val="20"/>
        </w:rPr>
        <w:t>The 2021 Credit Facility term loa</w:t>
      </w:r>
      <w:r>
        <w:rPr>
          <w:sz w:val="20"/>
          <w:szCs w:val="20"/>
        </w:rPr>
        <w:t>n and the revolver bear interest subject to the Company’s leverage ratio and LIBOR as follows</w:t>
      </w:r>
      <w:r>
        <w:rPr>
          <w:sz w:val="20"/>
          <w:szCs w:val="20"/>
        </w:rPr>
        <w:t>:</w:t>
      </w:r>
    </w:p>
    <w:p w:rsidR="00000000" w:rsidRDefault="00A32496">
      <w:pPr>
        <w:pStyle w:val="a3"/>
        <w:spacing w:before="0" w:beforeAutospacing="0" w:after="0" w:afterAutospacing="0"/>
        <w:ind w:firstLine="555"/>
        <w:divId w:val="1403257628"/>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62"/>
        <w:gridCol w:w="105"/>
        <w:gridCol w:w="1739"/>
        <w:gridCol w:w="105"/>
        <w:gridCol w:w="106"/>
        <w:gridCol w:w="651"/>
        <w:gridCol w:w="105"/>
        <w:gridCol w:w="210"/>
        <w:gridCol w:w="106"/>
        <w:gridCol w:w="651"/>
        <w:gridCol w:w="105"/>
        <w:gridCol w:w="210"/>
        <w:gridCol w:w="126"/>
        <w:gridCol w:w="954"/>
        <w:gridCol w:w="105"/>
        <w:gridCol w:w="210"/>
        <w:gridCol w:w="106"/>
        <w:gridCol w:w="520"/>
        <w:gridCol w:w="105"/>
        <w:gridCol w:w="225"/>
      </w:tblGrid>
      <w:tr w:rsidR="00000000">
        <w:trPr>
          <w:divId w:val="1403257628"/>
          <w:tblCellSpacing w:w="15" w:type="dxa"/>
        </w:trPr>
        <w:tc>
          <w:tcPr>
            <w:tcW w:w="1213" w:type="pct"/>
            <w:vAlign w:val="center"/>
            <w:hideMark/>
          </w:tcPr>
          <w:p w:rsidR="00000000" w:rsidRDefault="00A32496">
            <w:pPr>
              <w:rPr>
                <w:sz w:val="20"/>
                <w:szCs w:val="20"/>
              </w:rPr>
            </w:pPr>
          </w:p>
        </w:tc>
        <w:tc>
          <w:tcPr>
            <w:tcW w:w="58" w:type="pct"/>
            <w:vAlign w:val="center"/>
            <w:hideMark/>
          </w:tcPr>
          <w:p w:rsidR="00000000" w:rsidRDefault="00A32496">
            <w:pPr>
              <w:rPr>
                <w:rFonts w:eastAsia="Times New Roman"/>
                <w:sz w:val="20"/>
                <w:szCs w:val="20"/>
              </w:rPr>
            </w:pPr>
          </w:p>
        </w:tc>
        <w:tc>
          <w:tcPr>
            <w:tcW w:w="1159" w:type="pct"/>
            <w:vAlign w:val="center"/>
            <w:hideMark/>
          </w:tcPr>
          <w:p w:rsidR="00000000" w:rsidRDefault="00A32496">
            <w:pPr>
              <w:rPr>
                <w:rFonts w:eastAsia="Times New Roman"/>
                <w:sz w:val="20"/>
                <w:szCs w:val="20"/>
              </w:rPr>
            </w:pPr>
          </w:p>
        </w:tc>
        <w:tc>
          <w:tcPr>
            <w:tcW w:w="48"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454"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69"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454"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69"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482"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69"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449"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69" w:type="pct"/>
            <w:vAlign w:val="center"/>
            <w:hideMark/>
          </w:tcPr>
          <w:p w:rsidR="00000000" w:rsidRDefault="00A32496">
            <w:pPr>
              <w:rPr>
                <w:rFonts w:eastAsia="Times New Roman"/>
                <w:sz w:val="20"/>
                <w:szCs w:val="20"/>
              </w:rPr>
            </w:pPr>
          </w:p>
        </w:tc>
      </w:tr>
      <w:tr w:rsidR="00000000">
        <w:trPr>
          <w:divId w:val="1403257628"/>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b/>
                <w:bCs/>
                <w:sz w:val="18"/>
                <w:szCs w:val="18"/>
              </w:rPr>
              <w:t>Pricing Tie</w:t>
            </w:r>
            <w:r>
              <w:rPr>
                <w:b/>
                <w:bCs/>
                <w:sz w:val="18"/>
                <w:szCs w:val="18"/>
              </w:rPr>
              <w:t>r</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18"/>
                <w:szCs w:val="18"/>
              </w:rPr>
            </w:pPr>
            <w:r>
              <w:rPr>
                <w:b/>
                <w:bCs/>
                <w:sz w:val="18"/>
                <w:szCs w:val="18"/>
              </w:rPr>
              <w:t>Consolidated</w:t>
            </w:r>
            <w:r>
              <w:rPr>
                <w:b/>
                <w:bCs/>
                <w:sz w:val="18"/>
                <w:szCs w:val="18"/>
              </w:rPr>
              <w:br/>
              <w:t>Leverage Rati</w:t>
            </w:r>
            <w:r>
              <w:rPr>
                <w:b/>
                <w:bCs/>
                <w:sz w:val="18"/>
                <w:szCs w:val="18"/>
              </w:rPr>
              <w:t>o</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 xml:space="preserve">Senior Credit Facilities </w:t>
            </w:r>
            <w:r>
              <w:rPr>
                <w:b/>
                <w:bCs/>
                <w:sz w:val="18"/>
                <w:szCs w:val="18"/>
              </w:rPr>
              <w:br/>
              <w:t>LIBO</w:t>
            </w:r>
            <w:r>
              <w:rPr>
                <w:b/>
                <w:bCs/>
                <w:sz w:val="18"/>
                <w:szCs w:val="18"/>
              </w:rPr>
              <w:t>R</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 xml:space="preserve">Senior Credit Facilities </w:t>
            </w:r>
            <w:r>
              <w:rPr>
                <w:b/>
                <w:bCs/>
                <w:sz w:val="18"/>
                <w:szCs w:val="18"/>
              </w:rPr>
              <w:br/>
              <w:t>Base Rat</w:t>
            </w:r>
            <w:r>
              <w:rPr>
                <w:b/>
                <w:bCs/>
                <w:sz w:val="18"/>
                <w:szCs w:val="18"/>
              </w:rPr>
              <w:t>e</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Commitment</w:t>
            </w:r>
            <w:r>
              <w:rPr>
                <w:b/>
                <w:bCs/>
                <w:sz w:val="18"/>
                <w:szCs w:val="18"/>
              </w:rPr>
              <w:br/>
              <w:t>Fe</w:t>
            </w:r>
            <w:r>
              <w:rPr>
                <w:b/>
                <w:bCs/>
                <w:sz w:val="18"/>
                <w:szCs w:val="18"/>
              </w:rPr>
              <w:t>e</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Letter of Credit Fe</w:t>
            </w:r>
            <w:r>
              <w:rPr>
                <w:b/>
                <w:bCs/>
                <w:sz w:val="18"/>
                <w:szCs w:val="18"/>
              </w:rPr>
              <w:t>e</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r>
      <w:tr w:rsidR="00000000">
        <w:trPr>
          <w:divId w:val="1403257628"/>
          <w:trHeight w:val="180"/>
          <w:tblCellSpacing w:w="15" w:type="dxa"/>
        </w:trPr>
        <w:tc>
          <w:tcPr>
            <w:tcW w:w="0" w:type="auto"/>
            <w:hideMark/>
          </w:tcPr>
          <w:p w:rsidR="00000000" w:rsidRDefault="00A32496">
            <w:pPr>
              <w:pStyle w:val="a3"/>
              <w:spacing w:before="0" w:beforeAutospacing="0" w:after="0" w:afterAutospacing="0"/>
              <w:jc w:val="center"/>
              <w:rPr>
                <w:sz w:val="18"/>
                <w:szCs w:val="18"/>
              </w:rPr>
            </w:pPr>
            <w:r>
              <w:rPr>
                <w:sz w:val="18"/>
                <w:szCs w:val="18"/>
              </w:rPr>
              <w:t>1</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20"/>
                <w:szCs w:val="20"/>
              </w:rPr>
            </w:pPr>
            <w:r>
              <w:rPr>
                <w:sz w:val="18"/>
                <w:szCs w:val="18"/>
              </w:rPr>
              <w:t>≥</w:t>
            </w:r>
            <w:r>
              <w:rPr>
                <w:sz w:val="18"/>
                <w:szCs w:val="18"/>
              </w:rPr>
              <w:t xml:space="preserve"> </w:t>
            </w:r>
            <w:r>
              <w:rPr>
                <w:sz w:val="18"/>
                <w:szCs w:val="18"/>
              </w:rPr>
              <w:t>3.7</w:t>
            </w:r>
            <w:r>
              <w:rPr>
                <w:sz w:val="18"/>
                <w:szCs w:val="18"/>
              </w:rPr>
              <w:t>5</w:t>
            </w:r>
            <w:r>
              <w:rPr>
                <w:sz w:val="18"/>
                <w:szCs w:val="18"/>
              </w:rPr>
              <w:t>x to 1.</w:t>
            </w:r>
            <w:r>
              <w:rPr>
                <w:sz w:val="18"/>
                <w:szCs w:val="18"/>
              </w:rPr>
              <w:t>0</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2.5</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1.5</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0.2</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2.5</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r>
      <w:tr w:rsidR="00000000">
        <w:trPr>
          <w:divId w:val="1403257628"/>
          <w:trHeight w:val="180"/>
          <w:tblCellSpacing w:w="15" w:type="dxa"/>
        </w:trPr>
        <w:tc>
          <w:tcPr>
            <w:tcW w:w="0" w:type="auto"/>
            <w:hideMark/>
          </w:tcPr>
          <w:p w:rsidR="00000000" w:rsidRDefault="00A32496">
            <w:pPr>
              <w:pStyle w:val="a3"/>
              <w:spacing w:before="0" w:beforeAutospacing="0" w:after="0" w:afterAutospacing="0"/>
              <w:jc w:val="center"/>
              <w:rPr>
                <w:sz w:val="18"/>
                <w:szCs w:val="18"/>
              </w:rPr>
            </w:pPr>
            <w:r>
              <w:rPr>
                <w:sz w:val="18"/>
                <w:szCs w:val="18"/>
              </w:rPr>
              <w:t>2</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20"/>
                <w:szCs w:val="20"/>
              </w:rPr>
            </w:pPr>
            <w:r>
              <w:rPr>
                <w:sz w:val="18"/>
                <w:szCs w:val="18"/>
              </w:rPr>
              <w:t>&lt;</w:t>
            </w:r>
            <w:r>
              <w:rPr>
                <w:sz w:val="18"/>
                <w:szCs w:val="18"/>
              </w:rPr>
              <w:t xml:space="preserve"> </w:t>
            </w:r>
            <w:r>
              <w:rPr>
                <w:sz w:val="18"/>
                <w:szCs w:val="18"/>
              </w:rPr>
              <w:t>3.7</w:t>
            </w:r>
            <w:r>
              <w:rPr>
                <w:sz w:val="18"/>
                <w:szCs w:val="18"/>
              </w:rPr>
              <w:t>5</w:t>
            </w:r>
            <w:r>
              <w:rPr>
                <w:sz w:val="18"/>
                <w:szCs w:val="18"/>
              </w:rPr>
              <w:t xml:space="preserve">x to 1.0 but </w:t>
            </w:r>
            <w:r>
              <w:rPr>
                <w:sz w:val="18"/>
                <w:szCs w:val="18"/>
              </w:rPr>
              <w:t>≥</w:t>
            </w:r>
            <w:r>
              <w:rPr>
                <w:sz w:val="18"/>
                <w:szCs w:val="18"/>
              </w:rPr>
              <w:t xml:space="preserve"> </w:t>
            </w:r>
            <w:r>
              <w:rPr>
                <w:sz w:val="18"/>
                <w:szCs w:val="18"/>
              </w:rPr>
              <w:t>3.2</w:t>
            </w:r>
            <w:r>
              <w:rPr>
                <w:sz w:val="18"/>
                <w:szCs w:val="18"/>
              </w:rPr>
              <w:t>5</w:t>
            </w:r>
            <w:r>
              <w:rPr>
                <w:sz w:val="18"/>
                <w:szCs w:val="18"/>
              </w:rPr>
              <w:t> to 1.</w:t>
            </w:r>
            <w:r>
              <w:rPr>
                <w:sz w:val="18"/>
                <w:szCs w:val="18"/>
              </w:rPr>
              <w:t>0</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2.2</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1.2</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0.2</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2.2</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r>
      <w:tr w:rsidR="00000000">
        <w:trPr>
          <w:divId w:val="1403257628"/>
          <w:trHeight w:val="180"/>
          <w:tblCellSpacing w:w="15" w:type="dxa"/>
        </w:trPr>
        <w:tc>
          <w:tcPr>
            <w:tcW w:w="0" w:type="auto"/>
            <w:hideMark/>
          </w:tcPr>
          <w:p w:rsidR="00000000" w:rsidRDefault="00A32496">
            <w:pPr>
              <w:pStyle w:val="a3"/>
              <w:spacing w:before="0" w:beforeAutospacing="0" w:after="0" w:afterAutospacing="0"/>
              <w:jc w:val="center"/>
              <w:rPr>
                <w:sz w:val="18"/>
                <w:szCs w:val="18"/>
              </w:rPr>
            </w:pPr>
            <w:r>
              <w:rPr>
                <w:sz w:val="18"/>
                <w:szCs w:val="18"/>
              </w:rPr>
              <w:t>3</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20"/>
                <w:szCs w:val="20"/>
              </w:rPr>
            </w:pPr>
            <w:r>
              <w:rPr>
                <w:sz w:val="18"/>
                <w:szCs w:val="18"/>
              </w:rPr>
              <w:t>&lt;</w:t>
            </w:r>
            <w:r>
              <w:rPr>
                <w:sz w:val="18"/>
                <w:szCs w:val="18"/>
              </w:rPr>
              <w:t>3.2</w:t>
            </w:r>
            <w:r>
              <w:rPr>
                <w:sz w:val="18"/>
                <w:szCs w:val="18"/>
              </w:rPr>
              <w:t>5</w:t>
            </w:r>
            <w:r>
              <w:rPr>
                <w:sz w:val="18"/>
                <w:szCs w:val="18"/>
              </w:rPr>
              <w:t xml:space="preserve">x to 1.0 but </w:t>
            </w:r>
            <w:r>
              <w:rPr>
                <w:sz w:val="18"/>
                <w:szCs w:val="18"/>
              </w:rPr>
              <w:t>≥</w:t>
            </w:r>
            <w:r>
              <w:rPr>
                <w:sz w:val="18"/>
                <w:szCs w:val="18"/>
              </w:rPr>
              <w:t xml:space="preserve"> </w:t>
            </w:r>
            <w:r>
              <w:rPr>
                <w:sz w:val="18"/>
                <w:szCs w:val="18"/>
              </w:rPr>
              <w:t>2.5</w:t>
            </w:r>
            <w:r>
              <w:rPr>
                <w:sz w:val="18"/>
                <w:szCs w:val="18"/>
              </w:rPr>
              <w:t>0</w:t>
            </w:r>
            <w:r>
              <w:rPr>
                <w:sz w:val="18"/>
                <w:szCs w:val="18"/>
              </w:rPr>
              <w:t> to 1.</w:t>
            </w:r>
            <w:r>
              <w:rPr>
                <w:sz w:val="18"/>
                <w:szCs w:val="18"/>
              </w:rPr>
              <w:t>0</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2.0</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1.0</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0.2</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2.0</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r>
      <w:tr w:rsidR="00000000">
        <w:trPr>
          <w:divId w:val="1403257628"/>
          <w:trHeight w:val="180"/>
          <w:tblCellSpacing w:w="15" w:type="dxa"/>
        </w:trPr>
        <w:tc>
          <w:tcPr>
            <w:tcW w:w="0" w:type="auto"/>
            <w:hideMark/>
          </w:tcPr>
          <w:p w:rsidR="00000000" w:rsidRDefault="00A32496">
            <w:pPr>
              <w:pStyle w:val="a3"/>
              <w:spacing w:before="0" w:beforeAutospacing="0" w:after="0" w:afterAutospacing="0"/>
              <w:jc w:val="center"/>
              <w:rPr>
                <w:sz w:val="18"/>
                <w:szCs w:val="18"/>
              </w:rPr>
            </w:pPr>
            <w:r>
              <w:rPr>
                <w:sz w:val="18"/>
                <w:szCs w:val="18"/>
              </w:rPr>
              <w:t>4</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20"/>
                <w:szCs w:val="20"/>
              </w:rPr>
            </w:pPr>
            <w:r>
              <w:rPr>
                <w:sz w:val="18"/>
                <w:szCs w:val="18"/>
              </w:rPr>
              <w:t>&lt;</w:t>
            </w:r>
            <w:r>
              <w:rPr>
                <w:sz w:val="18"/>
                <w:szCs w:val="18"/>
              </w:rPr>
              <w:t>2.5</w:t>
            </w:r>
            <w:r>
              <w:rPr>
                <w:sz w:val="18"/>
                <w:szCs w:val="18"/>
              </w:rPr>
              <w:t>0</w:t>
            </w:r>
            <w:r>
              <w:rPr>
                <w:sz w:val="18"/>
                <w:szCs w:val="18"/>
              </w:rPr>
              <w:t xml:space="preserve">x to 1.0 but </w:t>
            </w:r>
            <w:r>
              <w:rPr>
                <w:sz w:val="18"/>
                <w:szCs w:val="18"/>
              </w:rPr>
              <w:t>≥</w:t>
            </w:r>
            <w:r>
              <w:rPr>
                <w:sz w:val="18"/>
                <w:szCs w:val="18"/>
              </w:rPr>
              <w:t xml:space="preserve"> </w:t>
            </w:r>
            <w:r>
              <w:rPr>
                <w:sz w:val="18"/>
                <w:szCs w:val="18"/>
              </w:rPr>
              <w:t>1.7</w:t>
            </w:r>
            <w:r>
              <w:rPr>
                <w:sz w:val="18"/>
                <w:szCs w:val="18"/>
              </w:rPr>
              <w:t>5</w:t>
            </w:r>
            <w:r>
              <w:rPr>
                <w:sz w:val="18"/>
                <w:szCs w:val="18"/>
              </w:rPr>
              <w:t> to 1.</w:t>
            </w:r>
            <w:r>
              <w:rPr>
                <w:sz w:val="18"/>
                <w:szCs w:val="18"/>
              </w:rPr>
              <w:t>0</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1.7</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0.7</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0.1</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1.7</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r>
      <w:tr w:rsidR="00000000">
        <w:trPr>
          <w:divId w:val="1403257628"/>
          <w:trHeight w:val="180"/>
          <w:tblCellSpacing w:w="15" w:type="dxa"/>
        </w:trPr>
        <w:tc>
          <w:tcPr>
            <w:tcW w:w="0" w:type="auto"/>
            <w:hideMark/>
          </w:tcPr>
          <w:p w:rsidR="00000000" w:rsidRDefault="00A32496">
            <w:pPr>
              <w:pStyle w:val="a3"/>
              <w:spacing w:before="0" w:beforeAutospacing="0" w:after="0" w:afterAutospacing="0"/>
              <w:jc w:val="center"/>
              <w:rPr>
                <w:sz w:val="18"/>
                <w:szCs w:val="18"/>
              </w:rPr>
            </w:pPr>
            <w:r>
              <w:rPr>
                <w:sz w:val="18"/>
                <w:szCs w:val="18"/>
              </w:rPr>
              <w:t>5</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20"/>
                <w:szCs w:val="20"/>
              </w:rPr>
            </w:pPr>
            <w:r>
              <w:rPr>
                <w:sz w:val="18"/>
                <w:szCs w:val="18"/>
              </w:rPr>
              <w:t>&lt;</w:t>
            </w:r>
            <w:r>
              <w:rPr>
                <w:sz w:val="18"/>
                <w:szCs w:val="18"/>
              </w:rPr>
              <w:t>1.7</w:t>
            </w:r>
            <w:r>
              <w:rPr>
                <w:sz w:val="18"/>
                <w:szCs w:val="18"/>
              </w:rPr>
              <w:t>5</w:t>
            </w:r>
            <w:r>
              <w:rPr>
                <w:sz w:val="18"/>
                <w:szCs w:val="18"/>
              </w:rPr>
              <w:t>x to 1.</w:t>
            </w:r>
            <w:r>
              <w:rPr>
                <w:sz w:val="18"/>
                <w:szCs w:val="18"/>
              </w:rPr>
              <w:t>0</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1.5</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0.5</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20"/>
                <w:szCs w:val="20"/>
              </w:rPr>
            </w:pPr>
            <w:r>
              <w:rPr>
                <w:sz w:val="18"/>
                <w:szCs w:val="18"/>
              </w:rPr>
              <w:t>0.1</w:t>
            </w:r>
            <w:r>
              <w:rPr>
                <w:sz w:val="18"/>
                <w:szCs w:val="18"/>
              </w:rPr>
              <w:t>5</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1.5</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r>
    </w:tbl>
    <w:p w:rsidR="00000000" w:rsidRDefault="00A32496">
      <w:pPr>
        <w:pStyle w:val="a3"/>
        <w:spacing w:before="0" w:beforeAutospacing="0" w:after="0" w:afterAutospacing="0"/>
        <w:divId w:val="1403257628"/>
        <w:rPr>
          <w:sz w:val="20"/>
          <w:szCs w:val="20"/>
        </w:rPr>
      </w:pPr>
      <w:r>
        <w:rPr>
          <w:sz w:val="20"/>
          <w:szCs w:val="20"/>
        </w:rPr>
        <w:t> </w:t>
      </w:r>
    </w:p>
    <w:p w:rsidR="00000000" w:rsidRDefault="00A32496">
      <w:pPr>
        <w:pStyle w:val="a3"/>
        <w:spacing w:before="240" w:beforeAutospacing="0" w:after="0" w:afterAutospacing="0"/>
        <w:jc w:val="center"/>
        <w:divId w:val="1403257628"/>
        <w:rPr>
          <w:sz w:val="20"/>
          <w:szCs w:val="20"/>
        </w:rPr>
      </w:pPr>
      <w:r>
        <w:rPr>
          <w:sz w:val="20"/>
          <w:szCs w:val="20"/>
        </w:rPr>
        <w:t>1</w:t>
      </w:r>
      <w:r>
        <w:rPr>
          <w:sz w:val="20"/>
          <w:szCs w:val="20"/>
        </w:rPr>
        <w:t>8</w:t>
      </w:r>
    </w:p>
    <w:p w:rsidR="00000000" w:rsidRDefault="00A32496">
      <w:pPr>
        <w:divId w:val="1403257628"/>
        <w:rPr>
          <w:rFonts w:eastAsia="Times New Roman"/>
          <w:sz w:val="20"/>
          <w:szCs w:val="20"/>
        </w:rPr>
      </w:pPr>
      <w:r>
        <w:rPr>
          <w:rFonts w:eastAsia="Times New Roman"/>
          <w:sz w:val="20"/>
          <w:szCs w:val="20"/>
        </w:rPr>
        <w:pict>
          <v:rect id="_x0000_i1044" style="width:0;height:1.5pt" o:hralign="center" o:hrstd="t" o:hr="t" fillcolor="#a0a0a0" stroked="f"/>
        </w:pict>
      </w:r>
    </w:p>
    <w:p w:rsidR="00000000" w:rsidRDefault="00A32496">
      <w:pPr>
        <w:pStyle w:val="a3"/>
        <w:spacing w:before="0" w:beforeAutospacing="0" w:after="0" w:afterAutospacing="0"/>
        <w:divId w:val="1403257628"/>
        <w:rPr>
          <w:sz w:val="20"/>
          <w:szCs w:val="20"/>
        </w:rPr>
      </w:pPr>
      <w:r>
        <w:rPr>
          <w:sz w:val="20"/>
          <w:szCs w:val="20"/>
        </w:rPr>
        <w:t> </w:t>
      </w:r>
    </w:p>
    <w:p w:rsidR="00000000" w:rsidRDefault="00A32496">
      <w:pPr>
        <w:pStyle w:val="a3"/>
        <w:spacing w:before="240" w:beforeAutospacing="0" w:after="0" w:afterAutospacing="0"/>
        <w:ind w:firstLine="555"/>
        <w:divId w:val="2018578228"/>
        <w:rPr>
          <w:sz w:val="20"/>
          <w:szCs w:val="20"/>
        </w:rPr>
      </w:pPr>
      <w:r>
        <w:rPr>
          <w:sz w:val="20"/>
          <w:szCs w:val="20"/>
        </w:rPr>
        <w:t xml:space="preserve">On January 27, 2022, the Company entered into an interest rate swap transaction fixing the floating component of the interest rate on </w:t>
      </w:r>
      <w:r>
        <w:rPr>
          <w:sz w:val="20"/>
          <w:szCs w:val="20"/>
        </w:rPr>
        <w:t>$</w:t>
      </w:r>
      <w:r>
        <w:rPr>
          <w:sz w:val="20"/>
          <w:szCs w:val="20"/>
        </w:rPr>
        <w:t>100.</w:t>
      </w:r>
      <w:r>
        <w:rPr>
          <w:sz w:val="20"/>
          <w:szCs w:val="20"/>
        </w:rPr>
        <w:t>0</w:t>
      </w:r>
      <w:r>
        <w:rPr>
          <w:sz w:val="20"/>
          <w:szCs w:val="20"/>
        </w:rPr>
        <w:t xml:space="preserve"> million of borrowings to</w:t>
      </w:r>
      <w:r>
        <w:rPr>
          <w:sz w:val="20"/>
          <w:szCs w:val="20"/>
        </w:rPr>
        <w:t xml:space="preserve"> </w:t>
      </w:r>
      <w:r>
        <w:rPr>
          <w:sz w:val="20"/>
          <w:szCs w:val="20"/>
        </w:rPr>
        <w:t>1.3</w:t>
      </w:r>
      <w:r>
        <w:rPr>
          <w:sz w:val="20"/>
          <w:szCs w:val="20"/>
        </w:rPr>
        <w:t>9</w:t>
      </w:r>
      <w:r>
        <w:rPr>
          <w:sz w:val="20"/>
          <w:szCs w:val="20"/>
        </w:rPr>
        <w:t>% until</w:t>
      </w:r>
      <w:r>
        <w:rPr>
          <w:sz w:val="20"/>
          <w:szCs w:val="20"/>
        </w:rPr>
        <w:t xml:space="preserve"> </w:t>
      </w:r>
      <w:r>
        <w:rPr>
          <w:sz w:val="20"/>
          <w:szCs w:val="20"/>
        </w:rPr>
        <w:t>January 27, 202</w:t>
      </w:r>
      <w:r>
        <w:rPr>
          <w:sz w:val="20"/>
          <w:szCs w:val="20"/>
        </w:rPr>
        <w:t>5</w:t>
      </w:r>
      <w:r>
        <w:rPr>
          <w:sz w:val="20"/>
          <w:szCs w:val="20"/>
        </w:rPr>
        <w:t>.</w:t>
      </w:r>
      <w:r>
        <w:rPr>
          <w:sz w:val="20"/>
          <w:szCs w:val="20"/>
        </w:rPr>
        <w:t xml:space="preserve"> Additionally, effectiv</w:t>
      </w:r>
      <w:r>
        <w:rPr>
          <w:sz w:val="20"/>
          <w:szCs w:val="20"/>
        </w:rPr>
        <w:t>e September 1, 2022, the Company received an interest rate reduction of</w:t>
      </w:r>
      <w:r>
        <w:rPr>
          <w:sz w:val="20"/>
          <w:szCs w:val="20"/>
        </w:rPr>
        <w:t xml:space="preserve"> </w:t>
      </w:r>
      <w:r>
        <w:rPr>
          <w:sz w:val="20"/>
          <w:szCs w:val="20"/>
        </w:rPr>
        <w:t>0.0</w:t>
      </w:r>
      <w:r>
        <w:rPr>
          <w:sz w:val="20"/>
          <w:szCs w:val="20"/>
        </w:rPr>
        <w:t>5</w:t>
      </w:r>
      <w:r>
        <w:rPr>
          <w:sz w:val="20"/>
          <w:szCs w:val="20"/>
        </w:rPr>
        <w:t>% under the 2021 Credit Facility based on the Company’s achievement of certain sustainability and environmental, social and governance related objectives as provided for in the 202</w:t>
      </w:r>
      <w:r>
        <w:rPr>
          <w:sz w:val="20"/>
          <w:szCs w:val="20"/>
        </w:rPr>
        <w:t>1 Credit Facility</w:t>
      </w:r>
      <w:r>
        <w:rPr>
          <w:sz w:val="20"/>
          <w:szCs w:val="20"/>
        </w:rPr>
        <w:t>.</w:t>
      </w:r>
    </w:p>
    <w:p w:rsidR="00000000" w:rsidRDefault="00A32496">
      <w:pPr>
        <w:pStyle w:val="a3"/>
        <w:spacing w:before="240" w:beforeAutospacing="0" w:after="0" w:afterAutospacing="0"/>
        <w:ind w:firstLine="555"/>
        <w:divId w:val="2018578228"/>
        <w:rPr>
          <w:sz w:val="20"/>
          <w:szCs w:val="20"/>
        </w:rPr>
      </w:pPr>
      <w:r>
        <w:rPr>
          <w:sz w:val="20"/>
          <w:szCs w:val="20"/>
        </w:rPr>
        <w:t>The 2021 Credit Facility includes a number of covenants imposing certain restrictions on the Company’s business, including, among other things, restrictions on the Company’s ability, subject to certain exceptions and baskets, to incur in</w:t>
      </w:r>
      <w:r>
        <w:rPr>
          <w:sz w:val="20"/>
          <w:szCs w:val="20"/>
        </w:rPr>
        <w:t>debtedness, incur liens on its assets, agree to any additional negative pledges, pay dividends or repurchase stock, limit the ability of its subsidiaries to pay dividends or distribute assets, make investments, enter into any transaction of merger or conso</w:t>
      </w:r>
      <w:r>
        <w:rPr>
          <w:sz w:val="20"/>
          <w:szCs w:val="20"/>
        </w:rPr>
        <w:t>lidation, liquidate, wind-up or dissolve, or convey any part of its business, assets or property, or acquire the business, property or assets of another person, enter into sale and leaseback transactions, enter into certain transactions with affiliates, en</w:t>
      </w:r>
      <w:r>
        <w:rPr>
          <w:sz w:val="20"/>
          <w:szCs w:val="20"/>
        </w:rPr>
        <w:t>gage in any material line of business substantially different from those engaged on the closing date, modify the terms of indebtedness subordinated to the loans incurred under the 2021 Credit Facility and modify the terms of its organizational documents. T</w:t>
      </w:r>
      <w:r>
        <w:rPr>
          <w:sz w:val="20"/>
          <w:szCs w:val="20"/>
        </w:rPr>
        <w:t>he 2021 Credit Facility also include</w:t>
      </w:r>
      <w:r>
        <w:rPr>
          <w:sz w:val="20"/>
          <w:szCs w:val="20"/>
        </w:rPr>
        <w:t>s</w:t>
      </w:r>
      <w:r>
        <w:rPr>
          <w:sz w:val="20"/>
          <w:szCs w:val="20"/>
        </w:rPr>
        <w:t xml:space="preserve"> financial covenants requiring the Company to remain below a maximum total net leverage ratio of</w:t>
      </w:r>
      <w:r>
        <w:rPr>
          <w:sz w:val="20"/>
          <w:szCs w:val="20"/>
        </w:rPr>
        <w:t xml:space="preserve"> </w:t>
      </w:r>
      <w:r>
        <w:rPr>
          <w:sz w:val="20"/>
          <w:szCs w:val="20"/>
        </w:rPr>
        <w:t>4.2</w:t>
      </w:r>
      <w:r>
        <w:rPr>
          <w:sz w:val="20"/>
          <w:szCs w:val="20"/>
        </w:rPr>
        <w:t>5</w:t>
      </w:r>
      <w:r>
        <w:rPr>
          <w:sz w:val="20"/>
          <w:szCs w:val="20"/>
        </w:rPr>
        <w:t xml:space="preserve"> times, which steps down to</w:t>
      </w:r>
      <w:r>
        <w:rPr>
          <w:sz w:val="20"/>
          <w:szCs w:val="20"/>
        </w:rPr>
        <w:t xml:space="preserve"> </w:t>
      </w:r>
      <w:r>
        <w:rPr>
          <w:sz w:val="20"/>
          <w:szCs w:val="20"/>
        </w:rPr>
        <w:t>4.0</w:t>
      </w:r>
      <w:r>
        <w:rPr>
          <w:sz w:val="20"/>
          <w:szCs w:val="20"/>
        </w:rPr>
        <w:t>0</w:t>
      </w:r>
      <w:r>
        <w:rPr>
          <w:sz w:val="20"/>
          <w:szCs w:val="20"/>
        </w:rPr>
        <w:t xml:space="preserve"> times beginning with the fiscal quarter ending December 31, 2022 through and includin</w:t>
      </w:r>
      <w:r>
        <w:rPr>
          <w:sz w:val="20"/>
          <w:szCs w:val="20"/>
        </w:rPr>
        <w:t>g the fiscal quarter ending September 30, 2023 and then to</w:t>
      </w:r>
      <w:r>
        <w:rPr>
          <w:sz w:val="20"/>
          <w:szCs w:val="20"/>
        </w:rPr>
        <w:t xml:space="preserve"> </w:t>
      </w:r>
      <w:r>
        <w:rPr>
          <w:sz w:val="20"/>
          <w:szCs w:val="20"/>
        </w:rPr>
        <w:t>3.7</w:t>
      </w:r>
      <w:r>
        <w:rPr>
          <w:sz w:val="20"/>
          <w:szCs w:val="20"/>
        </w:rPr>
        <w:t>5</w:t>
      </w:r>
      <w:r>
        <w:rPr>
          <w:sz w:val="20"/>
          <w:szCs w:val="20"/>
        </w:rPr>
        <w:t xml:space="preserve"> times beginning with the fiscal quarter ending December 31, 2023, and a minimum fixed charge coverage ratio of</w:t>
      </w:r>
      <w:r>
        <w:rPr>
          <w:sz w:val="20"/>
          <w:szCs w:val="20"/>
        </w:rPr>
        <w:t xml:space="preserve"> </w:t>
      </w:r>
      <w:r>
        <w:rPr>
          <w:sz w:val="20"/>
          <w:szCs w:val="20"/>
        </w:rPr>
        <w:t>1.2</w:t>
      </w:r>
      <w:r>
        <w:rPr>
          <w:sz w:val="20"/>
          <w:szCs w:val="20"/>
        </w:rPr>
        <w:t>5</w:t>
      </w:r>
      <w:r>
        <w:rPr>
          <w:sz w:val="20"/>
          <w:szCs w:val="20"/>
        </w:rPr>
        <w:t xml:space="preserve"> times. As of</w:t>
      </w:r>
      <w:r>
        <w:rPr>
          <w:sz w:val="20"/>
          <w:szCs w:val="20"/>
        </w:rPr>
        <w:t xml:space="preserve"> </w:t>
      </w:r>
      <w:r>
        <w:rPr>
          <w:sz w:val="20"/>
          <w:szCs w:val="20"/>
        </w:rPr>
        <w:t>September 30, 2022, the Company’s consolidated total leverage r</w:t>
      </w:r>
      <w:r>
        <w:rPr>
          <w:sz w:val="20"/>
          <w:szCs w:val="20"/>
        </w:rPr>
        <w:t>atio (as defined in the 2021 Credit Facility) was</w:t>
      </w:r>
      <w:r>
        <w:rPr>
          <w:sz w:val="20"/>
          <w:szCs w:val="20"/>
        </w:rPr>
        <w:t xml:space="preserve"> </w:t>
      </w:r>
      <w:r>
        <w:rPr>
          <w:sz w:val="20"/>
          <w:szCs w:val="20"/>
        </w:rPr>
        <w:t>1.</w:t>
      </w:r>
      <w:r>
        <w:rPr>
          <w:sz w:val="20"/>
          <w:szCs w:val="20"/>
        </w:rPr>
        <w:t>2</w:t>
      </w:r>
      <w:r>
        <w:rPr>
          <w:sz w:val="20"/>
          <w:szCs w:val="20"/>
        </w:rPr>
        <w:t xml:space="preserve"> times and the Company was in compliance with all covenants under the 2021 Credit Facility</w:t>
      </w:r>
      <w:r>
        <w:rPr>
          <w:sz w:val="20"/>
          <w:szCs w:val="20"/>
        </w:rPr>
        <w:t>.</w:t>
      </w:r>
      <w:r>
        <w:rPr>
          <w:sz w:val="20"/>
          <w:szCs w:val="20"/>
        </w:rPr>
        <w:t xml:space="preserve"> </w:t>
      </w:r>
    </w:p>
    <w:p w:rsidR="00000000" w:rsidRDefault="00A32496">
      <w:pPr>
        <w:pStyle w:val="a3"/>
        <w:spacing w:before="240" w:beforeAutospacing="0" w:after="0" w:afterAutospacing="0"/>
        <w:ind w:firstLine="555"/>
        <w:divId w:val="2018578228"/>
        <w:rPr>
          <w:sz w:val="20"/>
          <w:szCs w:val="20"/>
        </w:rPr>
      </w:pPr>
      <w:r>
        <w:rPr>
          <w:sz w:val="20"/>
          <w:szCs w:val="20"/>
        </w:rPr>
        <w:t>The 2021 Credit Facility requires customary mandatory prepayments of the term loan and revolver and cash colla</w:t>
      </w:r>
      <w:r>
        <w:rPr>
          <w:sz w:val="20"/>
          <w:szCs w:val="20"/>
        </w:rPr>
        <w:t>teralization of letters of credit, subject to customary exceptions, including</w:t>
      </w:r>
      <w:r>
        <w:rPr>
          <w:sz w:val="20"/>
          <w:szCs w:val="20"/>
        </w:rPr>
        <w:t xml:space="preserve"> </w:t>
      </w:r>
      <w:r>
        <w:rPr>
          <w:sz w:val="20"/>
          <w:szCs w:val="20"/>
        </w:rPr>
        <w:t>100.</w:t>
      </w:r>
      <w:r>
        <w:rPr>
          <w:sz w:val="20"/>
          <w:szCs w:val="20"/>
        </w:rPr>
        <w:t>0</w:t>
      </w:r>
      <w:r>
        <w:rPr>
          <w:sz w:val="20"/>
          <w:szCs w:val="20"/>
        </w:rPr>
        <w:t>% of the proceeds of debt not permitted by the 2021 Credit Facility,</w:t>
      </w:r>
      <w:r>
        <w:rPr>
          <w:sz w:val="20"/>
          <w:szCs w:val="20"/>
        </w:rPr>
        <w:t xml:space="preserve"> </w:t>
      </w:r>
      <w:r>
        <w:rPr>
          <w:sz w:val="20"/>
          <w:szCs w:val="20"/>
        </w:rPr>
        <w:t>100.</w:t>
      </w:r>
      <w:r>
        <w:rPr>
          <w:sz w:val="20"/>
          <w:szCs w:val="20"/>
        </w:rPr>
        <w:t>0</w:t>
      </w:r>
      <w:r>
        <w:rPr>
          <w:sz w:val="20"/>
          <w:szCs w:val="20"/>
        </w:rPr>
        <w:t>% of the proceeds of certain dispositions, subject to customary reinvestment rights, where applicab</w:t>
      </w:r>
      <w:r>
        <w:rPr>
          <w:sz w:val="20"/>
          <w:szCs w:val="20"/>
        </w:rPr>
        <w:t>le, and</w:t>
      </w:r>
      <w:r>
        <w:rPr>
          <w:sz w:val="20"/>
          <w:szCs w:val="20"/>
        </w:rPr>
        <w:t xml:space="preserve"> </w:t>
      </w:r>
      <w:r>
        <w:rPr>
          <w:sz w:val="20"/>
          <w:szCs w:val="20"/>
        </w:rPr>
        <w:t>100.</w:t>
      </w:r>
      <w:r>
        <w:rPr>
          <w:sz w:val="20"/>
          <w:szCs w:val="20"/>
        </w:rPr>
        <w:t>0</w:t>
      </w:r>
      <w:r>
        <w:rPr>
          <w:sz w:val="20"/>
          <w:szCs w:val="20"/>
        </w:rPr>
        <w:t>% of insurance or condemnation proceeds, subject to customary reinvestment rights, where applicable. The 2021 Credit Facility also includes customary events of default and related acceleration and termination rights</w:t>
      </w:r>
      <w:r>
        <w:rPr>
          <w:sz w:val="20"/>
          <w:szCs w:val="20"/>
        </w:rPr>
        <w:t>.</w:t>
      </w:r>
    </w:p>
    <w:p w:rsidR="00000000" w:rsidRDefault="00A32496">
      <w:pPr>
        <w:pStyle w:val="a3"/>
        <w:spacing w:before="240" w:beforeAutospacing="0" w:after="0" w:afterAutospacing="0"/>
        <w:ind w:firstLine="555"/>
        <w:divId w:val="2018578228"/>
        <w:rPr>
          <w:sz w:val="20"/>
          <w:szCs w:val="20"/>
        </w:rPr>
      </w:pPr>
      <w:r>
        <w:rPr>
          <w:sz w:val="20"/>
          <w:szCs w:val="20"/>
        </w:rPr>
        <w:t>The weighted average inter</w:t>
      </w:r>
      <w:r>
        <w:rPr>
          <w:sz w:val="20"/>
          <w:szCs w:val="20"/>
        </w:rPr>
        <w:t>est rate on the 2021 Credit Facility for the nine months ended September 30, 2022 was</w:t>
      </w:r>
      <w:r>
        <w:rPr>
          <w:sz w:val="20"/>
          <w:szCs w:val="20"/>
        </w:rPr>
        <w:t xml:space="preserve"> </w:t>
      </w:r>
      <w:r>
        <w:rPr>
          <w:sz w:val="20"/>
          <w:szCs w:val="20"/>
        </w:rPr>
        <w:t>2.</w:t>
      </w:r>
      <w:r>
        <w:rPr>
          <w:sz w:val="20"/>
          <w:szCs w:val="20"/>
        </w:rPr>
        <w:t>9</w:t>
      </w:r>
      <w:r>
        <w:rPr>
          <w:sz w:val="20"/>
          <w:szCs w:val="20"/>
        </w:rPr>
        <w:t>%</w:t>
      </w:r>
      <w:r>
        <w:rPr>
          <w:sz w:val="20"/>
          <w:szCs w:val="20"/>
        </w:rPr>
        <w:t>.</w:t>
      </w:r>
    </w:p>
    <w:p w:rsidR="00000000" w:rsidRDefault="00A32496">
      <w:pPr>
        <w:pStyle w:val="a3"/>
        <w:spacing w:before="240" w:beforeAutospacing="0" w:after="0" w:afterAutospacing="0"/>
        <w:ind w:firstLine="555"/>
        <w:divId w:val="2018578228"/>
        <w:rPr>
          <w:sz w:val="20"/>
          <w:szCs w:val="20"/>
        </w:rPr>
      </w:pPr>
      <w:r>
        <w:rPr>
          <w:sz w:val="20"/>
          <w:szCs w:val="20"/>
        </w:rPr>
        <w:t>The Company’s obligations under the 2021 Credit Facility are guaranteed by certain of the Company’s existing and future direct and indirect subsidiaries, and such o</w:t>
      </w:r>
      <w:r>
        <w:rPr>
          <w:sz w:val="20"/>
          <w:szCs w:val="20"/>
        </w:rPr>
        <w:t>bligations are secured by substantially all of the Company’s assets, including the capital stock or other equity interests in those subsidiaries</w:t>
      </w:r>
      <w:r>
        <w:rPr>
          <w:sz w:val="20"/>
          <w:szCs w:val="20"/>
        </w:rPr>
        <w:t>.</w:t>
      </w:r>
    </w:p>
    <w:p w:rsidR="00000000" w:rsidRDefault="00A32496">
      <w:pPr>
        <w:pStyle w:val="a3"/>
        <w:spacing w:before="240" w:beforeAutospacing="0" w:after="0" w:afterAutospacing="0"/>
        <w:ind w:firstLine="555"/>
        <w:divId w:val="2018578228"/>
        <w:rPr>
          <w:sz w:val="20"/>
          <w:szCs w:val="20"/>
        </w:rPr>
      </w:pPr>
      <w:r>
        <w:rPr>
          <w:b/>
          <w:bCs/>
          <w:sz w:val="20"/>
          <w:szCs w:val="20"/>
        </w:rPr>
        <w:t>2020 Credit Facilit</w:t>
      </w:r>
      <w:r>
        <w:rPr>
          <w:b/>
          <w:bCs/>
          <w:sz w:val="20"/>
          <w:szCs w:val="20"/>
        </w:rPr>
        <w:t>y</w:t>
      </w:r>
      <w:r>
        <w:rPr>
          <w:sz w:val="20"/>
          <w:szCs w:val="20"/>
        </w:rPr>
        <w:t>—On April 13, 2020, the Company entered into a Unitranche Credit Agreement (the “2020 Cred</w:t>
      </w:r>
      <w:r>
        <w:rPr>
          <w:sz w:val="20"/>
          <w:szCs w:val="20"/>
        </w:rPr>
        <w:t xml:space="preserve">it Facility”) providing for a </w:t>
      </w:r>
      <w:r>
        <w:rPr>
          <w:sz w:val="20"/>
          <w:szCs w:val="20"/>
        </w:rPr>
        <w:t>$</w:t>
      </w:r>
      <w:r>
        <w:rPr>
          <w:sz w:val="20"/>
          <w:szCs w:val="20"/>
        </w:rPr>
        <w:t>225.</w:t>
      </w:r>
      <w:r>
        <w:rPr>
          <w:sz w:val="20"/>
          <w:szCs w:val="20"/>
        </w:rPr>
        <w:t>0</w:t>
      </w:r>
      <w:r>
        <w:rPr>
          <w:sz w:val="20"/>
          <w:szCs w:val="20"/>
        </w:rPr>
        <w:t xml:space="preserve"> million credit facility comprised of a </w:t>
      </w:r>
      <w:r>
        <w:rPr>
          <w:sz w:val="20"/>
          <w:szCs w:val="20"/>
        </w:rPr>
        <w:t>$</w:t>
      </w:r>
      <w:r>
        <w:rPr>
          <w:sz w:val="20"/>
          <w:szCs w:val="20"/>
        </w:rPr>
        <w:t>175.</w:t>
      </w:r>
      <w:r>
        <w:rPr>
          <w:sz w:val="20"/>
          <w:szCs w:val="20"/>
        </w:rPr>
        <w:t>0</w:t>
      </w:r>
      <w:r>
        <w:rPr>
          <w:sz w:val="20"/>
          <w:szCs w:val="20"/>
        </w:rPr>
        <w:t xml:space="preserve"> million term loan and a </w:t>
      </w:r>
      <w:r>
        <w:rPr>
          <w:sz w:val="20"/>
          <w:szCs w:val="20"/>
        </w:rPr>
        <w:t>$</w:t>
      </w:r>
      <w:r>
        <w:rPr>
          <w:sz w:val="20"/>
          <w:szCs w:val="20"/>
        </w:rPr>
        <w:t>50.</w:t>
      </w:r>
      <w:r>
        <w:rPr>
          <w:sz w:val="20"/>
          <w:szCs w:val="20"/>
        </w:rPr>
        <w:t>0</w:t>
      </w:r>
      <w:r>
        <w:rPr>
          <w:sz w:val="20"/>
          <w:szCs w:val="20"/>
        </w:rPr>
        <w:t xml:space="preserve"> million revolving credit facility.</w:t>
      </w:r>
      <w:r>
        <w:rPr>
          <w:sz w:val="20"/>
          <w:szCs w:val="20"/>
        </w:rPr>
        <w:t xml:space="preserve"> </w:t>
      </w:r>
      <w:r>
        <w:rPr>
          <w:sz w:val="20"/>
          <w:szCs w:val="20"/>
        </w:rPr>
        <w:t>The 2020 Credit facility was repaid in full in in April 2021. The resulting loss on extinguishment upon repa</w:t>
      </w:r>
      <w:r>
        <w:rPr>
          <w:sz w:val="20"/>
          <w:szCs w:val="20"/>
        </w:rPr>
        <w:t xml:space="preserve">yment of the 2020 Credit Facility in April 2021, amounted to </w:t>
      </w:r>
      <w:r>
        <w:rPr>
          <w:sz w:val="20"/>
          <w:szCs w:val="20"/>
        </w:rPr>
        <w:t>$</w:t>
      </w:r>
      <w:r>
        <w:rPr>
          <w:sz w:val="20"/>
          <w:szCs w:val="20"/>
        </w:rPr>
        <w:t>4.</w:t>
      </w:r>
      <w:r>
        <w:rPr>
          <w:sz w:val="20"/>
          <w:szCs w:val="20"/>
        </w:rPr>
        <w:t>1</w:t>
      </w:r>
      <w:r>
        <w:rPr>
          <w:sz w:val="20"/>
          <w:szCs w:val="20"/>
        </w:rPr>
        <w:t xml:space="preserve"> million, of which </w:t>
      </w:r>
      <w:r>
        <w:rPr>
          <w:sz w:val="20"/>
          <w:szCs w:val="20"/>
        </w:rPr>
        <w:t>$</w:t>
      </w:r>
      <w:r>
        <w:rPr>
          <w:sz w:val="20"/>
          <w:szCs w:val="20"/>
        </w:rPr>
        <w:t>1.</w:t>
      </w:r>
      <w:r>
        <w:rPr>
          <w:sz w:val="20"/>
          <w:szCs w:val="20"/>
        </w:rPr>
        <w:t>0</w:t>
      </w:r>
      <w:r>
        <w:rPr>
          <w:sz w:val="20"/>
          <w:szCs w:val="20"/>
        </w:rPr>
        <w:t xml:space="preserve"> million was related to fees paid and </w:t>
      </w:r>
      <w:r>
        <w:rPr>
          <w:sz w:val="20"/>
          <w:szCs w:val="20"/>
        </w:rPr>
        <w:t>$</w:t>
      </w:r>
      <w:r>
        <w:rPr>
          <w:sz w:val="20"/>
          <w:szCs w:val="20"/>
        </w:rPr>
        <w:t>3.</w:t>
      </w:r>
      <w:r>
        <w:rPr>
          <w:sz w:val="20"/>
          <w:szCs w:val="20"/>
        </w:rPr>
        <w:t>1</w:t>
      </w:r>
      <w:r>
        <w:rPr>
          <w:sz w:val="20"/>
          <w:szCs w:val="20"/>
        </w:rPr>
        <w:t xml:space="preserve"> related to unamortized debt issuance costs. Total loss on extinguishment is recorded in interest expense, net within the unau</w:t>
      </w:r>
      <w:r>
        <w:rPr>
          <w:sz w:val="20"/>
          <w:szCs w:val="20"/>
        </w:rPr>
        <w:t>dited condensed consolidated statement of operations for the</w:t>
      </w:r>
      <w:r>
        <w:rPr>
          <w:sz w:val="20"/>
          <w:szCs w:val="20"/>
        </w:rPr>
        <w:t xml:space="preserve"> </w:t>
      </w:r>
      <w:r>
        <w:rPr>
          <w:sz w:val="20"/>
          <w:szCs w:val="20"/>
        </w:rPr>
        <w:t>nine months ended September 30, 2021</w:t>
      </w:r>
      <w:r>
        <w:rPr>
          <w:sz w:val="20"/>
          <w:szCs w:val="20"/>
        </w:rPr>
        <w:t>.</w:t>
      </w:r>
    </w:p>
    <w:p w:rsidR="00000000" w:rsidRDefault="00A32496">
      <w:pPr>
        <w:pStyle w:val="a3"/>
        <w:spacing w:before="240" w:beforeAutospacing="0" w:after="0" w:afterAutospacing="0"/>
        <w:ind w:firstLine="555"/>
        <w:divId w:val="2018578228"/>
        <w:rPr>
          <w:sz w:val="20"/>
          <w:szCs w:val="20"/>
        </w:rPr>
      </w:pPr>
      <w:r>
        <w:rPr>
          <w:b/>
          <w:bCs/>
          <w:sz w:val="20"/>
          <w:szCs w:val="20"/>
        </w:rPr>
        <w:t>Equipment Line of Credi</w:t>
      </w:r>
      <w:r>
        <w:rPr>
          <w:b/>
          <w:bCs/>
          <w:sz w:val="20"/>
          <w:szCs w:val="20"/>
        </w:rPr>
        <w:t>t</w:t>
      </w:r>
      <w:r>
        <w:rPr>
          <w:sz w:val="20"/>
          <w:szCs w:val="20"/>
        </w:rPr>
        <w:t>—</w:t>
      </w:r>
      <w:r>
        <w:rPr>
          <w:sz w:val="20"/>
          <w:szCs w:val="20"/>
        </w:rPr>
        <w:t xml:space="preserve">In the first quarter of 2022, the Company entered into a new </w:t>
      </w:r>
      <w:r>
        <w:rPr>
          <w:sz w:val="20"/>
          <w:szCs w:val="20"/>
        </w:rPr>
        <w:t>$</w:t>
      </w:r>
      <w:r>
        <w:rPr>
          <w:sz w:val="20"/>
          <w:szCs w:val="20"/>
        </w:rPr>
        <w:t>10.</w:t>
      </w:r>
      <w:r>
        <w:rPr>
          <w:sz w:val="20"/>
          <w:szCs w:val="20"/>
        </w:rPr>
        <w:t>0</w:t>
      </w:r>
      <w:r>
        <w:rPr>
          <w:sz w:val="20"/>
          <w:szCs w:val="20"/>
        </w:rPr>
        <w:t xml:space="preserve"> million equipment leasing facility for the purchase of equipment </w:t>
      </w:r>
      <w:r>
        <w:rPr>
          <w:sz w:val="20"/>
          <w:szCs w:val="20"/>
        </w:rPr>
        <w:t>and related freight, installation costs and taxes paid. Any unused capacity on this equipment leasing facility expires on</w:t>
      </w:r>
      <w:r>
        <w:rPr>
          <w:sz w:val="20"/>
          <w:szCs w:val="20"/>
        </w:rPr>
        <w:t xml:space="preserve"> </w:t>
      </w:r>
      <w:r>
        <w:rPr>
          <w:sz w:val="20"/>
          <w:szCs w:val="20"/>
        </w:rPr>
        <w:t>December 30, 202</w:t>
      </w:r>
      <w:r>
        <w:rPr>
          <w:sz w:val="20"/>
          <w:szCs w:val="20"/>
        </w:rPr>
        <w:t>2</w:t>
      </w:r>
      <w:r>
        <w:rPr>
          <w:sz w:val="20"/>
          <w:szCs w:val="20"/>
        </w:rPr>
        <w:t>. Interest on the line of credit is determined based on a three-year swap rate at the time of funding. Equipment leas</w:t>
      </w:r>
      <w:r>
        <w:rPr>
          <w:sz w:val="20"/>
          <w:szCs w:val="20"/>
        </w:rPr>
        <w:t>ed through this line of credit meets the finance lease criteria as per ASC 842 and accordingly is accounted for as finance lease right-of-use assets and a finance lease liabilities (Note 6)</w:t>
      </w:r>
      <w:r>
        <w:rPr>
          <w:sz w:val="20"/>
          <w:szCs w:val="20"/>
        </w:rPr>
        <w:t>.</w:t>
      </w:r>
    </w:p>
    <w:p w:rsidR="00000000" w:rsidRDefault="00A32496">
      <w:pPr>
        <w:pStyle w:val="a3"/>
        <w:spacing w:before="240" w:beforeAutospacing="0" w:after="0" w:afterAutospacing="0"/>
        <w:ind w:firstLine="555"/>
        <w:divId w:val="1090658700"/>
        <w:rPr>
          <w:sz w:val="20"/>
          <w:szCs w:val="20"/>
        </w:rPr>
      </w:pPr>
      <w:r>
        <w:rPr>
          <w:sz w:val="20"/>
          <w:szCs w:val="20"/>
        </w:rPr>
        <w:t>The following is a schedule of the aggregate annual maturities of</w:t>
      </w:r>
      <w:r>
        <w:rPr>
          <w:sz w:val="20"/>
          <w:szCs w:val="20"/>
        </w:rPr>
        <w:t xml:space="preserve"> long-term debt presented on the unaudited condensed consolidated statement of financial position, based on the terms of the 2021 Credit Facility</w:t>
      </w:r>
      <w:r>
        <w:rPr>
          <w:sz w:val="20"/>
          <w:szCs w:val="20"/>
        </w:rPr>
        <w:t>:</w:t>
      </w:r>
    </w:p>
    <w:p w:rsidR="00000000" w:rsidRDefault="00A32496">
      <w:pPr>
        <w:pStyle w:val="a3"/>
        <w:spacing w:before="0" w:beforeAutospacing="0" w:after="0" w:afterAutospacing="0"/>
        <w:ind w:firstLine="555"/>
        <w:divId w:val="1090658700"/>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5208"/>
        <w:gridCol w:w="131"/>
        <w:gridCol w:w="150"/>
        <w:gridCol w:w="1036"/>
        <w:gridCol w:w="120"/>
      </w:tblGrid>
      <w:tr w:rsidR="00000000">
        <w:trPr>
          <w:divId w:val="1090658700"/>
          <w:tblCellSpacing w:w="15" w:type="dxa"/>
        </w:trPr>
        <w:tc>
          <w:tcPr>
            <w:tcW w:w="4009" w:type="pct"/>
            <w:vAlign w:val="center"/>
            <w:hideMark/>
          </w:tcPr>
          <w:p w:rsidR="00000000" w:rsidRDefault="00A32496">
            <w:pPr>
              <w:rPr>
                <w:sz w:val="20"/>
                <w:szCs w:val="20"/>
              </w:rPr>
            </w:pPr>
          </w:p>
        </w:tc>
        <w:tc>
          <w:tcPr>
            <w:tcW w:w="95"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795"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r>
      <w:tr w:rsidR="00000000">
        <w:trPr>
          <w:divId w:val="1090658700"/>
          <w:trHeight w:val="180"/>
          <w:tblCellSpacing w:w="15" w:type="dxa"/>
        </w:trPr>
        <w:tc>
          <w:tcPr>
            <w:tcW w:w="0" w:type="auto"/>
            <w:vAlign w:val="bottom"/>
            <w:hideMark/>
          </w:tcPr>
          <w:p w:rsidR="00000000" w:rsidRDefault="00A32496">
            <w:pPr>
              <w:pStyle w:val="a3"/>
              <w:spacing w:before="0" w:beforeAutospacing="0" w:after="0" w:afterAutospacing="0"/>
              <w:rPr>
                <w:sz w:val="18"/>
                <w:szCs w:val="18"/>
              </w:rPr>
            </w:pPr>
            <w:r>
              <w:rPr>
                <w:b/>
                <w:bCs/>
                <w:sz w:val="18"/>
                <w:szCs w:val="18"/>
              </w:rPr>
              <w:t>September 30</w:t>
            </w:r>
            <w:r>
              <w:rPr>
                <w:b/>
                <w:bCs/>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1090658700"/>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202</w:t>
            </w:r>
            <w:r>
              <w:rPr>
                <w:sz w:val="18"/>
                <w:szCs w:val="18"/>
              </w:rPr>
              <w:t>3</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8,75</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090658700"/>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202</w:t>
            </w:r>
            <w:r>
              <w:rPr>
                <w:sz w:val="18"/>
                <w:szCs w:val="18"/>
              </w:rPr>
              <w:t>4</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13,12</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090658700"/>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202</w:t>
            </w:r>
            <w:r>
              <w:rPr>
                <w:sz w:val="18"/>
                <w:szCs w:val="18"/>
              </w:rPr>
              <w:t>5</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13,12</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090658700"/>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202</w:t>
            </w:r>
            <w:r>
              <w:rPr>
                <w:sz w:val="18"/>
                <w:szCs w:val="18"/>
              </w:rPr>
              <w:t>6</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131,25</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090658700"/>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Tota</w:t>
            </w:r>
            <w:r>
              <w:rPr>
                <w:sz w:val="18"/>
                <w:szCs w:val="18"/>
              </w:rPr>
              <w:t>l</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166,25</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bl>
    <w:p w:rsidR="00000000" w:rsidRDefault="00A32496">
      <w:pPr>
        <w:pStyle w:val="a3"/>
        <w:spacing w:before="0" w:beforeAutospacing="0" w:after="0" w:afterAutospacing="0"/>
        <w:ind w:firstLine="555"/>
        <w:rPr>
          <w:sz w:val="20"/>
          <w:szCs w:val="20"/>
        </w:rPr>
      </w:pPr>
      <w:r>
        <w:rPr>
          <w:sz w:val="20"/>
          <w:szCs w:val="20"/>
        </w:rPr>
        <w:t> </w:t>
      </w:r>
    </w:p>
    <w:p w:rsidR="00000000" w:rsidRDefault="00A32496">
      <w:pPr>
        <w:pStyle w:val="a3"/>
        <w:spacing w:before="240" w:beforeAutospacing="0" w:after="0" w:afterAutospacing="0"/>
        <w:jc w:val="center"/>
        <w:rPr>
          <w:sz w:val="20"/>
          <w:szCs w:val="20"/>
        </w:rPr>
      </w:pPr>
      <w:r>
        <w:rPr>
          <w:sz w:val="20"/>
          <w:szCs w:val="20"/>
        </w:rPr>
        <w:t>1</w:t>
      </w:r>
      <w:r>
        <w:rPr>
          <w:sz w:val="20"/>
          <w:szCs w:val="20"/>
        </w:rPr>
        <w:t>9</w:t>
      </w:r>
    </w:p>
    <w:p w:rsidR="00000000" w:rsidRDefault="00A32496">
      <w:pPr>
        <w:rPr>
          <w:rFonts w:eastAsia="Times New Roman"/>
        </w:rPr>
      </w:pPr>
      <w:r>
        <w:rPr>
          <w:rFonts w:eastAsia="Times New Roman"/>
        </w:rPr>
        <w:pict>
          <v:rect id="_x0000_i1045" style="width:0;height:1.5pt" o:hralign="center" o:hrstd="t" o:hr="t" fillcolor="#a0a0a0" stroked="f"/>
        </w:pict>
      </w:r>
    </w:p>
    <w:p w:rsidR="00000000" w:rsidRDefault="00A32496">
      <w:pPr>
        <w:pStyle w:val="a3"/>
        <w:spacing w:before="0" w:beforeAutospacing="0" w:after="0" w:afterAutospacing="0"/>
        <w:rPr>
          <w:sz w:val="20"/>
          <w:szCs w:val="20"/>
        </w:rPr>
      </w:pPr>
      <w:r>
        <w:rPr>
          <w:sz w:val="20"/>
          <w:szCs w:val="20"/>
        </w:rPr>
        <w:t> </w:t>
      </w:r>
    </w:p>
    <w:p w:rsidR="00000000" w:rsidRDefault="00A32496">
      <w:pPr>
        <w:pStyle w:val="a3"/>
        <w:spacing w:before="360" w:beforeAutospacing="0" w:after="0" w:afterAutospacing="0"/>
        <w:divId w:val="503863072"/>
        <w:rPr>
          <w:sz w:val="20"/>
          <w:szCs w:val="20"/>
        </w:rPr>
      </w:pPr>
      <w:r>
        <w:rPr>
          <w:b/>
          <w:bCs/>
          <w:sz w:val="20"/>
          <w:szCs w:val="20"/>
        </w:rPr>
        <w:t>13. FAIR VALUE OF FINANCIAL INSTRUMENT</w:t>
      </w:r>
      <w:r>
        <w:rPr>
          <w:b/>
          <w:bCs/>
          <w:sz w:val="20"/>
          <w:szCs w:val="20"/>
        </w:rPr>
        <w:t>S</w:t>
      </w:r>
    </w:p>
    <w:p w:rsidR="00000000" w:rsidRDefault="00A32496">
      <w:pPr>
        <w:pStyle w:val="a3"/>
        <w:spacing w:before="240" w:beforeAutospacing="0" w:after="0" w:afterAutospacing="0"/>
        <w:ind w:firstLine="555"/>
        <w:divId w:val="203909216"/>
        <w:rPr>
          <w:sz w:val="20"/>
          <w:szCs w:val="20"/>
        </w:rPr>
      </w:pPr>
      <w:r>
        <w:rPr>
          <w:sz w:val="20"/>
          <w:szCs w:val="20"/>
        </w:rPr>
        <w:t>The following financial instruments are measured at fair value on a recurring basis using significant unobservable inputs (Level 3)</w:t>
      </w:r>
      <w:r>
        <w:rPr>
          <w:sz w:val="20"/>
          <w:szCs w:val="20"/>
        </w:rPr>
        <w:t>:</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094"/>
        <w:gridCol w:w="106"/>
        <w:gridCol w:w="151"/>
        <w:gridCol w:w="995"/>
        <w:gridCol w:w="105"/>
        <w:gridCol w:w="106"/>
        <w:gridCol w:w="151"/>
        <w:gridCol w:w="986"/>
        <w:gridCol w:w="120"/>
      </w:tblGrid>
      <w:tr w:rsidR="00000000">
        <w:trPr>
          <w:divId w:val="203909216"/>
          <w:tblCellSpacing w:w="15" w:type="dxa"/>
        </w:trPr>
        <w:tc>
          <w:tcPr>
            <w:tcW w:w="2795" w:type="pct"/>
            <w:vAlign w:val="center"/>
            <w:hideMark/>
          </w:tcPr>
          <w:p w:rsidR="00000000" w:rsidRDefault="00A32496">
            <w:pPr>
              <w:rPr>
                <w:sz w:val="20"/>
                <w:szCs w:val="20"/>
              </w:rPr>
            </w:pPr>
          </w:p>
        </w:tc>
        <w:tc>
          <w:tcPr>
            <w:tcW w:w="100"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906"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100"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898"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r>
      <w:tr w:rsidR="00000000">
        <w:trPr>
          <w:divId w:val="203909216"/>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September 30</w:t>
            </w:r>
            <w:r>
              <w:rPr>
                <w:b/>
                <w:bCs/>
                <w:sz w:val="18"/>
                <w:szCs w:val="18"/>
              </w:rPr>
              <w: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December 31</w:t>
            </w:r>
            <w:r>
              <w:rPr>
                <w:b/>
                <w:bCs/>
                <w:sz w:val="18"/>
                <w:szCs w:val="18"/>
              </w:rPr>
              <w: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203909216"/>
          <w:trHeight w:val="180"/>
          <w:tblCellSpacing w:w="15" w:type="dxa"/>
        </w:trPr>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203909216"/>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Interest rate swa</w:t>
            </w:r>
            <w:r>
              <w:rPr>
                <w:sz w:val="18"/>
                <w:szCs w:val="18"/>
              </w:rPr>
              <w:t>p</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6,31</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203909216"/>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   Total asset</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6,31</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203909216"/>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r>
      <w:tr w:rsidR="00000000">
        <w:trPr>
          <w:divId w:val="203909216"/>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 xml:space="preserve">Business acquisitions contingent consideration, </w:t>
            </w:r>
            <w:r>
              <w:rPr>
                <w:sz w:val="18"/>
                <w:szCs w:val="18"/>
              </w:rPr>
              <w:br/>
              <w:t>   curren</w:t>
            </w:r>
            <w:r>
              <w:rPr>
                <w:sz w:val="18"/>
                <w:szCs w:val="18"/>
              </w:rPr>
              <w:t>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3,96</w:t>
            </w:r>
            <w:r>
              <w:rPr>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31,45</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203909216"/>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 xml:space="preserve">Business acquisitions contingent consideration, </w:t>
            </w:r>
            <w:r>
              <w:rPr>
                <w:sz w:val="18"/>
                <w:szCs w:val="18"/>
              </w:rPr>
              <w:br/>
              <w:t>   long-ter</w:t>
            </w:r>
            <w:r>
              <w:rPr>
                <w:sz w:val="18"/>
                <w:szCs w:val="18"/>
              </w:rPr>
              <w:t>m</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2,81</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4,35</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203909216"/>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Conversion optio</w:t>
            </w:r>
            <w:r>
              <w:rPr>
                <w:sz w:val="18"/>
                <w:szCs w:val="18"/>
              </w:rPr>
              <w:t>n</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24,73</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23,08</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203909216"/>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   Total liabilitie</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31,50</w:t>
            </w:r>
            <w:r>
              <w:rPr>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58,88</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bl>
    <w:p w:rsidR="00000000" w:rsidRDefault="00A32496">
      <w:pPr>
        <w:pStyle w:val="a3"/>
        <w:spacing w:before="240" w:beforeAutospacing="0" w:after="0" w:afterAutospacing="0"/>
        <w:ind w:firstLine="555"/>
        <w:divId w:val="503863072"/>
        <w:rPr>
          <w:sz w:val="20"/>
          <w:szCs w:val="20"/>
        </w:rPr>
      </w:pPr>
      <w:r>
        <w:rPr>
          <w:sz w:val="20"/>
          <w:szCs w:val="20"/>
        </w:rPr>
        <w:t>The estimated fair value amounts shown above are not necessarily indicative of the amounts that the Company would realize upon disposition, nor do they indicate the Company’s intent or ability to dispose of the financial instrument</w:t>
      </w:r>
      <w:r>
        <w:rPr>
          <w:sz w:val="20"/>
          <w:szCs w:val="20"/>
        </w:rPr>
        <w:t>.</w:t>
      </w:r>
    </w:p>
    <w:p w:rsidR="00000000" w:rsidRDefault="00A32496">
      <w:pPr>
        <w:pStyle w:val="a3"/>
        <w:spacing w:before="240" w:beforeAutospacing="0" w:after="0" w:afterAutospacing="0"/>
        <w:ind w:firstLine="555"/>
        <w:divId w:val="915021029"/>
        <w:rPr>
          <w:sz w:val="20"/>
          <w:szCs w:val="20"/>
        </w:rPr>
      </w:pPr>
      <w:r>
        <w:rPr>
          <w:sz w:val="20"/>
          <w:szCs w:val="20"/>
        </w:rPr>
        <w:t>The following table set</w:t>
      </w:r>
      <w:r>
        <w:rPr>
          <w:sz w:val="20"/>
          <w:szCs w:val="20"/>
        </w:rPr>
        <w:t>s forth the Company’s financial instruments that were measured at fair value on a recurring basis</w:t>
      </w:r>
      <w:r>
        <w:rPr>
          <w:sz w:val="20"/>
          <w:szCs w:val="20"/>
        </w:rPr>
        <w:t>:</w:t>
      </w:r>
    </w:p>
    <w:p w:rsidR="00000000" w:rsidRDefault="00A32496">
      <w:pPr>
        <w:pStyle w:val="a3"/>
        <w:spacing w:before="0" w:beforeAutospacing="0" w:after="0" w:afterAutospacing="0"/>
        <w:ind w:firstLine="555"/>
        <w:divId w:val="915021029"/>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97"/>
        <w:gridCol w:w="151"/>
        <w:gridCol w:w="549"/>
        <w:gridCol w:w="105"/>
        <w:gridCol w:w="105"/>
        <w:gridCol w:w="150"/>
        <w:gridCol w:w="465"/>
        <w:gridCol w:w="105"/>
        <w:gridCol w:w="105"/>
        <w:gridCol w:w="151"/>
        <w:gridCol w:w="1065"/>
        <w:gridCol w:w="120"/>
        <w:gridCol w:w="105"/>
        <w:gridCol w:w="151"/>
        <w:gridCol w:w="1065"/>
        <w:gridCol w:w="120"/>
        <w:gridCol w:w="105"/>
        <w:gridCol w:w="151"/>
        <w:gridCol w:w="833"/>
        <w:gridCol w:w="105"/>
        <w:gridCol w:w="105"/>
        <w:gridCol w:w="151"/>
        <w:gridCol w:w="712"/>
        <w:gridCol w:w="135"/>
      </w:tblGrid>
      <w:tr w:rsidR="00000000">
        <w:trPr>
          <w:divId w:val="915021029"/>
          <w:tblCellSpacing w:w="15" w:type="dxa"/>
        </w:trPr>
        <w:tc>
          <w:tcPr>
            <w:tcW w:w="1568" w:type="pct"/>
            <w:vAlign w:val="center"/>
            <w:hideMark/>
          </w:tcPr>
          <w:p w:rsidR="00000000" w:rsidRDefault="00A32496">
            <w:pPr>
              <w:rPr>
                <w:sz w:val="20"/>
                <w:szCs w:val="20"/>
              </w:rPr>
            </w:pPr>
          </w:p>
        </w:tc>
        <w:tc>
          <w:tcPr>
            <w:tcW w:w="50" w:type="pct"/>
            <w:vAlign w:val="center"/>
            <w:hideMark/>
          </w:tcPr>
          <w:p w:rsidR="00000000" w:rsidRDefault="00A32496">
            <w:pPr>
              <w:rPr>
                <w:rFonts w:eastAsia="Times New Roman"/>
                <w:sz w:val="20"/>
                <w:szCs w:val="20"/>
              </w:rPr>
            </w:pPr>
          </w:p>
        </w:tc>
        <w:tc>
          <w:tcPr>
            <w:tcW w:w="323"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61"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264"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61"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14"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61"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14"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61"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19"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61"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387"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r>
      <w:tr w:rsidR="00000000">
        <w:trPr>
          <w:divId w:val="915021029"/>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 xml:space="preserve">Interest </w:t>
            </w:r>
            <w:r>
              <w:rPr>
                <w:b/>
                <w:bCs/>
                <w:sz w:val="18"/>
                <w:szCs w:val="18"/>
              </w:rPr>
              <w:br/>
              <w:t xml:space="preserve">Rate </w:t>
            </w:r>
            <w:r>
              <w:rPr>
                <w:b/>
                <w:bCs/>
                <w:sz w:val="18"/>
                <w:szCs w:val="18"/>
              </w:rPr>
              <w:br/>
              <w:t>Swa</w:t>
            </w:r>
            <w:r>
              <w:rPr>
                <w:b/>
                <w:bCs/>
                <w:sz w:val="18"/>
                <w:szCs w:val="18"/>
              </w:rPr>
              <w:t>p</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 xml:space="preserve">Total </w:t>
            </w:r>
            <w:r>
              <w:rPr>
                <w:b/>
                <w:bCs/>
                <w:sz w:val="18"/>
                <w:szCs w:val="18"/>
              </w:rPr>
              <w:br/>
              <w:t>Asset</w:t>
            </w:r>
            <w:r>
              <w:rPr>
                <w:b/>
                <w:bCs/>
                <w:sz w:val="18"/>
                <w:szCs w:val="18"/>
              </w:rPr>
              <w:t>s</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 xml:space="preserve">Business </w:t>
            </w:r>
            <w:r>
              <w:rPr>
                <w:b/>
                <w:bCs/>
                <w:sz w:val="18"/>
                <w:szCs w:val="18"/>
              </w:rPr>
              <w:br/>
              <w:t>Acquisitions</w:t>
            </w:r>
            <w:r>
              <w:rPr>
                <w:b/>
                <w:bCs/>
                <w:sz w:val="18"/>
                <w:szCs w:val="18"/>
              </w:rPr>
              <w:br/>
              <w:t>Contingent</w:t>
            </w:r>
            <w:r>
              <w:rPr>
                <w:b/>
                <w:bCs/>
                <w:sz w:val="18"/>
                <w:szCs w:val="18"/>
              </w:rPr>
              <w:br/>
              <w:t>Consideration,</w:t>
            </w:r>
            <w:r>
              <w:rPr>
                <w:b/>
                <w:bCs/>
                <w:sz w:val="18"/>
                <w:szCs w:val="18"/>
              </w:rPr>
              <w:br/>
              <w:t>Curren</w:t>
            </w:r>
            <w:r>
              <w:rPr>
                <w:b/>
                <w:bCs/>
                <w:sz w:val="18"/>
                <w:szCs w:val="18"/>
              </w:rPr>
              <w:t>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Business</w:t>
            </w:r>
            <w:r>
              <w:rPr>
                <w:b/>
                <w:bCs/>
                <w:sz w:val="18"/>
                <w:szCs w:val="18"/>
              </w:rPr>
              <w:br/>
            </w:r>
            <w:r>
              <w:rPr>
                <w:b/>
                <w:bCs/>
                <w:sz w:val="18"/>
                <w:szCs w:val="18"/>
              </w:rPr>
              <w:t>Acquisitions</w:t>
            </w:r>
            <w:r>
              <w:rPr>
                <w:b/>
                <w:bCs/>
                <w:sz w:val="18"/>
                <w:szCs w:val="18"/>
              </w:rPr>
              <w:br/>
              <w:t>Contingent</w:t>
            </w:r>
            <w:r>
              <w:rPr>
                <w:b/>
                <w:bCs/>
                <w:sz w:val="18"/>
                <w:szCs w:val="18"/>
              </w:rPr>
              <w:br/>
              <w:t>Consideration,</w:t>
            </w:r>
            <w:r>
              <w:rPr>
                <w:b/>
                <w:bCs/>
                <w:sz w:val="18"/>
                <w:szCs w:val="18"/>
              </w:rPr>
              <w:br/>
              <w:t>Long-ter</w:t>
            </w:r>
            <w:r>
              <w:rPr>
                <w:b/>
                <w:bCs/>
                <w:sz w:val="18"/>
                <w:szCs w:val="18"/>
              </w:rPr>
              <w:t>m</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Conversion</w:t>
            </w:r>
            <w:r>
              <w:rPr>
                <w:b/>
                <w:bCs/>
                <w:sz w:val="18"/>
                <w:szCs w:val="18"/>
              </w:rPr>
              <w:br/>
              <w:t>   Optio</w:t>
            </w:r>
            <w:r>
              <w:rPr>
                <w:b/>
                <w:bCs/>
                <w:sz w:val="18"/>
                <w:szCs w:val="18"/>
              </w:rPr>
              <w:t>n</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 xml:space="preserve">Total </w:t>
            </w:r>
            <w:r>
              <w:rPr>
                <w:b/>
                <w:bCs/>
                <w:sz w:val="18"/>
                <w:szCs w:val="18"/>
              </w:rPr>
              <w:br/>
              <w:t>Liabilitie</w:t>
            </w:r>
            <w:r>
              <w:rPr>
                <w:b/>
                <w:bCs/>
                <w:sz w:val="18"/>
                <w:szCs w:val="18"/>
              </w:rPr>
              <w:t>s</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915021029"/>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Balance—at January 1, 202</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49,90</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4,56</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20,88</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75,35</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915021029"/>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   Acquisition</w:t>
            </w:r>
            <w:r>
              <w:rPr>
                <w:sz w:val="18"/>
                <w:szCs w:val="18"/>
              </w:rPr>
              <w:t>s</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1,00</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6,00</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7,00</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915021029"/>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   Changes in fair value included in earning</w:t>
            </w:r>
            <w:r>
              <w:rPr>
                <w:sz w:val="18"/>
                <w:szCs w:val="18"/>
              </w:rPr>
              <w:t>s</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13,77</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10,26</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1,65</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25,68</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915021029"/>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    Payment of contingent consideration</w:t>
            </w:r>
            <w:r>
              <w:rPr>
                <w:sz w:val="18"/>
                <w:szCs w:val="18"/>
              </w:rPr>
              <w:br/>
              <w:t>       payabl</w:t>
            </w:r>
            <w:r>
              <w:rPr>
                <w:sz w:val="18"/>
                <w:szCs w:val="18"/>
              </w:rPr>
              <w:t>e</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50,15</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50,15</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r>
      <w:tr w:rsidR="00000000">
        <w:trPr>
          <w:divId w:val="915021029"/>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   </w:t>
            </w:r>
            <w:r>
              <w:rPr>
                <w:sz w:val="18"/>
                <w:szCs w:val="18"/>
              </w:rPr>
              <w:t>Reclass of long term to short term</w:t>
            </w:r>
            <w:r>
              <w:rPr>
                <w:sz w:val="18"/>
                <w:szCs w:val="18"/>
              </w:rPr>
              <w:br/>
              <w:t>      contingent liabilitie</w:t>
            </w:r>
            <w:r>
              <w:rPr>
                <w:sz w:val="18"/>
                <w:szCs w:val="18"/>
              </w:rPr>
              <w:t>s</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16,63</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16,63</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915021029"/>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Balance—at September 30, 202</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31,15</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4,20</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22,53</w:t>
            </w:r>
            <w:r>
              <w:rPr>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57,88</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915021029"/>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r>
      <w:tr w:rsidR="00000000">
        <w:trPr>
          <w:divId w:val="915021029"/>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Balance—at January 1, 202</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31,45</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4,35</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23,08</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58,88</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915021029"/>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   Acquisition</w:t>
            </w:r>
            <w:r>
              <w:rPr>
                <w:sz w:val="18"/>
                <w:szCs w:val="18"/>
              </w:rPr>
              <w:t>s</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1,21</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1,21</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915021029"/>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   </w:t>
            </w:r>
            <w:r>
              <w:rPr>
                <w:sz w:val="18"/>
                <w:szCs w:val="18"/>
              </w:rPr>
              <w:t>Changes in fair value included in earning</w:t>
            </w:r>
            <w:r>
              <w:rPr>
                <w:sz w:val="18"/>
                <w:szCs w:val="18"/>
              </w:rPr>
              <w:t>s</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6,31</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6,31</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33</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39</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1,64</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1,58</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915021029"/>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    Payment of contingent consideration</w:t>
            </w:r>
            <w:r>
              <w:rPr>
                <w:sz w:val="18"/>
                <w:szCs w:val="18"/>
              </w:rPr>
              <w:br/>
              <w:t>       payabl</w:t>
            </w:r>
            <w:r>
              <w:rPr>
                <w:sz w:val="18"/>
                <w:szCs w:val="18"/>
              </w:rPr>
              <w:t>e</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30,17</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30,17</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r>
      <w:tr w:rsidR="00000000">
        <w:trPr>
          <w:divId w:val="915021029"/>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   </w:t>
            </w:r>
            <w:r>
              <w:rPr>
                <w:sz w:val="18"/>
                <w:szCs w:val="18"/>
              </w:rPr>
              <w:t>Reclass of long term to short term</w:t>
            </w:r>
            <w:r>
              <w:rPr>
                <w:sz w:val="18"/>
                <w:szCs w:val="18"/>
              </w:rPr>
              <w:br/>
              <w:t>      contingent liabilitie</w:t>
            </w:r>
            <w:r>
              <w:rPr>
                <w:sz w:val="18"/>
                <w:szCs w:val="18"/>
              </w:rPr>
              <w:t>s</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2,36</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2,36</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915021029"/>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Balance—at September 30, 202</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6,31</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6,31</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3,96</w:t>
            </w:r>
            <w:r>
              <w:rPr>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2,81</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24,73</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31,50</w:t>
            </w:r>
            <w:r>
              <w:rPr>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bl>
    <w:p w:rsidR="00000000" w:rsidRDefault="00A32496">
      <w:pPr>
        <w:pStyle w:val="a3"/>
        <w:spacing w:before="240" w:beforeAutospacing="0" w:after="0" w:afterAutospacing="0"/>
        <w:ind w:firstLine="555"/>
        <w:divId w:val="503863072"/>
        <w:rPr>
          <w:sz w:val="20"/>
          <w:szCs w:val="20"/>
        </w:rPr>
      </w:pPr>
      <w:r>
        <w:rPr>
          <w:b/>
          <w:bCs/>
          <w:sz w:val="20"/>
          <w:szCs w:val="20"/>
        </w:rPr>
        <w:t>Quantitative Information about Assets and Liabilities Measured at Fair Value on a Recurring Basis Using Significant Unobservable Inputs (Level 3)</w:t>
      </w:r>
      <w:r>
        <w:rPr>
          <w:b/>
          <w:bCs/>
          <w:sz w:val="20"/>
          <w:szCs w:val="20"/>
        </w:rPr>
        <w:t>:</w:t>
      </w:r>
    </w:p>
    <w:p w:rsidR="00000000" w:rsidRDefault="00A32496">
      <w:pPr>
        <w:pStyle w:val="a3"/>
        <w:spacing w:before="240" w:beforeAutospacing="0" w:after="0" w:afterAutospacing="0"/>
        <w:ind w:firstLine="555"/>
        <w:divId w:val="503863072"/>
        <w:rPr>
          <w:sz w:val="20"/>
          <w:szCs w:val="20"/>
        </w:rPr>
      </w:pPr>
      <w:r>
        <w:rPr>
          <w:b/>
          <w:bCs/>
          <w:i/>
          <w:iCs/>
          <w:sz w:val="20"/>
          <w:szCs w:val="20"/>
        </w:rPr>
        <w:t>Interest Rate Swa</w:t>
      </w:r>
      <w:r>
        <w:rPr>
          <w:b/>
          <w:bCs/>
          <w:i/>
          <w:iCs/>
          <w:sz w:val="20"/>
          <w:szCs w:val="20"/>
        </w:rPr>
        <w:t>p</w:t>
      </w:r>
      <w:r>
        <w:rPr>
          <w:sz w:val="20"/>
          <w:szCs w:val="20"/>
        </w:rPr>
        <w:t>—The interest rate swap fair value is estimated based on a mid-market price for the swap as</w:t>
      </w:r>
      <w:r>
        <w:rPr>
          <w:sz w:val="20"/>
          <w:szCs w:val="20"/>
        </w:rPr>
        <w:t xml:space="preserve"> of the close of business of the reporting period. The fair value is prepared by discounting future cash flows of the swap to arrive at a current value of the swap. Forward curves and volatility levels inputs are determined on the basis of observable marke</w:t>
      </w:r>
      <w:r>
        <w:rPr>
          <w:sz w:val="20"/>
          <w:szCs w:val="20"/>
        </w:rPr>
        <w:t>t inputs when available and on the basis of estimates when observable market inputs are not available. The Company does not apply hedge accounting but instead recognizes the instrument at fair value on the unaudited condensed consolidated statement of fina</w:t>
      </w:r>
      <w:r>
        <w:rPr>
          <w:sz w:val="20"/>
          <w:szCs w:val="20"/>
        </w:rPr>
        <w:t xml:space="preserve">ncial position within other assets, with changes in fair value recognized in earnings in each reporting period. The change in fair value of </w:t>
      </w:r>
      <w:r>
        <w:rPr>
          <w:sz w:val="20"/>
          <w:szCs w:val="20"/>
        </w:rPr>
        <w:t>$</w:t>
      </w:r>
      <w:r>
        <w:rPr>
          <w:sz w:val="20"/>
          <w:szCs w:val="20"/>
        </w:rPr>
        <w:t>2.</w:t>
      </w:r>
      <w:r>
        <w:rPr>
          <w:sz w:val="20"/>
          <w:szCs w:val="20"/>
        </w:rPr>
        <w:t>3</w:t>
      </w:r>
      <w:r>
        <w:rPr>
          <w:sz w:val="20"/>
          <w:szCs w:val="20"/>
        </w:rPr>
        <w:t xml:space="preserve"> million and </w:t>
      </w:r>
      <w:r>
        <w:rPr>
          <w:sz w:val="20"/>
          <w:szCs w:val="20"/>
        </w:rPr>
        <w:t>$</w:t>
      </w:r>
      <w:r>
        <w:rPr>
          <w:sz w:val="20"/>
          <w:szCs w:val="20"/>
        </w:rPr>
        <w:t>6.</w:t>
      </w:r>
      <w:r>
        <w:rPr>
          <w:sz w:val="20"/>
          <w:szCs w:val="20"/>
        </w:rPr>
        <w:t>3</w:t>
      </w:r>
      <w:r>
        <w:rPr>
          <w:sz w:val="20"/>
          <w:szCs w:val="20"/>
        </w:rPr>
        <w:t xml:space="preserve"> million for the three and nine months ended September 30, 202</w:t>
      </w:r>
      <w:r>
        <w:rPr>
          <w:sz w:val="20"/>
          <w:szCs w:val="20"/>
        </w:rPr>
        <w:t>2</w:t>
      </w:r>
      <w:r>
        <w:rPr>
          <w:sz w:val="20"/>
          <w:szCs w:val="20"/>
        </w:rPr>
        <w:t>, respectively was recognized as</w:t>
      </w:r>
      <w:r>
        <w:rPr>
          <w:sz w:val="20"/>
          <w:szCs w:val="20"/>
        </w:rPr>
        <w:t xml:space="preserve"> a component of</w:t>
      </w:r>
      <w:r>
        <w:rPr>
          <w:sz w:val="20"/>
          <w:szCs w:val="20"/>
        </w:rPr>
        <w:t xml:space="preserve"> </w:t>
      </w:r>
      <w:r>
        <w:rPr>
          <w:sz w:val="20"/>
          <w:szCs w:val="20"/>
        </w:rPr>
        <w:t>other expens</w:t>
      </w:r>
      <w:r>
        <w:rPr>
          <w:sz w:val="20"/>
          <w:szCs w:val="20"/>
        </w:rPr>
        <w:t>e</w:t>
      </w:r>
      <w:r>
        <w:rPr>
          <w:sz w:val="20"/>
          <w:szCs w:val="20"/>
        </w:rPr>
        <w:t xml:space="preserve"> on the Company's unaudited condensed consolidated statements of operations</w:t>
      </w:r>
      <w:r>
        <w:rPr>
          <w:sz w:val="20"/>
          <w:szCs w:val="20"/>
        </w:rPr>
        <w:t>.</w:t>
      </w:r>
    </w:p>
    <w:p w:rsidR="00000000" w:rsidRDefault="00A32496">
      <w:pPr>
        <w:pStyle w:val="a3"/>
        <w:spacing w:before="240" w:beforeAutospacing="0" w:after="0" w:afterAutospacing="0"/>
        <w:ind w:firstLine="555"/>
        <w:divId w:val="503863072"/>
        <w:rPr>
          <w:sz w:val="20"/>
          <w:szCs w:val="20"/>
        </w:rPr>
      </w:pPr>
      <w:r>
        <w:rPr>
          <w:b/>
          <w:bCs/>
          <w:i/>
          <w:iCs/>
          <w:sz w:val="20"/>
          <w:szCs w:val="20"/>
        </w:rPr>
        <w:t>Business Acquisitions Contingent Consideratio</w:t>
      </w:r>
      <w:r>
        <w:rPr>
          <w:b/>
          <w:bCs/>
          <w:i/>
          <w:iCs/>
          <w:sz w:val="20"/>
          <w:szCs w:val="20"/>
        </w:rPr>
        <w:t>n</w:t>
      </w:r>
      <w:r>
        <w:rPr>
          <w:sz w:val="20"/>
          <w:szCs w:val="20"/>
        </w:rPr>
        <w:t>—The fair value of the contingent consideration payable associated with the acquisition of CTEH, MSE and</w:t>
      </w:r>
      <w:r>
        <w:rPr>
          <w:sz w:val="20"/>
          <w:szCs w:val="20"/>
        </w:rPr>
        <w:t xml:space="preserve"> Sensible was determined using a Monte Carlo simulation of earnings in a risk-neutral Geometric Brownian Motion framework. The fair value of the contingent consideration payable associated with the acquisition of EnvStd was determined using a Probabilistic</w:t>
      </w:r>
      <w:r>
        <w:rPr>
          <w:sz w:val="20"/>
          <w:szCs w:val="20"/>
        </w:rPr>
        <w:t xml:space="preserve"> (Scenario Based) method. The fair values of the contingent consideration payables for the other acquisitions were calculated based on expected target achievement amounts, which are measured quarterly and then subsequentl</w:t>
      </w:r>
      <w:r>
        <w:rPr>
          <w:sz w:val="20"/>
          <w:szCs w:val="20"/>
        </w:rPr>
        <w:t>y</w:t>
      </w:r>
      <w:r>
        <w:rPr>
          <w:sz w:val="20"/>
          <w:szCs w:val="20"/>
        </w:rPr>
        <w:t xml:space="preserve"> </w:t>
      </w:r>
    </w:p>
    <w:p w:rsidR="00000000" w:rsidRDefault="00A32496">
      <w:pPr>
        <w:pStyle w:val="a3"/>
        <w:spacing w:before="240" w:beforeAutospacing="0" w:after="0" w:afterAutospacing="0"/>
        <w:jc w:val="center"/>
        <w:divId w:val="503863072"/>
        <w:rPr>
          <w:sz w:val="20"/>
          <w:szCs w:val="20"/>
        </w:rPr>
      </w:pPr>
      <w:r>
        <w:rPr>
          <w:sz w:val="20"/>
          <w:szCs w:val="20"/>
        </w:rPr>
        <w:t>2</w:t>
      </w:r>
      <w:r>
        <w:rPr>
          <w:sz w:val="20"/>
          <w:szCs w:val="20"/>
        </w:rPr>
        <w:t>0</w:t>
      </w:r>
    </w:p>
    <w:p w:rsidR="00000000" w:rsidRDefault="00A32496">
      <w:pPr>
        <w:divId w:val="503863072"/>
        <w:rPr>
          <w:rFonts w:eastAsia="Times New Roman"/>
          <w:sz w:val="20"/>
          <w:szCs w:val="20"/>
        </w:rPr>
      </w:pPr>
      <w:r>
        <w:rPr>
          <w:rFonts w:eastAsia="Times New Roman"/>
          <w:sz w:val="20"/>
          <w:szCs w:val="20"/>
        </w:rPr>
        <w:pict>
          <v:rect id="_x0000_i1046" style="width:0;height:1.5pt" o:hralign="center" o:hrstd="t" o:hr="t" fillcolor="#a0a0a0" stroked="f"/>
        </w:pict>
      </w:r>
    </w:p>
    <w:p w:rsidR="00000000" w:rsidRDefault="00A32496">
      <w:pPr>
        <w:pStyle w:val="a3"/>
        <w:spacing w:before="0" w:beforeAutospacing="0" w:after="0" w:afterAutospacing="0"/>
        <w:divId w:val="503863072"/>
        <w:rPr>
          <w:sz w:val="20"/>
          <w:szCs w:val="20"/>
        </w:rPr>
      </w:pPr>
      <w:r>
        <w:rPr>
          <w:sz w:val="20"/>
          <w:szCs w:val="20"/>
        </w:rPr>
        <w:t> </w:t>
      </w:r>
    </w:p>
    <w:p w:rsidR="00000000" w:rsidRDefault="00A32496">
      <w:pPr>
        <w:pStyle w:val="a3"/>
        <w:spacing w:before="240" w:beforeAutospacing="0" w:after="0" w:afterAutospacing="0"/>
        <w:divId w:val="503863072"/>
        <w:rPr>
          <w:sz w:val="20"/>
          <w:szCs w:val="20"/>
        </w:rPr>
      </w:pPr>
      <w:r>
        <w:rPr>
          <w:sz w:val="20"/>
          <w:szCs w:val="20"/>
        </w:rPr>
        <w:t>adjusted to actuals at the target measurement date. The method used to price these liabilities is considered level 3 due to the subjective nature of the unobservable inputs used to determine the fair value. The input is the expected achievement of earn-out</w:t>
      </w:r>
      <w:r>
        <w:rPr>
          <w:sz w:val="20"/>
          <w:szCs w:val="20"/>
        </w:rPr>
        <w:t xml:space="preserve"> thresholds</w:t>
      </w:r>
      <w:r>
        <w:rPr>
          <w:sz w:val="20"/>
          <w:szCs w:val="20"/>
        </w:rPr>
        <w:t>.</w:t>
      </w:r>
    </w:p>
    <w:p w:rsidR="00000000" w:rsidRDefault="00A32496">
      <w:pPr>
        <w:pStyle w:val="a3"/>
        <w:spacing w:before="240" w:beforeAutospacing="0" w:after="0" w:afterAutospacing="0"/>
        <w:ind w:firstLine="555"/>
        <w:divId w:val="503863072"/>
        <w:rPr>
          <w:sz w:val="20"/>
          <w:szCs w:val="20"/>
        </w:rPr>
      </w:pPr>
      <w:r>
        <w:rPr>
          <w:b/>
          <w:bCs/>
          <w:i/>
          <w:iCs/>
          <w:sz w:val="20"/>
          <w:szCs w:val="20"/>
        </w:rPr>
        <w:t>Conversion Optio</w:t>
      </w:r>
      <w:r>
        <w:rPr>
          <w:b/>
          <w:bCs/>
          <w:i/>
          <w:iCs/>
          <w:sz w:val="20"/>
          <w:szCs w:val="20"/>
        </w:rPr>
        <w:t>n</w:t>
      </w:r>
      <w:r>
        <w:rPr>
          <w:sz w:val="20"/>
          <w:szCs w:val="20"/>
        </w:rPr>
        <w:t>—Upon the Company’s initial public offering ("IPO"), the fair value of the conversion option associated with the issuance of the Convertible and Redeemable Series A-2 Preferred Stock (Note 15) was estimated using a “with-and-w</w:t>
      </w:r>
      <w:r>
        <w:rPr>
          <w:sz w:val="20"/>
          <w:szCs w:val="20"/>
        </w:rPr>
        <w:t>ithout” method. The “with-and-without” methodology considers the value of the security on an as-is basis and then without the embedded conversion premium. The difference between the two scenarios is the implied fair value of the embedded derivative. The un</w:t>
      </w:r>
      <w:r>
        <w:rPr>
          <w:sz w:val="20"/>
          <w:szCs w:val="20"/>
        </w:rPr>
        <w:t>observable input is the required rate of return on the Series A-2. The considerable quantifiable inputs in the valuation relate to the timing of conversions or redemptions</w:t>
      </w:r>
      <w:r>
        <w:rPr>
          <w:sz w:val="20"/>
          <w:szCs w:val="20"/>
        </w:rPr>
        <w:t>.</w:t>
      </w:r>
    </w:p>
    <w:p w:rsidR="00000000" w:rsidRDefault="00A32496">
      <w:pPr>
        <w:pStyle w:val="a3"/>
        <w:spacing w:before="360" w:beforeAutospacing="0" w:after="0" w:afterAutospacing="0"/>
        <w:divId w:val="2002156083"/>
        <w:rPr>
          <w:sz w:val="20"/>
          <w:szCs w:val="20"/>
        </w:rPr>
      </w:pPr>
      <w:r>
        <w:rPr>
          <w:b/>
          <w:bCs/>
          <w:sz w:val="20"/>
          <w:szCs w:val="20"/>
        </w:rPr>
        <w:t>14. COMMITMENTS AND CONTINGENCIE</w:t>
      </w:r>
      <w:r>
        <w:rPr>
          <w:b/>
          <w:bCs/>
          <w:sz w:val="20"/>
          <w:szCs w:val="20"/>
        </w:rPr>
        <w:t>S</w:t>
      </w:r>
    </w:p>
    <w:p w:rsidR="00000000" w:rsidRDefault="00A32496">
      <w:pPr>
        <w:pStyle w:val="a3"/>
        <w:spacing w:before="240" w:beforeAutospacing="0" w:after="0" w:afterAutospacing="0"/>
        <w:ind w:firstLine="555"/>
        <w:divId w:val="2002156083"/>
        <w:rPr>
          <w:sz w:val="20"/>
          <w:szCs w:val="20"/>
        </w:rPr>
      </w:pPr>
      <w:r>
        <w:rPr>
          <w:b/>
          <w:bCs/>
          <w:sz w:val="20"/>
          <w:szCs w:val="20"/>
        </w:rPr>
        <w:t>Lease</w:t>
      </w:r>
      <w:r>
        <w:rPr>
          <w:b/>
          <w:bCs/>
          <w:sz w:val="20"/>
          <w:szCs w:val="20"/>
        </w:rPr>
        <w:t>s</w:t>
      </w:r>
      <w:r>
        <w:rPr>
          <w:sz w:val="20"/>
          <w:szCs w:val="20"/>
        </w:rPr>
        <w:t xml:space="preserve">—The Company leases office facilities over </w:t>
      </w:r>
      <w:r>
        <w:rPr>
          <w:sz w:val="20"/>
          <w:szCs w:val="20"/>
        </w:rPr>
        <w:t>various terms expiring through 2031. Certain of these operating leases contain rent escalation clauses. The Company also has office equipment leases that expire through 2027 (Note 6 and 12)</w:t>
      </w:r>
      <w:r>
        <w:rPr>
          <w:sz w:val="20"/>
          <w:szCs w:val="20"/>
        </w:rPr>
        <w:t>.</w:t>
      </w:r>
      <w:r>
        <w:rPr>
          <w:sz w:val="20"/>
          <w:szCs w:val="20"/>
        </w:rPr>
        <w:t xml:space="preserve"> </w:t>
      </w:r>
    </w:p>
    <w:p w:rsidR="00000000" w:rsidRDefault="00A32496">
      <w:pPr>
        <w:pStyle w:val="a3"/>
        <w:spacing w:before="240" w:beforeAutospacing="0" w:after="0" w:afterAutospacing="0"/>
        <w:ind w:firstLine="555"/>
        <w:divId w:val="2002156083"/>
        <w:rPr>
          <w:sz w:val="20"/>
          <w:szCs w:val="20"/>
        </w:rPr>
      </w:pPr>
      <w:r>
        <w:rPr>
          <w:b/>
          <w:bCs/>
          <w:sz w:val="20"/>
          <w:szCs w:val="20"/>
        </w:rPr>
        <w:t>Other Commitment</w:t>
      </w:r>
      <w:r>
        <w:rPr>
          <w:b/>
          <w:bCs/>
          <w:sz w:val="20"/>
          <w:szCs w:val="20"/>
        </w:rPr>
        <w:t>s</w:t>
      </w:r>
      <w:r>
        <w:rPr>
          <w:sz w:val="20"/>
          <w:szCs w:val="20"/>
        </w:rPr>
        <w:t>—The Company has commitments under the 2021 Cre</w:t>
      </w:r>
      <w:r>
        <w:rPr>
          <w:sz w:val="20"/>
          <w:szCs w:val="20"/>
        </w:rPr>
        <w:t>dit Facility, its equipment line of credit and its lease obligations (Note 6 and 12)</w:t>
      </w:r>
      <w:r>
        <w:rPr>
          <w:sz w:val="20"/>
          <w:szCs w:val="20"/>
        </w:rPr>
        <w:t>.</w:t>
      </w:r>
    </w:p>
    <w:p w:rsidR="00000000" w:rsidRDefault="00A32496">
      <w:pPr>
        <w:pStyle w:val="a3"/>
        <w:spacing w:before="240" w:beforeAutospacing="0" w:after="0" w:afterAutospacing="0"/>
        <w:ind w:firstLine="555"/>
        <w:divId w:val="2002156083"/>
        <w:rPr>
          <w:sz w:val="20"/>
          <w:szCs w:val="20"/>
        </w:rPr>
      </w:pPr>
      <w:r>
        <w:rPr>
          <w:b/>
          <w:bCs/>
          <w:sz w:val="20"/>
          <w:szCs w:val="20"/>
        </w:rPr>
        <w:t>Contingencie</w:t>
      </w:r>
      <w:r>
        <w:rPr>
          <w:b/>
          <w:bCs/>
          <w:sz w:val="20"/>
          <w:szCs w:val="20"/>
        </w:rPr>
        <w:t>s</w:t>
      </w:r>
      <w:r>
        <w:rPr>
          <w:sz w:val="20"/>
          <w:szCs w:val="20"/>
        </w:rPr>
        <w:t>—The Company is subject to purchase price contingencies related to earn-outs associated with certain acquisitions (Note 7 and 13)</w:t>
      </w:r>
      <w:r>
        <w:rPr>
          <w:sz w:val="20"/>
          <w:szCs w:val="20"/>
        </w:rPr>
        <w:t>.</w:t>
      </w:r>
    </w:p>
    <w:p w:rsidR="00000000" w:rsidRDefault="00A32496">
      <w:pPr>
        <w:pStyle w:val="a3"/>
        <w:spacing w:before="240" w:beforeAutospacing="0" w:after="0" w:afterAutospacing="0"/>
        <w:ind w:firstLine="555"/>
        <w:divId w:val="2002156083"/>
        <w:rPr>
          <w:sz w:val="20"/>
          <w:szCs w:val="20"/>
        </w:rPr>
      </w:pPr>
      <w:r>
        <w:rPr>
          <w:b/>
          <w:bCs/>
          <w:sz w:val="20"/>
          <w:szCs w:val="20"/>
        </w:rPr>
        <w:t>Lega</w:t>
      </w:r>
      <w:r>
        <w:rPr>
          <w:b/>
          <w:bCs/>
          <w:sz w:val="20"/>
          <w:szCs w:val="20"/>
        </w:rPr>
        <w:t>l</w:t>
      </w:r>
      <w:r>
        <w:rPr>
          <w:sz w:val="20"/>
          <w:szCs w:val="20"/>
        </w:rPr>
        <w:t>—In the normal course</w:t>
      </w:r>
      <w:r>
        <w:rPr>
          <w:sz w:val="20"/>
          <w:szCs w:val="20"/>
        </w:rPr>
        <w:t xml:space="preserve"> of business, the Company is at times subject to pending and threatened legal actions. In management’s opinion, any potential loss resulting from the resolution of these matters is not expected to have a material effect on the unaudited condensed consolida</w:t>
      </w:r>
      <w:r>
        <w:rPr>
          <w:sz w:val="20"/>
          <w:szCs w:val="20"/>
        </w:rPr>
        <w:t>ted results of operations, financial position or cash flows of the Company</w:t>
      </w:r>
      <w:r>
        <w:rPr>
          <w:sz w:val="20"/>
          <w:szCs w:val="20"/>
        </w:rPr>
        <w:t>.</w:t>
      </w:r>
    </w:p>
    <w:p w:rsidR="00000000" w:rsidRDefault="00A32496">
      <w:pPr>
        <w:pStyle w:val="a3"/>
        <w:spacing w:before="360" w:beforeAutospacing="0" w:after="0" w:afterAutospacing="0"/>
        <w:divId w:val="1784575294"/>
        <w:rPr>
          <w:sz w:val="20"/>
          <w:szCs w:val="20"/>
        </w:rPr>
      </w:pPr>
      <w:r>
        <w:rPr>
          <w:b/>
          <w:bCs/>
          <w:sz w:val="20"/>
          <w:szCs w:val="20"/>
        </w:rPr>
        <w:t>15. CONVERTIBLE AND REDEEMABLE SERIES A-2 PREFERRED STOC</w:t>
      </w:r>
      <w:r>
        <w:rPr>
          <w:b/>
          <w:bCs/>
          <w:sz w:val="20"/>
          <w:szCs w:val="20"/>
        </w:rPr>
        <w:t>K</w:t>
      </w:r>
    </w:p>
    <w:p w:rsidR="00000000" w:rsidRDefault="00A32496">
      <w:pPr>
        <w:pStyle w:val="a3"/>
        <w:spacing w:before="240" w:beforeAutospacing="0" w:after="0" w:afterAutospacing="0"/>
        <w:ind w:firstLine="555"/>
        <w:divId w:val="1784575294"/>
        <w:rPr>
          <w:sz w:val="20"/>
          <w:szCs w:val="20"/>
        </w:rPr>
      </w:pPr>
      <w:r>
        <w:rPr>
          <w:sz w:val="20"/>
          <w:szCs w:val="20"/>
        </w:rPr>
        <w:t>On April 13, 2020, the Company entered into an agreement to issue</w:t>
      </w:r>
      <w:r>
        <w:rPr>
          <w:sz w:val="20"/>
          <w:szCs w:val="20"/>
        </w:rPr>
        <w:t xml:space="preserve"> </w:t>
      </w:r>
      <w:r>
        <w:rPr>
          <w:sz w:val="20"/>
          <w:szCs w:val="20"/>
        </w:rPr>
        <w:t>17,50</w:t>
      </w:r>
      <w:r>
        <w:rPr>
          <w:sz w:val="20"/>
          <w:szCs w:val="20"/>
        </w:rPr>
        <w:t>0</w:t>
      </w:r>
      <w:r>
        <w:rPr>
          <w:sz w:val="20"/>
          <w:szCs w:val="20"/>
        </w:rPr>
        <w:t xml:space="preserve"> shares of the Convertible and Redeemable Series A</w:t>
      </w:r>
      <w:r>
        <w:rPr>
          <w:sz w:val="20"/>
          <w:szCs w:val="20"/>
        </w:rPr>
        <w:t xml:space="preserve">-2 Preferred Stock with a par value of </w:t>
      </w:r>
      <w:r>
        <w:rPr>
          <w:sz w:val="20"/>
          <w:szCs w:val="20"/>
        </w:rPr>
        <w:t>$</w:t>
      </w:r>
      <w:r>
        <w:rPr>
          <w:sz w:val="20"/>
          <w:szCs w:val="20"/>
        </w:rPr>
        <w:t>0.000</w:t>
      </w:r>
      <w:r>
        <w:rPr>
          <w:sz w:val="20"/>
          <w:szCs w:val="20"/>
        </w:rPr>
        <w:t>1</w:t>
      </w:r>
      <w:r>
        <w:rPr>
          <w:sz w:val="20"/>
          <w:szCs w:val="20"/>
        </w:rPr>
        <w:t xml:space="preserve"> per share and a detachable warrant to purchase shares of the Company’s common stock with a</w:t>
      </w:r>
      <w:r>
        <w:rPr>
          <w:sz w:val="20"/>
          <w:szCs w:val="20"/>
        </w:rPr>
        <w:t xml:space="preserve"> </w:t>
      </w:r>
      <w:r>
        <w:rPr>
          <w:sz w:val="20"/>
          <w:szCs w:val="20"/>
        </w:rPr>
        <w:t>10-yea</w:t>
      </w:r>
      <w:r>
        <w:rPr>
          <w:sz w:val="20"/>
          <w:szCs w:val="20"/>
        </w:rPr>
        <w:t>r</w:t>
      </w:r>
      <w:r>
        <w:rPr>
          <w:sz w:val="20"/>
          <w:szCs w:val="20"/>
        </w:rPr>
        <w:t xml:space="preserve"> life, in exchange for gross proceeds of </w:t>
      </w:r>
      <w:r>
        <w:rPr>
          <w:sz w:val="20"/>
          <w:szCs w:val="20"/>
        </w:rPr>
        <w:t>$</w:t>
      </w:r>
      <w:r>
        <w:rPr>
          <w:sz w:val="20"/>
          <w:szCs w:val="20"/>
        </w:rPr>
        <w:t>175.</w:t>
      </w:r>
      <w:r>
        <w:rPr>
          <w:sz w:val="20"/>
          <w:szCs w:val="20"/>
        </w:rPr>
        <w:t>0</w:t>
      </w:r>
      <w:r>
        <w:rPr>
          <w:sz w:val="20"/>
          <w:szCs w:val="20"/>
        </w:rPr>
        <w:t xml:space="preserve"> million, net of </w:t>
      </w:r>
      <w:r>
        <w:rPr>
          <w:sz w:val="20"/>
          <w:szCs w:val="20"/>
        </w:rPr>
        <w:t>$</w:t>
      </w:r>
      <w:r>
        <w:rPr>
          <w:sz w:val="20"/>
          <w:szCs w:val="20"/>
        </w:rPr>
        <w:t>1.</w:t>
      </w:r>
      <w:r>
        <w:rPr>
          <w:sz w:val="20"/>
          <w:szCs w:val="20"/>
        </w:rPr>
        <w:t>3</w:t>
      </w:r>
      <w:r>
        <w:rPr>
          <w:sz w:val="20"/>
          <w:szCs w:val="20"/>
        </w:rPr>
        <w:t xml:space="preserve"> million debt issuance costs. Before the Co</w:t>
      </w:r>
      <w:r>
        <w:rPr>
          <w:sz w:val="20"/>
          <w:szCs w:val="20"/>
        </w:rPr>
        <w:t>mpany’s IPO, each share of Convertible and Redeemable Series A-2 Preferred Stock accrued dividends at the rate of</w:t>
      </w:r>
      <w:r>
        <w:rPr>
          <w:sz w:val="20"/>
          <w:szCs w:val="20"/>
        </w:rPr>
        <w:t xml:space="preserve"> </w:t>
      </w:r>
      <w:r>
        <w:rPr>
          <w:sz w:val="20"/>
          <w:szCs w:val="20"/>
        </w:rPr>
        <w:t>15.</w:t>
      </w:r>
      <w:r>
        <w:rPr>
          <w:sz w:val="20"/>
          <w:szCs w:val="20"/>
        </w:rPr>
        <w:t>0</w:t>
      </w:r>
      <w:r>
        <w:rPr>
          <w:sz w:val="20"/>
          <w:szCs w:val="20"/>
        </w:rPr>
        <w:t>% per annum, with respect to dividends that were paid in cash, and</w:t>
      </w:r>
      <w:r>
        <w:rPr>
          <w:sz w:val="20"/>
          <w:szCs w:val="20"/>
        </w:rPr>
        <w:t xml:space="preserve"> </w:t>
      </w:r>
      <w:r>
        <w:rPr>
          <w:sz w:val="20"/>
          <w:szCs w:val="20"/>
        </w:rPr>
        <w:t>14.</w:t>
      </w:r>
      <w:r>
        <w:rPr>
          <w:sz w:val="20"/>
          <w:szCs w:val="20"/>
        </w:rPr>
        <w:t>2</w:t>
      </w:r>
      <w:r>
        <w:rPr>
          <w:sz w:val="20"/>
          <w:szCs w:val="20"/>
        </w:rPr>
        <w:t>% per annum, with respect to dividends that were accrued. The Compa</w:t>
      </w:r>
      <w:r>
        <w:rPr>
          <w:sz w:val="20"/>
          <w:szCs w:val="20"/>
        </w:rPr>
        <w:t>ny paid dividends on shares of the Convertible and Redeemable Series A-2 Preferred Stock o</w:t>
      </w:r>
      <w:r>
        <w:rPr>
          <w:sz w:val="20"/>
          <w:szCs w:val="20"/>
        </w:rPr>
        <w:t>f</w:t>
      </w:r>
      <w:r>
        <w:rPr>
          <w:sz w:val="20"/>
          <w:szCs w:val="20"/>
        </w:rPr>
        <w:t xml:space="preserve"> </w:t>
      </w:r>
      <w:r>
        <w:rPr>
          <w:sz w:val="20"/>
          <w:szCs w:val="20"/>
        </w:rPr>
        <w:t>$</w:t>
      </w:r>
      <w:r>
        <w:rPr>
          <w:sz w:val="20"/>
          <w:szCs w:val="20"/>
        </w:rPr>
        <w:t>4.</w:t>
      </w:r>
      <w:r>
        <w:rPr>
          <w:sz w:val="20"/>
          <w:szCs w:val="20"/>
        </w:rPr>
        <w:t>1</w:t>
      </w:r>
      <w:r>
        <w:rPr>
          <w:sz w:val="20"/>
          <w:szCs w:val="20"/>
        </w:rPr>
        <w:t xml:space="preserve"> million during both the three months ended September 30, 2022 and September 30, 2021, and </w:t>
      </w:r>
      <w:r>
        <w:rPr>
          <w:sz w:val="20"/>
          <w:szCs w:val="20"/>
        </w:rPr>
        <w:t>$</w:t>
      </w:r>
      <w:r>
        <w:rPr>
          <w:sz w:val="20"/>
          <w:szCs w:val="20"/>
        </w:rPr>
        <w:t>12.</w:t>
      </w:r>
      <w:r>
        <w:rPr>
          <w:sz w:val="20"/>
          <w:szCs w:val="20"/>
        </w:rPr>
        <w:t>3</w:t>
      </w:r>
      <w:r>
        <w:rPr>
          <w:sz w:val="20"/>
          <w:szCs w:val="20"/>
        </w:rPr>
        <w:t xml:space="preserve"> million during both the nine months ended September 30, 2022 an</w:t>
      </w:r>
      <w:r>
        <w:rPr>
          <w:sz w:val="20"/>
          <w:szCs w:val="20"/>
        </w:rPr>
        <w:t>d September 30, 2021</w:t>
      </w:r>
      <w:r>
        <w:rPr>
          <w:sz w:val="20"/>
          <w:szCs w:val="20"/>
        </w:rPr>
        <w:t>.</w:t>
      </w:r>
    </w:p>
    <w:p w:rsidR="00000000" w:rsidRDefault="00A32496">
      <w:pPr>
        <w:pStyle w:val="a3"/>
        <w:spacing w:before="240" w:beforeAutospacing="0" w:after="0" w:afterAutospacing="0"/>
        <w:ind w:firstLine="555"/>
        <w:divId w:val="1784575294"/>
        <w:rPr>
          <w:sz w:val="20"/>
          <w:szCs w:val="20"/>
        </w:rPr>
      </w:pPr>
      <w:r>
        <w:rPr>
          <w:sz w:val="20"/>
          <w:szCs w:val="20"/>
        </w:rPr>
        <w:t>At issuance, the Company determined that the Convertible and Redeemable Series A-2 Preferred Stock and the detachable warrant, were required to be accounted for separately</w:t>
      </w:r>
      <w:r>
        <w:rPr>
          <w:sz w:val="20"/>
          <w:szCs w:val="20"/>
        </w:rPr>
        <w:t>.</w:t>
      </w:r>
    </w:p>
    <w:p w:rsidR="00000000" w:rsidRDefault="00A32496">
      <w:pPr>
        <w:pStyle w:val="a3"/>
        <w:spacing w:before="240" w:beforeAutospacing="0" w:after="0" w:afterAutospacing="0"/>
        <w:ind w:firstLine="555"/>
        <w:divId w:val="1784575294"/>
        <w:rPr>
          <w:sz w:val="20"/>
          <w:szCs w:val="20"/>
        </w:rPr>
      </w:pPr>
      <w:r>
        <w:rPr>
          <w:sz w:val="20"/>
          <w:szCs w:val="20"/>
        </w:rPr>
        <w:t>Upon the Company’s IPO, the Convertible and Redeemable Series</w:t>
      </w:r>
      <w:r>
        <w:rPr>
          <w:sz w:val="20"/>
          <w:szCs w:val="20"/>
        </w:rPr>
        <w:t xml:space="preserve"> A-2 Preferred Stock terms automatically updated to the following: (i) no mandatory redemption, (ii) no stated value cash repayment obligation other than in the event of certain defined liquidation events, (iii) only redeemable at the Company’s option, (iv</w:t>
      </w:r>
      <w:r>
        <w:rPr>
          <w:sz w:val="20"/>
          <w:szCs w:val="20"/>
        </w:rPr>
        <w:t>) the instrument became convertible into common stock beginning on the four year anniversary of issuance at a</w:t>
      </w:r>
      <w:r>
        <w:rPr>
          <w:sz w:val="20"/>
          <w:szCs w:val="20"/>
        </w:rPr>
        <w:t xml:space="preserve"> </w:t>
      </w:r>
      <w:r>
        <w:rPr>
          <w:sz w:val="20"/>
          <w:szCs w:val="20"/>
        </w:rPr>
        <w:t>15.</w:t>
      </w:r>
      <w:r>
        <w:rPr>
          <w:sz w:val="20"/>
          <w:szCs w:val="20"/>
        </w:rPr>
        <w:t>0</w:t>
      </w:r>
      <w:r>
        <w:rPr>
          <w:sz w:val="20"/>
          <w:szCs w:val="20"/>
        </w:rPr>
        <w:t xml:space="preserve">% discount to the common stock market price (with a limit of </w:t>
      </w:r>
      <w:r>
        <w:rPr>
          <w:sz w:val="20"/>
          <w:szCs w:val="20"/>
        </w:rPr>
        <w:t>$</w:t>
      </w:r>
      <w:r>
        <w:rPr>
          <w:sz w:val="20"/>
          <w:szCs w:val="20"/>
        </w:rPr>
        <w:t>60.</w:t>
      </w:r>
      <w:r>
        <w:rPr>
          <w:sz w:val="20"/>
          <w:szCs w:val="20"/>
        </w:rPr>
        <w:t>0</w:t>
      </w:r>
      <w:r>
        <w:rPr>
          <w:sz w:val="20"/>
          <w:szCs w:val="20"/>
        </w:rPr>
        <w:t xml:space="preserve"> million in stated value of Convertible and Redeemable Series A-2 Preferred </w:t>
      </w:r>
      <w:r>
        <w:rPr>
          <w:sz w:val="20"/>
          <w:szCs w:val="20"/>
        </w:rPr>
        <w:t xml:space="preserve">Stock eligible to be converted in any 60-day period prior to the seventh anniversary of issuance and the amount of stated value of the Convertible and Redeemable Series A-2 Preferred Stock eligible for conversion limited to </w:t>
      </w:r>
      <w:r>
        <w:rPr>
          <w:sz w:val="20"/>
          <w:szCs w:val="20"/>
        </w:rPr>
        <w:t>$</w:t>
      </w:r>
      <w:r>
        <w:rPr>
          <w:sz w:val="20"/>
          <w:szCs w:val="20"/>
        </w:rPr>
        <w:t>60.</w:t>
      </w:r>
      <w:r>
        <w:rPr>
          <w:sz w:val="20"/>
          <w:szCs w:val="20"/>
        </w:rPr>
        <w:t>0</w:t>
      </w:r>
      <w:r>
        <w:rPr>
          <w:sz w:val="20"/>
          <w:szCs w:val="20"/>
        </w:rPr>
        <w:t xml:space="preserve"> million during year 5 and </w:t>
      </w:r>
      <w:r>
        <w:rPr>
          <w:sz w:val="20"/>
          <w:szCs w:val="20"/>
        </w:rPr>
        <w:t>$</w:t>
      </w:r>
      <w:r>
        <w:rPr>
          <w:sz w:val="20"/>
          <w:szCs w:val="20"/>
        </w:rPr>
        <w:t>120.</w:t>
      </w:r>
      <w:r>
        <w:rPr>
          <w:sz w:val="20"/>
          <w:szCs w:val="20"/>
        </w:rPr>
        <w:t>0</w:t>
      </w:r>
      <w:r>
        <w:rPr>
          <w:sz w:val="20"/>
          <w:szCs w:val="20"/>
        </w:rPr>
        <w:t xml:space="preserve"> million (which includes the aggregate amount of the stated value of the Convertible and Redeemable Series A-2 Preferred Stock and any accrued but unpaid dividends added to such stated value of any shares of Convertible and Redeemable Series A-2 Pref</w:t>
      </w:r>
      <w:r>
        <w:rPr>
          <w:sz w:val="20"/>
          <w:szCs w:val="20"/>
        </w:rPr>
        <w:t>erred Stock converted in year 5) during year 6), (v) the dividend rate stepped down to</w:t>
      </w:r>
      <w:r>
        <w:rPr>
          <w:sz w:val="20"/>
          <w:szCs w:val="20"/>
        </w:rPr>
        <w:t xml:space="preserve"> </w:t>
      </w:r>
      <w:r>
        <w:rPr>
          <w:sz w:val="20"/>
          <w:szCs w:val="20"/>
        </w:rPr>
        <w:t>9.</w:t>
      </w:r>
      <w:r>
        <w:rPr>
          <w:sz w:val="20"/>
          <w:szCs w:val="20"/>
        </w:rPr>
        <w:t>0</w:t>
      </w:r>
      <w:r>
        <w:rPr>
          <w:sz w:val="20"/>
          <w:szCs w:val="20"/>
        </w:rPr>
        <w:t>% per year with required quarterly cash payments, (vi) in an event of noncompliance, the dividend rate shall increase to</w:t>
      </w:r>
      <w:r>
        <w:rPr>
          <w:sz w:val="20"/>
          <w:szCs w:val="20"/>
        </w:rPr>
        <w:t xml:space="preserve"> </w:t>
      </w:r>
      <w:r>
        <w:rPr>
          <w:sz w:val="20"/>
          <w:szCs w:val="20"/>
        </w:rPr>
        <w:t>12.</w:t>
      </w:r>
      <w:r>
        <w:rPr>
          <w:sz w:val="20"/>
          <w:szCs w:val="20"/>
        </w:rPr>
        <w:t>0</w:t>
      </w:r>
      <w:r>
        <w:rPr>
          <w:sz w:val="20"/>
          <w:szCs w:val="20"/>
        </w:rPr>
        <w:t>% per annum for the first</w:t>
      </w:r>
      <w:r>
        <w:rPr>
          <w:sz w:val="20"/>
          <w:szCs w:val="20"/>
        </w:rPr>
        <w:t xml:space="preserve"> </w:t>
      </w:r>
      <w:r>
        <w:rPr>
          <w:sz w:val="20"/>
          <w:szCs w:val="20"/>
        </w:rPr>
        <w:t>90-da</w:t>
      </w:r>
      <w:r>
        <w:rPr>
          <w:sz w:val="20"/>
          <w:szCs w:val="20"/>
        </w:rPr>
        <w:t>y</w:t>
      </w:r>
      <w:r>
        <w:rPr>
          <w:sz w:val="20"/>
          <w:szCs w:val="20"/>
        </w:rPr>
        <w:t xml:space="preserve"> period f</w:t>
      </w:r>
      <w:r>
        <w:rPr>
          <w:sz w:val="20"/>
          <w:szCs w:val="20"/>
        </w:rPr>
        <w:t>rom and including the date the noncompliance event occurred, and thereafter shall increase to</w:t>
      </w:r>
      <w:r>
        <w:rPr>
          <w:sz w:val="20"/>
          <w:szCs w:val="20"/>
        </w:rPr>
        <w:t xml:space="preserve"> </w:t>
      </w:r>
      <w:r>
        <w:rPr>
          <w:sz w:val="20"/>
          <w:szCs w:val="20"/>
        </w:rPr>
        <w:t>14.</w:t>
      </w:r>
      <w:r>
        <w:rPr>
          <w:sz w:val="20"/>
          <w:szCs w:val="20"/>
        </w:rPr>
        <w:t>0</w:t>
      </w:r>
      <w:r>
        <w:rPr>
          <w:sz w:val="20"/>
          <w:szCs w:val="20"/>
        </w:rPr>
        <w:t>% per annum, (vii) the debt incurrence test ratio increased to</w:t>
      </w:r>
      <w:r>
        <w:rPr>
          <w:sz w:val="20"/>
          <w:szCs w:val="20"/>
        </w:rPr>
        <w:t xml:space="preserve"> </w:t>
      </w:r>
      <w:r>
        <w:rPr>
          <w:sz w:val="20"/>
          <w:szCs w:val="20"/>
        </w:rPr>
        <w:t>4.</w:t>
      </w:r>
      <w:r>
        <w:rPr>
          <w:sz w:val="20"/>
          <w:szCs w:val="20"/>
        </w:rPr>
        <w:t>5</w:t>
      </w:r>
      <w:r>
        <w:rPr>
          <w:sz w:val="20"/>
          <w:szCs w:val="20"/>
        </w:rPr>
        <w:t xml:space="preserve"> times, (viii) the total leverage cap covenant was removed, and (ix) minimum repayment amoun</w:t>
      </w:r>
      <w:r>
        <w:rPr>
          <w:sz w:val="20"/>
          <w:szCs w:val="20"/>
        </w:rPr>
        <w:t xml:space="preserve">t dropped down from </w:t>
      </w:r>
      <w:r>
        <w:rPr>
          <w:sz w:val="20"/>
          <w:szCs w:val="20"/>
        </w:rPr>
        <w:t>$</w:t>
      </w:r>
      <w:r>
        <w:rPr>
          <w:sz w:val="20"/>
          <w:szCs w:val="20"/>
        </w:rPr>
        <w:t>50.</w:t>
      </w:r>
      <w:r>
        <w:rPr>
          <w:sz w:val="20"/>
          <w:szCs w:val="20"/>
        </w:rPr>
        <w:t>0</w:t>
      </w:r>
      <w:r>
        <w:rPr>
          <w:sz w:val="20"/>
          <w:szCs w:val="20"/>
        </w:rPr>
        <w:t xml:space="preserve"> million to </w:t>
      </w:r>
      <w:r>
        <w:rPr>
          <w:sz w:val="20"/>
          <w:szCs w:val="20"/>
        </w:rPr>
        <w:t>$</w:t>
      </w:r>
      <w:r>
        <w:rPr>
          <w:sz w:val="20"/>
          <w:szCs w:val="20"/>
        </w:rPr>
        <w:t>25.</w:t>
      </w:r>
      <w:r>
        <w:rPr>
          <w:sz w:val="20"/>
          <w:szCs w:val="20"/>
        </w:rPr>
        <w:t>0</w:t>
      </w:r>
      <w:r>
        <w:rPr>
          <w:sz w:val="20"/>
          <w:szCs w:val="20"/>
        </w:rPr>
        <w:t xml:space="preserve"> million</w:t>
      </w:r>
      <w:r>
        <w:rPr>
          <w:sz w:val="20"/>
          <w:szCs w:val="20"/>
        </w:rPr>
        <w:t>.</w:t>
      </w:r>
    </w:p>
    <w:p w:rsidR="00000000" w:rsidRDefault="00A32496">
      <w:pPr>
        <w:pStyle w:val="a3"/>
        <w:spacing w:before="240" w:beforeAutospacing="0" w:after="0" w:afterAutospacing="0"/>
        <w:ind w:firstLine="555"/>
        <w:divId w:val="1784575294"/>
        <w:rPr>
          <w:sz w:val="20"/>
          <w:szCs w:val="20"/>
        </w:rPr>
      </w:pPr>
      <w:r>
        <w:rPr>
          <w:sz w:val="20"/>
          <w:szCs w:val="20"/>
        </w:rPr>
        <w:t xml:space="preserve">The Company may, at its option on any one or more dates, redeem all or a minimum portion (the lesser of (i) </w:t>
      </w:r>
      <w:r>
        <w:rPr>
          <w:sz w:val="20"/>
          <w:szCs w:val="20"/>
        </w:rPr>
        <w:t>$</w:t>
      </w:r>
      <w:r>
        <w:rPr>
          <w:sz w:val="20"/>
          <w:szCs w:val="20"/>
        </w:rPr>
        <w:t>25.</w:t>
      </w:r>
      <w:r>
        <w:rPr>
          <w:sz w:val="20"/>
          <w:szCs w:val="20"/>
        </w:rPr>
        <w:t>0</w:t>
      </w:r>
      <w:r>
        <w:rPr>
          <w:sz w:val="20"/>
          <w:szCs w:val="20"/>
        </w:rPr>
        <w:t xml:space="preserve"> million in aggregate stated value of the Convertible and Redeemable Series A-2 Preferred S</w:t>
      </w:r>
      <w:r>
        <w:rPr>
          <w:sz w:val="20"/>
          <w:szCs w:val="20"/>
        </w:rPr>
        <w:t>tock and (ii) all of the Convertible and Redeemable Series A-2 Preferred Stock then outstanding) of the outstanding Convertible and Redeemable Series A-2 Preferred Stock in cash</w:t>
      </w:r>
      <w:r>
        <w:rPr>
          <w:sz w:val="20"/>
          <w:szCs w:val="20"/>
        </w:rPr>
        <w:t>.</w:t>
      </w:r>
    </w:p>
    <w:p w:rsidR="00000000" w:rsidRDefault="00A32496">
      <w:pPr>
        <w:pStyle w:val="a3"/>
        <w:spacing w:before="240" w:beforeAutospacing="0" w:after="0" w:afterAutospacing="0"/>
        <w:jc w:val="center"/>
        <w:divId w:val="1784575294"/>
        <w:rPr>
          <w:sz w:val="20"/>
          <w:szCs w:val="20"/>
        </w:rPr>
      </w:pPr>
      <w:r>
        <w:rPr>
          <w:sz w:val="20"/>
          <w:szCs w:val="20"/>
        </w:rPr>
        <w:t>2</w:t>
      </w:r>
      <w:r>
        <w:rPr>
          <w:sz w:val="20"/>
          <w:szCs w:val="20"/>
        </w:rPr>
        <w:t>1</w:t>
      </w:r>
    </w:p>
    <w:p w:rsidR="00000000" w:rsidRDefault="00A32496">
      <w:pPr>
        <w:divId w:val="1784575294"/>
        <w:rPr>
          <w:rFonts w:eastAsia="Times New Roman"/>
        </w:rPr>
      </w:pPr>
      <w:r>
        <w:rPr>
          <w:rFonts w:eastAsia="Times New Roman"/>
        </w:rPr>
        <w:pict>
          <v:rect id="_x0000_i1047" style="width:0;height:1.5pt" o:hralign="center" o:hrstd="t" o:hr="t" fillcolor="#a0a0a0" stroked="f"/>
        </w:pict>
      </w:r>
    </w:p>
    <w:p w:rsidR="00000000" w:rsidRDefault="00A32496">
      <w:pPr>
        <w:pStyle w:val="a3"/>
        <w:spacing w:before="0" w:beforeAutospacing="0" w:after="0" w:afterAutospacing="0"/>
        <w:divId w:val="1784575294"/>
        <w:rPr>
          <w:sz w:val="20"/>
          <w:szCs w:val="20"/>
        </w:rPr>
      </w:pPr>
      <w:r>
        <w:rPr>
          <w:sz w:val="20"/>
          <w:szCs w:val="20"/>
        </w:rPr>
        <w:t> </w:t>
      </w:r>
    </w:p>
    <w:p w:rsidR="00000000" w:rsidRDefault="00A32496">
      <w:pPr>
        <w:pStyle w:val="a3"/>
        <w:spacing w:before="240" w:beforeAutospacing="0" w:after="0" w:afterAutospacing="0"/>
        <w:ind w:firstLine="555"/>
        <w:divId w:val="795099824"/>
        <w:rPr>
          <w:sz w:val="20"/>
          <w:szCs w:val="20"/>
        </w:rPr>
      </w:pPr>
      <w:r>
        <w:rPr>
          <w:sz w:val="20"/>
          <w:szCs w:val="20"/>
        </w:rPr>
        <w:t>With respect to any redemption of an</w:t>
      </w:r>
      <w:r>
        <w:rPr>
          <w:sz w:val="20"/>
          <w:szCs w:val="20"/>
        </w:rPr>
        <w:t>y share of the Convertible and Redeemable Series A-2 Preferred Stock prior to the third-year anniversary, the Company is subject to a make whole penalty in which the holders of the Convertible and Redeemable Series A-2 Preferred Stock are guaranteed a mini</w:t>
      </w:r>
      <w:r>
        <w:rPr>
          <w:sz w:val="20"/>
          <w:szCs w:val="20"/>
        </w:rPr>
        <w:t>mum repayment equal to outstanding redeemed stated value plus three years of dividends accrued or accruable thereon</w:t>
      </w:r>
      <w:r>
        <w:rPr>
          <w:sz w:val="20"/>
          <w:szCs w:val="20"/>
        </w:rPr>
        <w:t>.</w:t>
      </w:r>
    </w:p>
    <w:p w:rsidR="00000000" w:rsidRDefault="00A32496">
      <w:pPr>
        <w:pStyle w:val="a3"/>
        <w:spacing w:before="240" w:beforeAutospacing="0" w:after="0" w:afterAutospacing="0"/>
        <w:ind w:firstLine="555"/>
        <w:divId w:val="1784575294"/>
        <w:rPr>
          <w:sz w:val="20"/>
          <w:szCs w:val="20"/>
        </w:rPr>
      </w:pPr>
      <w:r>
        <w:rPr>
          <w:sz w:val="20"/>
          <w:szCs w:val="20"/>
        </w:rPr>
        <w:t xml:space="preserve">The Convertible and Redeemable Series A-2 Preferred Stock does not meet the definition of a liability pursuant to “ASC 480- Distinguishing </w:t>
      </w:r>
      <w:r>
        <w:rPr>
          <w:sz w:val="20"/>
          <w:szCs w:val="20"/>
        </w:rPr>
        <w:t>Liabilities from Equity.” However, as (i) the instrument is redeemable upon a change of control as defined in the certificate of designations governing the terms of the Convertible and Redeemable Series A-2 Preferred Stock, and (ii) the Company cannot asse</w:t>
      </w:r>
      <w:r>
        <w:rPr>
          <w:sz w:val="20"/>
          <w:szCs w:val="20"/>
        </w:rPr>
        <w:t>rt it would have sufficient authorized and unissued shares of common stock to settle all future conversion requests due to the variable conversion terms, the instrument is redeemable upon the occurrence of events that are not solely within the control of t</w:t>
      </w:r>
      <w:r>
        <w:rPr>
          <w:sz w:val="20"/>
          <w:szCs w:val="20"/>
        </w:rPr>
        <w:t xml:space="preserve">he Company, and therefore the Company classifies the Convertible and Redeemable Series A-2 Preferred Stock as mezzanine equity. Subsequent adjustment of the carrying value of the instrument is required if the instrument is probable of becoming redeemable. </w:t>
      </w:r>
      <w:r>
        <w:rPr>
          <w:sz w:val="20"/>
          <w:szCs w:val="20"/>
        </w:rPr>
        <w:t>As of September 30, 2022, the Company has determined that a change of control is not probable. Additionally, as of September 30, 2022, the Company has determined that it is not probable that there will be a future conversion request that the Company is una</w:t>
      </w:r>
      <w:r>
        <w:rPr>
          <w:sz w:val="20"/>
          <w:szCs w:val="20"/>
        </w:rPr>
        <w:t>ble to settle with authorized and issued shares based on the Company’s current stock price and available shares as well as the Company’s monitoring efforts to ensure there are a sufficient number of shares available to settle any conversion request. Theref</w:t>
      </w:r>
      <w:r>
        <w:rPr>
          <w:sz w:val="20"/>
          <w:szCs w:val="20"/>
        </w:rPr>
        <w:t>ore, as of September 30, 2022, the Company has determined that the instrument is not probable of becoming redeemable, and does not believe subsequent adjustment of the carrying value of the instrument will be necessary. The Convertible and Redeemable Serie</w:t>
      </w:r>
      <w:r>
        <w:rPr>
          <w:sz w:val="20"/>
          <w:szCs w:val="20"/>
        </w:rPr>
        <w:t xml:space="preserve">s A-2 Preferred Stock had an aggregate liquidation preference of </w:t>
      </w:r>
      <w:r>
        <w:rPr>
          <w:sz w:val="20"/>
          <w:szCs w:val="20"/>
        </w:rPr>
        <w:t>$</w:t>
      </w:r>
      <w:r>
        <w:rPr>
          <w:sz w:val="20"/>
          <w:szCs w:val="20"/>
        </w:rPr>
        <w:t>182.</w:t>
      </w:r>
      <w:r>
        <w:rPr>
          <w:sz w:val="20"/>
          <w:szCs w:val="20"/>
        </w:rPr>
        <w:t>2</w:t>
      </w:r>
      <w:r>
        <w:rPr>
          <w:sz w:val="20"/>
          <w:szCs w:val="20"/>
        </w:rPr>
        <w:t xml:space="preserve"> million as of September 30, 2022 and December 31, 2021</w:t>
      </w:r>
      <w:r>
        <w:rPr>
          <w:sz w:val="20"/>
          <w:szCs w:val="20"/>
        </w:rPr>
        <w:t>.</w:t>
      </w:r>
    </w:p>
    <w:p w:rsidR="00000000" w:rsidRDefault="00A32496">
      <w:pPr>
        <w:pStyle w:val="a3"/>
        <w:spacing w:before="240" w:beforeAutospacing="0" w:after="0" w:afterAutospacing="0"/>
        <w:ind w:firstLine="555"/>
        <w:divId w:val="1784575294"/>
        <w:rPr>
          <w:sz w:val="20"/>
          <w:szCs w:val="20"/>
        </w:rPr>
      </w:pPr>
      <w:r>
        <w:rPr>
          <w:sz w:val="20"/>
          <w:szCs w:val="20"/>
        </w:rPr>
        <w:t xml:space="preserve">The Convertible and Redeemable Series A-2 Preferred Stock contains embedded features that are required to be bifurcated and are </w:t>
      </w:r>
      <w:r>
        <w:rPr>
          <w:sz w:val="20"/>
          <w:szCs w:val="20"/>
        </w:rPr>
        <w:t>subject to separate accounting treatment from the instrument itself. At issuance, these embedded features consisted of (i) a contingent dividend feature associated with the decrease in the dividend rate upon an IPO and (ii) a conversion option of the prefe</w:t>
      </w:r>
      <w:r>
        <w:rPr>
          <w:sz w:val="20"/>
          <w:szCs w:val="20"/>
        </w:rPr>
        <w:t>rred shares to shares of common stock beginning on the fourth-year anniversary of the issuance date. Upon the Company’s IPO, the embedded derivative only consisted of the conversion option. As of September 30, 2022 and December 31, 2021, this conversion em</w:t>
      </w:r>
      <w:r>
        <w:rPr>
          <w:sz w:val="20"/>
          <w:szCs w:val="20"/>
        </w:rPr>
        <w:t xml:space="preserve">bedded feature had a net fair value of </w:t>
      </w:r>
      <w:r>
        <w:rPr>
          <w:sz w:val="20"/>
          <w:szCs w:val="20"/>
        </w:rPr>
        <w:t>$</w:t>
      </w:r>
      <w:r>
        <w:rPr>
          <w:sz w:val="20"/>
          <w:szCs w:val="20"/>
        </w:rPr>
        <w:t>24.</w:t>
      </w:r>
      <w:r>
        <w:rPr>
          <w:sz w:val="20"/>
          <w:szCs w:val="20"/>
        </w:rPr>
        <w:t>7</w:t>
      </w:r>
      <w:r>
        <w:rPr>
          <w:sz w:val="20"/>
          <w:szCs w:val="20"/>
        </w:rPr>
        <w:t xml:space="preserve"> million and </w:t>
      </w:r>
      <w:r>
        <w:rPr>
          <w:sz w:val="20"/>
          <w:szCs w:val="20"/>
        </w:rPr>
        <w:t>$</w:t>
      </w:r>
      <w:r>
        <w:rPr>
          <w:sz w:val="20"/>
          <w:szCs w:val="20"/>
        </w:rPr>
        <w:t>23.</w:t>
      </w:r>
      <w:r>
        <w:rPr>
          <w:sz w:val="20"/>
          <w:szCs w:val="20"/>
        </w:rPr>
        <w:t>1</w:t>
      </w:r>
      <w:r>
        <w:rPr>
          <w:sz w:val="20"/>
          <w:szCs w:val="20"/>
        </w:rPr>
        <w:t xml:space="preserve"> million, </w:t>
      </w:r>
      <w:r>
        <w:rPr>
          <w:sz w:val="20"/>
          <w:szCs w:val="20"/>
        </w:rPr>
        <w:t>r</w:t>
      </w:r>
      <w:r>
        <w:rPr>
          <w:sz w:val="20"/>
          <w:szCs w:val="20"/>
        </w:rPr>
        <w:t xml:space="preserve">espectively. The change in value of </w:t>
      </w:r>
      <w:r>
        <w:rPr>
          <w:sz w:val="20"/>
          <w:szCs w:val="20"/>
        </w:rPr>
        <w:t>$</w:t>
      </w:r>
      <w:r>
        <w:rPr>
          <w:sz w:val="20"/>
          <w:szCs w:val="20"/>
        </w:rPr>
        <w:t>0.</w:t>
      </w:r>
      <w:r>
        <w:rPr>
          <w:sz w:val="20"/>
          <w:szCs w:val="20"/>
        </w:rPr>
        <w:t>5</w:t>
      </w:r>
      <w:r>
        <w:rPr>
          <w:sz w:val="20"/>
          <w:szCs w:val="20"/>
        </w:rPr>
        <w:t xml:space="preserve"> million and </w:t>
      </w:r>
      <w:r>
        <w:rPr>
          <w:sz w:val="20"/>
          <w:szCs w:val="20"/>
        </w:rPr>
        <w:t>$</w:t>
      </w:r>
      <w:r>
        <w:rPr>
          <w:sz w:val="20"/>
          <w:szCs w:val="20"/>
        </w:rPr>
        <w:t>1.</w:t>
      </w:r>
      <w:r>
        <w:rPr>
          <w:sz w:val="20"/>
          <w:szCs w:val="20"/>
        </w:rPr>
        <w:t>6</w:t>
      </w:r>
      <w:r>
        <w:rPr>
          <w:sz w:val="20"/>
          <w:szCs w:val="20"/>
        </w:rPr>
        <w:t xml:space="preserve"> million for the three and nine months ended September 30, 2022, respectivel</w:t>
      </w:r>
      <w:r>
        <w:rPr>
          <w:sz w:val="20"/>
          <w:szCs w:val="20"/>
        </w:rPr>
        <w:t>y</w:t>
      </w:r>
      <w:r>
        <w:rPr>
          <w:sz w:val="20"/>
          <w:szCs w:val="20"/>
        </w:rPr>
        <w:t>, was recorded to other expense</w:t>
      </w:r>
      <w:r>
        <w:rPr>
          <w:sz w:val="20"/>
          <w:szCs w:val="20"/>
        </w:rPr>
        <w:t>.</w:t>
      </w:r>
      <w:r>
        <w:rPr>
          <w:sz w:val="20"/>
          <w:szCs w:val="20"/>
        </w:rPr>
        <w:t xml:space="preserve"> </w:t>
      </w:r>
    </w:p>
    <w:p w:rsidR="00000000" w:rsidRDefault="00A32496">
      <w:pPr>
        <w:pStyle w:val="a3"/>
        <w:spacing w:before="0" w:beforeAutospacing="0" w:after="0" w:afterAutospacing="0"/>
        <w:ind w:firstLine="555"/>
        <w:rPr>
          <w:sz w:val="20"/>
          <w:szCs w:val="20"/>
        </w:rPr>
      </w:pPr>
      <w:r>
        <w:rPr>
          <w:sz w:val="20"/>
          <w:szCs w:val="20"/>
        </w:rPr>
        <w:t> </w:t>
      </w:r>
    </w:p>
    <w:p w:rsidR="00000000" w:rsidRDefault="00A32496">
      <w:pPr>
        <w:pStyle w:val="a3"/>
        <w:spacing w:before="240" w:beforeAutospacing="0" w:after="0" w:afterAutospacing="0"/>
        <w:jc w:val="center"/>
        <w:rPr>
          <w:sz w:val="20"/>
          <w:szCs w:val="20"/>
        </w:rPr>
      </w:pPr>
      <w:r>
        <w:rPr>
          <w:sz w:val="20"/>
          <w:szCs w:val="20"/>
        </w:rPr>
        <w:t>2</w:t>
      </w:r>
      <w:r>
        <w:rPr>
          <w:sz w:val="20"/>
          <w:szCs w:val="20"/>
        </w:rPr>
        <w:t>2</w:t>
      </w:r>
    </w:p>
    <w:p w:rsidR="00000000" w:rsidRDefault="00A32496">
      <w:pPr>
        <w:rPr>
          <w:rFonts w:eastAsia="Times New Roman"/>
        </w:rPr>
      </w:pPr>
      <w:r>
        <w:rPr>
          <w:rFonts w:eastAsia="Times New Roman"/>
        </w:rPr>
        <w:pict>
          <v:rect id="_x0000_i1048" style="width:0;height:1.5pt" o:hralign="center" o:hrstd="t" o:hr="t" fillcolor="#a0a0a0" stroked="f"/>
        </w:pict>
      </w:r>
    </w:p>
    <w:p w:rsidR="00000000" w:rsidRDefault="00A32496">
      <w:pPr>
        <w:pStyle w:val="a3"/>
        <w:spacing w:before="0" w:beforeAutospacing="0" w:after="0" w:afterAutospacing="0"/>
        <w:rPr>
          <w:sz w:val="20"/>
          <w:szCs w:val="20"/>
        </w:rPr>
      </w:pPr>
      <w:r>
        <w:rPr>
          <w:sz w:val="20"/>
          <w:szCs w:val="20"/>
        </w:rPr>
        <w:t> </w:t>
      </w:r>
    </w:p>
    <w:p w:rsidR="00000000" w:rsidRDefault="00A32496">
      <w:pPr>
        <w:pStyle w:val="a3"/>
        <w:spacing w:before="360" w:beforeAutospacing="0" w:after="0" w:afterAutospacing="0"/>
        <w:divId w:val="1102339258"/>
        <w:rPr>
          <w:sz w:val="20"/>
          <w:szCs w:val="20"/>
        </w:rPr>
      </w:pPr>
      <w:r>
        <w:rPr>
          <w:b/>
          <w:bCs/>
          <w:sz w:val="20"/>
          <w:szCs w:val="20"/>
        </w:rPr>
        <w:t>16. STOCKHOLDERS’ EQUIT</w:t>
      </w:r>
      <w:r>
        <w:rPr>
          <w:b/>
          <w:bCs/>
          <w:sz w:val="20"/>
          <w:szCs w:val="20"/>
        </w:rPr>
        <w:t>Y</w:t>
      </w:r>
    </w:p>
    <w:p w:rsidR="00000000" w:rsidRDefault="00A32496">
      <w:pPr>
        <w:pStyle w:val="a3"/>
        <w:spacing w:before="240" w:beforeAutospacing="0" w:after="0" w:afterAutospacing="0"/>
        <w:ind w:firstLine="555"/>
        <w:divId w:val="1102339258"/>
        <w:rPr>
          <w:sz w:val="20"/>
          <w:szCs w:val="20"/>
        </w:rPr>
      </w:pPr>
      <w:r>
        <w:rPr>
          <w:b/>
          <w:bCs/>
          <w:sz w:val="20"/>
          <w:szCs w:val="20"/>
        </w:rPr>
        <w:t>Authorized Capital Stock</w:t>
      </w:r>
      <w:r>
        <w:rPr>
          <w:b/>
          <w:bCs/>
          <w:sz w:val="20"/>
          <w:szCs w:val="20"/>
        </w:rPr>
        <w:t>—</w:t>
      </w:r>
      <w:r>
        <w:rPr>
          <w:sz w:val="20"/>
          <w:szCs w:val="20"/>
        </w:rPr>
        <w:t>The Company was authorized to issue</w:t>
      </w:r>
      <w:r>
        <w:rPr>
          <w:sz w:val="20"/>
          <w:szCs w:val="20"/>
        </w:rPr>
        <w:t xml:space="preserve"> </w:t>
      </w:r>
      <w:r>
        <w:rPr>
          <w:sz w:val="20"/>
          <w:szCs w:val="20"/>
        </w:rPr>
        <w:t>190,000,00</w:t>
      </w:r>
      <w:r>
        <w:rPr>
          <w:sz w:val="20"/>
          <w:szCs w:val="20"/>
        </w:rPr>
        <w:t>0</w:t>
      </w:r>
      <w:r>
        <w:rPr>
          <w:sz w:val="20"/>
          <w:szCs w:val="20"/>
        </w:rPr>
        <w:t xml:space="preserve"> shares of common stock, with a par value of </w:t>
      </w:r>
      <w:r>
        <w:rPr>
          <w:sz w:val="20"/>
          <w:szCs w:val="20"/>
        </w:rPr>
        <w:t>$</w:t>
      </w:r>
      <w:r>
        <w:rPr>
          <w:sz w:val="20"/>
          <w:szCs w:val="20"/>
        </w:rPr>
        <w:t>0.00000</w:t>
      </w:r>
      <w:r>
        <w:rPr>
          <w:sz w:val="20"/>
          <w:szCs w:val="20"/>
        </w:rPr>
        <w:t>4</w:t>
      </w:r>
      <w:r>
        <w:rPr>
          <w:sz w:val="20"/>
          <w:szCs w:val="20"/>
        </w:rPr>
        <w:t xml:space="preserve"> per share as of</w:t>
      </w:r>
      <w:r>
        <w:rPr>
          <w:sz w:val="20"/>
          <w:szCs w:val="20"/>
        </w:rPr>
        <w:t xml:space="preserve"> </w:t>
      </w:r>
      <w:r>
        <w:rPr>
          <w:sz w:val="20"/>
          <w:szCs w:val="20"/>
        </w:rPr>
        <w:t>September 30, 2022 and December 31, 2021</w:t>
      </w:r>
      <w:r>
        <w:rPr>
          <w:sz w:val="20"/>
          <w:szCs w:val="20"/>
        </w:rPr>
        <w:t>.</w:t>
      </w:r>
    </w:p>
    <w:p w:rsidR="00000000" w:rsidRDefault="00A32496">
      <w:pPr>
        <w:pStyle w:val="a3"/>
        <w:spacing w:before="240" w:beforeAutospacing="0" w:after="0" w:afterAutospacing="0"/>
        <w:ind w:firstLine="555"/>
        <w:divId w:val="1102339258"/>
        <w:rPr>
          <w:sz w:val="20"/>
          <w:szCs w:val="20"/>
        </w:rPr>
      </w:pPr>
      <w:r>
        <w:rPr>
          <w:b/>
          <w:bCs/>
          <w:sz w:val="20"/>
          <w:szCs w:val="20"/>
        </w:rPr>
        <w:t>Warrants</w:t>
      </w:r>
      <w:r>
        <w:rPr>
          <w:b/>
          <w:bCs/>
          <w:sz w:val="20"/>
          <w:szCs w:val="20"/>
        </w:rPr>
        <w:t>—</w:t>
      </w:r>
      <w:r>
        <w:rPr>
          <w:sz w:val="20"/>
          <w:szCs w:val="20"/>
        </w:rPr>
        <w:t>In May 2015, the Company issued warrants to acquire</w:t>
      </w:r>
      <w:r>
        <w:rPr>
          <w:sz w:val="20"/>
          <w:szCs w:val="20"/>
        </w:rPr>
        <w:t xml:space="preserve"> </w:t>
      </w:r>
      <w:r>
        <w:rPr>
          <w:sz w:val="20"/>
          <w:szCs w:val="20"/>
        </w:rPr>
        <w:t>116,35</w:t>
      </w:r>
      <w:r>
        <w:rPr>
          <w:sz w:val="20"/>
          <w:szCs w:val="20"/>
        </w:rPr>
        <w:t>0</w:t>
      </w:r>
      <w:r>
        <w:rPr>
          <w:sz w:val="20"/>
          <w:szCs w:val="20"/>
        </w:rPr>
        <w:t xml:space="preserve"> shares of Common Stock at a price of approximately </w:t>
      </w:r>
      <w:r>
        <w:rPr>
          <w:sz w:val="20"/>
          <w:szCs w:val="20"/>
        </w:rPr>
        <w:t>$</w:t>
      </w:r>
      <w:r>
        <w:rPr>
          <w:sz w:val="20"/>
          <w:szCs w:val="20"/>
        </w:rPr>
        <w:t>17.1</w:t>
      </w:r>
      <w:r>
        <w:rPr>
          <w:sz w:val="20"/>
          <w:szCs w:val="20"/>
        </w:rPr>
        <w:t>9</w:t>
      </w:r>
      <w:r>
        <w:rPr>
          <w:sz w:val="20"/>
          <w:szCs w:val="20"/>
        </w:rPr>
        <w:t xml:space="preserve"> per share to the placement agent as consideration for backstopping the financing completed in May 2015. These warrants were exercised in </w:t>
      </w:r>
      <w:r>
        <w:rPr>
          <w:sz w:val="20"/>
          <w:szCs w:val="20"/>
        </w:rPr>
        <w:t>full as a cashless transaction during the first quarter of 2021. As a result of this cashless transaction, the resulting number of shares issued was</w:t>
      </w:r>
      <w:r>
        <w:rPr>
          <w:sz w:val="20"/>
          <w:szCs w:val="20"/>
        </w:rPr>
        <w:t xml:space="preserve"> </w:t>
      </w:r>
      <w:r>
        <w:rPr>
          <w:sz w:val="20"/>
          <w:szCs w:val="20"/>
        </w:rPr>
        <w:t>67,71</w:t>
      </w:r>
      <w:r>
        <w:rPr>
          <w:sz w:val="20"/>
          <w:szCs w:val="20"/>
        </w:rPr>
        <w:t>3</w:t>
      </w:r>
      <w:r>
        <w:rPr>
          <w:sz w:val="20"/>
          <w:szCs w:val="20"/>
        </w:rPr>
        <w:t xml:space="preserve"> shares</w:t>
      </w:r>
      <w:r>
        <w:rPr>
          <w:sz w:val="20"/>
          <w:szCs w:val="20"/>
        </w:rPr>
        <w:t>.</w:t>
      </w:r>
    </w:p>
    <w:p w:rsidR="00000000" w:rsidRDefault="00A32496">
      <w:pPr>
        <w:pStyle w:val="a3"/>
        <w:spacing w:before="240" w:beforeAutospacing="0" w:after="0" w:afterAutospacing="0"/>
        <w:ind w:firstLine="555"/>
        <w:divId w:val="1102339258"/>
        <w:rPr>
          <w:sz w:val="20"/>
          <w:szCs w:val="20"/>
        </w:rPr>
      </w:pPr>
      <w:r>
        <w:rPr>
          <w:b/>
          <w:bCs/>
          <w:sz w:val="20"/>
          <w:szCs w:val="20"/>
        </w:rPr>
        <w:t>Common Stock Issuance</w:t>
      </w:r>
      <w:r>
        <w:rPr>
          <w:b/>
          <w:bCs/>
          <w:sz w:val="20"/>
          <w:szCs w:val="20"/>
        </w:rPr>
        <w:t>s</w:t>
      </w:r>
      <w:r>
        <w:rPr>
          <w:sz w:val="20"/>
          <w:szCs w:val="20"/>
        </w:rPr>
        <w:t>—</w:t>
      </w:r>
      <w:r>
        <w:rPr>
          <w:sz w:val="20"/>
          <w:szCs w:val="20"/>
        </w:rPr>
        <w:t>The Company issued the following shares of common stock</w:t>
      </w:r>
      <w:r>
        <w:rPr>
          <w:sz w:val="20"/>
          <w:szCs w:val="20"/>
        </w:rPr>
        <w:t>:</w:t>
      </w:r>
    </w:p>
    <w:p w:rsidR="00000000" w:rsidRDefault="00A32496">
      <w:pPr>
        <w:pStyle w:val="a3"/>
        <w:spacing w:before="0" w:beforeAutospacing="0" w:after="0" w:afterAutospacing="0"/>
        <w:divId w:val="247736429"/>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223"/>
        <w:gridCol w:w="105"/>
        <w:gridCol w:w="555"/>
        <w:gridCol w:w="105"/>
        <w:gridCol w:w="105"/>
        <w:gridCol w:w="151"/>
        <w:gridCol w:w="611"/>
        <w:gridCol w:w="105"/>
        <w:gridCol w:w="105"/>
        <w:gridCol w:w="151"/>
        <w:gridCol w:w="803"/>
        <w:gridCol w:w="105"/>
        <w:gridCol w:w="105"/>
        <w:gridCol w:w="105"/>
        <w:gridCol w:w="780"/>
        <w:gridCol w:w="105"/>
        <w:gridCol w:w="105"/>
        <w:gridCol w:w="151"/>
        <w:gridCol w:w="611"/>
        <w:gridCol w:w="105"/>
        <w:gridCol w:w="105"/>
        <w:gridCol w:w="151"/>
        <w:gridCol w:w="803"/>
        <w:gridCol w:w="105"/>
        <w:gridCol w:w="120"/>
      </w:tblGrid>
      <w:tr w:rsidR="00000000">
        <w:trPr>
          <w:divId w:val="247736429"/>
          <w:tblCellSpacing w:w="15" w:type="dxa"/>
        </w:trPr>
        <w:tc>
          <w:tcPr>
            <w:tcW w:w="1086" w:type="pct"/>
            <w:vAlign w:val="center"/>
            <w:hideMark/>
          </w:tcPr>
          <w:p w:rsidR="00000000" w:rsidRDefault="00A32496">
            <w:pPr>
              <w:rPr>
                <w:sz w:val="20"/>
                <w:szCs w:val="20"/>
              </w:rPr>
            </w:pPr>
          </w:p>
        </w:tc>
        <w:tc>
          <w:tcPr>
            <w:tcW w:w="50" w:type="pct"/>
            <w:vAlign w:val="center"/>
            <w:hideMark/>
          </w:tcPr>
          <w:p w:rsidR="00000000" w:rsidRDefault="00A32496">
            <w:pPr>
              <w:rPr>
                <w:rFonts w:eastAsia="Times New Roman"/>
                <w:sz w:val="20"/>
                <w:szCs w:val="20"/>
              </w:rPr>
            </w:pPr>
          </w:p>
        </w:tc>
        <w:tc>
          <w:tcPr>
            <w:tcW w:w="416"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9"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495"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9"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70"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412"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9"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495"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9"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73"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61" w:type="pct"/>
            <w:vAlign w:val="center"/>
            <w:hideMark/>
          </w:tcPr>
          <w:p w:rsidR="00000000" w:rsidRDefault="00A32496">
            <w:pPr>
              <w:rPr>
                <w:rFonts w:eastAsia="Times New Roman"/>
                <w:sz w:val="20"/>
                <w:szCs w:val="20"/>
              </w:rPr>
            </w:pPr>
          </w:p>
        </w:tc>
      </w:tr>
      <w:tr w:rsidR="00000000">
        <w:trPr>
          <w:divId w:val="247736429"/>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gridSpan w:val="22"/>
            <w:vAlign w:val="bottom"/>
            <w:hideMark/>
          </w:tcPr>
          <w:p w:rsidR="00000000" w:rsidRDefault="00A32496">
            <w:pPr>
              <w:pStyle w:val="a3"/>
              <w:spacing w:before="0" w:beforeAutospacing="0" w:after="0" w:afterAutospacing="0"/>
              <w:jc w:val="center"/>
              <w:rPr>
                <w:sz w:val="18"/>
                <w:szCs w:val="18"/>
              </w:rPr>
            </w:pPr>
            <w:r>
              <w:rPr>
                <w:b/>
                <w:bCs/>
                <w:sz w:val="18"/>
                <w:szCs w:val="18"/>
              </w:rPr>
              <w:t>Three Months Ended September 30</w:t>
            </w:r>
            <w:r>
              <w:rPr>
                <w:b/>
                <w:bCs/>
                <w:sz w:val="18"/>
                <w:szCs w:val="18"/>
              </w:rPr>
              <w: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247736429"/>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gridSpan w:val="10"/>
            <w:vAlign w:val="bottom"/>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gridSpan w:val="10"/>
            <w:vAlign w:val="bottom"/>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247736429"/>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Share</w:t>
            </w:r>
            <w:r>
              <w:rPr>
                <w:b/>
                <w:bCs/>
                <w:sz w:val="18"/>
                <w:szCs w:val="18"/>
              </w:rPr>
              <w:t>s</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Average Price per Shar</w:t>
            </w:r>
            <w:r>
              <w:rPr>
                <w:b/>
                <w:bCs/>
                <w:sz w:val="18"/>
                <w:szCs w:val="18"/>
              </w:rPr>
              <w:t>e</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Total</w:t>
            </w:r>
            <w:r>
              <w:rPr>
                <w:b/>
                <w:bCs/>
                <w:sz w:val="18"/>
                <w:szCs w:val="18"/>
              </w:rPr>
              <w:br/>
              <w:t>(in thousands</w:t>
            </w:r>
            <w:r>
              <w:rPr>
                <w:b/>
                <w:bCs/>
                <w:sz w:val="18"/>
                <w:szCs w:val="18"/>
              </w:rPr>
              <w: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Share</w:t>
            </w:r>
            <w:r>
              <w:rPr>
                <w:b/>
                <w:bCs/>
                <w:sz w:val="18"/>
                <w:szCs w:val="18"/>
              </w:rPr>
              <w:t>s</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Average Price per Shar</w:t>
            </w:r>
            <w:r>
              <w:rPr>
                <w:b/>
                <w:bCs/>
                <w:sz w:val="18"/>
                <w:szCs w:val="18"/>
              </w:rPr>
              <w:t>e</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Total</w:t>
            </w:r>
            <w:r>
              <w:rPr>
                <w:b/>
                <w:bCs/>
                <w:sz w:val="18"/>
                <w:szCs w:val="18"/>
              </w:rPr>
              <w:br/>
            </w:r>
            <w:r>
              <w:rPr>
                <w:b/>
                <w:bCs/>
                <w:sz w:val="18"/>
                <w:szCs w:val="18"/>
              </w:rPr>
              <w:t>(in thousands</w:t>
            </w:r>
            <w:r>
              <w:rPr>
                <w:b/>
                <w:bCs/>
                <w:sz w:val="18"/>
                <w:szCs w:val="18"/>
              </w:rPr>
              <w: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247736429"/>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Acquisition</w:t>
            </w:r>
            <w:r>
              <w:rPr>
                <w:sz w:val="18"/>
                <w:szCs w:val="18"/>
              </w:rPr>
              <w:t>s</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62,73</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52.1</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3,27</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247736429"/>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Exercise of option</w:t>
            </w:r>
            <w:r>
              <w:rPr>
                <w:sz w:val="18"/>
                <w:szCs w:val="18"/>
              </w:rPr>
              <w:t>s</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28,11</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11.7</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32</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354,91</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8.3</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2,94</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247736429"/>
          <w:trHeight w:val="180"/>
          <w:tblCellSpacing w:w="15" w:type="dxa"/>
        </w:trPr>
        <w:tc>
          <w:tcPr>
            <w:tcW w:w="0" w:type="auto"/>
            <w:hideMark/>
          </w:tcPr>
          <w:p w:rsidR="00000000" w:rsidRDefault="00A32496">
            <w:pPr>
              <w:pStyle w:val="a3"/>
              <w:spacing w:before="0" w:beforeAutospacing="0" w:after="0" w:afterAutospacing="0"/>
              <w:rPr>
                <w:sz w:val="18"/>
                <w:szCs w:val="18"/>
              </w:rPr>
            </w:pPr>
            <w:r>
              <w:rPr>
                <w:b/>
                <w:bCs/>
                <w:sz w:val="18"/>
                <w:szCs w:val="18"/>
              </w:rPr>
              <w:t>Tota</w:t>
            </w:r>
            <w:r>
              <w:rPr>
                <w:b/>
                <w:bCs/>
                <w:sz w:val="18"/>
                <w:szCs w:val="18"/>
              </w:rPr>
              <w:t>l</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b/>
                <w:bCs/>
                <w:sz w:val="18"/>
                <w:szCs w:val="18"/>
              </w:rPr>
              <w:t>28,11</w:t>
            </w:r>
            <w:r>
              <w:rPr>
                <w:b/>
                <w:bCs/>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b/>
                <w:bCs/>
                <w:sz w:val="18"/>
                <w:szCs w:val="18"/>
              </w:rPr>
              <w:t>11.7</w:t>
            </w:r>
            <w:r>
              <w:rPr>
                <w:b/>
                <w:bCs/>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b/>
                <w:bCs/>
                <w:sz w:val="18"/>
                <w:szCs w:val="18"/>
              </w:rPr>
              <w:t>32</w:t>
            </w:r>
            <w:r>
              <w:rPr>
                <w:b/>
                <w:bCs/>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b/>
                <w:bCs/>
                <w:sz w:val="18"/>
                <w:szCs w:val="18"/>
              </w:rPr>
              <w:t>417,65</w:t>
            </w:r>
            <w:r>
              <w:rPr>
                <w:b/>
                <w:bCs/>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b/>
                <w:bCs/>
                <w:sz w:val="18"/>
                <w:szCs w:val="18"/>
              </w:rPr>
              <w:t>14.8</w:t>
            </w:r>
            <w:r>
              <w:rPr>
                <w:b/>
                <w:bCs/>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b/>
                <w:bCs/>
                <w:sz w:val="18"/>
                <w:szCs w:val="18"/>
              </w:rPr>
              <w:t>6,22</w:t>
            </w:r>
            <w:r>
              <w:rPr>
                <w:b/>
                <w:bCs/>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247736429"/>
          <w:tblCellSpacing w:w="15" w:type="dxa"/>
        </w:trPr>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247736429"/>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gridSpan w:val="22"/>
            <w:vAlign w:val="bottom"/>
            <w:hideMark/>
          </w:tcPr>
          <w:p w:rsidR="00000000" w:rsidRDefault="00A32496">
            <w:pPr>
              <w:pStyle w:val="a3"/>
              <w:spacing w:before="0" w:beforeAutospacing="0" w:after="0" w:afterAutospacing="0"/>
              <w:jc w:val="center"/>
              <w:rPr>
                <w:sz w:val="18"/>
                <w:szCs w:val="18"/>
              </w:rPr>
            </w:pPr>
            <w:r>
              <w:rPr>
                <w:b/>
                <w:bCs/>
                <w:sz w:val="18"/>
                <w:szCs w:val="18"/>
              </w:rPr>
              <w:t>Nine Months Ended September 30</w:t>
            </w:r>
            <w:r>
              <w:rPr>
                <w:b/>
                <w:bCs/>
                <w:sz w:val="18"/>
                <w:szCs w:val="18"/>
              </w:rPr>
              <w: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247736429"/>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gridSpan w:val="10"/>
            <w:vAlign w:val="bottom"/>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gridSpan w:val="10"/>
            <w:vAlign w:val="bottom"/>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247736429"/>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Share</w:t>
            </w:r>
            <w:r>
              <w:rPr>
                <w:b/>
                <w:bCs/>
                <w:sz w:val="18"/>
                <w:szCs w:val="18"/>
              </w:rPr>
              <w:t>s</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Average Price per Shar</w:t>
            </w:r>
            <w:r>
              <w:rPr>
                <w:b/>
                <w:bCs/>
                <w:sz w:val="18"/>
                <w:szCs w:val="18"/>
              </w:rPr>
              <w:t>e</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Total</w:t>
            </w:r>
            <w:r>
              <w:rPr>
                <w:b/>
                <w:bCs/>
                <w:sz w:val="18"/>
                <w:szCs w:val="18"/>
              </w:rPr>
              <w:br/>
              <w:t>(in thousands</w:t>
            </w:r>
            <w:r>
              <w:rPr>
                <w:b/>
                <w:bCs/>
                <w:sz w:val="18"/>
                <w:szCs w:val="18"/>
              </w:rPr>
              <w: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Share</w:t>
            </w:r>
            <w:r>
              <w:rPr>
                <w:b/>
                <w:bCs/>
                <w:sz w:val="18"/>
                <w:szCs w:val="18"/>
              </w:rPr>
              <w:t>s</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Average Price per Shar</w:t>
            </w:r>
            <w:r>
              <w:rPr>
                <w:b/>
                <w:bCs/>
                <w:sz w:val="18"/>
                <w:szCs w:val="18"/>
              </w:rPr>
              <w:t>e</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 xml:space="preserve">Total </w:t>
            </w:r>
            <w:r>
              <w:rPr>
                <w:b/>
                <w:bCs/>
                <w:sz w:val="18"/>
                <w:szCs w:val="18"/>
              </w:rPr>
              <w:br/>
              <w:t>(in thousands</w:t>
            </w:r>
            <w:r>
              <w:rPr>
                <w:b/>
                <w:bCs/>
                <w:sz w:val="18"/>
                <w:szCs w:val="18"/>
              </w:rPr>
              <w: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247736429"/>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Acquisition</w:t>
            </w:r>
            <w:r>
              <w:rPr>
                <w:sz w:val="18"/>
                <w:szCs w:val="18"/>
              </w:rPr>
              <w:t>s</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143,80</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41.8</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6,02</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247736429"/>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Exercise of warrants</w:t>
            </w:r>
            <w:r>
              <w:rPr>
                <w:sz w:val="18"/>
                <w:szCs w:val="18"/>
              </w:rPr>
              <w:t xml:space="preserve"> </w:t>
            </w:r>
            <w:r>
              <w:rPr>
                <w:sz w:val="12"/>
                <w:szCs w:val="12"/>
              </w:rPr>
              <w:t>(1</w:t>
            </w:r>
            <w:r>
              <w:rPr>
                <w:sz w:val="12"/>
                <w:szCs w:val="12"/>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67,71</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17.1</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247736429"/>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Exercise of option</w:t>
            </w:r>
            <w:r>
              <w:rPr>
                <w:sz w:val="18"/>
                <w:szCs w:val="18"/>
              </w:rPr>
              <w:t>s</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62,29</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13.0</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81</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779,06</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7.7</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6,03</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247736429"/>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Restricted shares, net</w:t>
            </w:r>
            <w:r>
              <w:rPr>
                <w:sz w:val="18"/>
                <w:szCs w:val="18"/>
              </w:rPr>
              <w:t xml:space="preserve"> </w:t>
            </w:r>
            <w:r>
              <w:rPr>
                <w:sz w:val="12"/>
                <w:szCs w:val="12"/>
              </w:rPr>
              <w:t>(1</w:t>
            </w:r>
            <w:r>
              <w:rPr>
                <w:sz w:val="12"/>
                <w:szCs w:val="12"/>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25,28</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66.5</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38,92</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31.3</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247736429"/>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Payment of earn-out liabilit</w:t>
            </w:r>
            <w:r>
              <w:rPr>
                <w:sz w:val="18"/>
                <w:szCs w:val="18"/>
              </w:rPr>
              <w:t>y</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539,60</w:t>
            </w:r>
            <w:r>
              <w:rPr>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46.3</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25,00</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247736429"/>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Payment of purchase price</w:t>
            </w:r>
            <w:r>
              <w:rPr>
                <w:sz w:val="18"/>
                <w:szCs w:val="18"/>
              </w:rPr>
              <w:br/>
              <w:t>   true u</w:t>
            </w:r>
            <w:r>
              <w:rPr>
                <w:sz w:val="18"/>
                <w:szCs w:val="18"/>
              </w:rPr>
              <w:t>p</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24,20</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44.8</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1,08</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247736429"/>
          <w:trHeight w:val="180"/>
          <w:tblCellSpacing w:w="15" w:type="dxa"/>
        </w:trPr>
        <w:tc>
          <w:tcPr>
            <w:tcW w:w="0" w:type="auto"/>
            <w:hideMark/>
          </w:tcPr>
          <w:p w:rsidR="00000000" w:rsidRDefault="00A32496">
            <w:pPr>
              <w:pStyle w:val="a3"/>
              <w:spacing w:before="0" w:beforeAutospacing="0" w:after="0" w:afterAutospacing="0"/>
              <w:rPr>
                <w:sz w:val="18"/>
                <w:szCs w:val="18"/>
              </w:rPr>
            </w:pPr>
            <w:r>
              <w:rPr>
                <w:b/>
                <w:bCs/>
                <w:sz w:val="18"/>
                <w:szCs w:val="18"/>
              </w:rPr>
              <w:t>Tota</w:t>
            </w:r>
            <w:r>
              <w:rPr>
                <w:b/>
                <w:bCs/>
                <w:sz w:val="18"/>
                <w:szCs w:val="18"/>
              </w:rPr>
              <w:t>l</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b/>
                <w:bCs/>
                <w:sz w:val="18"/>
                <w:szCs w:val="18"/>
              </w:rPr>
              <w:t>87,58</w:t>
            </w:r>
            <w:r>
              <w:rPr>
                <w:b/>
                <w:bCs/>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b/>
                <w:bCs/>
                <w:sz w:val="18"/>
                <w:szCs w:val="18"/>
              </w:rPr>
              <w:t>28.5</w:t>
            </w:r>
            <w:r>
              <w:rPr>
                <w:b/>
                <w:bCs/>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b/>
                <w:bCs/>
                <w:sz w:val="18"/>
                <w:szCs w:val="18"/>
              </w:rPr>
              <w:t>81</w:t>
            </w:r>
            <w:r>
              <w:rPr>
                <w:b/>
                <w:bCs/>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b/>
                <w:bCs/>
                <w:sz w:val="18"/>
                <w:szCs w:val="18"/>
              </w:rPr>
              <w:t>1,593,31</w:t>
            </w:r>
            <w:r>
              <w:rPr>
                <w:b/>
                <w:bCs/>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b/>
                <w:bCs/>
                <w:sz w:val="18"/>
                <w:szCs w:val="18"/>
              </w:rPr>
              <w:t>25.4</w:t>
            </w:r>
            <w:r>
              <w:rPr>
                <w:b/>
                <w:bCs/>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b/>
                <w:bCs/>
                <w:sz w:val="18"/>
                <w:szCs w:val="18"/>
              </w:rPr>
              <w:t>38,13</w:t>
            </w:r>
            <w:r>
              <w:rPr>
                <w:b/>
                <w:bCs/>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247736429"/>
          <w:tblCellSpacing w:w="15" w:type="dxa"/>
        </w:trPr>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r>
    </w:tbl>
    <w:p w:rsidR="00000000" w:rsidRDefault="00A32496">
      <w:pPr>
        <w:pStyle w:val="a3"/>
        <w:pBdr>
          <w:bottom w:val="single" w:sz="4" w:space="1" w:color="auto"/>
        </w:pBdr>
        <w:spacing w:before="0" w:beforeAutospacing="0" w:after="0" w:afterAutospacing="0"/>
        <w:ind w:right="9167"/>
        <w:divId w:val="247736429"/>
        <w:rPr>
          <w:sz w:val="20"/>
          <w:szCs w:val="20"/>
        </w:rPr>
      </w:pPr>
      <w:r>
        <w:rPr>
          <w:sz w:val="20"/>
          <w:szCs w:val="20"/>
        </w:rPr>
        <w:t> </w:t>
      </w:r>
    </w:p>
    <w:p w:rsidR="00000000" w:rsidRDefault="00A32496">
      <w:pPr>
        <w:pStyle w:val="a3"/>
        <w:spacing w:before="40" w:beforeAutospacing="0" w:after="0" w:afterAutospacing="0"/>
        <w:ind w:firstLine="555"/>
        <w:divId w:val="247736429"/>
        <w:rPr>
          <w:sz w:val="20"/>
          <w:szCs w:val="20"/>
        </w:rPr>
      </w:pPr>
      <w:r>
        <w:rPr>
          <w:sz w:val="16"/>
          <w:szCs w:val="16"/>
        </w:rPr>
        <w:t>(1)</w:t>
      </w:r>
      <w:r>
        <w:rPr>
          <w:sz w:val="16"/>
          <w:szCs w:val="16"/>
        </w:rPr>
        <w:t xml:space="preserve"> </w:t>
      </w:r>
      <w:r>
        <w:rPr>
          <w:sz w:val="16"/>
          <w:szCs w:val="16"/>
        </w:rPr>
        <w:t>Represents the non-cash release of common shares due to the exercise of warrants and the vesting of restricted stock</w:t>
      </w:r>
      <w:r>
        <w:rPr>
          <w:sz w:val="16"/>
          <w:szCs w:val="16"/>
        </w:rPr>
        <w:t>.</w:t>
      </w:r>
    </w:p>
    <w:p w:rsidR="00000000" w:rsidRDefault="00A32496">
      <w:pPr>
        <w:pStyle w:val="a3"/>
        <w:spacing w:before="240" w:beforeAutospacing="0" w:after="0" w:afterAutospacing="0"/>
        <w:ind w:firstLine="555"/>
        <w:divId w:val="1102339258"/>
        <w:rPr>
          <w:sz w:val="20"/>
          <w:szCs w:val="20"/>
        </w:rPr>
      </w:pPr>
      <w:r>
        <w:rPr>
          <w:b/>
          <w:bCs/>
          <w:sz w:val="20"/>
          <w:szCs w:val="20"/>
        </w:rPr>
        <w:t>Employee Equity Incentive Plan</w:t>
      </w:r>
      <w:r>
        <w:rPr>
          <w:b/>
          <w:bCs/>
          <w:sz w:val="20"/>
          <w:szCs w:val="20"/>
        </w:rPr>
        <w:t>s</w:t>
      </w:r>
      <w:r>
        <w:rPr>
          <w:sz w:val="20"/>
          <w:szCs w:val="20"/>
        </w:rPr>
        <w:t>—The Company has two plans under which stock-based awards have been issued: (i) the Montrose Amended &amp; Rest</w:t>
      </w:r>
      <w:r>
        <w:rPr>
          <w:sz w:val="20"/>
          <w:szCs w:val="20"/>
        </w:rPr>
        <w:t>ated 2017 Stock Incentive Plan (“2017 Plan”) and (ii) the Montrose Amended &amp; Restated 2013 Stock Option Plan (“2013 Plan”) (collectively the “Plans”)</w:t>
      </w:r>
      <w:r>
        <w:rPr>
          <w:sz w:val="20"/>
          <w:szCs w:val="20"/>
        </w:rPr>
        <w:t>.</w:t>
      </w:r>
    </w:p>
    <w:p w:rsidR="00000000" w:rsidRDefault="00A32496">
      <w:pPr>
        <w:pStyle w:val="a3"/>
        <w:spacing w:before="240" w:beforeAutospacing="0" w:after="0" w:afterAutospacing="0"/>
        <w:ind w:firstLine="555"/>
        <w:divId w:val="1102339258"/>
        <w:rPr>
          <w:sz w:val="20"/>
          <w:szCs w:val="20"/>
        </w:rPr>
      </w:pPr>
      <w:r>
        <w:rPr>
          <w:sz w:val="20"/>
          <w:szCs w:val="20"/>
        </w:rPr>
        <w:t xml:space="preserve">As of September 30, 2022, and September 30, 2021, there was </w:t>
      </w:r>
      <w:r>
        <w:rPr>
          <w:sz w:val="20"/>
          <w:szCs w:val="20"/>
        </w:rPr>
        <w:t>$</w:t>
      </w:r>
      <w:r>
        <w:rPr>
          <w:sz w:val="20"/>
          <w:szCs w:val="20"/>
        </w:rPr>
        <w:t>152.</w:t>
      </w:r>
      <w:r>
        <w:rPr>
          <w:sz w:val="20"/>
          <w:szCs w:val="20"/>
        </w:rPr>
        <w:t>5</w:t>
      </w:r>
      <w:r>
        <w:rPr>
          <w:sz w:val="20"/>
          <w:szCs w:val="20"/>
        </w:rPr>
        <w:t xml:space="preserve"> million an</w:t>
      </w:r>
      <w:r>
        <w:rPr>
          <w:sz w:val="20"/>
          <w:szCs w:val="20"/>
        </w:rPr>
        <w:t>d</w:t>
      </w:r>
      <w:r>
        <w:rPr>
          <w:sz w:val="20"/>
          <w:szCs w:val="20"/>
        </w:rPr>
        <w:t xml:space="preserve"> </w:t>
      </w:r>
      <w:r>
        <w:rPr>
          <w:sz w:val="20"/>
          <w:szCs w:val="20"/>
        </w:rPr>
        <w:t>$</w:t>
      </w:r>
      <w:r>
        <w:rPr>
          <w:sz w:val="20"/>
          <w:szCs w:val="20"/>
        </w:rPr>
        <w:t>15.</w:t>
      </w:r>
      <w:r>
        <w:rPr>
          <w:sz w:val="20"/>
          <w:szCs w:val="20"/>
        </w:rPr>
        <w:t>0</w:t>
      </w:r>
      <w:r>
        <w:rPr>
          <w:sz w:val="20"/>
          <w:szCs w:val="20"/>
        </w:rPr>
        <w:t xml:space="preserve"> million, respec</w:t>
      </w:r>
      <w:r>
        <w:rPr>
          <w:sz w:val="20"/>
          <w:szCs w:val="20"/>
        </w:rPr>
        <w:t>t</w:t>
      </w:r>
      <w:r>
        <w:rPr>
          <w:sz w:val="20"/>
          <w:szCs w:val="20"/>
        </w:rPr>
        <w:t>ively, of total unrecognized stock compensation expense related to unvested options, restricted stock and stock appreciation rights granted under the Plans</w:t>
      </w:r>
      <w:r>
        <w:rPr>
          <w:sz w:val="20"/>
          <w:szCs w:val="20"/>
        </w:rPr>
        <w:t>. Such unrecognized expense is expected to be recognized over a weighted-average</w:t>
      </w:r>
      <w:r>
        <w:rPr>
          <w:sz w:val="20"/>
          <w:szCs w:val="20"/>
        </w:rPr>
        <w:t xml:space="preserve"> </w:t>
      </w:r>
      <w:r>
        <w:rPr>
          <w:sz w:val="20"/>
          <w:szCs w:val="20"/>
        </w:rPr>
        <w:t>four yea</w:t>
      </w:r>
      <w:r>
        <w:rPr>
          <w:sz w:val="20"/>
          <w:szCs w:val="20"/>
        </w:rPr>
        <w:t>r</w:t>
      </w:r>
      <w:r>
        <w:rPr>
          <w:sz w:val="20"/>
          <w:szCs w:val="20"/>
        </w:rPr>
        <w:t xml:space="preserve"> period.</w:t>
      </w:r>
      <w:r>
        <w:rPr>
          <w:sz w:val="20"/>
          <w:szCs w:val="20"/>
        </w:rPr>
        <w:t xml:space="preserve"> </w:t>
      </w:r>
      <w:r>
        <w:rPr>
          <w:sz w:val="20"/>
          <w:szCs w:val="20"/>
        </w:rPr>
        <w:t>The following number of shares were authorized to be issued and available for grant</w:t>
      </w:r>
      <w:r>
        <w:rPr>
          <w:sz w:val="20"/>
          <w:szCs w:val="20"/>
        </w:rPr>
        <w:t>:</w:t>
      </w:r>
    </w:p>
    <w:p w:rsidR="00000000" w:rsidRDefault="00A32496">
      <w:pPr>
        <w:pStyle w:val="a3"/>
        <w:spacing w:before="0" w:beforeAutospacing="0" w:after="0" w:afterAutospacing="0"/>
        <w:divId w:val="1030569328"/>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439"/>
        <w:gridCol w:w="175"/>
        <w:gridCol w:w="105"/>
        <w:gridCol w:w="1277"/>
        <w:gridCol w:w="105"/>
        <w:gridCol w:w="176"/>
        <w:gridCol w:w="105"/>
        <w:gridCol w:w="1278"/>
        <w:gridCol w:w="105"/>
        <w:gridCol w:w="176"/>
        <w:gridCol w:w="105"/>
        <w:gridCol w:w="1309"/>
        <w:gridCol w:w="120"/>
      </w:tblGrid>
      <w:tr w:rsidR="00000000">
        <w:trPr>
          <w:divId w:val="1030569328"/>
          <w:tblCellSpacing w:w="15" w:type="dxa"/>
        </w:trPr>
        <w:tc>
          <w:tcPr>
            <w:tcW w:w="1699" w:type="pct"/>
            <w:vAlign w:val="center"/>
            <w:hideMark/>
          </w:tcPr>
          <w:p w:rsidR="00000000" w:rsidRDefault="00A32496">
            <w:pPr>
              <w:rPr>
                <w:sz w:val="20"/>
                <w:szCs w:val="20"/>
              </w:rPr>
            </w:pPr>
          </w:p>
        </w:tc>
        <w:tc>
          <w:tcPr>
            <w:tcW w:w="106"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886"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106"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886"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106"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908"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r>
      <w:tr w:rsidR="00000000">
        <w:trPr>
          <w:divId w:val="1030569328"/>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10"/>
            <w:vAlign w:val="bottom"/>
            <w:hideMark/>
          </w:tcPr>
          <w:p w:rsidR="00000000" w:rsidRDefault="00A32496">
            <w:pPr>
              <w:pStyle w:val="a3"/>
              <w:spacing w:before="0" w:beforeAutospacing="0" w:after="0" w:afterAutospacing="0"/>
              <w:jc w:val="center"/>
              <w:rPr>
                <w:sz w:val="18"/>
                <w:szCs w:val="18"/>
              </w:rPr>
            </w:pPr>
            <w:r>
              <w:rPr>
                <w:b/>
                <w:bCs/>
                <w:sz w:val="18"/>
                <w:szCs w:val="18"/>
              </w:rPr>
              <w:t>September 30, 202</w:t>
            </w:r>
            <w:r>
              <w:rPr>
                <w:b/>
                <w:bCs/>
                <w:sz w:val="18"/>
                <w:szCs w:val="18"/>
              </w:rPr>
              <w:t>2</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1030569328"/>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2017 Pla</w:t>
            </w:r>
            <w:r>
              <w:rPr>
                <w:b/>
                <w:bCs/>
                <w:sz w:val="18"/>
                <w:szCs w:val="18"/>
              </w:rPr>
              <w:t>n</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2013 Pla</w:t>
            </w:r>
            <w:r>
              <w:rPr>
                <w:b/>
                <w:bCs/>
                <w:sz w:val="18"/>
                <w:szCs w:val="18"/>
              </w:rPr>
              <w:t>n</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Tota</w:t>
            </w:r>
            <w:r>
              <w:rPr>
                <w:b/>
                <w:bCs/>
                <w:sz w:val="18"/>
                <w:szCs w:val="18"/>
              </w:rPr>
              <w:t>l</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1030569328"/>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Shares authorized to be issue</w:t>
            </w:r>
            <w:r>
              <w:rPr>
                <w:sz w:val="18"/>
                <w:szCs w:val="18"/>
              </w:rPr>
              <w:t>d</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5,140,11</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2,037,01</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7,177,13</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030569328"/>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Shares available for gran</w:t>
            </w:r>
            <w:r>
              <w:rPr>
                <w:sz w:val="18"/>
                <w:szCs w:val="18"/>
              </w:rPr>
              <w:t>t</w:t>
            </w:r>
            <w:r>
              <w:rPr>
                <w:sz w:val="12"/>
                <w:szCs w:val="12"/>
              </w:rPr>
              <w:t>(1</w:t>
            </w:r>
            <w:r>
              <w:rPr>
                <w:sz w:val="12"/>
                <w:szCs w:val="12"/>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364,94</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364,94</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030569328"/>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r>
      <w:tr w:rsidR="00000000">
        <w:trPr>
          <w:divId w:val="1030569328"/>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10"/>
            <w:vAlign w:val="bottom"/>
            <w:hideMark/>
          </w:tcPr>
          <w:p w:rsidR="00000000" w:rsidRDefault="00A32496">
            <w:pPr>
              <w:pStyle w:val="a3"/>
              <w:spacing w:before="0" w:beforeAutospacing="0" w:after="0" w:afterAutospacing="0"/>
              <w:jc w:val="center"/>
              <w:rPr>
                <w:sz w:val="18"/>
                <w:szCs w:val="18"/>
              </w:rPr>
            </w:pPr>
            <w:r>
              <w:rPr>
                <w:b/>
                <w:bCs/>
                <w:sz w:val="18"/>
                <w:szCs w:val="18"/>
              </w:rPr>
              <w:t>September 30, 202</w:t>
            </w:r>
            <w:r>
              <w:rPr>
                <w:b/>
                <w:bCs/>
                <w:sz w:val="18"/>
                <w:szCs w:val="18"/>
              </w:rPr>
              <w:t>1</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1030569328"/>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2017 Pla</w:t>
            </w:r>
            <w:r>
              <w:rPr>
                <w:b/>
                <w:bCs/>
                <w:sz w:val="18"/>
                <w:szCs w:val="18"/>
              </w:rPr>
              <w:t>n</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2013 Pla</w:t>
            </w:r>
            <w:r>
              <w:rPr>
                <w:b/>
                <w:bCs/>
                <w:sz w:val="18"/>
                <w:szCs w:val="18"/>
              </w:rPr>
              <w:t>n</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Tota</w:t>
            </w:r>
            <w:r>
              <w:rPr>
                <w:b/>
                <w:bCs/>
                <w:sz w:val="18"/>
                <w:szCs w:val="18"/>
              </w:rPr>
              <w:t>l</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1030569328"/>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Shares authorized to be issue</w:t>
            </w:r>
            <w:r>
              <w:rPr>
                <w:sz w:val="18"/>
                <w:szCs w:val="18"/>
              </w:rPr>
              <w:t>d</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3,944,75</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2,047,26</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5,992,01</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030569328"/>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Shares available for gran</w:t>
            </w:r>
            <w:r>
              <w:rPr>
                <w:sz w:val="18"/>
                <w:szCs w:val="18"/>
              </w:rPr>
              <w:t>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1,593,28</w:t>
            </w:r>
            <w:r>
              <w:rPr>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1,593,28</w:t>
            </w:r>
            <w:r>
              <w:rPr>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bl>
    <w:p w:rsidR="00000000" w:rsidRDefault="00A32496">
      <w:pPr>
        <w:pStyle w:val="a3"/>
        <w:pBdr>
          <w:bottom w:val="single" w:sz="4" w:space="1" w:color="auto"/>
        </w:pBdr>
        <w:spacing w:before="0" w:beforeAutospacing="0" w:after="0" w:afterAutospacing="0"/>
        <w:ind w:right="9167"/>
        <w:divId w:val="1030569328"/>
        <w:rPr>
          <w:sz w:val="20"/>
          <w:szCs w:val="20"/>
        </w:rPr>
      </w:pPr>
      <w:r>
        <w:rPr>
          <w:sz w:val="20"/>
          <w:szCs w:val="20"/>
        </w:rPr>
        <w:t> </w:t>
      </w:r>
    </w:p>
    <w:p w:rsidR="00000000" w:rsidRDefault="00A32496">
      <w:pPr>
        <w:pStyle w:val="a3"/>
        <w:spacing w:before="0" w:beforeAutospacing="0" w:after="0" w:afterAutospacing="0"/>
        <w:ind w:left="476"/>
        <w:divId w:val="1030569328"/>
        <w:rPr>
          <w:sz w:val="20"/>
          <w:szCs w:val="20"/>
        </w:rPr>
      </w:pPr>
      <w:r>
        <w:rPr>
          <w:sz w:val="16"/>
          <w:szCs w:val="16"/>
        </w:rPr>
        <w:t>(1)</w:t>
      </w:r>
      <w:r>
        <w:rPr>
          <w:sz w:val="16"/>
          <w:szCs w:val="16"/>
        </w:rPr>
        <w:t xml:space="preserve"> </w:t>
      </w:r>
      <w:r>
        <w:rPr>
          <w:sz w:val="16"/>
          <w:szCs w:val="16"/>
        </w:rPr>
        <w:t>In January 2022 the Board of Directors ratified the addition of</w:t>
      </w:r>
      <w:r>
        <w:rPr>
          <w:sz w:val="16"/>
          <w:szCs w:val="16"/>
        </w:rPr>
        <w:t xml:space="preserve"> </w:t>
      </w:r>
      <w:r>
        <w:rPr>
          <w:sz w:val="16"/>
          <w:szCs w:val="16"/>
        </w:rPr>
        <w:t>1,185,11</w:t>
      </w:r>
      <w:r>
        <w:rPr>
          <w:sz w:val="16"/>
          <w:szCs w:val="16"/>
        </w:rPr>
        <w:t>2</w:t>
      </w:r>
      <w:r>
        <w:rPr>
          <w:sz w:val="16"/>
          <w:szCs w:val="16"/>
        </w:rPr>
        <w:t xml:space="preserve"> shares</w:t>
      </w:r>
      <w:r>
        <w:rPr>
          <w:sz w:val="16"/>
          <w:szCs w:val="16"/>
        </w:rPr>
        <w:t xml:space="preserve"> </w:t>
      </w:r>
      <w:r>
        <w:rPr>
          <w:sz w:val="16"/>
          <w:szCs w:val="16"/>
        </w:rPr>
        <w:t>of common stock to the number of shares available for issuance under the 2017 Plan pursuant to the annual increase provision of such plan. Unless the Board of Directors determ</w:t>
      </w:r>
      <w:r>
        <w:rPr>
          <w:sz w:val="16"/>
          <w:szCs w:val="16"/>
        </w:rPr>
        <w:t xml:space="preserve">ines otherwise, additional annual increases will be effective on each January 1, through January 1, 2027. The 2017 Plan permits the company to settle awards, if and when vested, in cash at its discretion. Pursuant to the terms of the 2017 Plan, the number </w:t>
      </w:r>
      <w:r>
        <w:rPr>
          <w:sz w:val="16"/>
          <w:szCs w:val="16"/>
        </w:rPr>
        <w:t>of shares authorized for issuance thereunder will only be reduced with respect to shares of common stock actually issued upon exercise or settlement of an award. Shares of common stock subject to awards that have been canceled, expired, forfeited or otherw</w:t>
      </w:r>
      <w:r>
        <w:rPr>
          <w:sz w:val="16"/>
          <w:szCs w:val="16"/>
        </w:rPr>
        <w:t>ise not issue</w:t>
      </w:r>
      <w:r>
        <w:rPr>
          <w:sz w:val="16"/>
          <w:szCs w:val="16"/>
        </w:rPr>
        <w:t>d</w:t>
      </w:r>
      <w:r>
        <w:rPr>
          <w:sz w:val="16"/>
          <w:szCs w:val="16"/>
        </w:rPr>
        <w:t xml:space="preserve"> </w:t>
      </w:r>
    </w:p>
    <w:p w:rsidR="00000000" w:rsidRDefault="00A32496">
      <w:pPr>
        <w:pStyle w:val="a3"/>
        <w:spacing w:before="240" w:beforeAutospacing="0" w:after="0" w:afterAutospacing="0"/>
        <w:jc w:val="center"/>
        <w:divId w:val="1030569328"/>
        <w:rPr>
          <w:sz w:val="20"/>
          <w:szCs w:val="20"/>
        </w:rPr>
      </w:pPr>
      <w:r>
        <w:rPr>
          <w:sz w:val="20"/>
          <w:szCs w:val="20"/>
        </w:rPr>
        <w:t>2</w:t>
      </w:r>
      <w:r>
        <w:rPr>
          <w:sz w:val="20"/>
          <w:szCs w:val="20"/>
        </w:rPr>
        <w:t>3</w:t>
      </w:r>
    </w:p>
    <w:p w:rsidR="00000000" w:rsidRDefault="00A32496">
      <w:pPr>
        <w:divId w:val="1030569328"/>
        <w:rPr>
          <w:rFonts w:eastAsia="Times New Roman"/>
        </w:rPr>
      </w:pPr>
      <w:r>
        <w:rPr>
          <w:rFonts w:eastAsia="Times New Roman"/>
        </w:rPr>
        <w:pict>
          <v:rect id="_x0000_i1049" style="width:0;height:1.5pt" o:hralign="center" o:hrstd="t" o:hr="t" fillcolor="#a0a0a0" stroked="f"/>
        </w:pict>
      </w:r>
    </w:p>
    <w:p w:rsidR="00000000" w:rsidRDefault="00A32496">
      <w:pPr>
        <w:pStyle w:val="a3"/>
        <w:spacing w:before="0" w:beforeAutospacing="0" w:after="0" w:afterAutospacing="0"/>
        <w:divId w:val="1030569328"/>
        <w:rPr>
          <w:sz w:val="20"/>
          <w:szCs w:val="20"/>
        </w:rPr>
      </w:pPr>
      <w:r>
        <w:rPr>
          <w:sz w:val="20"/>
          <w:szCs w:val="20"/>
        </w:rPr>
        <w:t> </w:t>
      </w:r>
    </w:p>
    <w:p w:rsidR="00000000" w:rsidRDefault="00A32496">
      <w:pPr>
        <w:pStyle w:val="a3"/>
        <w:spacing w:before="0" w:beforeAutospacing="0" w:after="0" w:afterAutospacing="0"/>
        <w:ind w:left="476"/>
        <w:divId w:val="1030569328"/>
        <w:rPr>
          <w:sz w:val="20"/>
          <w:szCs w:val="20"/>
        </w:rPr>
      </w:pPr>
      <w:r>
        <w:rPr>
          <w:sz w:val="16"/>
          <w:szCs w:val="16"/>
        </w:rPr>
        <w:t>under</w:t>
      </w:r>
      <w:r>
        <w:rPr>
          <w:sz w:val="16"/>
          <w:szCs w:val="16"/>
        </w:rPr>
        <w:t xml:space="preserve"> </w:t>
      </w:r>
      <w:r>
        <w:rPr>
          <w:sz w:val="16"/>
          <w:szCs w:val="16"/>
        </w:rPr>
        <w:t>an award and shares of common stock subject to awards settled in cash do not count as shares of common stock issued under the 2017 Plan. Shares available for grant exclude awards of stock appr</w:t>
      </w:r>
      <w:r>
        <w:rPr>
          <w:sz w:val="16"/>
          <w:szCs w:val="16"/>
        </w:rPr>
        <w:t>eciation rights approved in December 2021 that are subject to vesting based on the achievement of certain market conditions, which have not yet been, and may not be, achieved. See footnote 1 to the table in Common Stock Reserved for Future Issuance below f</w:t>
      </w:r>
      <w:r>
        <w:rPr>
          <w:sz w:val="16"/>
          <w:szCs w:val="16"/>
        </w:rPr>
        <w:t>or additional information regarding the December 2021 grant</w:t>
      </w:r>
      <w:r>
        <w:rPr>
          <w:sz w:val="16"/>
          <w:szCs w:val="16"/>
        </w:rPr>
        <w:t>.</w:t>
      </w:r>
    </w:p>
    <w:p w:rsidR="00000000" w:rsidRDefault="00A32496">
      <w:pPr>
        <w:pStyle w:val="a3"/>
        <w:spacing w:before="240" w:beforeAutospacing="0" w:after="0" w:afterAutospacing="0"/>
        <w:ind w:firstLine="555"/>
        <w:divId w:val="1777554308"/>
        <w:rPr>
          <w:sz w:val="20"/>
          <w:szCs w:val="20"/>
        </w:rPr>
      </w:pPr>
      <w:r>
        <w:rPr>
          <w:sz w:val="20"/>
          <w:szCs w:val="20"/>
        </w:rPr>
        <w:t>Total stock compensation expense for the Plans was as follows</w:t>
      </w:r>
      <w:r>
        <w:rPr>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40"/>
        <w:gridCol w:w="105"/>
        <w:gridCol w:w="151"/>
        <w:gridCol w:w="520"/>
        <w:gridCol w:w="105"/>
        <w:gridCol w:w="105"/>
        <w:gridCol w:w="151"/>
        <w:gridCol w:w="744"/>
        <w:gridCol w:w="105"/>
        <w:gridCol w:w="105"/>
        <w:gridCol w:w="150"/>
        <w:gridCol w:w="465"/>
        <w:gridCol w:w="105"/>
        <w:gridCol w:w="105"/>
        <w:gridCol w:w="152"/>
        <w:gridCol w:w="563"/>
        <w:gridCol w:w="105"/>
        <w:gridCol w:w="105"/>
        <w:gridCol w:w="150"/>
        <w:gridCol w:w="555"/>
        <w:gridCol w:w="105"/>
        <w:gridCol w:w="105"/>
        <w:gridCol w:w="151"/>
        <w:gridCol w:w="520"/>
        <w:gridCol w:w="105"/>
        <w:gridCol w:w="105"/>
        <w:gridCol w:w="151"/>
        <w:gridCol w:w="748"/>
        <w:gridCol w:w="105"/>
        <w:gridCol w:w="105"/>
        <w:gridCol w:w="152"/>
        <w:gridCol w:w="560"/>
        <w:gridCol w:w="105"/>
        <w:gridCol w:w="105"/>
        <w:gridCol w:w="150"/>
        <w:gridCol w:w="465"/>
        <w:gridCol w:w="120"/>
      </w:tblGrid>
      <w:tr w:rsidR="00000000">
        <w:trPr>
          <w:divId w:val="1777554308"/>
          <w:tblCellSpacing w:w="15" w:type="dxa"/>
        </w:trPr>
        <w:tc>
          <w:tcPr>
            <w:tcW w:w="896" w:type="pct"/>
            <w:vAlign w:val="center"/>
            <w:hideMark/>
          </w:tcPr>
          <w:p w:rsidR="00000000" w:rsidRDefault="00A32496">
            <w:pPr>
              <w:rPr>
                <w:sz w:val="20"/>
                <w:szCs w:val="20"/>
              </w:rPr>
            </w:pPr>
          </w:p>
        </w:tc>
        <w:tc>
          <w:tcPr>
            <w:tcW w:w="48"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203"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48"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475"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48"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227"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48"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342"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48"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237"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48"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203"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48"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03"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47"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330"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47"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246"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r>
      <w:tr w:rsidR="00000000">
        <w:trPr>
          <w:divId w:val="1777554308"/>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34"/>
            <w:vAlign w:val="bottom"/>
            <w:hideMark/>
          </w:tcPr>
          <w:p w:rsidR="00000000" w:rsidRDefault="00A32496">
            <w:pPr>
              <w:pStyle w:val="a3"/>
              <w:spacing w:before="0" w:beforeAutospacing="0" w:after="0" w:afterAutospacing="0"/>
              <w:jc w:val="center"/>
              <w:rPr>
                <w:sz w:val="18"/>
                <w:szCs w:val="18"/>
              </w:rPr>
            </w:pPr>
            <w:r>
              <w:rPr>
                <w:b/>
                <w:bCs/>
                <w:sz w:val="18"/>
                <w:szCs w:val="18"/>
              </w:rPr>
              <w:t>Three Months Ended September 30</w:t>
            </w:r>
            <w:r>
              <w:rPr>
                <w:b/>
                <w:bCs/>
                <w:sz w:val="18"/>
                <w:szCs w:val="18"/>
              </w:rPr>
              <w: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1777554308"/>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18"/>
            <w:vAlign w:val="bottom"/>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gridSpan w:val="14"/>
            <w:vAlign w:val="bottom"/>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1777554308"/>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10"/>
            <w:vAlign w:val="bottom"/>
            <w:hideMark/>
          </w:tcPr>
          <w:p w:rsidR="00000000" w:rsidRDefault="00A32496">
            <w:pPr>
              <w:pStyle w:val="a3"/>
              <w:spacing w:before="0" w:beforeAutospacing="0" w:after="0" w:afterAutospacing="0"/>
              <w:jc w:val="center"/>
              <w:rPr>
                <w:sz w:val="18"/>
                <w:szCs w:val="18"/>
              </w:rPr>
            </w:pPr>
            <w:r>
              <w:rPr>
                <w:b/>
                <w:bCs/>
                <w:sz w:val="18"/>
                <w:szCs w:val="18"/>
              </w:rPr>
              <w:t>2017 pla</w:t>
            </w:r>
            <w:r>
              <w:rPr>
                <w:b/>
                <w:bCs/>
                <w:sz w:val="18"/>
                <w:szCs w:val="18"/>
              </w:rPr>
              <w:t>n</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2013</w:t>
            </w:r>
            <w:r>
              <w:rPr>
                <w:b/>
                <w:bCs/>
                <w:sz w:val="18"/>
                <w:szCs w:val="18"/>
              </w:rPr>
              <w:br/>
              <w:t>pla</w:t>
            </w:r>
            <w:r>
              <w:rPr>
                <w:b/>
                <w:bCs/>
                <w:sz w:val="18"/>
                <w:szCs w:val="18"/>
              </w:rPr>
              <w:t>n</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gridSpan w:val="6"/>
            <w:vAlign w:val="bottom"/>
            <w:hideMark/>
          </w:tcPr>
          <w:p w:rsidR="00000000" w:rsidRDefault="00A32496">
            <w:pPr>
              <w:pStyle w:val="a3"/>
              <w:spacing w:before="0" w:beforeAutospacing="0" w:after="0" w:afterAutospacing="0"/>
              <w:jc w:val="center"/>
              <w:rPr>
                <w:sz w:val="18"/>
                <w:szCs w:val="18"/>
              </w:rPr>
            </w:pPr>
            <w:r>
              <w:rPr>
                <w:b/>
                <w:bCs/>
                <w:sz w:val="18"/>
                <w:szCs w:val="18"/>
              </w:rPr>
              <w:t>2017 pla</w:t>
            </w:r>
            <w:r>
              <w:rPr>
                <w:b/>
                <w:bCs/>
                <w:sz w:val="18"/>
                <w:szCs w:val="18"/>
              </w:rPr>
              <w:t>n</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2013</w:t>
            </w:r>
            <w:r>
              <w:rPr>
                <w:b/>
                <w:bCs/>
                <w:sz w:val="18"/>
                <w:szCs w:val="18"/>
              </w:rPr>
              <w:br/>
              <w:t>pla</w:t>
            </w:r>
            <w:r>
              <w:rPr>
                <w:b/>
                <w:bCs/>
                <w:sz w:val="18"/>
                <w:szCs w:val="18"/>
              </w:rPr>
              <w:t>n</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1777554308"/>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Option</w:t>
            </w:r>
            <w:r>
              <w:rPr>
                <w:b/>
                <w:bCs/>
                <w:sz w:val="18"/>
                <w:szCs w:val="18"/>
              </w:rPr>
              <w:t>s</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 xml:space="preserve">Restricted </w:t>
            </w:r>
            <w:r>
              <w:rPr>
                <w:b/>
                <w:bCs/>
                <w:sz w:val="18"/>
                <w:szCs w:val="18"/>
              </w:rPr>
              <w:br/>
              <w:t>Stoc</w:t>
            </w:r>
            <w:r>
              <w:rPr>
                <w:b/>
                <w:bCs/>
                <w:sz w:val="18"/>
                <w:szCs w:val="18"/>
              </w:rPr>
              <w:t>k</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SAR</w:t>
            </w:r>
            <w:r>
              <w:rPr>
                <w:b/>
                <w:bCs/>
                <w:sz w:val="18"/>
                <w:szCs w:val="18"/>
              </w:rPr>
              <w:t>s</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Option</w:t>
            </w:r>
            <w:r>
              <w:rPr>
                <w:b/>
                <w:bCs/>
                <w:sz w:val="18"/>
                <w:szCs w:val="18"/>
              </w:rPr>
              <w:t>s</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Tota</w:t>
            </w:r>
            <w:r>
              <w:rPr>
                <w:b/>
                <w:bCs/>
                <w:sz w:val="18"/>
                <w:szCs w:val="18"/>
              </w:rPr>
              <w:t>l</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Option</w:t>
            </w:r>
            <w:r>
              <w:rPr>
                <w:b/>
                <w:bCs/>
                <w:sz w:val="18"/>
                <w:szCs w:val="18"/>
              </w:rPr>
              <w:t>s</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 xml:space="preserve">Restricted </w:t>
            </w:r>
            <w:r>
              <w:rPr>
                <w:b/>
                <w:bCs/>
                <w:sz w:val="18"/>
                <w:szCs w:val="18"/>
              </w:rPr>
              <w:br/>
              <w:t>Stoc</w:t>
            </w:r>
            <w:r>
              <w:rPr>
                <w:b/>
                <w:bCs/>
                <w:sz w:val="18"/>
                <w:szCs w:val="18"/>
              </w:rPr>
              <w:t>k</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Option</w:t>
            </w:r>
            <w:r>
              <w:rPr>
                <w:b/>
                <w:bCs/>
                <w:sz w:val="18"/>
                <w:szCs w:val="18"/>
              </w:rPr>
              <w:t>s</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Tota</w:t>
            </w:r>
            <w:r>
              <w:rPr>
                <w:b/>
                <w:bCs/>
                <w:sz w:val="18"/>
                <w:szCs w:val="18"/>
              </w:rPr>
              <w:t>l</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1777554308"/>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Cost of revenu</w:t>
            </w:r>
            <w:r>
              <w:rPr>
                <w:sz w:val="18"/>
                <w:szCs w:val="18"/>
              </w:rPr>
              <w:t>e</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40</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40</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28</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28</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777554308"/>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 xml:space="preserve">Selling, general and </w:t>
            </w:r>
            <w:r>
              <w:rPr>
                <w:sz w:val="18"/>
                <w:szCs w:val="18"/>
              </w:rPr>
              <w:br/>
              <w:t>   administrative expens</w:t>
            </w:r>
            <w:r>
              <w:rPr>
                <w:sz w:val="18"/>
                <w:szCs w:val="18"/>
              </w:rPr>
              <w:t>e</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2,21</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6,08</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2,31</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10,61</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1,84</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23</w:t>
            </w:r>
            <w:r>
              <w:rPr>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2,08</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777554308"/>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Tota</w:t>
            </w:r>
            <w:r>
              <w:rPr>
                <w:sz w:val="18"/>
                <w:szCs w:val="18"/>
              </w:rPr>
              <w:t>l</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2,62</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6,08</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2,31</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11,01</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2,12</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23</w:t>
            </w:r>
            <w:r>
              <w:rPr>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2,36</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777554308"/>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777554308"/>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34"/>
            <w:vAlign w:val="bottom"/>
            <w:hideMark/>
          </w:tcPr>
          <w:p w:rsidR="00000000" w:rsidRDefault="00A32496">
            <w:pPr>
              <w:pStyle w:val="a3"/>
              <w:spacing w:before="0" w:beforeAutospacing="0" w:after="0" w:afterAutospacing="0"/>
              <w:jc w:val="center"/>
              <w:rPr>
                <w:sz w:val="18"/>
                <w:szCs w:val="18"/>
              </w:rPr>
            </w:pPr>
            <w:r>
              <w:rPr>
                <w:b/>
                <w:bCs/>
                <w:sz w:val="18"/>
                <w:szCs w:val="18"/>
              </w:rPr>
              <w:t>Nine Months Ended September 30</w:t>
            </w:r>
            <w:r>
              <w:rPr>
                <w:b/>
                <w:bCs/>
                <w:sz w:val="18"/>
                <w:szCs w:val="18"/>
              </w:rPr>
              <w: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1777554308"/>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18"/>
            <w:vAlign w:val="bottom"/>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14"/>
            <w:vAlign w:val="bottom"/>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1777554308"/>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10"/>
            <w:vAlign w:val="bottom"/>
            <w:hideMark/>
          </w:tcPr>
          <w:p w:rsidR="00000000" w:rsidRDefault="00A32496">
            <w:pPr>
              <w:pStyle w:val="a3"/>
              <w:spacing w:before="0" w:beforeAutospacing="0" w:after="0" w:afterAutospacing="0"/>
              <w:jc w:val="center"/>
              <w:rPr>
                <w:sz w:val="18"/>
                <w:szCs w:val="18"/>
              </w:rPr>
            </w:pPr>
            <w:r>
              <w:rPr>
                <w:b/>
                <w:bCs/>
                <w:sz w:val="18"/>
                <w:szCs w:val="18"/>
              </w:rPr>
              <w:t>2017 pla</w:t>
            </w:r>
            <w:r>
              <w:rPr>
                <w:b/>
                <w:bCs/>
                <w:sz w:val="18"/>
                <w:szCs w:val="18"/>
              </w:rPr>
              <w:t>n</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2013</w:t>
            </w:r>
            <w:r>
              <w:rPr>
                <w:b/>
                <w:bCs/>
                <w:sz w:val="18"/>
                <w:szCs w:val="18"/>
              </w:rPr>
              <w:br/>
              <w:t>pla</w:t>
            </w:r>
            <w:r>
              <w:rPr>
                <w:b/>
                <w:bCs/>
                <w:sz w:val="18"/>
                <w:szCs w:val="18"/>
              </w:rPr>
              <w:t>n</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6"/>
            <w:vAlign w:val="bottom"/>
            <w:hideMark/>
          </w:tcPr>
          <w:p w:rsidR="00000000" w:rsidRDefault="00A32496">
            <w:pPr>
              <w:pStyle w:val="a3"/>
              <w:spacing w:before="0" w:beforeAutospacing="0" w:after="0" w:afterAutospacing="0"/>
              <w:jc w:val="center"/>
              <w:rPr>
                <w:sz w:val="18"/>
                <w:szCs w:val="18"/>
              </w:rPr>
            </w:pPr>
            <w:r>
              <w:rPr>
                <w:b/>
                <w:bCs/>
                <w:sz w:val="18"/>
                <w:szCs w:val="18"/>
              </w:rPr>
              <w:t>2017 pla</w:t>
            </w:r>
            <w:r>
              <w:rPr>
                <w:b/>
                <w:bCs/>
                <w:sz w:val="18"/>
                <w:szCs w:val="18"/>
              </w:rPr>
              <w:t>n</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2013</w:t>
            </w:r>
            <w:r>
              <w:rPr>
                <w:b/>
                <w:bCs/>
                <w:sz w:val="18"/>
                <w:szCs w:val="18"/>
              </w:rPr>
              <w:br/>
              <w:t>pla</w:t>
            </w:r>
            <w:r>
              <w:rPr>
                <w:b/>
                <w:bCs/>
                <w:sz w:val="18"/>
                <w:szCs w:val="18"/>
              </w:rPr>
              <w:t>n</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1777554308"/>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Option</w:t>
            </w:r>
            <w:r>
              <w:rPr>
                <w:b/>
                <w:bCs/>
                <w:sz w:val="18"/>
                <w:szCs w:val="18"/>
              </w:rPr>
              <w:t>s</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 xml:space="preserve">Restricted </w:t>
            </w:r>
            <w:r>
              <w:rPr>
                <w:b/>
                <w:bCs/>
                <w:sz w:val="18"/>
                <w:szCs w:val="18"/>
              </w:rPr>
              <w:br/>
              <w:t>Stoc</w:t>
            </w:r>
            <w:r>
              <w:rPr>
                <w:b/>
                <w:bCs/>
                <w:sz w:val="18"/>
                <w:szCs w:val="18"/>
              </w:rPr>
              <w:t>k</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SAR</w:t>
            </w:r>
            <w:r>
              <w:rPr>
                <w:b/>
                <w:bCs/>
                <w:sz w:val="18"/>
                <w:szCs w:val="18"/>
              </w:rPr>
              <w:t>s</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Option</w:t>
            </w:r>
            <w:r>
              <w:rPr>
                <w:b/>
                <w:bCs/>
                <w:sz w:val="18"/>
                <w:szCs w:val="18"/>
              </w:rPr>
              <w:t>s</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Tota</w:t>
            </w:r>
            <w:r>
              <w:rPr>
                <w:b/>
                <w:bCs/>
                <w:sz w:val="18"/>
                <w:szCs w:val="18"/>
              </w:rPr>
              <w:t>l</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Option</w:t>
            </w:r>
            <w:r>
              <w:rPr>
                <w:b/>
                <w:bCs/>
                <w:sz w:val="18"/>
                <w:szCs w:val="18"/>
              </w:rPr>
              <w:t>s</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 xml:space="preserve">Restricted </w:t>
            </w:r>
            <w:r>
              <w:rPr>
                <w:b/>
                <w:bCs/>
                <w:sz w:val="18"/>
                <w:szCs w:val="18"/>
              </w:rPr>
              <w:br/>
              <w:t>Stoc</w:t>
            </w:r>
            <w:r>
              <w:rPr>
                <w:b/>
                <w:bCs/>
                <w:sz w:val="18"/>
                <w:szCs w:val="18"/>
              </w:rPr>
              <w:t>k</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Option</w:t>
            </w:r>
            <w:r>
              <w:rPr>
                <w:b/>
                <w:bCs/>
                <w:sz w:val="18"/>
                <w:szCs w:val="18"/>
              </w:rPr>
              <w:t>s</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Tota</w:t>
            </w:r>
            <w:r>
              <w:rPr>
                <w:b/>
                <w:bCs/>
                <w:sz w:val="18"/>
                <w:szCs w:val="18"/>
              </w:rPr>
              <w:t>l</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1777554308"/>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Cost of revenu</w:t>
            </w:r>
            <w:r>
              <w:rPr>
                <w:sz w:val="18"/>
                <w:szCs w:val="18"/>
              </w:rPr>
              <w:t>e</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1,06</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1,06</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1,17</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1,18</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777554308"/>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 xml:space="preserve">Selling, general and </w:t>
            </w:r>
            <w:r>
              <w:rPr>
                <w:sz w:val="18"/>
                <w:szCs w:val="18"/>
              </w:rPr>
              <w:br/>
              <w:t>   administrative expens</w:t>
            </w:r>
            <w:r>
              <w:rPr>
                <w:sz w:val="18"/>
                <w:szCs w:val="18"/>
              </w:rPr>
              <w:t>e</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6,44</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17,89</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6,96</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31,30</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4,63</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74</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5,39</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777554308"/>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Tota</w:t>
            </w:r>
            <w:r>
              <w:rPr>
                <w:sz w:val="18"/>
                <w:szCs w:val="18"/>
              </w:rPr>
              <w:t>l</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7,51</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17,89</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6,96</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32,37</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5,81</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74</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6,58</w:t>
            </w:r>
            <w:r>
              <w:rPr>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777554308"/>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r>
    </w:tbl>
    <w:p w:rsidR="00000000" w:rsidRDefault="00A32496">
      <w:pPr>
        <w:pStyle w:val="a3"/>
        <w:spacing w:before="240" w:beforeAutospacing="0" w:after="0" w:afterAutospacing="0"/>
        <w:divId w:val="1102339258"/>
        <w:rPr>
          <w:sz w:val="20"/>
          <w:szCs w:val="20"/>
        </w:rPr>
      </w:pPr>
      <w:r>
        <w:rPr>
          <w:b/>
          <w:bCs/>
          <w:i/>
          <w:iCs/>
          <w:sz w:val="20"/>
          <w:szCs w:val="20"/>
        </w:rPr>
        <w:t xml:space="preserve">Montrose Amended &amp; </w:t>
      </w:r>
      <w:r>
        <w:rPr>
          <w:b/>
          <w:bCs/>
          <w:i/>
          <w:iCs/>
          <w:sz w:val="20"/>
          <w:szCs w:val="20"/>
        </w:rPr>
        <w:t>Restated 2017 Stock Incentive Pla</w:t>
      </w:r>
      <w:r>
        <w:rPr>
          <w:b/>
          <w:bCs/>
          <w:i/>
          <w:iCs/>
          <w:sz w:val="20"/>
          <w:szCs w:val="20"/>
        </w:rPr>
        <w:t>n</w:t>
      </w:r>
    </w:p>
    <w:p w:rsidR="00000000" w:rsidRDefault="00A32496">
      <w:pPr>
        <w:pStyle w:val="a3"/>
        <w:spacing w:before="240" w:beforeAutospacing="0" w:after="0" w:afterAutospacing="0"/>
        <w:ind w:firstLine="555"/>
        <w:divId w:val="1102339258"/>
        <w:rPr>
          <w:sz w:val="20"/>
          <w:szCs w:val="20"/>
        </w:rPr>
      </w:pPr>
      <w:r>
        <w:rPr>
          <w:b/>
          <w:bCs/>
          <w:i/>
          <w:iCs/>
          <w:sz w:val="20"/>
          <w:szCs w:val="20"/>
        </w:rPr>
        <w:t>Restricted Stock Awards and Restricted Stock Units</w:t>
      </w:r>
      <w:r>
        <w:rPr>
          <w:b/>
          <w:bCs/>
          <w:i/>
          <w:iCs/>
          <w:sz w:val="20"/>
          <w:szCs w:val="20"/>
        </w:rPr>
        <w:t>—</w:t>
      </w:r>
      <w:r>
        <w:rPr>
          <w:sz w:val="20"/>
          <w:szCs w:val="20"/>
        </w:rPr>
        <w:t>The Company issues restricted stock awards ("RSAs") to certain 2017 Plan participants as Director’s compensation. There</w:t>
      </w:r>
      <w:r>
        <w:rPr>
          <w:sz w:val="20"/>
          <w:szCs w:val="20"/>
        </w:rPr>
        <w:t xml:space="preserve"> </w:t>
      </w:r>
      <w:r>
        <w:rPr>
          <w:sz w:val="20"/>
          <w:szCs w:val="20"/>
        </w:rPr>
        <w:t>were</w:t>
      </w:r>
      <w:r>
        <w:rPr>
          <w:sz w:val="20"/>
          <w:szCs w:val="20"/>
        </w:rPr>
        <w:t xml:space="preserve"> </w:t>
      </w:r>
      <w:r>
        <w:rPr>
          <w:sz w:val="20"/>
          <w:szCs w:val="20"/>
        </w:rPr>
        <w:t>zer</w:t>
      </w:r>
      <w:r>
        <w:rPr>
          <w:sz w:val="20"/>
          <w:szCs w:val="20"/>
        </w:rPr>
        <w:t>o</w:t>
      </w:r>
      <w:r>
        <w:rPr>
          <w:sz w:val="20"/>
          <w:szCs w:val="20"/>
        </w:rPr>
        <w:t xml:space="preserve"> </w:t>
      </w:r>
      <w:r>
        <w:rPr>
          <w:sz w:val="20"/>
          <w:szCs w:val="20"/>
        </w:rPr>
        <w:t>RSAs granted during both the three month</w:t>
      </w:r>
      <w:r>
        <w:rPr>
          <w:sz w:val="20"/>
          <w:szCs w:val="20"/>
        </w:rPr>
        <w:t>s ended September 30, 2022 and September 30, 2021, respectively. There were</w:t>
      </w:r>
      <w:r>
        <w:rPr>
          <w:sz w:val="20"/>
          <w:szCs w:val="20"/>
        </w:rPr>
        <w:t xml:space="preserve"> </w:t>
      </w:r>
      <w:r>
        <w:rPr>
          <w:sz w:val="20"/>
          <w:szCs w:val="20"/>
        </w:rPr>
        <w:t>10,92</w:t>
      </w:r>
      <w:r>
        <w:rPr>
          <w:sz w:val="20"/>
          <w:szCs w:val="20"/>
        </w:rPr>
        <w:t>0</w:t>
      </w:r>
      <w:r>
        <w:rPr>
          <w:sz w:val="20"/>
          <w:szCs w:val="20"/>
        </w:rPr>
        <w:t xml:space="preserve"> and</w:t>
      </w:r>
      <w:r>
        <w:rPr>
          <w:sz w:val="20"/>
          <w:szCs w:val="20"/>
        </w:rPr>
        <w:t xml:space="preserve"> </w:t>
      </w:r>
      <w:r>
        <w:rPr>
          <w:sz w:val="20"/>
          <w:szCs w:val="20"/>
        </w:rPr>
        <w:t>19,06</w:t>
      </w:r>
      <w:r>
        <w:rPr>
          <w:sz w:val="20"/>
          <w:szCs w:val="20"/>
        </w:rPr>
        <w:t>6</w:t>
      </w:r>
      <w:r>
        <w:rPr>
          <w:sz w:val="20"/>
          <w:szCs w:val="20"/>
        </w:rPr>
        <w:t xml:space="preserve"> RSAs gran</w:t>
      </w:r>
      <w:r>
        <w:rPr>
          <w:sz w:val="20"/>
          <w:szCs w:val="20"/>
        </w:rPr>
        <w:t>t</w:t>
      </w:r>
      <w:r>
        <w:rPr>
          <w:sz w:val="20"/>
          <w:szCs w:val="20"/>
        </w:rPr>
        <w:t>ed during the nine months ended September 30, 2022 and September 30, 202</w:t>
      </w:r>
      <w:r>
        <w:rPr>
          <w:sz w:val="20"/>
          <w:szCs w:val="20"/>
        </w:rPr>
        <w:t>1</w:t>
      </w:r>
      <w:r>
        <w:rPr>
          <w:sz w:val="20"/>
          <w:szCs w:val="20"/>
        </w:rPr>
        <w:t>, respectively. These RSAs vest</w:t>
      </w:r>
      <w:r>
        <w:rPr>
          <w:sz w:val="20"/>
          <w:szCs w:val="20"/>
        </w:rPr>
        <w:t xml:space="preserve"> </w:t>
      </w:r>
      <w:r>
        <w:rPr>
          <w:sz w:val="20"/>
          <w:szCs w:val="20"/>
        </w:rPr>
        <w:t>one yea</w:t>
      </w:r>
      <w:r>
        <w:rPr>
          <w:sz w:val="20"/>
          <w:szCs w:val="20"/>
        </w:rPr>
        <w:t>r</w:t>
      </w:r>
      <w:r>
        <w:rPr>
          <w:sz w:val="20"/>
          <w:szCs w:val="20"/>
        </w:rPr>
        <w:t xml:space="preserve"> from the date of grant, or, in each ca</w:t>
      </w:r>
      <w:r>
        <w:rPr>
          <w:sz w:val="20"/>
          <w:szCs w:val="20"/>
        </w:rPr>
        <w:t xml:space="preserve">se, in full upon a change in control, subject to the participant’s continued service as a Director throughout such date, or </w:t>
      </w:r>
      <w:r>
        <w:rPr>
          <w:sz w:val="20"/>
          <w:szCs w:val="20"/>
        </w:rPr>
        <w:t>u</w:t>
      </w:r>
      <w:r>
        <w:rPr>
          <w:sz w:val="20"/>
          <w:szCs w:val="20"/>
        </w:rPr>
        <w:t>pon retirement. Members of the Board of Directors that receive stock-based compensation are treated as employees for accounting pur</w:t>
      </w:r>
      <w:r>
        <w:rPr>
          <w:sz w:val="20"/>
          <w:szCs w:val="20"/>
        </w:rPr>
        <w:t>poses</w:t>
      </w:r>
      <w:r>
        <w:rPr>
          <w:sz w:val="20"/>
          <w:szCs w:val="20"/>
        </w:rPr>
        <w:t>.</w:t>
      </w:r>
      <w:r>
        <w:rPr>
          <w:sz w:val="20"/>
          <w:szCs w:val="20"/>
        </w:rPr>
        <w:t xml:space="preserve"> </w:t>
      </w:r>
    </w:p>
    <w:p w:rsidR="00000000" w:rsidRDefault="00A32496">
      <w:pPr>
        <w:pStyle w:val="a3"/>
        <w:spacing w:before="240" w:beforeAutospacing="0" w:after="0" w:afterAutospacing="0"/>
        <w:ind w:firstLine="555"/>
        <w:divId w:val="1102339258"/>
        <w:rPr>
          <w:sz w:val="20"/>
          <w:szCs w:val="20"/>
        </w:rPr>
      </w:pPr>
      <w:r>
        <w:rPr>
          <w:sz w:val="20"/>
          <w:szCs w:val="20"/>
        </w:rPr>
        <w:t>During the year ended December 31, 2021, the Board of Directors approved the grant of</w:t>
      </w:r>
      <w:r>
        <w:rPr>
          <w:sz w:val="20"/>
          <w:szCs w:val="20"/>
        </w:rPr>
        <w:t xml:space="preserve"> </w:t>
      </w:r>
      <w:r>
        <w:rPr>
          <w:sz w:val="20"/>
          <w:szCs w:val="20"/>
        </w:rPr>
        <w:t>1,671,39</w:t>
      </w:r>
      <w:r>
        <w:rPr>
          <w:sz w:val="20"/>
          <w:szCs w:val="20"/>
        </w:rPr>
        <w:t>1</w:t>
      </w:r>
      <w:r>
        <w:rPr>
          <w:sz w:val="20"/>
          <w:szCs w:val="20"/>
        </w:rPr>
        <w:t xml:space="preserve"> restricted stock units (“RSUs”</w:t>
      </w:r>
      <w:r>
        <w:rPr>
          <w:sz w:val="20"/>
          <w:szCs w:val="20"/>
        </w:rPr>
        <w:t>) to certain executives and selected employees of the Company under the 2017 Plan.</w:t>
      </w:r>
      <w:r>
        <w:rPr>
          <w:sz w:val="20"/>
          <w:szCs w:val="20"/>
        </w:rPr>
        <w:t xml:space="preserve"> </w:t>
      </w:r>
      <w:r>
        <w:rPr>
          <w:sz w:val="20"/>
          <w:szCs w:val="20"/>
        </w:rPr>
        <w:t>These RSUs represent the right to receive one share of the Company’s common stock upon vesting. These incentives were designed by the Board, in coordination with the Company</w:t>
      </w:r>
      <w:r>
        <w:rPr>
          <w:sz w:val="20"/>
          <w:szCs w:val="20"/>
        </w:rPr>
        <w:t>’s compensation advisors, to (i) retain selected employees of the Company for a minimum of</w:t>
      </w:r>
      <w:r>
        <w:rPr>
          <w:sz w:val="20"/>
          <w:szCs w:val="20"/>
        </w:rPr>
        <w:t xml:space="preserve"> </w:t>
      </w:r>
      <w:r>
        <w:rPr>
          <w:sz w:val="20"/>
          <w:szCs w:val="20"/>
        </w:rPr>
        <w:t>5 year</w:t>
      </w:r>
      <w:r>
        <w:rPr>
          <w:sz w:val="20"/>
          <w:szCs w:val="20"/>
        </w:rPr>
        <w:t>s</w:t>
      </w:r>
      <w:r>
        <w:rPr>
          <w:sz w:val="20"/>
          <w:szCs w:val="20"/>
        </w:rPr>
        <w:t>, (ii) reward selected employees for the Company’s significant outperformance and stockholder value creation in 2021, and (iii) provide incentives to selected</w:t>
      </w:r>
      <w:r>
        <w:rPr>
          <w:sz w:val="20"/>
          <w:szCs w:val="20"/>
        </w:rPr>
        <w:t xml:space="preserve"> employees of the Company to accelerate value creation for stockholders and other stakeholders over the next five-year perio</w:t>
      </w:r>
      <w:r>
        <w:rPr>
          <w:sz w:val="20"/>
          <w:szCs w:val="20"/>
        </w:rPr>
        <w:t>d</w:t>
      </w:r>
      <w:r>
        <w:rPr>
          <w:sz w:val="20"/>
          <w:szCs w:val="20"/>
        </w:rPr>
        <w:t>. With respect to</w:t>
      </w:r>
      <w:r>
        <w:rPr>
          <w:sz w:val="20"/>
          <w:szCs w:val="20"/>
        </w:rPr>
        <w:t xml:space="preserve"> </w:t>
      </w:r>
      <w:r>
        <w:rPr>
          <w:sz w:val="20"/>
          <w:szCs w:val="20"/>
        </w:rPr>
        <w:t>1,355,18</w:t>
      </w:r>
      <w:r>
        <w:rPr>
          <w:sz w:val="20"/>
          <w:szCs w:val="20"/>
        </w:rPr>
        <w:t>2</w:t>
      </w:r>
      <w:r>
        <w:rPr>
          <w:sz w:val="20"/>
          <w:szCs w:val="20"/>
        </w:rPr>
        <w:t xml:space="preserve"> RSUs,</w:t>
      </w:r>
      <w:r>
        <w:rPr>
          <w:sz w:val="20"/>
          <w:szCs w:val="20"/>
        </w:rPr>
        <w:t xml:space="preserve"> </w:t>
      </w:r>
      <w:r>
        <w:rPr>
          <w:sz w:val="20"/>
          <w:szCs w:val="20"/>
        </w:rPr>
        <w:t>50.</w:t>
      </w:r>
      <w:r>
        <w:rPr>
          <w:sz w:val="20"/>
          <w:szCs w:val="20"/>
        </w:rPr>
        <w:t>0</w:t>
      </w:r>
      <w:r>
        <w:rPr>
          <w:sz w:val="20"/>
          <w:szCs w:val="20"/>
        </w:rPr>
        <w:t>% will vest on each of the 4th and 5th anniversaries of the date of grant, subject to continu</w:t>
      </w:r>
      <w:r>
        <w:rPr>
          <w:sz w:val="20"/>
          <w:szCs w:val="20"/>
        </w:rPr>
        <w:t>ed service through each such date. With respect to the remaining</w:t>
      </w:r>
      <w:r>
        <w:rPr>
          <w:sz w:val="20"/>
          <w:szCs w:val="20"/>
        </w:rPr>
        <w:t xml:space="preserve"> </w:t>
      </w:r>
      <w:r>
        <w:rPr>
          <w:sz w:val="20"/>
          <w:szCs w:val="20"/>
        </w:rPr>
        <w:t>316,20</w:t>
      </w:r>
      <w:r>
        <w:rPr>
          <w:sz w:val="20"/>
          <w:szCs w:val="20"/>
        </w:rPr>
        <w:t>9</w:t>
      </w:r>
      <w:r>
        <w:rPr>
          <w:sz w:val="20"/>
          <w:szCs w:val="20"/>
        </w:rPr>
        <w:t xml:space="preserve"> RSUs (“The Performance-Vested RSUs”),</w:t>
      </w:r>
      <w:r>
        <w:rPr>
          <w:sz w:val="20"/>
          <w:szCs w:val="20"/>
        </w:rPr>
        <w:t xml:space="preserve"> </w:t>
      </w:r>
      <w:r>
        <w:rPr>
          <w:sz w:val="20"/>
          <w:szCs w:val="20"/>
        </w:rPr>
        <w:t>50.</w:t>
      </w:r>
      <w:r>
        <w:rPr>
          <w:sz w:val="20"/>
          <w:szCs w:val="20"/>
        </w:rPr>
        <w:t>0</w:t>
      </w:r>
      <w:r>
        <w:rPr>
          <w:sz w:val="20"/>
          <w:szCs w:val="20"/>
        </w:rPr>
        <w:t>% will vest on each of the 4th and 5th anniversaries of the date of grant, subject to continued service through each such date and further su</w:t>
      </w:r>
      <w:r>
        <w:rPr>
          <w:sz w:val="20"/>
          <w:szCs w:val="20"/>
        </w:rPr>
        <w:t xml:space="preserve">bject to Company achieving </w:t>
      </w:r>
      <w:r>
        <w:rPr>
          <w:sz w:val="20"/>
          <w:szCs w:val="20"/>
        </w:rPr>
        <w:t>$</w:t>
      </w:r>
      <w:r>
        <w:rPr>
          <w:sz w:val="20"/>
          <w:szCs w:val="20"/>
        </w:rPr>
        <w:t>90.</w:t>
      </w:r>
      <w:r>
        <w:rPr>
          <w:sz w:val="20"/>
          <w:szCs w:val="20"/>
        </w:rPr>
        <w:t>0</w:t>
      </w:r>
      <w:r>
        <w:rPr>
          <w:sz w:val="20"/>
          <w:szCs w:val="20"/>
        </w:rPr>
        <w:t xml:space="preserve"> million in adjusted EBITDA (as reported) for any trailing twelve-month period from and after December 31, 2022. If the Performance Criteria is not met prior to the 4th anniversary of the date of grant, none of the Performan</w:t>
      </w:r>
      <w:r>
        <w:rPr>
          <w:sz w:val="20"/>
          <w:szCs w:val="20"/>
        </w:rPr>
        <w:t xml:space="preserve">ce-Vested RSUs will vest at such time, and if the Performance Criteria is subsequently met prior to the 5th anniversary of the date of grant, all of the Performance-Vested RSUs will vest at such time, subject to continued service through such date. If the </w:t>
      </w:r>
      <w:r>
        <w:rPr>
          <w:sz w:val="20"/>
          <w:szCs w:val="20"/>
        </w:rPr>
        <w:t>Performance Criteria is not met by the 5th anniversary of the date of grant, all of the Performance-Vested RSUs will be forfeited</w:t>
      </w:r>
      <w:r>
        <w:rPr>
          <w:sz w:val="20"/>
          <w:szCs w:val="20"/>
        </w:rPr>
        <w:t>.</w:t>
      </w:r>
    </w:p>
    <w:p w:rsidR="00000000" w:rsidRDefault="00A32496">
      <w:pPr>
        <w:pStyle w:val="a3"/>
        <w:spacing w:before="240" w:beforeAutospacing="0" w:after="0" w:afterAutospacing="0"/>
        <w:ind w:firstLine="555"/>
        <w:divId w:val="1102339258"/>
        <w:rPr>
          <w:sz w:val="20"/>
          <w:szCs w:val="20"/>
        </w:rPr>
      </w:pPr>
      <w:r>
        <w:rPr>
          <w:sz w:val="20"/>
          <w:szCs w:val="20"/>
        </w:rPr>
        <w:t>During 2021 and 2022, the Board of Directors approved the creation of certain supplemental incentive plans (“SI Plans”) for s</w:t>
      </w:r>
      <w:r>
        <w:rPr>
          <w:sz w:val="20"/>
          <w:szCs w:val="20"/>
        </w:rPr>
        <w:t>elected employees to reward exceptional performance. These SI Plans provide supplemental bonus opportunities payable in RSUs under the 2017 Plan upon meeting certain financial performance targets. There were</w:t>
      </w:r>
      <w:r>
        <w:rPr>
          <w:sz w:val="20"/>
          <w:szCs w:val="20"/>
        </w:rPr>
        <w:t xml:space="preserve"> </w:t>
      </w:r>
      <w:r>
        <w:rPr>
          <w:sz w:val="20"/>
          <w:szCs w:val="20"/>
        </w:rPr>
        <w:t>95,40</w:t>
      </w:r>
      <w:r>
        <w:rPr>
          <w:sz w:val="20"/>
          <w:szCs w:val="20"/>
        </w:rPr>
        <w:t>4</w:t>
      </w:r>
      <w:r>
        <w:rPr>
          <w:sz w:val="20"/>
          <w:szCs w:val="20"/>
        </w:rPr>
        <w:t xml:space="preserve"> RSUs issued under these SI Plans during t</w:t>
      </w:r>
      <w:r>
        <w:rPr>
          <w:sz w:val="20"/>
          <w:szCs w:val="20"/>
        </w:rPr>
        <w:t>he nine months ended September 30, 2022 a</w:t>
      </w:r>
      <w:r>
        <w:rPr>
          <w:sz w:val="20"/>
          <w:szCs w:val="20"/>
        </w:rPr>
        <w:t>n</w:t>
      </w:r>
      <w:r>
        <w:rPr>
          <w:sz w:val="20"/>
          <w:szCs w:val="20"/>
        </w:rPr>
        <w:t>d</w:t>
      </w:r>
      <w:r>
        <w:rPr>
          <w:sz w:val="20"/>
          <w:szCs w:val="20"/>
        </w:rPr>
        <w:t xml:space="preserve"> </w:t>
      </w:r>
      <w:r>
        <w:rPr>
          <w:sz w:val="20"/>
          <w:szCs w:val="20"/>
        </w:rPr>
        <w:t>zer</w:t>
      </w:r>
      <w:r>
        <w:rPr>
          <w:sz w:val="20"/>
          <w:szCs w:val="20"/>
        </w:rPr>
        <w:t>o</w:t>
      </w:r>
      <w:r>
        <w:rPr>
          <w:sz w:val="20"/>
          <w:szCs w:val="20"/>
        </w:rPr>
        <w:t xml:space="preserve"> RSUs </w:t>
      </w:r>
      <w:r>
        <w:rPr>
          <w:sz w:val="20"/>
          <w:szCs w:val="20"/>
        </w:rPr>
        <w:t>i</w:t>
      </w:r>
      <w:r>
        <w:rPr>
          <w:sz w:val="20"/>
          <w:szCs w:val="20"/>
        </w:rPr>
        <w:t>ssued under these SI plans during the nine months ended September 30, 2021. These RSUs vest four years from the date of grant, subject to continued service through such date</w:t>
      </w:r>
      <w:r>
        <w:rPr>
          <w:sz w:val="20"/>
          <w:szCs w:val="20"/>
        </w:rPr>
        <w:t>.</w:t>
      </w:r>
      <w:r>
        <w:rPr>
          <w:sz w:val="20"/>
          <w:szCs w:val="20"/>
        </w:rPr>
        <w:t xml:space="preserve"> </w:t>
      </w:r>
    </w:p>
    <w:p w:rsidR="00000000" w:rsidRDefault="00A32496">
      <w:pPr>
        <w:pStyle w:val="a3"/>
        <w:spacing w:before="240" w:beforeAutospacing="0" w:after="0" w:afterAutospacing="0"/>
        <w:ind w:firstLine="555"/>
        <w:divId w:val="1102339258"/>
        <w:rPr>
          <w:sz w:val="20"/>
          <w:szCs w:val="20"/>
        </w:rPr>
      </w:pPr>
      <w:r>
        <w:rPr>
          <w:sz w:val="20"/>
          <w:szCs w:val="20"/>
        </w:rPr>
        <w:t>During 2021, the Board ap</w:t>
      </w:r>
      <w:r>
        <w:rPr>
          <w:sz w:val="20"/>
          <w:szCs w:val="20"/>
        </w:rPr>
        <w:t>proved and reserved for future issuance an aggregate of</w:t>
      </w:r>
      <w:r>
        <w:rPr>
          <w:sz w:val="20"/>
          <w:szCs w:val="20"/>
        </w:rPr>
        <w:t xml:space="preserve"> </w:t>
      </w:r>
      <w:r>
        <w:rPr>
          <w:sz w:val="20"/>
          <w:szCs w:val="20"/>
        </w:rPr>
        <w:t>135,51</w:t>
      </w:r>
      <w:r>
        <w:rPr>
          <w:sz w:val="20"/>
          <w:szCs w:val="20"/>
        </w:rPr>
        <w:t>7</w:t>
      </w:r>
      <w:r>
        <w:rPr>
          <w:sz w:val="20"/>
          <w:szCs w:val="20"/>
        </w:rPr>
        <w:t xml:space="preserve"> RSUs</w:t>
      </w:r>
      <w:r>
        <w:rPr>
          <w:sz w:val="20"/>
          <w:szCs w:val="20"/>
        </w:rPr>
        <w:t xml:space="preserve"> </w:t>
      </w:r>
      <w:r>
        <w:rPr>
          <w:sz w:val="20"/>
          <w:szCs w:val="20"/>
        </w:rPr>
        <w:t>(the “Future RSU Pool”) to be granted under the 2017 Plan to certain of its executives and selected employees. Final determination and allocation of the award</w:t>
      </w:r>
      <w:r>
        <w:rPr>
          <w:sz w:val="20"/>
          <w:szCs w:val="20"/>
        </w:rPr>
        <w:t>s</w:t>
      </w:r>
      <w:r>
        <w:rPr>
          <w:sz w:val="20"/>
          <w:szCs w:val="20"/>
        </w:rPr>
        <w:t xml:space="preserve"> </w:t>
      </w:r>
    </w:p>
    <w:p w:rsidR="00000000" w:rsidRDefault="00A32496">
      <w:pPr>
        <w:pStyle w:val="a3"/>
        <w:spacing w:before="240" w:beforeAutospacing="0" w:after="0" w:afterAutospacing="0"/>
        <w:jc w:val="center"/>
        <w:divId w:val="1102339258"/>
        <w:rPr>
          <w:sz w:val="20"/>
          <w:szCs w:val="20"/>
        </w:rPr>
      </w:pPr>
      <w:r>
        <w:rPr>
          <w:sz w:val="20"/>
          <w:szCs w:val="20"/>
        </w:rPr>
        <w:t>2</w:t>
      </w:r>
      <w:r>
        <w:rPr>
          <w:sz w:val="20"/>
          <w:szCs w:val="20"/>
        </w:rPr>
        <w:t>4</w:t>
      </w:r>
    </w:p>
    <w:p w:rsidR="00000000" w:rsidRDefault="00A32496">
      <w:pPr>
        <w:divId w:val="1102339258"/>
        <w:rPr>
          <w:rFonts w:eastAsia="Times New Roman"/>
        </w:rPr>
      </w:pPr>
      <w:r>
        <w:rPr>
          <w:rFonts w:eastAsia="Times New Roman"/>
        </w:rPr>
        <w:pict>
          <v:rect id="_x0000_i1050" style="width:0;height:1.5pt" o:hralign="center" o:hrstd="t" o:hr="t" fillcolor="#a0a0a0" stroked="f"/>
        </w:pict>
      </w:r>
    </w:p>
    <w:p w:rsidR="00000000" w:rsidRDefault="00A32496">
      <w:pPr>
        <w:pStyle w:val="a3"/>
        <w:spacing w:before="0" w:beforeAutospacing="0" w:after="0" w:afterAutospacing="0"/>
        <w:divId w:val="1102339258"/>
        <w:rPr>
          <w:sz w:val="20"/>
          <w:szCs w:val="20"/>
        </w:rPr>
      </w:pPr>
      <w:r>
        <w:rPr>
          <w:sz w:val="20"/>
          <w:szCs w:val="20"/>
        </w:rPr>
        <w:t> </w:t>
      </w:r>
    </w:p>
    <w:p w:rsidR="00000000" w:rsidRDefault="00A32496">
      <w:pPr>
        <w:pStyle w:val="a3"/>
        <w:spacing w:before="240" w:beforeAutospacing="0" w:after="0" w:afterAutospacing="0"/>
        <w:divId w:val="1102339258"/>
        <w:rPr>
          <w:sz w:val="20"/>
          <w:szCs w:val="20"/>
        </w:rPr>
      </w:pPr>
      <w:r>
        <w:rPr>
          <w:sz w:val="20"/>
          <w:szCs w:val="20"/>
        </w:rPr>
        <w:t>under</w:t>
      </w:r>
      <w:r>
        <w:rPr>
          <w:sz w:val="20"/>
          <w:szCs w:val="20"/>
        </w:rPr>
        <w:t xml:space="preserve"> </w:t>
      </w:r>
      <w:r>
        <w:rPr>
          <w:sz w:val="20"/>
          <w:szCs w:val="20"/>
        </w:rPr>
        <w:t>the Future RSU Pool will be determined on December 16, 2025 based on individual performance and continued service through such date. Any RSUs granted under the Future RSU Pool will vest on December 16, 2026, subject to continued servi</w:t>
      </w:r>
      <w:r>
        <w:rPr>
          <w:sz w:val="20"/>
          <w:szCs w:val="20"/>
        </w:rPr>
        <w:t>ce through such date</w:t>
      </w:r>
      <w:r>
        <w:rPr>
          <w:sz w:val="20"/>
          <w:szCs w:val="20"/>
        </w:rPr>
        <w:t>.</w:t>
      </w:r>
    </w:p>
    <w:p w:rsidR="00000000" w:rsidRDefault="00A32496">
      <w:pPr>
        <w:pStyle w:val="a3"/>
        <w:spacing w:before="240" w:beforeAutospacing="0" w:after="0" w:afterAutospacing="0"/>
        <w:jc w:val="center"/>
        <w:divId w:val="1102339258"/>
        <w:rPr>
          <w:sz w:val="20"/>
          <w:szCs w:val="20"/>
        </w:rPr>
      </w:pPr>
      <w:r>
        <w:rPr>
          <w:sz w:val="20"/>
          <w:szCs w:val="20"/>
        </w:rPr>
        <w:t>2</w:t>
      </w:r>
      <w:r>
        <w:rPr>
          <w:sz w:val="20"/>
          <w:szCs w:val="20"/>
        </w:rPr>
        <w:t>5</w:t>
      </w:r>
    </w:p>
    <w:p w:rsidR="00000000" w:rsidRDefault="00A32496">
      <w:pPr>
        <w:divId w:val="1102339258"/>
        <w:rPr>
          <w:rFonts w:eastAsia="Times New Roman"/>
        </w:rPr>
      </w:pPr>
      <w:r>
        <w:rPr>
          <w:rFonts w:eastAsia="Times New Roman"/>
        </w:rPr>
        <w:pict>
          <v:rect id="_x0000_i1051" style="width:0;height:1.5pt" o:hralign="center" o:hrstd="t" o:hr="t" fillcolor="#a0a0a0" stroked="f"/>
        </w:pict>
      </w:r>
    </w:p>
    <w:p w:rsidR="00000000" w:rsidRDefault="00A32496">
      <w:pPr>
        <w:pStyle w:val="a3"/>
        <w:spacing w:before="0" w:beforeAutospacing="0" w:after="0" w:afterAutospacing="0"/>
        <w:divId w:val="1102339258"/>
        <w:rPr>
          <w:sz w:val="20"/>
          <w:szCs w:val="20"/>
        </w:rPr>
      </w:pPr>
      <w:r>
        <w:rPr>
          <w:sz w:val="20"/>
          <w:szCs w:val="20"/>
        </w:rPr>
        <w:t> </w:t>
      </w:r>
    </w:p>
    <w:p w:rsidR="00000000" w:rsidRDefault="00A32496">
      <w:pPr>
        <w:pStyle w:val="a3"/>
        <w:spacing w:before="240" w:beforeAutospacing="0" w:after="0" w:afterAutospacing="0"/>
        <w:ind w:firstLine="555"/>
        <w:divId w:val="1664580698"/>
        <w:rPr>
          <w:sz w:val="20"/>
          <w:szCs w:val="20"/>
        </w:rPr>
      </w:pPr>
      <w:r>
        <w:rPr>
          <w:sz w:val="20"/>
          <w:szCs w:val="20"/>
        </w:rPr>
        <w:t>RSA and RSU activity was as follows</w:t>
      </w:r>
      <w:r>
        <w:rPr>
          <w:sz w:val="20"/>
          <w:szCs w:val="20"/>
        </w:rPr>
        <w:t>:</w:t>
      </w:r>
      <w:r>
        <w:rPr>
          <w:sz w:val="20"/>
          <w:szCs w:val="20"/>
        </w:rPr>
        <w:t xml:space="preserve"> </w:t>
      </w:r>
    </w:p>
    <w:p w:rsidR="00000000" w:rsidRDefault="00A32496">
      <w:pPr>
        <w:pStyle w:val="a3"/>
        <w:spacing w:before="0" w:beforeAutospacing="0" w:after="0" w:afterAutospacing="0"/>
        <w:ind w:firstLine="555"/>
        <w:divId w:val="1664580698"/>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65"/>
        <w:gridCol w:w="105"/>
        <w:gridCol w:w="713"/>
        <w:gridCol w:w="105"/>
        <w:gridCol w:w="105"/>
        <w:gridCol w:w="151"/>
        <w:gridCol w:w="704"/>
        <w:gridCol w:w="105"/>
        <w:gridCol w:w="105"/>
        <w:gridCol w:w="151"/>
        <w:gridCol w:w="862"/>
        <w:gridCol w:w="105"/>
        <w:gridCol w:w="105"/>
        <w:gridCol w:w="105"/>
        <w:gridCol w:w="698"/>
        <w:gridCol w:w="105"/>
        <w:gridCol w:w="105"/>
        <w:gridCol w:w="151"/>
        <w:gridCol w:w="707"/>
        <w:gridCol w:w="105"/>
        <w:gridCol w:w="105"/>
        <w:gridCol w:w="151"/>
        <w:gridCol w:w="973"/>
        <w:gridCol w:w="120"/>
      </w:tblGrid>
      <w:tr w:rsidR="00000000">
        <w:trPr>
          <w:divId w:val="1664580698"/>
          <w:tblCellSpacing w:w="15" w:type="dxa"/>
        </w:trPr>
        <w:tc>
          <w:tcPr>
            <w:tcW w:w="1079" w:type="pct"/>
            <w:vAlign w:val="center"/>
            <w:hideMark/>
          </w:tcPr>
          <w:p w:rsidR="00000000" w:rsidRDefault="00A32496">
            <w:pPr>
              <w:rPr>
                <w:sz w:val="20"/>
                <w:szCs w:val="20"/>
              </w:rPr>
            </w:pPr>
          </w:p>
        </w:tc>
        <w:tc>
          <w:tcPr>
            <w:tcW w:w="50" w:type="pct"/>
            <w:vAlign w:val="center"/>
            <w:hideMark/>
          </w:tcPr>
          <w:p w:rsidR="00000000" w:rsidRDefault="00A32496">
            <w:pPr>
              <w:rPr>
                <w:rFonts w:eastAsia="Times New Roman"/>
                <w:sz w:val="20"/>
                <w:szCs w:val="20"/>
              </w:rPr>
            </w:pPr>
          </w:p>
        </w:tc>
        <w:tc>
          <w:tcPr>
            <w:tcW w:w="464"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8"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456"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8"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61"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464"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8"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456"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8"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632"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r>
      <w:tr w:rsidR="00000000">
        <w:trPr>
          <w:divId w:val="1664580698"/>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gridSpan w:val="22"/>
            <w:vAlign w:val="bottom"/>
            <w:hideMark/>
          </w:tcPr>
          <w:p w:rsidR="00000000" w:rsidRDefault="00A32496">
            <w:pPr>
              <w:pStyle w:val="a3"/>
              <w:spacing w:before="0" w:beforeAutospacing="0" w:after="0" w:afterAutospacing="0"/>
              <w:jc w:val="center"/>
              <w:rPr>
                <w:sz w:val="18"/>
                <w:szCs w:val="18"/>
              </w:rPr>
            </w:pPr>
            <w:r>
              <w:rPr>
                <w:b/>
                <w:bCs/>
                <w:sz w:val="18"/>
                <w:szCs w:val="18"/>
              </w:rPr>
              <w:t>Nine Months Ended September 30</w:t>
            </w:r>
            <w:r>
              <w:rPr>
                <w:b/>
                <w:bCs/>
                <w:sz w:val="18"/>
                <w:szCs w:val="18"/>
              </w:rPr>
              <w: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1664580698"/>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gridSpan w:val="10"/>
            <w:vAlign w:val="bottom"/>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gridSpan w:val="10"/>
            <w:vAlign w:val="bottom"/>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1664580698"/>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Share</w:t>
            </w:r>
            <w:r>
              <w:rPr>
                <w:b/>
                <w:bCs/>
                <w:sz w:val="18"/>
                <w:szCs w:val="18"/>
              </w:rPr>
              <w:t>s</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Average Price per Shar</w:t>
            </w:r>
            <w:r>
              <w:rPr>
                <w:b/>
                <w:bCs/>
                <w:sz w:val="18"/>
                <w:szCs w:val="18"/>
              </w:rPr>
              <w:t>e</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Fair Value</w:t>
            </w:r>
            <w:r>
              <w:rPr>
                <w:b/>
                <w:bCs/>
                <w:sz w:val="18"/>
                <w:szCs w:val="18"/>
              </w:rPr>
              <w:br/>
              <w:t>(in thousands</w:t>
            </w:r>
            <w:r>
              <w:rPr>
                <w:b/>
                <w:bCs/>
                <w:sz w:val="18"/>
                <w:szCs w:val="18"/>
              </w:rPr>
              <w: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Share</w:t>
            </w:r>
            <w:r>
              <w:rPr>
                <w:b/>
                <w:bCs/>
                <w:sz w:val="18"/>
                <w:szCs w:val="18"/>
              </w:rPr>
              <w:t>s</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Average Price per Shar</w:t>
            </w:r>
            <w:r>
              <w:rPr>
                <w:b/>
                <w:bCs/>
                <w:sz w:val="18"/>
                <w:szCs w:val="18"/>
              </w:rPr>
              <w:t>e</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Fair Value</w:t>
            </w:r>
            <w:r>
              <w:rPr>
                <w:b/>
                <w:bCs/>
                <w:sz w:val="18"/>
                <w:szCs w:val="18"/>
              </w:rPr>
              <w:br/>
              <w:t>(in thousands</w:t>
            </w:r>
            <w:r>
              <w:rPr>
                <w:b/>
                <w:bCs/>
                <w:sz w:val="18"/>
                <w:szCs w:val="18"/>
              </w:rPr>
              <w: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1664580698"/>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Awards grante</w:t>
            </w:r>
            <w:r>
              <w:rPr>
                <w:sz w:val="18"/>
                <w:szCs w:val="18"/>
              </w:rPr>
              <w:t>d</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106,32</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46.8</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4,97</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19,06</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36.9</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70</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bl>
    <w:p w:rsidR="00000000" w:rsidRDefault="00A32496">
      <w:pPr>
        <w:pStyle w:val="a3"/>
        <w:spacing w:before="240" w:beforeAutospacing="0" w:after="0" w:afterAutospacing="0"/>
        <w:ind w:firstLine="555"/>
        <w:divId w:val="1102339258"/>
        <w:rPr>
          <w:sz w:val="20"/>
          <w:szCs w:val="20"/>
        </w:rPr>
      </w:pPr>
      <w:r>
        <w:rPr>
          <w:sz w:val="20"/>
          <w:szCs w:val="20"/>
        </w:rPr>
        <w:t>There were</w:t>
      </w:r>
      <w:r>
        <w:rPr>
          <w:sz w:val="20"/>
          <w:szCs w:val="20"/>
        </w:rPr>
        <w:t xml:space="preserve"> </w:t>
      </w:r>
      <w:r>
        <w:rPr>
          <w:sz w:val="20"/>
          <w:szCs w:val="20"/>
        </w:rPr>
        <w:t>n</w:t>
      </w:r>
      <w:r>
        <w:rPr>
          <w:sz w:val="20"/>
          <w:szCs w:val="20"/>
        </w:rPr>
        <w:t>o</w:t>
      </w:r>
      <w:r>
        <w:rPr>
          <w:sz w:val="20"/>
          <w:szCs w:val="20"/>
        </w:rPr>
        <w:t xml:space="preserve"> </w:t>
      </w:r>
      <w:r>
        <w:rPr>
          <w:sz w:val="20"/>
          <w:szCs w:val="20"/>
        </w:rPr>
        <w:t>awards granted during the three months ended September 30, 2022 and September 30, 2021. There were an aggregate of</w:t>
      </w:r>
      <w:r>
        <w:rPr>
          <w:sz w:val="20"/>
          <w:szCs w:val="20"/>
        </w:rPr>
        <w:t xml:space="preserve"> </w:t>
      </w:r>
      <w:r>
        <w:rPr>
          <w:sz w:val="20"/>
          <w:szCs w:val="20"/>
        </w:rPr>
        <w:t>zer</w:t>
      </w:r>
      <w:r>
        <w:rPr>
          <w:sz w:val="20"/>
          <w:szCs w:val="20"/>
        </w:rPr>
        <w:t>o</w:t>
      </w:r>
      <w:r>
        <w:rPr>
          <w:sz w:val="20"/>
          <w:szCs w:val="20"/>
        </w:rPr>
        <w:t xml:space="preserve"> and</w:t>
      </w:r>
      <w:r>
        <w:rPr>
          <w:sz w:val="20"/>
          <w:szCs w:val="20"/>
        </w:rPr>
        <w:t xml:space="preserve"> </w:t>
      </w:r>
      <w:r>
        <w:rPr>
          <w:sz w:val="20"/>
          <w:szCs w:val="20"/>
        </w:rPr>
        <w:t>25,28</w:t>
      </w:r>
      <w:r>
        <w:rPr>
          <w:sz w:val="20"/>
          <w:szCs w:val="20"/>
        </w:rPr>
        <w:t>9</w:t>
      </w:r>
      <w:r>
        <w:rPr>
          <w:sz w:val="20"/>
          <w:szCs w:val="20"/>
        </w:rPr>
        <w:t xml:space="preserve"> shares underlying RSAs and RSU</w:t>
      </w:r>
      <w:r>
        <w:rPr>
          <w:sz w:val="20"/>
          <w:szCs w:val="20"/>
        </w:rPr>
        <w:t>s</w:t>
      </w:r>
      <w:r>
        <w:rPr>
          <w:sz w:val="20"/>
          <w:szCs w:val="20"/>
        </w:rPr>
        <w:t xml:space="preserve"> that became fully vested and were released as unrestricted shares of common stock during the </w:t>
      </w:r>
      <w:r>
        <w:rPr>
          <w:sz w:val="20"/>
          <w:szCs w:val="20"/>
        </w:rPr>
        <w:t xml:space="preserve">three and nine months ended September 30, 2022, respectively. During the three and nine months ended September 30, 2021, there were an aggregate </w:t>
      </w:r>
      <w:r>
        <w:rPr>
          <w:sz w:val="20"/>
          <w:szCs w:val="20"/>
        </w:rPr>
        <w:t>o</w:t>
      </w:r>
      <w:r>
        <w:rPr>
          <w:sz w:val="20"/>
          <w:szCs w:val="20"/>
        </w:rPr>
        <w:t>f</w:t>
      </w:r>
      <w:r>
        <w:rPr>
          <w:sz w:val="20"/>
          <w:szCs w:val="20"/>
        </w:rPr>
        <w:t xml:space="preserve"> </w:t>
      </w:r>
      <w:r>
        <w:rPr>
          <w:sz w:val="20"/>
          <w:szCs w:val="20"/>
        </w:rPr>
        <w:t>zer</w:t>
      </w:r>
      <w:r>
        <w:rPr>
          <w:sz w:val="20"/>
          <w:szCs w:val="20"/>
        </w:rPr>
        <w:t>o</w:t>
      </w:r>
      <w:r>
        <w:rPr>
          <w:sz w:val="20"/>
          <w:szCs w:val="20"/>
        </w:rPr>
        <w:t xml:space="preserve"> and</w:t>
      </w:r>
      <w:r>
        <w:rPr>
          <w:sz w:val="20"/>
          <w:szCs w:val="20"/>
        </w:rPr>
        <w:t xml:space="preserve"> </w:t>
      </w:r>
      <w:r>
        <w:rPr>
          <w:sz w:val="20"/>
          <w:szCs w:val="20"/>
        </w:rPr>
        <w:t>38,92</w:t>
      </w:r>
      <w:r>
        <w:rPr>
          <w:sz w:val="20"/>
          <w:szCs w:val="20"/>
        </w:rPr>
        <w:t>9</w:t>
      </w:r>
      <w:r>
        <w:rPr>
          <w:sz w:val="20"/>
          <w:szCs w:val="20"/>
        </w:rPr>
        <w:t xml:space="preserve"> shares </w:t>
      </w:r>
      <w:r>
        <w:rPr>
          <w:sz w:val="20"/>
          <w:szCs w:val="20"/>
        </w:rPr>
        <w:t>u</w:t>
      </w:r>
      <w:r>
        <w:rPr>
          <w:sz w:val="20"/>
          <w:szCs w:val="20"/>
        </w:rPr>
        <w:t xml:space="preserve">nderlying RSAs that became fully vested and were released as unrestricted shares of </w:t>
      </w:r>
      <w:r>
        <w:rPr>
          <w:sz w:val="20"/>
          <w:szCs w:val="20"/>
        </w:rPr>
        <w:t>common stock, respectively. There was an aggregate of</w:t>
      </w:r>
      <w:r>
        <w:rPr>
          <w:sz w:val="20"/>
          <w:szCs w:val="20"/>
        </w:rPr>
        <w:t xml:space="preserve"> </w:t>
      </w:r>
      <w:r>
        <w:rPr>
          <w:sz w:val="20"/>
          <w:szCs w:val="20"/>
        </w:rPr>
        <w:t>2,064,19</w:t>
      </w:r>
      <w:r>
        <w:rPr>
          <w:sz w:val="20"/>
          <w:szCs w:val="20"/>
        </w:rPr>
        <w:t>7</w:t>
      </w:r>
      <w:r>
        <w:rPr>
          <w:sz w:val="20"/>
          <w:szCs w:val="20"/>
        </w:rPr>
        <w:t xml:space="preserve"> </w:t>
      </w:r>
      <w:r>
        <w:rPr>
          <w:sz w:val="20"/>
          <w:szCs w:val="20"/>
        </w:rPr>
        <w:t>a</w:t>
      </w:r>
      <w:r>
        <w:rPr>
          <w:sz w:val="20"/>
          <w:szCs w:val="20"/>
        </w:rPr>
        <w:t>n</w:t>
      </w:r>
      <w:r>
        <w:rPr>
          <w:sz w:val="20"/>
          <w:szCs w:val="20"/>
        </w:rPr>
        <w:t>d</w:t>
      </w:r>
      <w:r>
        <w:rPr>
          <w:sz w:val="20"/>
          <w:szCs w:val="20"/>
        </w:rPr>
        <w:t xml:space="preserve"> </w:t>
      </w:r>
      <w:r>
        <w:rPr>
          <w:sz w:val="20"/>
          <w:szCs w:val="20"/>
        </w:rPr>
        <w:t>286,23</w:t>
      </w:r>
      <w:r>
        <w:rPr>
          <w:sz w:val="20"/>
          <w:szCs w:val="20"/>
        </w:rPr>
        <w:t>9</w:t>
      </w:r>
      <w:r>
        <w:rPr>
          <w:sz w:val="20"/>
          <w:szCs w:val="20"/>
        </w:rPr>
        <w:t xml:space="preserve"> </w:t>
      </w:r>
      <w:r>
        <w:rPr>
          <w:sz w:val="20"/>
          <w:szCs w:val="20"/>
        </w:rPr>
        <w:t>shares underlying outstanding RSA and RSU awards as of September 30, 2022 and September 30, 2021, respectively. There wer</w:t>
      </w:r>
      <w:r>
        <w:rPr>
          <w:sz w:val="20"/>
          <w:szCs w:val="20"/>
        </w:rPr>
        <w:t>e</w:t>
      </w:r>
      <w:r>
        <w:rPr>
          <w:sz w:val="20"/>
          <w:szCs w:val="20"/>
        </w:rPr>
        <w:t xml:space="preserve"> </w:t>
      </w:r>
      <w:r>
        <w:rPr>
          <w:sz w:val="20"/>
          <w:szCs w:val="20"/>
        </w:rPr>
        <w:t>n</w:t>
      </w:r>
      <w:r>
        <w:rPr>
          <w:sz w:val="20"/>
          <w:szCs w:val="20"/>
        </w:rPr>
        <w:t>o</w:t>
      </w:r>
      <w:r>
        <w:rPr>
          <w:sz w:val="20"/>
          <w:szCs w:val="20"/>
        </w:rPr>
        <w:t xml:space="preserve"> forfeitures of RSAs or RSUs</w:t>
      </w:r>
      <w:r>
        <w:rPr>
          <w:sz w:val="20"/>
          <w:szCs w:val="20"/>
        </w:rPr>
        <w:t xml:space="preserve"> </w:t>
      </w:r>
      <w:r>
        <w:rPr>
          <w:sz w:val="20"/>
          <w:szCs w:val="20"/>
        </w:rPr>
        <w:t xml:space="preserve">during the three and nine </w:t>
      </w:r>
      <w:r>
        <w:rPr>
          <w:sz w:val="20"/>
          <w:szCs w:val="20"/>
        </w:rPr>
        <w:t>months ended September 30, 2022 and September 30, 2021</w:t>
      </w:r>
      <w:r>
        <w:rPr>
          <w:sz w:val="20"/>
          <w:szCs w:val="20"/>
        </w:rPr>
        <w:t>.</w:t>
      </w:r>
      <w:r>
        <w:rPr>
          <w:sz w:val="20"/>
          <w:szCs w:val="20"/>
        </w:rPr>
        <w:t xml:space="preserve"> </w:t>
      </w:r>
    </w:p>
    <w:p w:rsidR="00000000" w:rsidRDefault="00A32496">
      <w:pPr>
        <w:pStyle w:val="a3"/>
        <w:spacing w:before="240" w:beforeAutospacing="0" w:after="0" w:afterAutospacing="0"/>
        <w:ind w:firstLine="555"/>
        <w:divId w:val="1102339258"/>
        <w:rPr>
          <w:sz w:val="20"/>
          <w:szCs w:val="20"/>
        </w:rPr>
      </w:pPr>
      <w:r>
        <w:rPr>
          <w:b/>
          <w:bCs/>
          <w:i/>
          <w:iCs/>
          <w:sz w:val="20"/>
          <w:szCs w:val="20"/>
        </w:rPr>
        <w:t>Stock Appreciation Rights</w:t>
      </w:r>
      <w:r>
        <w:rPr>
          <w:b/>
          <w:bCs/>
          <w:i/>
          <w:iCs/>
          <w:sz w:val="20"/>
          <w:szCs w:val="20"/>
        </w:rPr>
        <w:t>—</w:t>
      </w:r>
      <w:r>
        <w:rPr>
          <w:sz w:val="20"/>
          <w:szCs w:val="20"/>
        </w:rPr>
        <w:t xml:space="preserve"> During the year ended December 31, 2021, the Board of Directors approved the grant of</w:t>
      </w:r>
      <w:r>
        <w:rPr>
          <w:sz w:val="20"/>
          <w:szCs w:val="20"/>
        </w:rPr>
        <w:t xml:space="preserve"> </w:t>
      </w:r>
      <w:r>
        <w:rPr>
          <w:sz w:val="20"/>
          <w:szCs w:val="20"/>
        </w:rPr>
        <w:t>3,000,00</w:t>
      </w:r>
      <w:r>
        <w:rPr>
          <w:sz w:val="20"/>
          <w:szCs w:val="20"/>
        </w:rPr>
        <w:t>0</w:t>
      </w:r>
      <w:r>
        <w:rPr>
          <w:sz w:val="20"/>
          <w:szCs w:val="20"/>
        </w:rPr>
        <w:t xml:space="preserve"> units of stock appreciation rights (“SARs”) to certain executives and select</w:t>
      </w:r>
      <w:r>
        <w:rPr>
          <w:sz w:val="20"/>
          <w:szCs w:val="20"/>
        </w:rPr>
        <w:t xml:space="preserve">ed employees under the 2017 Plan. These SARs represent the right to receive, upon exercise, a payment equal to the excess of (a) the fair market value of one share of the Company’s common stock, over (b) an exercise price of </w:t>
      </w:r>
      <w:r>
        <w:rPr>
          <w:sz w:val="20"/>
          <w:szCs w:val="20"/>
        </w:rPr>
        <w:t>$</w:t>
      </w:r>
      <w:r>
        <w:rPr>
          <w:sz w:val="20"/>
          <w:szCs w:val="20"/>
        </w:rPr>
        <w:t>66.7</w:t>
      </w:r>
      <w:r>
        <w:rPr>
          <w:sz w:val="20"/>
          <w:szCs w:val="20"/>
        </w:rPr>
        <w:t>9</w:t>
      </w:r>
      <w:r>
        <w:rPr>
          <w:sz w:val="20"/>
          <w:szCs w:val="20"/>
        </w:rPr>
        <w:t>, payable, at the Company</w:t>
      </w:r>
      <w:r>
        <w:rPr>
          <w:sz w:val="20"/>
          <w:szCs w:val="20"/>
        </w:rPr>
        <w:t xml:space="preserve">’s election, in cash or shares of common stock. These SARs vest on the 5th anniversary of the date of grant based on achievement of performance hurdles over </w:t>
      </w:r>
      <w:r>
        <w:rPr>
          <w:sz w:val="20"/>
          <w:szCs w:val="20"/>
        </w:rPr>
        <w:t>a</w:t>
      </w:r>
      <w:r>
        <w:rPr>
          <w:sz w:val="20"/>
          <w:szCs w:val="20"/>
        </w:rPr>
        <w:t xml:space="preserve"> five yea</w:t>
      </w:r>
      <w:r>
        <w:rPr>
          <w:sz w:val="20"/>
          <w:szCs w:val="20"/>
        </w:rPr>
        <w:t>r</w:t>
      </w:r>
      <w:r>
        <w:rPr>
          <w:sz w:val="20"/>
          <w:szCs w:val="20"/>
        </w:rPr>
        <w:t xml:space="preserve"> period, subject to continued service on the vesting date.</w:t>
      </w:r>
      <w:r>
        <w:rPr>
          <w:sz w:val="20"/>
          <w:szCs w:val="20"/>
        </w:rPr>
        <w:t xml:space="preserve"> </w:t>
      </w:r>
      <w:r>
        <w:rPr>
          <w:sz w:val="20"/>
          <w:szCs w:val="20"/>
        </w:rPr>
        <w:t>The performance hurdles shall</w:t>
      </w:r>
      <w:r>
        <w:rPr>
          <w:sz w:val="20"/>
          <w:szCs w:val="20"/>
        </w:rPr>
        <w:t xml:space="preserve"> be deemed achieved if the average trading price per share of the Company’s common stock equals or exceeds the following stock prices</w:t>
      </w:r>
      <w:r>
        <w:rPr>
          <w:sz w:val="20"/>
          <w:szCs w:val="20"/>
        </w:rPr>
        <w:t>:</w:t>
      </w:r>
    </w:p>
    <w:p w:rsidR="00000000" w:rsidRDefault="00A32496">
      <w:pPr>
        <w:pStyle w:val="a3"/>
        <w:spacing w:before="0" w:beforeAutospacing="0" w:after="0" w:afterAutospacing="0"/>
        <w:ind w:firstLine="555"/>
        <w:divId w:val="1383408618"/>
        <w:rPr>
          <w:sz w:val="20"/>
          <w:szCs w:val="20"/>
        </w:rPr>
      </w:pPr>
      <w:r>
        <w:rPr>
          <w:sz w:val="20"/>
          <w:szCs w:val="20"/>
        </w:rPr>
        <w:t> </w:t>
      </w:r>
    </w:p>
    <w:tbl>
      <w:tblPr>
        <w:tblW w:w="2600" w:type="pct"/>
        <w:tblCellSpacing w:w="15" w:type="dxa"/>
        <w:tblCellMar>
          <w:top w:w="15" w:type="dxa"/>
          <w:left w:w="15" w:type="dxa"/>
          <w:bottom w:w="15" w:type="dxa"/>
          <w:right w:w="15" w:type="dxa"/>
        </w:tblCellMar>
        <w:tblLook w:val="04A0" w:firstRow="1" w:lastRow="0" w:firstColumn="1" w:lastColumn="0" w:noHBand="0" w:noVBand="1"/>
      </w:tblPr>
      <w:tblGrid>
        <w:gridCol w:w="166"/>
        <w:gridCol w:w="2067"/>
        <w:gridCol w:w="105"/>
        <w:gridCol w:w="1981"/>
      </w:tblGrid>
      <w:tr w:rsidR="00000000">
        <w:trPr>
          <w:divId w:val="1383408618"/>
          <w:tblCellSpacing w:w="15" w:type="dxa"/>
        </w:trPr>
        <w:tc>
          <w:tcPr>
            <w:tcW w:w="50" w:type="pct"/>
            <w:vAlign w:val="center"/>
            <w:hideMark/>
          </w:tcPr>
          <w:p w:rsidR="00000000" w:rsidRDefault="00A32496">
            <w:pPr>
              <w:rPr>
                <w:sz w:val="20"/>
                <w:szCs w:val="20"/>
              </w:rPr>
            </w:pPr>
          </w:p>
        </w:tc>
        <w:tc>
          <w:tcPr>
            <w:tcW w:w="2510"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2389" w:type="pct"/>
            <w:vAlign w:val="center"/>
            <w:hideMark/>
          </w:tcPr>
          <w:p w:rsidR="00000000" w:rsidRDefault="00A32496">
            <w:pPr>
              <w:rPr>
                <w:rFonts w:eastAsia="Times New Roman"/>
                <w:sz w:val="20"/>
                <w:szCs w:val="20"/>
              </w:rPr>
            </w:pPr>
          </w:p>
        </w:tc>
      </w:tr>
      <w:tr w:rsidR="00000000">
        <w:trPr>
          <w:divId w:val="1383408618"/>
          <w:trHeight w:val="180"/>
          <w:tblCellSpacing w:w="15" w:type="dxa"/>
        </w:trPr>
        <w:tc>
          <w:tcPr>
            <w:tcW w:w="0" w:type="auto"/>
            <w:gridSpan w:val="2"/>
            <w:vAlign w:val="center"/>
            <w:hideMark/>
          </w:tcPr>
          <w:p w:rsidR="00000000" w:rsidRDefault="00A32496">
            <w:pPr>
              <w:pStyle w:val="a3"/>
              <w:spacing w:before="0" w:beforeAutospacing="0" w:after="0" w:afterAutospacing="0"/>
              <w:jc w:val="center"/>
              <w:rPr>
                <w:sz w:val="18"/>
                <w:szCs w:val="18"/>
              </w:rPr>
            </w:pPr>
            <w:r>
              <w:rPr>
                <w:b/>
                <w:bCs/>
                <w:sz w:val="18"/>
                <w:szCs w:val="18"/>
              </w:rPr>
              <w:t>SARs Stock Price Performance Hurdl</w:t>
            </w:r>
            <w:r>
              <w:rPr>
                <w:b/>
                <w:bCs/>
                <w:sz w:val="18"/>
                <w:szCs w:val="18"/>
              </w:rPr>
              <w:t>e</w:t>
            </w:r>
          </w:p>
        </w:tc>
        <w:tc>
          <w:tcPr>
            <w:tcW w:w="0" w:type="auto"/>
            <w:vAlign w:val="center"/>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jc w:val="center"/>
              <w:rPr>
                <w:sz w:val="18"/>
                <w:szCs w:val="18"/>
              </w:rPr>
            </w:pPr>
            <w:r>
              <w:rPr>
                <w:b/>
                <w:bCs/>
                <w:sz w:val="18"/>
                <w:szCs w:val="18"/>
              </w:rPr>
              <w:t>Portion of SARs Subject to Performance Hurdl</w:t>
            </w:r>
            <w:r>
              <w:rPr>
                <w:b/>
                <w:bCs/>
                <w:sz w:val="18"/>
                <w:szCs w:val="18"/>
              </w:rPr>
              <w:t>e</w:t>
            </w:r>
          </w:p>
        </w:tc>
      </w:tr>
      <w:tr w:rsidR="00000000">
        <w:trPr>
          <w:divId w:val="1383408618"/>
          <w:trHeight w:val="180"/>
          <w:tblCellSpacing w:w="15" w:type="dxa"/>
        </w:trPr>
        <w:tc>
          <w:tcPr>
            <w:tcW w:w="0" w:type="auto"/>
            <w:noWrap/>
            <w:vAlign w:val="center"/>
            <w:hideMark/>
          </w:tcPr>
          <w:p w:rsidR="00000000" w:rsidRDefault="00A32496">
            <w:pPr>
              <w:pStyle w:val="a3"/>
              <w:spacing w:before="0" w:beforeAutospacing="0" w:after="0" w:afterAutospacing="0"/>
              <w:rPr>
                <w:sz w:val="18"/>
                <w:szCs w:val="18"/>
              </w:rPr>
            </w:pPr>
            <w:r>
              <w:rPr>
                <w:sz w:val="18"/>
                <w:szCs w:val="18"/>
              </w:rPr>
              <w:t>$</w:t>
            </w:r>
          </w:p>
        </w:tc>
        <w:tc>
          <w:tcPr>
            <w:tcW w:w="0" w:type="auto"/>
            <w:vAlign w:val="center"/>
            <w:hideMark/>
          </w:tcPr>
          <w:p w:rsidR="00000000" w:rsidRDefault="00A32496">
            <w:pPr>
              <w:pStyle w:val="a3"/>
              <w:spacing w:before="0" w:beforeAutospacing="0" w:after="0" w:afterAutospacing="0"/>
              <w:jc w:val="right"/>
              <w:rPr>
                <w:sz w:val="20"/>
                <w:szCs w:val="20"/>
              </w:rPr>
            </w:pPr>
            <w:r>
              <w:rPr>
                <w:sz w:val="18"/>
                <w:szCs w:val="18"/>
              </w:rPr>
              <w:t>133.5</w:t>
            </w:r>
            <w:r>
              <w:rPr>
                <w:sz w:val="18"/>
                <w:szCs w:val="18"/>
              </w:rPr>
              <w:t>8</w:t>
            </w:r>
          </w:p>
        </w:tc>
        <w:tc>
          <w:tcPr>
            <w:tcW w:w="0" w:type="auto"/>
            <w:noWrap/>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jc w:val="center"/>
              <w:rPr>
                <w:sz w:val="20"/>
                <w:szCs w:val="20"/>
              </w:rPr>
            </w:pPr>
            <w:r>
              <w:rPr>
                <w:sz w:val="18"/>
                <w:szCs w:val="18"/>
              </w:rPr>
              <w:t>1/</w:t>
            </w:r>
            <w:r>
              <w:rPr>
                <w:sz w:val="18"/>
                <w:szCs w:val="18"/>
              </w:rPr>
              <w:t>3</w:t>
            </w:r>
          </w:p>
        </w:tc>
      </w:tr>
      <w:tr w:rsidR="00000000">
        <w:trPr>
          <w:divId w:val="1383408618"/>
          <w:trHeight w:val="180"/>
          <w:tblCellSpacing w:w="15" w:type="dxa"/>
        </w:trPr>
        <w:tc>
          <w:tcPr>
            <w:tcW w:w="0" w:type="auto"/>
            <w:noWrap/>
            <w:vAlign w:val="center"/>
            <w:hideMark/>
          </w:tcPr>
          <w:p w:rsidR="00000000" w:rsidRDefault="00A32496">
            <w:pPr>
              <w:pStyle w:val="a3"/>
              <w:spacing w:before="0" w:beforeAutospacing="0" w:after="0" w:afterAutospacing="0"/>
              <w:rPr>
                <w:sz w:val="18"/>
                <w:szCs w:val="18"/>
              </w:rPr>
            </w:pPr>
            <w:r>
              <w:rPr>
                <w:sz w:val="18"/>
                <w:szCs w:val="18"/>
              </w:rPr>
              <w:t>$</w:t>
            </w:r>
          </w:p>
        </w:tc>
        <w:tc>
          <w:tcPr>
            <w:tcW w:w="0" w:type="auto"/>
            <w:vAlign w:val="center"/>
            <w:hideMark/>
          </w:tcPr>
          <w:p w:rsidR="00000000" w:rsidRDefault="00A32496">
            <w:pPr>
              <w:pStyle w:val="a3"/>
              <w:spacing w:before="0" w:beforeAutospacing="0" w:after="0" w:afterAutospacing="0"/>
              <w:jc w:val="right"/>
              <w:rPr>
                <w:sz w:val="20"/>
                <w:szCs w:val="20"/>
              </w:rPr>
            </w:pPr>
            <w:r>
              <w:rPr>
                <w:sz w:val="18"/>
                <w:szCs w:val="18"/>
              </w:rPr>
              <w:t>166.9</w:t>
            </w:r>
            <w:r>
              <w:rPr>
                <w:sz w:val="18"/>
                <w:szCs w:val="18"/>
              </w:rPr>
              <w:t>8</w:t>
            </w:r>
          </w:p>
        </w:tc>
        <w:tc>
          <w:tcPr>
            <w:tcW w:w="0" w:type="auto"/>
            <w:noWrap/>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jc w:val="center"/>
              <w:rPr>
                <w:sz w:val="20"/>
                <w:szCs w:val="20"/>
              </w:rPr>
            </w:pPr>
            <w:r>
              <w:rPr>
                <w:sz w:val="18"/>
                <w:szCs w:val="18"/>
              </w:rPr>
              <w:t>1/</w:t>
            </w:r>
            <w:r>
              <w:rPr>
                <w:sz w:val="18"/>
                <w:szCs w:val="18"/>
              </w:rPr>
              <w:t>3</w:t>
            </w:r>
          </w:p>
        </w:tc>
      </w:tr>
      <w:tr w:rsidR="00000000">
        <w:trPr>
          <w:divId w:val="1383408618"/>
          <w:trHeight w:val="180"/>
          <w:tblCellSpacing w:w="15" w:type="dxa"/>
        </w:trPr>
        <w:tc>
          <w:tcPr>
            <w:tcW w:w="0" w:type="auto"/>
            <w:noWrap/>
            <w:vAlign w:val="center"/>
            <w:hideMark/>
          </w:tcPr>
          <w:p w:rsidR="00000000" w:rsidRDefault="00A32496">
            <w:pPr>
              <w:pStyle w:val="a3"/>
              <w:spacing w:before="0" w:beforeAutospacing="0" w:after="0" w:afterAutospacing="0"/>
              <w:rPr>
                <w:sz w:val="18"/>
                <w:szCs w:val="18"/>
              </w:rPr>
            </w:pPr>
            <w:r>
              <w:rPr>
                <w:sz w:val="18"/>
                <w:szCs w:val="18"/>
              </w:rPr>
              <w:t>$</w:t>
            </w:r>
          </w:p>
        </w:tc>
        <w:tc>
          <w:tcPr>
            <w:tcW w:w="0" w:type="auto"/>
            <w:vAlign w:val="center"/>
            <w:hideMark/>
          </w:tcPr>
          <w:p w:rsidR="00000000" w:rsidRDefault="00A32496">
            <w:pPr>
              <w:pStyle w:val="a3"/>
              <w:spacing w:before="0" w:beforeAutospacing="0" w:after="0" w:afterAutospacing="0"/>
              <w:jc w:val="right"/>
              <w:rPr>
                <w:sz w:val="20"/>
                <w:szCs w:val="20"/>
              </w:rPr>
            </w:pPr>
            <w:r>
              <w:rPr>
                <w:sz w:val="18"/>
                <w:szCs w:val="18"/>
              </w:rPr>
              <w:t>200.3</w:t>
            </w:r>
            <w:r>
              <w:rPr>
                <w:sz w:val="18"/>
                <w:szCs w:val="18"/>
              </w:rPr>
              <w:t>7</w:t>
            </w:r>
          </w:p>
        </w:tc>
        <w:tc>
          <w:tcPr>
            <w:tcW w:w="0" w:type="auto"/>
            <w:noWrap/>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jc w:val="center"/>
              <w:rPr>
                <w:sz w:val="20"/>
                <w:szCs w:val="20"/>
              </w:rPr>
            </w:pPr>
            <w:r>
              <w:rPr>
                <w:sz w:val="18"/>
                <w:szCs w:val="18"/>
              </w:rPr>
              <w:t>1/</w:t>
            </w:r>
            <w:r>
              <w:rPr>
                <w:sz w:val="18"/>
                <w:szCs w:val="18"/>
              </w:rPr>
              <w:t>3</w:t>
            </w:r>
          </w:p>
        </w:tc>
      </w:tr>
    </w:tbl>
    <w:p w:rsidR="00000000" w:rsidRDefault="00A32496">
      <w:pPr>
        <w:pStyle w:val="a3"/>
        <w:spacing w:before="240" w:beforeAutospacing="0" w:after="0" w:afterAutospacing="0"/>
        <w:ind w:firstLine="555"/>
        <w:divId w:val="1102339258"/>
        <w:rPr>
          <w:sz w:val="20"/>
          <w:szCs w:val="20"/>
        </w:rPr>
      </w:pPr>
      <w:r>
        <w:rPr>
          <w:sz w:val="20"/>
          <w:szCs w:val="20"/>
        </w:rPr>
        <w:t>The performance hurdles shall be deemed achieved if the average trading price per share of the Company’s common stock equals or exceeds the applicable stock price performance hurdle set forth above for the trading days falling in a consecutive 20-day perio</w:t>
      </w:r>
      <w:r>
        <w:rPr>
          <w:sz w:val="20"/>
          <w:szCs w:val="20"/>
        </w:rPr>
        <w:t>d prior to the vesting date. The SARs expire</w:t>
      </w:r>
      <w:r>
        <w:rPr>
          <w:sz w:val="20"/>
          <w:szCs w:val="20"/>
        </w:rPr>
        <w:t xml:space="preserve"> </w:t>
      </w:r>
      <w:r>
        <w:rPr>
          <w:sz w:val="20"/>
          <w:szCs w:val="20"/>
        </w:rPr>
        <w:t>10 year</w:t>
      </w:r>
      <w:r>
        <w:rPr>
          <w:sz w:val="20"/>
          <w:szCs w:val="20"/>
        </w:rPr>
        <w:t>s</w:t>
      </w:r>
      <w:r>
        <w:rPr>
          <w:sz w:val="20"/>
          <w:szCs w:val="20"/>
        </w:rPr>
        <w:t xml:space="preserve"> after the grant date. The fair value of these SARs at the grant date was </w:t>
      </w:r>
      <w:r>
        <w:rPr>
          <w:sz w:val="20"/>
          <w:szCs w:val="20"/>
        </w:rPr>
        <w:t>$</w:t>
      </w:r>
      <w:r>
        <w:rPr>
          <w:sz w:val="20"/>
          <w:szCs w:val="20"/>
        </w:rPr>
        <w:t>46.</w:t>
      </w:r>
      <w:r>
        <w:rPr>
          <w:sz w:val="20"/>
          <w:szCs w:val="20"/>
        </w:rPr>
        <w:t>0</w:t>
      </w:r>
      <w:r>
        <w:rPr>
          <w:sz w:val="20"/>
          <w:szCs w:val="20"/>
        </w:rPr>
        <w:t xml:space="preserve"> million. The weighted average remaining contract life of these SARs as of</w:t>
      </w:r>
      <w:r>
        <w:rPr>
          <w:sz w:val="20"/>
          <w:szCs w:val="20"/>
        </w:rPr>
        <w:t xml:space="preserve"> </w:t>
      </w:r>
      <w:r>
        <w:rPr>
          <w:sz w:val="20"/>
          <w:szCs w:val="20"/>
        </w:rPr>
        <w:t>September 30, 2022 was</w:t>
      </w:r>
      <w:r>
        <w:rPr>
          <w:sz w:val="20"/>
          <w:szCs w:val="20"/>
        </w:rPr>
        <w:t xml:space="preserve"> </w:t>
      </w:r>
      <w:r>
        <w:rPr>
          <w:sz w:val="20"/>
          <w:szCs w:val="20"/>
        </w:rPr>
        <w:t>9.2</w:t>
      </w:r>
      <w:r>
        <w:rPr>
          <w:sz w:val="20"/>
          <w:szCs w:val="20"/>
        </w:rPr>
        <w:t>1</w:t>
      </w:r>
      <w:r>
        <w:rPr>
          <w:sz w:val="20"/>
          <w:szCs w:val="20"/>
        </w:rPr>
        <w:t xml:space="preserve"> years</w:t>
      </w:r>
      <w:r>
        <w:rPr>
          <w:sz w:val="20"/>
          <w:szCs w:val="20"/>
        </w:rPr>
        <w:t>.</w:t>
      </w:r>
    </w:p>
    <w:p w:rsidR="00000000" w:rsidRDefault="00A32496">
      <w:pPr>
        <w:pStyle w:val="a3"/>
        <w:spacing w:before="240" w:beforeAutospacing="0" w:after="0" w:afterAutospacing="0"/>
        <w:ind w:firstLine="555"/>
        <w:divId w:val="1102339258"/>
        <w:rPr>
          <w:sz w:val="20"/>
          <w:szCs w:val="20"/>
        </w:rPr>
      </w:pPr>
      <w:r>
        <w:rPr>
          <w:b/>
          <w:bCs/>
          <w:i/>
          <w:iCs/>
          <w:sz w:val="20"/>
          <w:szCs w:val="20"/>
        </w:rPr>
        <w:t>Option</w:t>
      </w:r>
      <w:r>
        <w:rPr>
          <w:b/>
          <w:bCs/>
          <w:i/>
          <w:iCs/>
          <w:sz w:val="20"/>
          <w:szCs w:val="20"/>
        </w:rPr>
        <w:t>s</w:t>
      </w:r>
      <w:r>
        <w:rPr>
          <w:sz w:val="20"/>
          <w:szCs w:val="20"/>
        </w:rPr>
        <w:t>—</w:t>
      </w:r>
      <w:r>
        <w:rPr>
          <w:sz w:val="20"/>
          <w:szCs w:val="20"/>
        </w:rPr>
        <w:t>O</w:t>
      </w:r>
      <w:r>
        <w:rPr>
          <w:sz w:val="20"/>
          <w:szCs w:val="20"/>
        </w:rPr>
        <w:t>ptions issued to all optionees under the 2017 Plan vest over</w:t>
      </w:r>
      <w:r>
        <w:rPr>
          <w:sz w:val="20"/>
          <w:szCs w:val="20"/>
        </w:rPr>
        <w:t xml:space="preserve"> </w:t>
      </w:r>
      <w:r>
        <w:rPr>
          <w:sz w:val="20"/>
          <w:szCs w:val="20"/>
        </w:rPr>
        <w:t>four year</w:t>
      </w:r>
      <w:r>
        <w:rPr>
          <w:sz w:val="20"/>
          <w:szCs w:val="20"/>
        </w:rPr>
        <w:t>s</w:t>
      </w:r>
      <w:r>
        <w:rPr>
          <w:sz w:val="20"/>
          <w:szCs w:val="20"/>
        </w:rPr>
        <w:t xml:space="preserve"> from the date of issuance (or earlier vesting start date, as determined by the Board of Directors) as follows: one</w:t>
      </w:r>
      <w:r>
        <w:rPr>
          <w:sz w:val="20"/>
          <w:szCs w:val="20"/>
        </w:rPr>
        <w:t xml:space="preserve"> </w:t>
      </w:r>
      <w:r>
        <w:rPr>
          <w:sz w:val="20"/>
          <w:szCs w:val="20"/>
        </w:rPr>
        <w:t>hal</w:t>
      </w:r>
      <w:r>
        <w:rPr>
          <w:sz w:val="20"/>
          <w:szCs w:val="20"/>
        </w:rPr>
        <w:t>f</w:t>
      </w:r>
      <w:r>
        <w:rPr>
          <w:sz w:val="20"/>
          <w:szCs w:val="20"/>
        </w:rPr>
        <w:t xml:space="preserve"> on the second anniversary of date of grant and the remaining</w:t>
      </w:r>
      <w:r>
        <w:rPr>
          <w:sz w:val="20"/>
          <w:szCs w:val="20"/>
        </w:rPr>
        <w:t xml:space="preserve"> </w:t>
      </w:r>
      <w:r>
        <w:rPr>
          <w:sz w:val="20"/>
          <w:szCs w:val="20"/>
        </w:rPr>
        <w:t>hal</w:t>
      </w:r>
      <w:r>
        <w:rPr>
          <w:sz w:val="20"/>
          <w:szCs w:val="20"/>
        </w:rPr>
        <w:t>f</w:t>
      </w:r>
      <w:r>
        <w:rPr>
          <w:sz w:val="20"/>
          <w:szCs w:val="20"/>
        </w:rPr>
        <w:t xml:space="preserve"> on the fourth anniversary of the date of grant, with the exception of certain annual grants to certain executive officers, which vest annually over a</w:t>
      </w:r>
      <w:r>
        <w:rPr>
          <w:sz w:val="20"/>
          <w:szCs w:val="20"/>
        </w:rPr>
        <w:t xml:space="preserve"> </w:t>
      </w:r>
      <w:r>
        <w:rPr>
          <w:sz w:val="20"/>
          <w:szCs w:val="20"/>
        </w:rPr>
        <w:t>3-yea</w:t>
      </w:r>
      <w:r>
        <w:rPr>
          <w:sz w:val="20"/>
          <w:szCs w:val="20"/>
        </w:rPr>
        <w:t>r</w:t>
      </w:r>
      <w:r>
        <w:rPr>
          <w:sz w:val="20"/>
          <w:szCs w:val="20"/>
        </w:rPr>
        <w:t xml:space="preserve"> and</w:t>
      </w:r>
      <w:r>
        <w:rPr>
          <w:sz w:val="20"/>
          <w:szCs w:val="20"/>
        </w:rPr>
        <w:t xml:space="preserve"> </w:t>
      </w:r>
      <w:r>
        <w:rPr>
          <w:sz w:val="20"/>
          <w:szCs w:val="20"/>
        </w:rPr>
        <w:t>1-yea</w:t>
      </w:r>
      <w:r>
        <w:rPr>
          <w:sz w:val="20"/>
          <w:szCs w:val="20"/>
        </w:rPr>
        <w:t>r</w:t>
      </w:r>
      <w:r>
        <w:rPr>
          <w:sz w:val="20"/>
          <w:szCs w:val="20"/>
        </w:rPr>
        <w:t xml:space="preserve"> period.</w:t>
      </w:r>
      <w:r>
        <w:rPr>
          <w:sz w:val="20"/>
          <w:szCs w:val="20"/>
        </w:rPr>
        <w:t xml:space="preserve"> </w:t>
      </w:r>
      <w:r>
        <w:rPr>
          <w:sz w:val="20"/>
          <w:szCs w:val="20"/>
        </w:rPr>
        <w:t>The following summarizes the options activity of the 2017 Plan</w:t>
      </w:r>
      <w:r>
        <w:rPr>
          <w:sz w:val="20"/>
          <w:szCs w:val="20"/>
        </w:rPr>
        <w:t>:</w:t>
      </w:r>
    </w:p>
    <w:p w:rsidR="00000000" w:rsidRDefault="00A32496">
      <w:pPr>
        <w:pStyle w:val="a3"/>
        <w:spacing w:before="0" w:beforeAutospacing="0" w:after="0" w:afterAutospacing="0"/>
        <w:divId w:val="1243295522"/>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855"/>
        <w:gridCol w:w="105"/>
        <w:gridCol w:w="105"/>
        <w:gridCol w:w="780"/>
        <w:gridCol w:w="120"/>
        <w:gridCol w:w="105"/>
        <w:gridCol w:w="151"/>
        <w:gridCol w:w="751"/>
        <w:gridCol w:w="105"/>
        <w:gridCol w:w="105"/>
        <w:gridCol w:w="151"/>
        <w:gridCol w:w="693"/>
        <w:gridCol w:w="105"/>
        <w:gridCol w:w="105"/>
        <w:gridCol w:w="108"/>
        <w:gridCol w:w="793"/>
        <w:gridCol w:w="105"/>
        <w:gridCol w:w="105"/>
        <w:gridCol w:w="151"/>
        <w:gridCol w:w="857"/>
        <w:gridCol w:w="120"/>
      </w:tblGrid>
      <w:tr w:rsidR="00000000">
        <w:trPr>
          <w:divId w:val="1243295522"/>
          <w:tblCellSpacing w:w="15" w:type="dxa"/>
        </w:trPr>
        <w:tc>
          <w:tcPr>
            <w:tcW w:w="1964" w:type="pct"/>
            <w:vAlign w:val="center"/>
            <w:hideMark/>
          </w:tcPr>
          <w:p w:rsidR="00000000" w:rsidRDefault="00A32496">
            <w:pPr>
              <w:rPr>
                <w:sz w:val="20"/>
                <w:szCs w:val="20"/>
              </w:rPr>
            </w:pPr>
          </w:p>
        </w:tc>
        <w:tc>
          <w:tcPr>
            <w:tcW w:w="46"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351"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46"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457"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46"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435"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46"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492"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46"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66"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r>
      <w:tr w:rsidR="00000000">
        <w:trPr>
          <w:divId w:val="1243295522"/>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Options to</w:t>
            </w:r>
            <w:r>
              <w:rPr>
                <w:b/>
                <w:bCs/>
                <w:sz w:val="18"/>
                <w:szCs w:val="18"/>
              </w:rPr>
              <w:br/>
              <w:t>Purchase</w:t>
            </w:r>
            <w:r>
              <w:rPr>
                <w:b/>
                <w:bCs/>
                <w:sz w:val="18"/>
                <w:szCs w:val="18"/>
              </w:rPr>
              <w:br/>
              <w:t>Common</w:t>
            </w:r>
            <w:r>
              <w:rPr>
                <w:b/>
                <w:bCs/>
                <w:sz w:val="18"/>
                <w:szCs w:val="18"/>
              </w:rPr>
              <w:br/>
              <w:t>Stoc</w:t>
            </w:r>
            <w:r>
              <w:rPr>
                <w:b/>
                <w:bCs/>
                <w:sz w:val="18"/>
                <w:szCs w:val="18"/>
              </w:rPr>
              <w:t>k</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Weighted-</w:t>
            </w:r>
            <w:r>
              <w:rPr>
                <w:b/>
                <w:bCs/>
                <w:sz w:val="18"/>
                <w:szCs w:val="18"/>
              </w:rPr>
              <w:br/>
              <w:t>Average</w:t>
            </w:r>
            <w:r>
              <w:rPr>
                <w:b/>
                <w:bCs/>
                <w:sz w:val="18"/>
                <w:szCs w:val="18"/>
              </w:rPr>
              <w:br/>
              <w:t>Exercise</w:t>
            </w:r>
            <w:r>
              <w:rPr>
                <w:b/>
                <w:bCs/>
                <w:sz w:val="18"/>
                <w:szCs w:val="18"/>
              </w:rPr>
              <w:br/>
              <w:t>Price per</w:t>
            </w:r>
            <w:r>
              <w:rPr>
                <w:b/>
                <w:bCs/>
                <w:sz w:val="18"/>
                <w:szCs w:val="18"/>
              </w:rPr>
              <w:br/>
              <w:t>Shar</w:t>
            </w:r>
            <w:r>
              <w:rPr>
                <w:b/>
                <w:bCs/>
                <w:sz w:val="18"/>
                <w:szCs w:val="18"/>
              </w:rPr>
              <w:t>e</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Weighted</w:t>
            </w:r>
            <w:r>
              <w:rPr>
                <w:b/>
                <w:bCs/>
                <w:sz w:val="18"/>
                <w:szCs w:val="18"/>
              </w:rPr>
              <w:br/>
              <w:t>Average</w:t>
            </w:r>
            <w:r>
              <w:rPr>
                <w:b/>
                <w:bCs/>
                <w:sz w:val="18"/>
                <w:szCs w:val="18"/>
              </w:rPr>
              <w:br/>
              <w:t>Grant Date</w:t>
            </w:r>
            <w:r>
              <w:rPr>
                <w:b/>
                <w:bCs/>
                <w:sz w:val="18"/>
                <w:szCs w:val="18"/>
              </w:rPr>
              <w:br/>
              <w:t>Fair Value</w:t>
            </w:r>
            <w:r>
              <w:rPr>
                <w:b/>
                <w:bCs/>
                <w:sz w:val="18"/>
                <w:szCs w:val="18"/>
              </w:rPr>
              <w:br/>
              <w:t>per Shar</w:t>
            </w:r>
            <w:r>
              <w:rPr>
                <w:b/>
                <w:bCs/>
                <w:sz w:val="18"/>
                <w:szCs w:val="18"/>
              </w:rPr>
              <w:t>e</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Weighted</w:t>
            </w:r>
            <w:r>
              <w:rPr>
                <w:b/>
                <w:bCs/>
                <w:sz w:val="18"/>
                <w:szCs w:val="18"/>
              </w:rPr>
              <w:br/>
              <w:t>Average</w:t>
            </w:r>
            <w:r>
              <w:rPr>
                <w:b/>
                <w:bCs/>
                <w:sz w:val="18"/>
                <w:szCs w:val="18"/>
              </w:rPr>
              <w:br/>
              <w:t>Remaining</w:t>
            </w:r>
            <w:r>
              <w:rPr>
                <w:b/>
                <w:bCs/>
                <w:sz w:val="18"/>
                <w:szCs w:val="18"/>
              </w:rPr>
              <w:br/>
              <w:t>Contract Life</w:t>
            </w:r>
            <w:r>
              <w:rPr>
                <w:b/>
                <w:bCs/>
                <w:sz w:val="18"/>
                <w:szCs w:val="18"/>
              </w:rPr>
              <w:br/>
              <w:t>(in Years</w:t>
            </w:r>
            <w:r>
              <w:rPr>
                <w:b/>
                <w:bCs/>
                <w:sz w:val="18"/>
                <w:szCs w:val="18"/>
              </w:rPr>
              <w: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Aggregate</w:t>
            </w:r>
            <w:r>
              <w:rPr>
                <w:b/>
                <w:bCs/>
                <w:sz w:val="18"/>
                <w:szCs w:val="18"/>
              </w:rPr>
              <w:br/>
              <w:t>Intrinsic</w:t>
            </w:r>
            <w:r>
              <w:rPr>
                <w:b/>
                <w:bCs/>
                <w:sz w:val="18"/>
                <w:szCs w:val="18"/>
              </w:rPr>
              <w:br/>
              <w:t>Value</w:t>
            </w:r>
            <w:r>
              <w:rPr>
                <w:b/>
                <w:bCs/>
                <w:sz w:val="18"/>
                <w:szCs w:val="18"/>
              </w:rPr>
              <w:br/>
            </w:r>
            <w:r>
              <w:rPr>
                <w:b/>
                <w:bCs/>
                <w:sz w:val="18"/>
                <w:szCs w:val="18"/>
              </w:rPr>
              <w:t>of In-The-</w:t>
            </w:r>
            <w:r>
              <w:rPr>
                <w:b/>
                <w:bCs/>
                <w:sz w:val="18"/>
                <w:szCs w:val="18"/>
              </w:rPr>
              <w:br/>
              <w:t>Money</w:t>
            </w:r>
            <w:r>
              <w:rPr>
                <w:b/>
                <w:bCs/>
                <w:sz w:val="18"/>
                <w:szCs w:val="18"/>
              </w:rPr>
              <w:br/>
              <w:t>Options (in</w:t>
            </w:r>
            <w:r>
              <w:rPr>
                <w:b/>
                <w:bCs/>
                <w:sz w:val="18"/>
                <w:szCs w:val="18"/>
              </w:rPr>
              <w:br/>
              <w:t>Thousands</w:t>
            </w:r>
            <w:r>
              <w:rPr>
                <w:b/>
                <w:bCs/>
                <w:sz w:val="18"/>
                <w:szCs w:val="18"/>
              </w:rPr>
              <w: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1243295522"/>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Outstanding as of January 1, 202</w:t>
            </w:r>
            <w:r>
              <w:rPr>
                <w:sz w:val="18"/>
                <w:szCs w:val="18"/>
              </w:rPr>
              <w:t>1</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1,840,22</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9.0</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15,59</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243295522"/>
          <w:trHeight w:val="180"/>
          <w:tblCellSpacing w:w="15" w:type="dxa"/>
        </w:trPr>
        <w:tc>
          <w:tcPr>
            <w:tcW w:w="0" w:type="auto"/>
            <w:hideMark/>
          </w:tcPr>
          <w:p w:rsidR="00000000" w:rsidRDefault="00A32496">
            <w:pPr>
              <w:pStyle w:val="a3"/>
              <w:spacing w:before="0" w:beforeAutospacing="0" w:after="0" w:afterAutospacing="0"/>
              <w:ind w:left="200"/>
              <w:rPr>
                <w:sz w:val="18"/>
                <w:szCs w:val="18"/>
              </w:rPr>
            </w:pPr>
            <w:r>
              <w:rPr>
                <w:sz w:val="18"/>
                <w:szCs w:val="18"/>
              </w:rPr>
              <w:t>Grante</w:t>
            </w:r>
            <w:r>
              <w:rPr>
                <w:sz w:val="18"/>
                <w:szCs w:val="18"/>
              </w:rPr>
              <w:t>d</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264,47</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4</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243295522"/>
          <w:trHeight w:val="180"/>
          <w:tblCellSpacing w:w="15" w:type="dxa"/>
        </w:trPr>
        <w:tc>
          <w:tcPr>
            <w:tcW w:w="0" w:type="auto"/>
            <w:hideMark/>
          </w:tcPr>
          <w:p w:rsidR="00000000" w:rsidRDefault="00A32496">
            <w:pPr>
              <w:pStyle w:val="a3"/>
              <w:spacing w:before="0" w:beforeAutospacing="0" w:after="0" w:afterAutospacing="0"/>
              <w:ind w:left="200"/>
              <w:rPr>
                <w:sz w:val="18"/>
                <w:szCs w:val="18"/>
              </w:rPr>
            </w:pPr>
            <w:r>
              <w:rPr>
                <w:sz w:val="18"/>
                <w:szCs w:val="18"/>
              </w:rPr>
              <w:t>Forfeited/ cancelle</w:t>
            </w:r>
            <w:r>
              <w:rPr>
                <w:sz w:val="18"/>
                <w:szCs w:val="18"/>
              </w:rPr>
              <w:t>d</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29,02</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243295522"/>
          <w:trHeight w:val="180"/>
          <w:tblCellSpacing w:w="15" w:type="dxa"/>
        </w:trPr>
        <w:tc>
          <w:tcPr>
            <w:tcW w:w="0" w:type="auto"/>
            <w:hideMark/>
          </w:tcPr>
          <w:p w:rsidR="00000000" w:rsidRDefault="00A32496">
            <w:pPr>
              <w:pStyle w:val="a3"/>
              <w:spacing w:before="0" w:beforeAutospacing="0" w:after="0" w:afterAutospacing="0"/>
              <w:ind w:left="200"/>
              <w:rPr>
                <w:sz w:val="18"/>
                <w:szCs w:val="18"/>
              </w:rPr>
            </w:pPr>
            <w:r>
              <w:rPr>
                <w:sz w:val="18"/>
                <w:szCs w:val="18"/>
              </w:rPr>
              <w:t>Expire</w:t>
            </w:r>
            <w:r>
              <w:rPr>
                <w:sz w:val="18"/>
                <w:szCs w:val="18"/>
              </w:rPr>
              <w:t>d</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1,25</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243295522"/>
          <w:trHeight w:val="180"/>
          <w:tblCellSpacing w:w="15" w:type="dxa"/>
        </w:trPr>
        <w:tc>
          <w:tcPr>
            <w:tcW w:w="0" w:type="auto"/>
            <w:hideMark/>
          </w:tcPr>
          <w:p w:rsidR="00000000" w:rsidRDefault="00A32496">
            <w:pPr>
              <w:pStyle w:val="a3"/>
              <w:spacing w:before="0" w:beforeAutospacing="0" w:after="0" w:afterAutospacing="0"/>
              <w:ind w:left="200"/>
              <w:rPr>
                <w:sz w:val="18"/>
                <w:szCs w:val="18"/>
              </w:rPr>
            </w:pPr>
            <w:r>
              <w:rPr>
                <w:sz w:val="18"/>
                <w:szCs w:val="18"/>
              </w:rPr>
              <w:t>Exercise</w:t>
            </w:r>
            <w:r>
              <w:rPr>
                <w:sz w:val="18"/>
                <w:szCs w:val="18"/>
              </w:rPr>
              <w:t>d</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66,87</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2,07</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243295522"/>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Outstanding as of September 30, 202</w:t>
            </w:r>
            <w:r>
              <w:rPr>
                <w:sz w:val="18"/>
                <w:szCs w:val="18"/>
              </w:rPr>
              <w:t>1</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2,007,54</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8.5</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73,72</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243295522"/>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r>
      <w:tr w:rsidR="00000000">
        <w:trPr>
          <w:divId w:val="1243295522"/>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Outstanding as of January 1, 202</w:t>
            </w:r>
            <w:r>
              <w:rPr>
                <w:sz w:val="18"/>
                <w:szCs w:val="18"/>
              </w:rPr>
              <w:t>2</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2,036,72</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8.3</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91,03</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243295522"/>
          <w:trHeight w:val="180"/>
          <w:tblCellSpacing w:w="15" w:type="dxa"/>
        </w:trPr>
        <w:tc>
          <w:tcPr>
            <w:tcW w:w="0" w:type="auto"/>
            <w:hideMark/>
          </w:tcPr>
          <w:p w:rsidR="00000000" w:rsidRDefault="00A32496">
            <w:pPr>
              <w:pStyle w:val="a3"/>
              <w:spacing w:before="0" w:beforeAutospacing="0" w:after="0" w:afterAutospacing="0"/>
              <w:ind w:left="200"/>
              <w:rPr>
                <w:sz w:val="18"/>
                <w:szCs w:val="18"/>
              </w:rPr>
            </w:pPr>
            <w:r>
              <w:rPr>
                <w:sz w:val="18"/>
                <w:szCs w:val="18"/>
              </w:rPr>
              <w:t>Grante</w:t>
            </w:r>
            <w:r>
              <w:rPr>
                <w:sz w:val="18"/>
                <w:szCs w:val="18"/>
              </w:rPr>
              <w:t>d</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664,78</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4</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243295522"/>
          <w:trHeight w:val="180"/>
          <w:tblCellSpacing w:w="15" w:type="dxa"/>
        </w:trPr>
        <w:tc>
          <w:tcPr>
            <w:tcW w:w="0" w:type="auto"/>
            <w:hideMark/>
          </w:tcPr>
          <w:p w:rsidR="00000000" w:rsidRDefault="00A32496">
            <w:pPr>
              <w:pStyle w:val="a3"/>
              <w:spacing w:before="0" w:beforeAutospacing="0" w:after="0" w:afterAutospacing="0"/>
              <w:ind w:left="200"/>
              <w:rPr>
                <w:sz w:val="18"/>
                <w:szCs w:val="18"/>
              </w:rPr>
            </w:pPr>
            <w:r>
              <w:rPr>
                <w:sz w:val="18"/>
                <w:szCs w:val="18"/>
              </w:rPr>
              <w:t>Forfeited/ cancelle</w:t>
            </w:r>
            <w:r>
              <w:rPr>
                <w:sz w:val="18"/>
                <w:szCs w:val="18"/>
              </w:rPr>
              <w:t>d</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60,16</w:t>
            </w:r>
            <w:r>
              <w:rPr>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243295522"/>
          <w:trHeight w:val="180"/>
          <w:tblCellSpacing w:w="15" w:type="dxa"/>
        </w:trPr>
        <w:tc>
          <w:tcPr>
            <w:tcW w:w="0" w:type="auto"/>
            <w:hideMark/>
          </w:tcPr>
          <w:p w:rsidR="00000000" w:rsidRDefault="00A32496">
            <w:pPr>
              <w:pStyle w:val="a3"/>
              <w:spacing w:before="0" w:beforeAutospacing="0" w:after="0" w:afterAutospacing="0"/>
              <w:ind w:left="200"/>
              <w:rPr>
                <w:sz w:val="18"/>
                <w:szCs w:val="18"/>
              </w:rPr>
            </w:pPr>
            <w:r>
              <w:rPr>
                <w:sz w:val="18"/>
                <w:szCs w:val="18"/>
              </w:rPr>
              <w:t>Exercise</w:t>
            </w:r>
            <w:r>
              <w:rPr>
                <w:sz w:val="18"/>
                <w:szCs w:val="18"/>
              </w:rPr>
              <w:t>d</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26,25</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67</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243295522"/>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Outstanding as of September 30, 202</w:t>
            </w:r>
            <w:r>
              <w:rPr>
                <w:sz w:val="18"/>
                <w:szCs w:val="18"/>
              </w:rPr>
              <w:t>2</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2,615,08</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8.0</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18,78</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243295522"/>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Exercisable at September 30, 202</w:t>
            </w:r>
            <w:r>
              <w:rPr>
                <w:sz w:val="18"/>
                <w:szCs w:val="18"/>
              </w:rPr>
              <w:t>2</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1,010,30</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7.4</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9,96</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bl>
    <w:p w:rsidR="00000000" w:rsidRDefault="00A32496">
      <w:pPr>
        <w:pStyle w:val="a3"/>
        <w:spacing w:before="0" w:beforeAutospacing="0" w:after="0" w:afterAutospacing="0"/>
        <w:divId w:val="1243295522"/>
        <w:rPr>
          <w:sz w:val="20"/>
          <w:szCs w:val="20"/>
        </w:rPr>
      </w:pPr>
      <w:r>
        <w:rPr>
          <w:sz w:val="20"/>
          <w:szCs w:val="20"/>
        </w:rPr>
        <w:t> </w:t>
      </w:r>
    </w:p>
    <w:p w:rsidR="00000000" w:rsidRDefault="00A32496">
      <w:pPr>
        <w:pStyle w:val="a3"/>
        <w:spacing w:before="240" w:beforeAutospacing="0" w:after="0" w:afterAutospacing="0"/>
        <w:jc w:val="center"/>
        <w:divId w:val="1243295522"/>
        <w:rPr>
          <w:sz w:val="20"/>
          <w:szCs w:val="20"/>
        </w:rPr>
      </w:pPr>
      <w:r>
        <w:rPr>
          <w:sz w:val="20"/>
          <w:szCs w:val="20"/>
        </w:rPr>
        <w:t>2</w:t>
      </w:r>
      <w:r>
        <w:rPr>
          <w:sz w:val="20"/>
          <w:szCs w:val="20"/>
        </w:rPr>
        <w:t>6</w:t>
      </w:r>
    </w:p>
    <w:p w:rsidR="00000000" w:rsidRDefault="00A32496">
      <w:pPr>
        <w:divId w:val="1243295522"/>
        <w:rPr>
          <w:rFonts w:eastAsia="Times New Roman"/>
        </w:rPr>
      </w:pPr>
      <w:r>
        <w:rPr>
          <w:rFonts w:eastAsia="Times New Roman"/>
        </w:rPr>
        <w:pict>
          <v:rect id="_x0000_i1052" style="width:0;height:1.5pt" o:hralign="center" o:hrstd="t" o:hr="t" fillcolor="#a0a0a0" stroked="f"/>
        </w:pict>
      </w:r>
    </w:p>
    <w:p w:rsidR="00000000" w:rsidRDefault="00A32496">
      <w:pPr>
        <w:pStyle w:val="a3"/>
        <w:spacing w:before="0" w:beforeAutospacing="0" w:after="0" w:afterAutospacing="0"/>
        <w:divId w:val="1243295522"/>
        <w:rPr>
          <w:sz w:val="20"/>
          <w:szCs w:val="20"/>
        </w:rPr>
      </w:pPr>
      <w:r>
        <w:rPr>
          <w:sz w:val="20"/>
          <w:szCs w:val="20"/>
        </w:rPr>
        <w:t> </w:t>
      </w:r>
    </w:p>
    <w:p w:rsidR="00000000" w:rsidRDefault="00A32496">
      <w:pPr>
        <w:pStyle w:val="a3"/>
        <w:spacing w:before="240" w:beforeAutospacing="0" w:after="0" w:afterAutospacing="0"/>
        <w:ind w:firstLine="555"/>
        <w:divId w:val="1139035307"/>
        <w:rPr>
          <w:sz w:val="20"/>
          <w:szCs w:val="20"/>
        </w:rPr>
      </w:pPr>
      <w:r>
        <w:rPr>
          <w:sz w:val="20"/>
          <w:szCs w:val="20"/>
        </w:rPr>
        <w:t>The following weighted-average assumptions were used in the Black-Sholes option-pricing model calculation</w:t>
      </w:r>
      <w:r>
        <w:rPr>
          <w:sz w:val="20"/>
          <w:szCs w:val="20"/>
        </w:rPr>
        <w:t>:</w:t>
      </w:r>
    </w:p>
    <w:p w:rsidR="00000000" w:rsidRDefault="00A32496">
      <w:pPr>
        <w:pStyle w:val="a3"/>
        <w:spacing w:before="0" w:beforeAutospacing="0" w:after="0" w:afterAutospacing="0"/>
        <w:divId w:val="1139035307"/>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2443"/>
        <w:gridCol w:w="156"/>
        <w:gridCol w:w="151"/>
        <w:gridCol w:w="1168"/>
        <w:gridCol w:w="105"/>
        <w:gridCol w:w="210"/>
        <w:gridCol w:w="151"/>
        <w:gridCol w:w="1205"/>
        <w:gridCol w:w="225"/>
      </w:tblGrid>
      <w:tr w:rsidR="00000000">
        <w:trPr>
          <w:divId w:val="1139035307"/>
          <w:tblCellSpacing w:w="15" w:type="dxa"/>
        </w:trPr>
        <w:tc>
          <w:tcPr>
            <w:tcW w:w="2224" w:type="pct"/>
            <w:vAlign w:val="center"/>
            <w:hideMark/>
          </w:tcPr>
          <w:p w:rsidR="00000000" w:rsidRDefault="00A32496">
            <w:pPr>
              <w:rPr>
                <w:sz w:val="20"/>
                <w:szCs w:val="20"/>
              </w:rPr>
            </w:pPr>
          </w:p>
        </w:tc>
        <w:tc>
          <w:tcPr>
            <w:tcW w:w="164"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1081"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196"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1132"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r>
      <w:tr w:rsidR="00000000">
        <w:trPr>
          <w:divId w:val="1139035307"/>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September 30</w:t>
            </w:r>
            <w:r>
              <w:rPr>
                <w:b/>
                <w:bCs/>
                <w:sz w:val="18"/>
                <w:szCs w:val="18"/>
              </w:rPr>
              <w: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September 30</w:t>
            </w:r>
            <w:r>
              <w:rPr>
                <w:b/>
                <w:bCs/>
                <w:sz w:val="18"/>
                <w:szCs w:val="18"/>
              </w:rPr>
              <w: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1139035307"/>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1139035307"/>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Common stock value (per share</w:t>
            </w: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43.7</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39.8</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139035307"/>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Expected volatilit</w:t>
            </w:r>
            <w:r>
              <w:rPr>
                <w:sz w:val="18"/>
                <w:szCs w:val="18"/>
              </w:rPr>
              <w:t>y</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33.4</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58.3</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139035307"/>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Risk-free interest rat</w:t>
            </w:r>
            <w:r>
              <w:rPr>
                <w:sz w:val="18"/>
                <w:szCs w:val="18"/>
              </w:rPr>
              <w:t>e</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1.9</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0.7</w:t>
            </w:r>
            <w:r>
              <w:rPr>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r>
      <w:tr w:rsidR="00000000">
        <w:trPr>
          <w:divId w:val="1139035307"/>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Expected life (years</w:t>
            </w: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6.4</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6.3</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139035307"/>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Forfeiture rat</w:t>
            </w:r>
            <w:r>
              <w:rPr>
                <w:sz w:val="18"/>
                <w:szCs w:val="18"/>
              </w:rPr>
              <w:t>e</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20"/>
                <w:szCs w:val="20"/>
              </w:rPr>
            </w:pPr>
            <w:r>
              <w:rPr>
                <w:sz w:val="18"/>
                <w:szCs w:val="18"/>
              </w:rPr>
              <w:t>Non</w:t>
            </w:r>
            <w:r>
              <w:rPr>
                <w:sz w:val="18"/>
                <w:szCs w:val="18"/>
              </w:rPr>
              <w:t>e</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20"/>
                <w:szCs w:val="20"/>
              </w:rPr>
            </w:pPr>
            <w:r>
              <w:rPr>
                <w:sz w:val="18"/>
                <w:szCs w:val="18"/>
              </w:rPr>
              <w:t>Non</w:t>
            </w:r>
            <w:r>
              <w:rPr>
                <w:sz w:val="18"/>
                <w:szCs w:val="18"/>
              </w:rPr>
              <w:t>e</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r>
      <w:tr w:rsidR="00000000">
        <w:trPr>
          <w:divId w:val="1139035307"/>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Dividend rat</w:t>
            </w:r>
            <w:r>
              <w:rPr>
                <w:sz w:val="18"/>
                <w:szCs w:val="18"/>
              </w:rPr>
              <w:t>e</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20"/>
                <w:szCs w:val="20"/>
              </w:rPr>
            </w:pPr>
            <w:r>
              <w:rPr>
                <w:sz w:val="18"/>
                <w:szCs w:val="18"/>
              </w:rPr>
              <w:t>Non</w:t>
            </w:r>
            <w:r>
              <w:rPr>
                <w:sz w:val="18"/>
                <w:szCs w:val="18"/>
              </w:rPr>
              <w:t>e</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20"/>
                <w:szCs w:val="20"/>
              </w:rPr>
            </w:pPr>
            <w:r>
              <w:rPr>
                <w:sz w:val="18"/>
                <w:szCs w:val="18"/>
              </w:rPr>
              <w:t>Non</w:t>
            </w:r>
            <w:r>
              <w:rPr>
                <w:sz w:val="18"/>
                <w:szCs w:val="18"/>
              </w:rPr>
              <w:t>e</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r>
    </w:tbl>
    <w:p w:rsidR="00000000" w:rsidRDefault="00A32496">
      <w:pPr>
        <w:pStyle w:val="a3"/>
        <w:spacing w:before="240" w:beforeAutospacing="0" w:after="0" w:afterAutospacing="0"/>
        <w:ind w:firstLine="555"/>
        <w:divId w:val="1102339258"/>
        <w:rPr>
          <w:sz w:val="20"/>
          <w:szCs w:val="20"/>
        </w:rPr>
      </w:pPr>
      <w:r>
        <w:rPr>
          <w:b/>
          <w:bCs/>
          <w:i/>
          <w:iCs/>
          <w:sz w:val="20"/>
          <w:szCs w:val="20"/>
        </w:rPr>
        <w:t>Montrose Amended &amp; Restated 2013 Stock Option Pla</w:t>
      </w:r>
      <w:r>
        <w:rPr>
          <w:b/>
          <w:bCs/>
          <w:i/>
          <w:iCs/>
          <w:sz w:val="20"/>
          <w:szCs w:val="20"/>
        </w:rPr>
        <w:t>n</w:t>
      </w:r>
      <w:r>
        <w:rPr>
          <w:sz w:val="20"/>
          <w:szCs w:val="20"/>
        </w:rPr>
        <w:t>—</w:t>
      </w:r>
      <w:r>
        <w:rPr>
          <w:sz w:val="20"/>
          <w:szCs w:val="20"/>
        </w:rPr>
        <w:t>The following summarizes the activity of the 2013 Plan</w:t>
      </w:r>
      <w:r>
        <w:rPr>
          <w:sz w:val="20"/>
          <w:szCs w:val="20"/>
        </w:rPr>
        <w:t>:</w:t>
      </w:r>
    </w:p>
    <w:p w:rsidR="00000000" w:rsidRDefault="00A32496">
      <w:pPr>
        <w:pStyle w:val="a3"/>
        <w:spacing w:before="0" w:beforeAutospacing="0" w:after="0" w:afterAutospacing="0"/>
        <w:divId w:val="747460217"/>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98"/>
        <w:gridCol w:w="105"/>
        <w:gridCol w:w="105"/>
        <w:gridCol w:w="780"/>
        <w:gridCol w:w="120"/>
        <w:gridCol w:w="105"/>
        <w:gridCol w:w="151"/>
        <w:gridCol w:w="759"/>
        <w:gridCol w:w="105"/>
        <w:gridCol w:w="105"/>
        <w:gridCol w:w="151"/>
        <w:gridCol w:w="695"/>
        <w:gridCol w:w="105"/>
        <w:gridCol w:w="105"/>
        <w:gridCol w:w="119"/>
        <w:gridCol w:w="782"/>
        <w:gridCol w:w="105"/>
        <w:gridCol w:w="105"/>
        <w:gridCol w:w="151"/>
        <w:gridCol w:w="835"/>
        <w:gridCol w:w="120"/>
      </w:tblGrid>
      <w:tr w:rsidR="00000000">
        <w:trPr>
          <w:divId w:val="747460217"/>
          <w:tblCellSpacing w:w="15" w:type="dxa"/>
        </w:trPr>
        <w:tc>
          <w:tcPr>
            <w:tcW w:w="2076" w:type="pct"/>
            <w:vAlign w:val="center"/>
            <w:hideMark/>
          </w:tcPr>
          <w:p w:rsidR="00000000" w:rsidRDefault="00A32496">
            <w:pPr>
              <w:rPr>
                <w:sz w:val="20"/>
                <w:szCs w:val="20"/>
              </w:rPr>
            </w:pPr>
          </w:p>
        </w:tc>
        <w:tc>
          <w:tcPr>
            <w:tcW w:w="46"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372"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48"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20"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48"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446"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46"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424"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48"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421"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r>
      <w:tr w:rsidR="00000000">
        <w:trPr>
          <w:divId w:val="747460217"/>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Options to</w:t>
            </w:r>
            <w:r>
              <w:rPr>
                <w:b/>
                <w:bCs/>
                <w:sz w:val="18"/>
                <w:szCs w:val="18"/>
              </w:rPr>
              <w:br/>
              <w:t>Purchase</w:t>
            </w:r>
            <w:r>
              <w:rPr>
                <w:b/>
                <w:bCs/>
                <w:sz w:val="18"/>
                <w:szCs w:val="18"/>
              </w:rPr>
              <w:br/>
              <w:t>Common</w:t>
            </w:r>
            <w:r>
              <w:rPr>
                <w:b/>
                <w:bCs/>
                <w:sz w:val="18"/>
                <w:szCs w:val="18"/>
              </w:rPr>
              <w:br/>
              <w:t>Stoc</w:t>
            </w:r>
            <w:r>
              <w:rPr>
                <w:b/>
                <w:bCs/>
                <w:sz w:val="18"/>
                <w:szCs w:val="18"/>
              </w:rPr>
              <w:t>k</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Weighted-</w:t>
            </w:r>
            <w:r>
              <w:rPr>
                <w:b/>
                <w:bCs/>
                <w:sz w:val="18"/>
                <w:szCs w:val="18"/>
              </w:rPr>
              <w:br/>
              <w:t>Average</w:t>
            </w:r>
            <w:r>
              <w:rPr>
                <w:b/>
                <w:bCs/>
                <w:sz w:val="18"/>
                <w:szCs w:val="18"/>
              </w:rPr>
              <w:br/>
              <w:t>Exercise</w:t>
            </w:r>
            <w:r>
              <w:rPr>
                <w:b/>
                <w:bCs/>
                <w:sz w:val="18"/>
                <w:szCs w:val="18"/>
              </w:rPr>
              <w:br/>
              <w:t>Price per</w:t>
            </w:r>
            <w:r>
              <w:rPr>
                <w:b/>
                <w:bCs/>
                <w:sz w:val="18"/>
                <w:szCs w:val="18"/>
              </w:rPr>
              <w:br/>
              <w:t>Shar</w:t>
            </w:r>
            <w:r>
              <w:rPr>
                <w:b/>
                <w:bCs/>
                <w:sz w:val="18"/>
                <w:szCs w:val="18"/>
              </w:rPr>
              <w:t>e</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Weighted</w:t>
            </w:r>
            <w:r>
              <w:rPr>
                <w:b/>
                <w:bCs/>
                <w:sz w:val="18"/>
                <w:szCs w:val="18"/>
              </w:rPr>
              <w:br/>
            </w:r>
            <w:r>
              <w:rPr>
                <w:b/>
                <w:bCs/>
                <w:sz w:val="18"/>
                <w:szCs w:val="18"/>
              </w:rPr>
              <w:t>Average</w:t>
            </w:r>
            <w:r>
              <w:rPr>
                <w:b/>
                <w:bCs/>
                <w:sz w:val="18"/>
                <w:szCs w:val="18"/>
              </w:rPr>
              <w:br/>
              <w:t>Grant Date</w:t>
            </w:r>
            <w:r>
              <w:rPr>
                <w:b/>
                <w:bCs/>
                <w:sz w:val="18"/>
                <w:szCs w:val="18"/>
              </w:rPr>
              <w:br/>
              <w:t>Fair Value</w:t>
            </w:r>
            <w:r>
              <w:rPr>
                <w:b/>
                <w:bCs/>
                <w:sz w:val="18"/>
                <w:szCs w:val="18"/>
              </w:rPr>
              <w:br/>
              <w:t>per Shar</w:t>
            </w:r>
            <w:r>
              <w:rPr>
                <w:b/>
                <w:bCs/>
                <w:sz w:val="18"/>
                <w:szCs w:val="18"/>
              </w:rPr>
              <w:t>e</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Weighted</w:t>
            </w:r>
            <w:r>
              <w:rPr>
                <w:b/>
                <w:bCs/>
                <w:sz w:val="18"/>
                <w:szCs w:val="18"/>
              </w:rPr>
              <w:br/>
              <w:t>Average</w:t>
            </w:r>
            <w:r>
              <w:rPr>
                <w:b/>
                <w:bCs/>
                <w:sz w:val="18"/>
                <w:szCs w:val="18"/>
              </w:rPr>
              <w:br/>
              <w:t>Remaining</w:t>
            </w:r>
            <w:r>
              <w:rPr>
                <w:b/>
                <w:bCs/>
                <w:sz w:val="18"/>
                <w:szCs w:val="18"/>
              </w:rPr>
              <w:br/>
              <w:t>Contract Life</w:t>
            </w:r>
            <w:r>
              <w:rPr>
                <w:b/>
                <w:bCs/>
                <w:sz w:val="18"/>
                <w:szCs w:val="18"/>
              </w:rPr>
              <w:br/>
              <w:t>(in Years</w:t>
            </w:r>
            <w:r>
              <w:rPr>
                <w:b/>
                <w:bCs/>
                <w:sz w:val="18"/>
                <w:szCs w:val="18"/>
              </w:rPr>
              <w: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Aggregate</w:t>
            </w:r>
            <w:r>
              <w:rPr>
                <w:b/>
                <w:bCs/>
                <w:sz w:val="18"/>
                <w:szCs w:val="18"/>
              </w:rPr>
              <w:br/>
              <w:t>Intrinsic</w:t>
            </w:r>
            <w:r>
              <w:rPr>
                <w:b/>
                <w:bCs/>
                <w:sz w:val="18"/>
                <w:szCs w:val="18"/>
              </w:rPr>
              <w:br/>
              <w:t>Value</w:t>
            </w:r>
            <w:r>
              <w:rPr>
                <w:b/>
                <w:bCs/>
                <w:sz w:val="18"/>
                <w:szCs w:val="18"/>
              </w:rPr>
              <w:br/>
              <w:t>of In-The-</w:t>
            </w:r>
            <w:r>
              <w:rPr>
                <w:b/>
                <w:bCs/>
                <w:sz w:val="18"/>
                <w:szCs w:val="18"/>
              </w:rPr>
              <w:br/>
              <w:t>Money</w:t>
            </w:r>
            <w:r>
              <w:rPr>
                <w:b/>
                <w:bCs/>
                <w:sz w:val="18"/>
                <w:szCs w:val="18"/>
              </w:rPr>
              <w:br/>
              <w:t>Options (in</w:t>
            </w:r>
            <w:r>
              <w:rPr>
                <w:b/>
                <w:bCs/>
                <w:sz w:val="18"/>
                <w:szCs w:val="18"/>
              </w:rPr>
              <w:br/>
              <w:t>Thousands</w:t>
            </w:r>
            <w:r>
              <w:rPr>
                <w:b/>
                <w:bCs/>
                <w:sz w:val="18"/>
                <w:szCs w:val="18"/>
              </w:rPr>
              <w: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747460217"/>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Outstanding as of January 1, 202</w:t>
            </w:r>
            <w:r>
              <w:rPr>
                <w:sz w:val="18"/>
                <w:szCs w:val="18"/>
              </w:rPr>
              <w:t>1</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1,787,86</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5.4</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43,86</w:t>
            </w:r>
            <w:r>
              <w:rPr>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747460217"/>
          <w:trHeight w:val="180"/>
          <w:tblCellSpacing w:w="15" w:type="dxa"/>
        </w:trPr>
        <w:tc>
          <w:tcPr>
            <w:tcW w:w="0" w:type="auto"/>
            <w:hideMark/>
          </w:tcPr>
          <w:p w:rsidR="00000000" w:rsidRDefault="00A32496">
            <w:pPr>
              <w:pStyle w:val="a3"/>
              <w:spacing w:before="0" w:beforeAutospacing="0" w:after="0" w:afterAutospacing="0"/>
              <w:ind w:left="200"/>
              <w:rPr>
                <w:sz w:val="18"/>
                <w:szCs w:val="18"/>
              </w:rPr>
            </w:pPr>
            <w:r>
              <w:rPr>
                <w:sz w:val="18"/>
                <w:szCs w:val="18"/>
              </w:rPr>
              <w:t>Expire</w:t>
            </w:r>
            <w:r>
              <w:rPr>
                <w:sz w:val="18"/>
                <w:szCs w:val="18"/>
              </w:rPr>
              <w:t>d</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62</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747460217"/>
          <w:trHeight w:val="180"/>
          <w:tblCellSpacing w:w="15" w:type="dxa"/>
        </w:trPr>
        <w:tc>
          <w:tcPr>
            <w:tcW w:w="0" w:type="auto"/>
            <w:hideMark/>
          </w:tcPr>
          <w:p w:rsidR="00000000" w:rsidRDefault="00A32496">
            <w:pPr>
              <w:pStyle w:val="a3"/>
              <w:spacing w:before="0" w:beforeAutospacing="0" w:after="0" w:afterAutospacing="0"/>
              <w:ind w:left="200"/>
              <w:rPr>
                <w:sz w:val="18"/>
                <w:szCs w:val="18"/>
              </w:rPr>
            </w:pPr>
            <w:r>
              <w:rPr>
                <w:sz w:val="18"/>
                <w:szCs w:val="18"/>
              </w:rPr>
              <w:t>Exercise</w:t>
            </w:r>
            <w:r>
              <w:rPr>
                <w:sz w:val="18"/>
                <w:szCs w:val="18"/>
              </w:rPr>
              <w:t>d</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710,56</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33,48</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747460217"/>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Outstanding as of September 30, 202</w:t>
            </w:r>
            <w:r>
              <w:rPr>
                <w:sz w:val="18"/>
                <w:szCs w:val="18"/>
              </w:rPr>
              <w:t>1</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1,076,67</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4.6</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59,53</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747460217"/>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747460217"/>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Outstanding as of January 1, 202</w:t>
            </w:r>
            <w:r>
              <w:rPr>
                <w:sz w:val="18"/>
                <w:szCs w:val="18"/>
              </w:rPr>
              <w:t>2</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897,67</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4.3</w:t>
            </w:r>
            <w:r>
              <w:rPr>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57,52</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747460217"/>
          <w:trHeight w:val="180"/>
          <w:tblCellSpacing w:w="15" w:type="dxa"/>
        </w:trPr>
        <w:tc>
          <w:tcPr>
            <w:tcW w:w="0" w:type="auto"/>
            <w:hideMark/>
          </w:tcPr>
          <w:p w:rsidR="00000000" w:rsidRDefault="00A32496">
            <w:pPr>
              <w:pStyle w:val="a3"/>
              <w:spacing w:before="0" w:beforeAutospacing="0" w:after="0" w:afterAutospacing="0"/>
              <w:ind w:left="200"/>
              <w:rPr>
                <w:sz w:val="18"/>
                <w:szCs w:val="18"/>
              </w:rPr>
            </w:pPr>
            <w:r>
              <w:rPr>
                <w:sz w:val="18"/>
                <w:szCs w:val="18"/>
              </w:rPr>
              <w:t>Expire</w:t>
            </w:r>
            <w:r>
              <w:rPr>
                <w:sz w:val="18"/>
                <w:szCs w:val="18"/>
              </w:rPr>
              <w:t>d</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12</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747460217"/>
          <w:trHeight w:val="180"/>
          <w:tblCellSpacing w:w="15" w:type="dxa"/>
        </w:trPr>
        <w:tc>
          <w:tcPr>
            <w:tcW w:w="0" w:type="auto"/>
            <w:hideMark/>
          </w:tcPr>
          <w:p w:rsidR="00000000" w:rsidRDefault="00A32496">
            <w:pPr>
              <w:pStyle w:val="a3"/>
              <w:spacing w:before="0" w:beforeAutospacing="0" w:after="0" w:afterAutospacing="0"/>
              <w:ind w:left="200"/>
              <w:rPr>
                <w:sz w:val="18"/>
                <w:szCs w:val="18"/>
              </w:rPr>
            </w:pPr>
            <w:r>
              <w:rPr>
                <w:sz w:val="18"/>
                <w:szCs w:val="18"/>
              </w:rPr>
              <w:t>Exercise</w:t>
            </w:r>
            <w:r>
              <w:rPr>
                <w:sz w:val="18"/>
                <w:szCs w:val="18"/>
              </w:rPr>
              <w:t>d</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36,03</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1,42</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747460217"/>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Outstanding as of September 30, 202</w:t>
            </w:r>
            <w:r>
              <w:rPr>
                <w:sz w:val="18"/>
                <w:szCs w:val="18"/>
              </w:rPr>
              <w:t>2</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861,51</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3.6</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23,44</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747460217"/>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Exercisable at September 30, 202</w:t>
            </w:r>
            <w:r>
              <w:rPr>
                <w:sz w:val="18"/>
                <w:szCs w:val="18"/>
              </w:rPr>
              <w:t>2</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861,51</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3.6</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23,44</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bl>
    <w:p w:rsidR="00000000" w:rsidRDefault="00A32496">
      <w:pPr>
        <w:pStyle w:val="a3"/>
        <w:spacing w:before="240" w:beforeAutospacing="0" w:after="0" w:afterAutospacing="0"/>
        <w:ind w:firstLine="555"/>
        <w:divId w:val="1102339258"/>
        <w:rPr>
          <w:sz w:val="20"/>
          <w:szCs w:val="20"/>
        </w:rPr>
      </w:pPr>
      <w:r>
        <w:rPr>
          <w:sz w:val="20"/>
          <w:szCs w:val="20"/>
        </w:rPr>
        <w:t>Total shares outstanding from exercised options were</w:t>
      </w:r>
      <w:r>
        <w:rPr>
          <w:sz w:val="20"/>
          <w:szCs w:val="20"/>
        </w:rPr>
        <w:t xml:space="preserve"> </w:t>
      </w:r>
      <w:r>
        <w:rPr>
          <w:sz w:val="20"/>
          <w:szCs w:val="20"/>
        </w:rPr>
        <w:t>1,271,38</w:t>
      </w:r>
      <w:r>
        <w:rPr>
          <w:sz w:val="20"/>
          <w:szCs w:val="20"/>
        </w:rPr>
        <w:t>3</w:t>
      </w:r>
      <w:r>
        <w:rPr>
          <w:sz w:val="20"/>
          <w:szCs w:val="20"/>
        </w:rPr>
        <w:t xml:space="preserve"> shares </w:t>
      </w:r>
      <w:r>
        <w:rPr>
          <w:sz w:val="20"/>
          <w:szCs w:val="20"/>
        </w:rPr>
        <w:t>a</w:t>
      </w:r>
      <w:r>
        <w:rPr>
          <w:sz w:val="20"/>
          <w:szCs w:val="20"/>
        </w:rPr>
        <w:t>nd</w:t>
      </w:r>
      <w:r>
        <w:rPr>
          <w:sz w:val="20"/>
          <w:szCs w:val="20"/>
        </w:rPr>
        <w:t xml:space="preserve"> </w:t>
      </w:r>
      <w:r>
        <w:rPr>
          <w:sz w:val="20"/>
          <w:szCs w:val="20"/>
        </w:rPr>
        <w:t>1,028,26</w:t>
      </w:r>
      <w:r>
        <w:rPr>
          <w:sz w:val="20"/>
          <w:szCs w:val="20"/>
        </w:rPr>
        <w:t>8</w:t>
      </w:r>
      <w:r>
        <w:rPr>
          <w:sz w:val="20"/>
          <w:szCs w:val="20"/>
        </w:rPr>
        <w:t xml:space="preserve"> shares as of</w:t>
      </w:r>
      <w:r>
        <w:rPr>
          <w:sz w:val="20"/>
          <w:szCs w:val="20"/>
        </w:rPr>
        <w:t xml:space="preserve"> </w:t>
      </w:r>
      <w:r>
        <w:rPr>
          <w:sz w:val="20"/>
          <w:szCs w:val="20"/>
        </w:rPr>
        <w:t>September 30, 2022 and September 30, 2021, respectively</w:t>
      </w:r>
      <w:r>
        <w:rPr>
          <w:sz w:val="20"/>
          <w:szCs w:val="20"/>
        </w:rPr>
        <w:t>.</w:t>
      </w:r>
    </w:p>
    <w:p w:rsidR="00000000" w:rsidRDefault="00A32496">
      <w:pPr>
        <w:pStyle w:val="a3"/>
        <w:spacing w:before="240" w:beforeAutospacing="0" w:after="0" w:afterAutospacing="0"/>
        <w:ind w:firstLine="555"/>
        <w:divId w:val="1102339258"/>
        <w:rPr>
          <w:sz w:val="20"/>
          <w:szCs w:val="20"/>
        </w:rPr>
      </w:pPr>
      <w:r>
        <w:rPr>
          <w:b/>
          <w:bCs/>
          <w:sz w:val="20"/>
          <w:szCs w:val="20"/>
        </w:rPr>
        <w:t>Common Stock Reserved for Future Issuance</w:t>
      </w:r>
      <w:r>
        <w:rPr>
          <w:b/>
          <w:bCs/>
          <w:sz w:val="20"/>
          <w:szCs w:val="20"/>
        </w:rPr>
        <w:t>s</w:t>
      </w:r>
      <w:r>
        <w:rPr>
          <w:sz w:val="20"/>
          <w:szCs w:val="20"/>
        </w:rPr>
        <w:t>—</w:t>
      </w:r>
      <w:r>
        <w:rPr>
          <w:sz w:val="20"/>
          <w:szCs w:val="20"/>
        </w:rPr>
        <w:t>The Company has reserved certain stock of its authorized bu</w:t>
      </w:r>
      <w:r>
        <w:rPr>
          <w:sz w:val="20"/>
          <w:szCs w:val="20"/>
        </w:rPr>
        <w:t>t unissued common stock for possible future issuance in connection with the following</w:t>
      </w:r>
      <w:r>
        <w:rPr>
          <w:sz w:val="20"/>
          <w:szCs w:val="20"/>
        </w:rPr>
        <w:t>:</w:t>
      </w:r>
    </w:p>
    <w:p w:rsidR="00000000" w:rsidRDefault="00A32496">
      <w:pPr>
        <w:pStyle w:val="a3"/>
        <w:spacing w:before="0" w:beforeAutospacing="0" w:after="0" w:afterAutospacing="0"/>
        <w:divId w:val="2089569150"/>
        <w:rPr>
          <w:sz w:val="20"/>
          <w:szCs w:val="20"/>
        </w:rPr>
      </w:pPr>
      <w:r>
        <w:rPr>
          <w:sz w:val="20"/>
          <w:szCs w:val="20"/>
        </w:rPr>
        <w:t> </w:t>
      </w:r>
    </w:p>
    <w:tbl>
      <w:tblPr>
        <w:tblW w:w="2900" w:type="pct"/>
        <w:tblCellSpacing w:w="15" w:type="dxa"/>
        <w:tblCellMar>
          <w:top w:w="15" w:type="dxa"/>
          <w:left w:w="15" w:type="dxa"/>
          <w:bottom w:w="15" w:type="dxa"/>
          <w:right w:w="15" w:type="dxa"/>
        </w:tblCellMar>
        <w:tblLook w:val="04A0" w:firstRow="1" w:lastRow="0" w:firstColumn="1" w:lastColumn="0" w:noHBand="0" w:noVBand="1"/>
      </w:tblPr>
      <w:tblGrid>
        <w:gridCol w:w="2218"/>
        <w:gridCol w:w="105"/>
        <w:gridCol w:w="105"/>
        <w:gridCol w:w="975"/>
        <w:gridCol w:w="105"/>
        <w:gridCol w:w="105"/>
        <w:gridCol w:w="105"/>
        <w:gridCol w:w="979"/>
        <w:gridCol w:w="120"/>
      </w:tblGrid>
      <w:tr w:rsidR="00000000">
        <w:trPr>
          <w:divId w:val="2089569150"/>
          <w:tblCellSpacing w:w="15" w:type="dxa"/>
        </w:trPr>
        <w:tc>
          <w:tcPr>
            <w:tcW w:w="2431" w:type="pct"/>
            <w:vAlign w:val="center"/>
            <w:hideMark/>
          </w:tcPr>
          <w:p w:rsidR="00000000" w:rsidRDefault="00A32496">
            <w:pPr>
              <w:rPr>
                <w:sz w:val="20"/>
                <w:szCs w:val="20"/>
              </w:rPr>
            </w:pPr>
          </w:p>
        </w:tc>
        <w:tc>
          <w:tcPr>
            <w:tcW w:w="100"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1082"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100"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1085"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r>
      <w:tr w:rsidR="00000000">
        <w:trPr>
          <w:divId w:val="2089569150"/>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6"/>
            <w:vAlign w:val="bottom"/>
            <w:hideMark/>
          </w:tcPr>
          <w:p w:rsidR="00000000" w:rsidRDefault="00A32496">
            <w:pPr>
              <w:pStyle w:val="a3"/>
              <w:spacing w:before="0" w:beforeAutospacing="0" w:after="0" w:afterAutospacing="0"/>
              <w:jc w:val="center"/>
              <w:rPr>
                <w:sz w:val="18"/>
                <w:szCs w:val="18"/>
              </w:rPr>
            </w:pPr>
            <w:r>
              <w:rPr>
                <w:b/>
                <w:bCs/>
                <w:sz w:val="18"/>
                <w:szCs w:val="18"/>
              </w:rPr>
              <w:t>September 30</w:t>
            </w:r>
            <w:r>
              <w:rPr>
                <w:b/>
                <w:bCs/>
                <w:sz w:val="18"/>
                <w:szCs w:val="18"/>
              </w:rPr>
              <w: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2089569150"/>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2089569150"/>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Montrose 2013 Stock Incentive Pla</w:t>
            </w:r>
            <w:r>
              <w:rPr>
                <w:sz w:val="18"/>
                <w:szCs w:val="18"/>
              </w:rPr>
              <w:t>n</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861,51</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2,047,26</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2089569150"/>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Montrose 2017 Stock Incentive Pla</w:t>
            </w:r>
            <w:r>
              <w:rPr>
                <w:sz w:val="18"/>
                <w:szCs w:val="18"/>
              </w:rPr>
              <w:t>n</w:t>
            </w:r>
            <w:r>
              <w:rPr>
                <w:sz w:val="12"/>
                <w:szCs w:val="12"/>
              </w:rPr>
              <w:t>(1</w:t>
            </w:r>
            <w:r>
              <w:rPr>
                <w:sz w:val="12"/>
                <w:szCs w:val="12"/>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7,757,99</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3,944,75</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2089569150"/>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Tota</w:t>
            </w:r>
            <w:r>
              <w:rPr>
                <w:sz w:val="18"/>
                <w:szCs w:val="18"/>
              </w:rPr>
              <w:t>l</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8,619,50</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5,992,01</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bl>
    <w:p w:rsidR="00000000" w:rsidRDefault="00A32496">
      <w:pPr>
        <w:pStyle w:val="a3"/>
        <w:spacing w:before="0" w:beforeAutospacing="0" w:after="0" w:afterAutospacing="0"/>
        <w:divId w:val="2089569150"/>
        <w:rPr>
          <w:sz w:val="20"/>
          <w:szCs w:val="20"/>
        </w:rPr>
      </w:pPr>
      <w:r>
        <w:rPr>
          <w:sz w:val="20"/>
          <w:szCs w:val="20"/>
        </w:rPr>
        <w:t> </w:t>
      </w:r>
    </w:p>
    <w:p w:rsidR="00000000" w:rsidRDefault="00A32496">
      <w:pPr>
        <w:pStyle w:val="a3"/>
        <w:pBdr>
          <w:bottom w:val="single" w:sz="4" w:space="1" w:color="auto"/>
        </w:pBdr>
        <w:spacing w:before="0" w:beforeAutospacing="0" w:after="0" w:afterAutospacing="0"/>
        <w:ind w:right="9167"/>
        <w:divId w:val="2089569150"/>
        <w:rPr>
          <w:sz w:val="20"/>
          <w:szCs w:val="20"/>
        </w:rPr>
      </w:pPr>
      <w:r>
        <w:rPr>
          <w:sz w:val="20"/>
          <w:szCs w:val="20"/>
        </w:rPr>
        <w:t> </w:t>
      </w:r>
    </w:p>
    <w:p w:rsidR="00000000" w:rsidRDefault="00A32496">
      <w:pPr>
        <w:pStyle w:val="a3"/>
        <w:spacing w:before="0" w:beforeAutospacing="0" w:after="0" w:afterAutospacing="0"/>
        <w:ind w:left="476"/>
        <w:divId w:val="2089569150"/>
        <w:rPr>
          <w:sz w:val="20"/>
          <w:szCs w:val="20"/>
        </w:rPr>
      </w:pPr>
      <w:r>
        <w:rPr>
          <w:sz w:val="16"/>
          <w:szCs w:val="16"/>
        </w:rPr>
        <w:t>(1) In January 2022, the Board of Directors ratified the addition of</w:t>
      </w:r>
      <w:r>
        <w:rPr>
          <w:sz w:val="16"/>
          <w:szCs w:val="16"/>
        </w:rPr>
        <w:t xml:space="preserve"> </w:t>
      </w:r>
      <w:r>
        <w:rPr>
          <w:sz w:val="16"/>
          <w:szCs w:val="16"/>
        </w:rPr>
        <w:t>1,185,11</w:t>
      </w:r>
      <w:r>
        <w:rPr>
          <w:sz w:val="16"/>
          <w:szCs w:val="16"/>
        </w:rPr>
        <w:t>2</w:t>
      </w:r>
      <w:r>
        <w:rPr>
          <w:sz w:val="16"/>
          <w:szCs w:val="16"/>
        </w:rPr>
        <w:t xml:space="preserve"> </w:t>
      </w:r>
      <w:r>
        <w:rPr>
          <w:sz w:val="16"/>
          <w:szCs w:val="16"/>
        </w:rPr>
        <w:t>shares of common stock to the number of shares available for issuance under the 2017 Plan pursuant to the annual increase provision of such plan. Unless the Board of Directors determines otherwise, additional annual increases will be effective on each Janu</w:t>
      </w:r>
      <w:r>
        <w:rPr>
          <w:sz w:val="16"/>
          <w:szCs w:val="16"/>
        </w:rPr>
        <w:t>ary 1, through January 1, 2027. The 2017 Plan permits the company to settle awards, if and when vested, in cash at its discretion. Pursuant to the terms of the 2017 Plan, the number of shares authorized for issuance thereunder will only be reduced with res</w:t>
      </w:r>
      <w:r>
        <w:rPr>
          <w:sz w:val="16"/>
          <w:szCs w:val="16"/>
        </w:rPr>
        <w:t>pect to shares of common stock actually issued upon exercise or settlement of an award. Shares of common stock subject to awards that have been canceled, expired, forfeited or otherwise not issued under an award and shares of common stock subject to awards</w:t>
      </w:r>
      <w:r>
        <w:rPr>
          <w:sz w:val="16"/>
          <w:szCs w:val="16"/>
        </w:rPr>
        <w:t xml:space="preserve"> settled in cash do not count as shares of common stock issued under the 2017 Plan. The Company expects to have sufficient shares available under the 2017 Plan to satisfy the future settlement of outstanding awards. Shares reserved for future issuance incl</w:t>
      </w:r>
      <w:r>
        <w:rPr>
          <w:sz w:val="16"/>
          <w:szCs w:val="16"/>
        </w:rPr>
        <w:t>ude</w:t>
      </w:r>
      <w:r>
        <w:rPr>
          <w:sz w:val="16"/>
          <w:szCs w:val="16"/>
        </w:rPr>
        <w:t xml:space="preserve"> </w:t>
      </w:r>
      <w:r>
        <w:rPr>
          <w:sz w:val="16"/>
          <w:szCs w:val="16"/>
        </w:rPr>
        <w:t>3,000,00</w:t>
      </w:r>
      <w:r>
        <w:rPr>
          <w:sz w:val="16"/>
          <w:szCs w:val="16"/>
        </w:rPr>
        <w:t>0</w:t>
      </w:r>
      <w:r>
        <w:rPr>
          <w:sz w:val="16"/>
          <w:szCs w:val="16"/>
        </w:rPr>
        <w:t xml:space="preserve"> shares underlying the</w:t>
      </w:r>
      <w:r>
        <w:rPr>
          <w:sz w:val="16"/>
          <w:szCs w:val="16"/>
        </w:rPr>
        <w:t xml:space="preserve"> </w:t>
      </w:r>
      <w:r>
        <w:rPr>
          <w:sz w:val="16"/>
          <w:szCs w:val="16"/>
        </w:rPr>
        <w:t>3,000,00</w:t>
      </w:r>
      <w:r>
        <w:rPr>
          <w:sz w:val="16"/>
          <w:szCs w:val="16"/>
        </w:rPr>
        <w:t>0</w:t>
      </w:r>
      <w:r>
        <w:rPr>
          <w:sz w:val="16"/>
          <w:szCs w:val="16"/>
        </w:rPr>
        <w:t xml:space="preserve"> performance SARs granted in December 2021 that are subject to vesting based on the achievement of certain market conditions. Assuming achievement at the highest price performance hurdle, approximately</w:t>
      </w:r>
      <w:r>
        <w:rPr>
          <w:sz w:val="16"/>
          <w:szCs w:val="16"/>
        </w:rPr>
        <w:t xml:space="preserve"> </w:t>
      </w:r>
      <w:r>
        <w:rPr>
          <w:sz w:val="16"/>
          <w:szCs w:val="16"/>
        </w:rPr>
        <w:t>2,000,00</w:t>
      </w:r>
      <w:r>
        <w:rPr>
          <w:sz w:val="16"/>
          <w:szCs w:val="16"/>
        </w:rPr>
        <w:t>0</w:t>
      </w:r>
      <w:r>
        <w:rPr>
          <w:sz w:val="16"/>
          <w:szCs w:val="16"/>
        </w:rPr>
        <w:t xml:space="preserve"> shares of common stock would be issued upon vesting of these performance SARs. To date, none of the market conditions have been achieved</w:t>
      </w:r>
      <w:r>
        <w:rPr>
          <w:sz w:val="16"/>
          <w:szCs w:val="16"/>
        </w:rPr>
        <w:t>.</w:t>
      </w:r>
    </w:p>
    <w:p w:rsidR="00000000" w:rsidRDefault="00A32496">
      <w:pPr>
        <w:pStyle w:val="a3"/>
        <w:spacing w:before="360" w:beforeAutospacing="0" w:after="0" w:afterAutospacing="0"/>
        <w:divId w:val="1257516076"/>
        <w:rPr>
          <w:sz w:val="20"/>
          <w:szCs w:val="20"/>
        </w:rPr>
      </w:pPr>
      <w:r>
        <w:rPr>
          <w:b/>
          <w:bCs/>
          <w:sz w:val="20"/>
          <w:szCs w:val="20"/>
        </w:rPr>
        <w:t>17. NET LOSS PER SHAR</w:t>
      </w:r>
      <w:r>
        <w:rPr>
          <w:b/>
          <w:bCs/>
          <w:sz w:val="20"/>
          <w:szCs w:val="20"/>
        </w:rPr>
        <w:t>E</w:t>
      </w:r>
    </w:p>
    <w:p w:rsidR="00000000" w:rsidRDefault="00A32496">
      <w:pPr>
        <w:pStyle w:val="a3"/>
        <w:spacing w:before="240" w:beforeAutospacing="0" w:after="0" w:afterAutospacing="0"/>
        <w:ind w:firstLine="555"/>
        <w:divId w:val="1257516076"/>
        <w:rPr>
          <w:sz w:val="20"/>
          <w:szCs w:val="20"/>
        </w:rPr>
      </w:pPr>
      <w:r>
        <w:rPr>
          <w:sz w:val="20"/>
          <w:szCs w:val="20"/>
        </w:rPr>
        <w:t xml:space="preserve">Basic net loss per share is computed by dividing net loss attributable to common stockholders </w:t>
      </w:r>
      <w:r>
        <w:rPr>
          <w:sz w:val="20"/>
          <w:szCs w:val="20"/>
        </w:rPr>
        <w:t>by the weighted average number of common shares outstanding during each period. The Convertible and Redeemable Series A-2 Preferred Stock is considered a participating security during the applicable period. Net losses are not allocated to the Convertible a</w:t>
      </w:r>
      <w:r>
        <w:rPr>
          <w:sz w:val="20"/>
          <w:szCs w:val="20"/>
        </w:rPr>
        <w:t>nd Redeemable Series A-2 stockholders, as they were not contractually obligated to share in the Company’s losses</w:t>
      </w:r>
      <w:r>
        <w:rPr>
          <w:sz w:val="20"/>
          <w:szCs w:val="20"/>
        </w:rPr>
        <w:t>.</w:t>
      </w:r>
    </w:p>
    <w:p w:rsidR="00000000" w:rsidRDefault="00A32496">
      <w:pPr>
        <w:pStyle w:val="a3"/>
        <w:spacing w:before="240" w:beforeAutospacing="0" w:after="0" w:afterAutospacing="0"/>
        <w:jc w:val="center"/>
        <w:divId w:val="1257516076"/>
        <w:rPr>
          <w:sz w:val="20"/>
          <w:szCs w:val="20"/>
        </w:rPr>
      </w:pPr>
      <w:r>
        <w:rPr>
          <w:sz w:val="20"/>
          <w:szCs w:val="20"/>
        </w:rPr>
        <w:t>2</w:t>
      </w:r>
      <w:r>
        <w:rPr>
          <w:sz w:val="20"/>
          <w:szCs w:val="20"/>
        </w:rPr>
        <w:t>7</w:t>
      </w:r>
    </w:p>
    <w:p w:rsidR="00000000" w:rsidRDefault="00A32496">
      <w:pPr>
        <w:divId w:val="1257516076"/>
        <w:rPr>
          <w:rFonts w:eastAsia="Times New Roman"/>
          <w:sz w:val="20"/>
          <w:szCs w:val="20"/>
        </w:rPr>
      </w:pPr>
      <w:r>
        <w:rPr>
          <w:rFonts w:eastAsia="Times New Roman"/>
          <w:sz w:val="20"/>
          <w:szCs w:val="20"/>
        </w:rPr>
        <w:pict>
          <v:rect id="_x0000_i1053" style="width:0;height:1.5pt" o:hralign="center" o:hrstd="t" o:hr="t" fillcolor="#a0a0a0" stroked="f"/>
        </w:pict>
      </w:r>
    </w:p>
    <w:p w:rsidR="00000000" w:rsidRDefault="00A32496">
      <w:pPr>
        <w:pStyle w:val="a3"/>
        <w:spacing w:before="0" w:beforeAutospacing="0" w:after="0" w:afterAutospacing="0"/>
        <w:divId w:val="1257516076"/>
        <w:rPr>
          <w:sz w:val="20"/>
          <w:szCs w:val="20"/>
        </w:rPr>
      </w:pPr>
      <w:r>
        <w:rPr>
          <w:sz w:val="20"/>
          <w:szCs w:val="20"/>
        </w:rPr>
        <w:t> </w:t>
      </w:r>
    </w:p>
    <w:p w:rsidR="00000000" w:rsidRDefault="00A32496">
      <w:pPr>
        <w:pStyle w:val="a3"/>
        <w:spacing w:before="240" w:beforeAutospacing="0" w:after="0" w:afterAutospacing="0"/>
        <w:ind w:firstLine="555"/>
        <w:divId w:val="1257516076"/>
        <w:rPr>
          <w:sz w:val="20"/>
          <w:szCs w:val="20"/>
        </w:rPr>
      </w:pPr>
      <w:r>
        <w:rPr>
          <w:sz w:val="20"/>
          <w:szCs w:val="20"/>
        </w:rPr>
        <w:t>Diluted net loss per share is computed by dividing net loss attributable to common stockholders by the weighted average number of common and dilutive common equivalent shares outstanding for the period using the treasu</w:t>
      </w:r>
      <w:r>
        <w:rPr>
          <w:sz w:val="20"/>
          <w:szCs w:val="20"/>
        </w:rPr>
        <w:t>ry-stock method or the as-converted method. Potentially dilutive shares are comprised of RSAs, RSUs, SARs and shares of common stock underlying stock options outstanding under the Plans. During the three and nine months ended September 30, 2022 and Septemb</w:t>
      </w:r>
      <w:r>
        <w:rPr>
          <w:sz w:val="20"/>
          <w:szCs w:val="20"/>
        </w:rPr>
        <w:t>er 30, 2021, there is no difference in the number of shares used to calculate basic and diluted shares outstanding during the applicable period due to the Company’s net loss attributable to common stockholders and potentially dilutive shares being anti-dil</w:t>
      </w:r>
      <w:r>
        <w:rPr>
          <w:sz w:val="20"/>
          <w:szCs w:val="20"/>
        </w:rPr>
        <w:t>utive</w:t>
      </w:r>
      <w:r>
        <w:rPr>
          <w:sz w:val="20"/>
          <w:szCs w:val="20"/>
        </w:rPr>
        <w:t>.</w:t>
      </w:r>
    </w:p>
    <w:p w:rsidR="00000000" w:rsidRDefault="00A32496">
      <w:pPr>
        <w:pStyle w:val="a3"/>
        <w:spacing w:before="240" w:beforeAutospacing="0" w:after="0" w:afterAutospacing="0"/>
        <w:ind w:firstLine="555"/>
        <w:divId w:val="1525169543"/>
        <w:rPr>
          <w:sz w:val="20"/>
          <w:szCs w:val="20"/>
        </w:rPr>
      </w:pPr>
      <w:r>
        <w:rPr>
          <w:sz w:val="20"/>
          <w:szCs w:val="20"/>
        </w:rPr>
        <w:t>The following table summarizes the computation of basic and diluted</w:t>
      </w:r>
      <w:r>
        <w:rPr>
          <w:sz w:val="20"/>
          <w:szCs w:val="20"/>
        </w:rPr>
        <w:t xml:space="preserve"> </w:t>
      </w:r>
      <w:r>
        <w:rPr>
          <w:sz w:val="20"/>
          <w:szCs w:val="20"/>
        </w:rPr>
        <w:t>net loss per share attributable to common stockholders of the Company</w:t>
      </w:r>
      <w:r>
        <w:rPr>
          <w:sz w:val="20"/>
          <w:szCs w:val="20"/>
        </w:rPr>
        <w:t>:</w:t>
      </w:r>
    </w:p>
    <w:p w:rsidR="00000000" w:rsidRDefault="00A32496">
      <w:pPr>
        <w:pStyle w:val="a3"/>
        <w:spacing w:before="0" w:beforeAutospacing="0" w:after="0" w:afterAutospacing="0"/>
        <w:divId w:val="1525169543"/>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2790"/>
        <w:gridCol w:w="105"/>
        <w:gridCol w:w="150"/>
        <w:gridCol w:w="555"/>
        <w:gridCol w:w="120"/>
        <w:gridCol w:w="105"/>
        <w:gridCol w:w="150"/>
        <w:gridCol w:w="555"/>
        <w:gridCol w:w="120"/>
        <w:gridCol w:w="105"/>
        <w:gridCol w:w="150"/>
        <w:gridCol w:w="615"/>
        <w:gridCol w:w="120"/>
        <w:gridCol w:w="105"/>
        <w:gridCol w:w="150"/>
        <w:gridCol w:w="615"/>
        <w:gridCol w:w="135"/>
      </w:tblGrid>
      <w:tr w:rsidR="00000000">
        <w:trPr>
          <w:divId w:val="1525169543"/>
          <w:tblCellSpacing w:w="15" w:type="dxa"/>
        </w:trPr>
        <w:tc>
          <w:tcPr>
            <w:tcW w:w="2552" w:type="pct"/>
            <w:vAlign w:val="center"/>
            <w:hideMark/>
          </w:tcPr>
          <w:p w:rsidR="00000000" w:rsidRDefault="00A32496">
            <w:pPr>
              <w:rPr>
                <w:sz w:val="20"/>
                <w:szCs w:val="20"/>
              </w:rPr>
            </w:pPr>
          </w:p>
        </w:tc>
        <w:tc>
          <w:tcPr>
            <w:tcW w:w="58"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451"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8"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456"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8"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451"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8"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456"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r>
      <w:tr w:rsidR="00000000">
        <w:trPr>
          <w:divId w:val="1525169543"/>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6"/>
            <w:vAlign w:val="bottom"/>
            <w:hideMark/>
          </w:tcPr>
          <w:p w:rsidR="00000000" w:rsidRDefault="00A32496">
            <w:pPr>
              <w:pStyle w:val="a3"/>
              <w:spacing w:before="0" w:beforeAutospacing="0" w:after="0" w:afterAutospacing="0"/>
              <w:jc w:val="center"/>
              <w:rPr>
                <w:sz w:val="18"/>
                <w:szCs w:val="18"/>
              </w:rPr>
            </w:pPr>
            <w:r>
              <w:rPr>
                <w:b/>
                <w:bCs/>
                <w:sz w:val="18"/>
                <w:szCs w:val="18"/>
              </w:rPr>
              <w:t>Three Months Ende</w:t>
            </w:r>
            <w:r>
              <w:rPr>
                <w:b/>
                <w:bCs/>
                <w:sz w:val="18"/>
                <w:szCs w:val="18"/>
              </w:rPr>
              <w:t>d</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6"/>
            <w:vAlign w:val="bottom"/>
            <w:hideMark/>
          </w:tcPr>
          <w:p w:rsidR="00000000" w:rsidRDefault="00A32496">
            <w:pPr>
              <w:pStyle w:val="a3"/>
              <w:spacing w:before="0" w:beforeAutospacing="0" w:after="0" w:afterAutospacing="0"/>
              <w:jc w:val="center"/>
              <w:rPr>
                <w:sz w:val="18"/>
                <w:szCs w:val="18"/>
              </w:rPr>
            </w:pPr>
            <w:r>
              <w:rPr>
                <w:b/>
                <w:bCs/>
                <w:sz w:val="18"/>
                <w:szCs w:val="18"/>
              </w:rPr>
              <w:t>Nine Months Ende</w:t>
            </w:r>
            <w:r>
              <w:rPr>
                <w:b/>
                <w:bCs/>
                <w:sz w:val="18"/>
                <w:szCs w:val="18"/>
              </w:rPr>
              <w:t>d</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1525169543"/>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6"/>
            <w:vAlign w:val="bottom"/>
            <w:hideMark/>
          </w:tcPr>
          <w:p w:rsidR="00000000" w:rsidRDefault="00A32496">
            <w:pPr>
              <w:pStyle w:val="a3"/>
              <w:spacing w:before="0" w:beforeAutospacing="0" w:after="0" w:afterAutospacing="0"/>
              <w:jc w:val="center"/>
              <w:rPr>
                <w:sz w:val="18"/>
                <w:szCs w:val="18"/>
              </w:rPr>
            </w:pPr>
            <w:r>
              <w:rPr>
                <w:b/>
                <w:bCs/>
                <w:sz w:val="18"/>
                <w:szCs w:val="18"/>
              </w:rPr>
              <w:t>September 30</w:t>
            </w:r>
            <w:r>
              <w:rPr>
                <w:b/>
                <w:bCs/>
                <w:sz w:val="18"/>
                <w:szCs w:val="18"/>
              </w:rPr>
              <w: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6"/>
            <w:vAlign w:val="bottom"/>
            <w:hideMark/>
          </w:tcPr>
          <w:p w:rsidR="00000000" w:rsidRDefault="00A32496">
            <w:pPr>
              <w:pStyle w:val="a3"/>
              <w:spacing w:before="0" w:beforeAutospacing="0" w:after="0" w:afterAutospacing="0"/>
              <w:jc w:val="center"/>
              <w:rPr>
                <w:sz w:val="18"/>
                <w:szCs w:val="18"/>
              </w:rPr>
            </w:pPr>
            <w:r>
              <w:rPr>
                <w:b/>
                <w:bCs/>
                <w:sz w:val="18"/>
                <w:szCs w:val="18"/>
              </w:rPr>
              <w:t>September 30</w:t>
            </w:r>
            <w:r>
              <w:rPr>
                <w:b/>
                <w:bCs/>
                <w:sz w:val="18"/>
                <w:szCs w:val="18"/>
              </w:rPr>
              <w: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1525169543"/>
          <w:trHeight w:val="180"/>
          <w:tblCellSpacing w:w="15" w:type="dxa"/>
        </w:trPr>
        <w:tc>
          <w:tcPr>
            <w:tcW w:w="0" w:type="auto"/>
            <w:vAlign w:val="bottom"/>
            <w:hideMark/>
          </w:tcPr>
          <w:p w:rsidR="00000000" w:rsidRDefault="00A32496">
            <w:pPr>
              <w:pStyle w:val="a3"/>
              <w:spacing w:before="0" w:beforeAutospacing="0" w:after="0" w:afterAutospacing="0"/>
              <w:rPr>
                <w:sz w:val="18"/>
                <w:szCs w:val="18"/>
              </w:rPr>
            </w:pPr>
            <w:r>
              <w:rPr>
                <w:b/>
                <w:bCs/>
                <w:sz w:val="18"/>
                <w:szCs w:val="18"/>
              </w:rPr>
              <w:t>(In thousands, except for net loss per share</w:t>
            </w:r>
            <w:r>
              <w:rPr>
                <w:b/>
                <w:bCs/>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1525169543"/>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Net (loss) incom</w:t>
            </w:r>
            <w:r>
              <w:rPr>
                <w:sz w:val="18"/>
                <w:szCs w:val="18"/>
              </w:rPr>
              <w:t>e</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5,72</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2,22</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21,00</w:t>
            </w:r>
            <w:r>
              <w:rPr>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23,85</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r>
      <w:tr w:rsidR="00000000">
        <w:trPr>
          <w:divId w:val="1525169543"/>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 xml:space="preserve">Convertible and redeemable series A-2 preferred </w:t>
            </w:r>
            <w:r>
              <w:rPr>
                <w:sz w:val="18"/>
                <w:szCs w:val="18"/>
              </w:rPr>
              <w:br/>
              <w:t>   stock dividen</w:t>
            </w:r>
            <w:r>
              <w:rPr>
                <w:sz w:val="18"/>
                <w:szCs w:val="18"/>
              </w:rPr>
              <w:t>d</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4,10</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4,10</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12,30</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12,30</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r>
      <w:tr w:rsidR="00000000">
        <w:trPr>
          <w:divId w:val="1525169543"/>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 xml:space="preserve">Net loss attributable to common stockholders </w:t>
            </w:r>
            <w:r>
              <w:rPr>
                <w:sz w:val="18"/>
                <w:szCs w:val="18"/>
              </w:rPr>
              <w:br/>
              <w:t>   –basic and dilute</w:t>
            </w:r>
            <w:r>
              <w:rPr>
                <w:sz w:val="18"/>
                <w:szCs w:val="18"/>
              </w:rPr>
              <w:t>d</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9,82</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1,87</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33,30</w:t>
            </w:r>
            <w:r>
              <w:rPr>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36,15</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r>
      <w:tr w:rsidR="00000000">
        <w:trPr>
          <w:divId w:val="1525169543"/>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Weighted-average common shares outstanding –</w:t>
            </w:r>
            <w:r>
              <w:rPr>
                <w:sz w:val="18"/>
                <w:szCs w:val="18"/>
              </w:rPr>
              <w:br/>
              <w:t>   basic and dilute</w:t>
            </w:r>
            <w:r>
              <w:rPr>
                <w:sz w:val="18"/>
                <w:szCs w:val="18"/>
              </w:rPr>
              <w:t>d</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29,69</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26,22</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29,67</w:t>
            </w:r>
            <w:r>
              <w:rPr>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25,79</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525169543"/>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 xml:space="preserve">Net loss per share attributable to common </w:t>
            </w:r>
            <w:r>
              <w:rPr>
                <w:sz w:val="18"/>
                <w:szCs w:val="18"/>
              </w:rPr>
              <w:br/>
              <w:t>   stockholders –basic and dilute</w:t>
            </w:r>
            <w:r>
              <w:rPr>
                <w:sz w:val="18"/>
                <w:szCs w:val="18"/>
              </w:rPr>
              <w:t>d</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0.3</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0.0</w:t>
            </w:r>
            <w:r>
              <w:rPr>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1.1</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1.4</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r>
    </w:tbl>
    <w:p w:rsidR="00000000" w:rsidRDefault="00A32496">
      <w:pPr>
        <w:pStyle w:val="a3"/>
        <w:spacing w:before="240" w:beforeAutospacing="0" w:after="0" w:afterAutospacing="0"/>
        <w:ind w:firstLine="555"/>
        <w:divId w:val="243957601"/>
        <w:rPr>
          <w:sz w:val="20"/>
          <w:szCs w:val="20"/>
        </w:rPr>
      </w:pPr>
      <w:r>
        <w:rPr>
          <w:sz w:val="20"/>
          <w:szCs w:val="20"/>
        </w:rPr>
        <w:t>The following equity shares were excluded from the calculation of diluted net loss per share attributable to common stockholders because their effect would have been anti-dilutive</w:t>
      </w:r>
      <w:r>
        <w:rPr>
          <w:sz w:val="20"/>
          <w:szCs w:val="20"/>
        </w:rPr>
        <w:t>:</w:t>
      </w:r>
    </w:p>
    <w:p w:rsidR="00000000" w:rsidRDefault="00A32496">
      <w:pPr>
        <w:pStyle w:val="a3"/>
        <w:spacing w:before="0" w:beforeAutospacing="0" w:after="0" w:afterAutospacing="0"/>
        <w:divId w:val="243957601"/>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2006"/>
        <w:gridCol w:w="160"/>
        <w:gridCol w:w="105"/>
        <w:gridCol w:w="1520"/>
        <w:gridCol w:w="105"/>
        <w:gridCol w:w="160"/>
        <w:gridCol w:w="105"/>
        <w:gridCol w:w="1533"/>
        <w:gridCol w:w="120"/>
      </w:tblGrid>
      <w:tr w:rsidR="00000000">
        <w:trPr>
          <w:divId w:val="243957601"/>
          <w:tblCellSpacing w:w="15" w:type="dxa"/>
        </w:trPr>
        <w:tc>
          <w:tcPr>
            <w:tcW w:w="1793" w:type="pct"/>
            <w:vAlign w:val="center"/>
            <w:hideMark/>
          </w:tcPr>
          <w:p w:rsidR="00000000" w:rsidRDefault="00A32496">
            <w:pPr>
              <w:rPr>
                <w:sz w:val="20"/>
                <w:szCs w:val="20"/>
              </w:rPr>
            </w:pPr>
          </w:p>
        </w:tc>
        <w:tc>
          <w:tcPr>
            <w:tcW w:w="132"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1365"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132"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1376"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r>
      <w:tr w:rsidR="00000000">
        <w:trPr>
          <w:divId w:val="243957601"/>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6"/>
            <w:vAlign w:val="bottom"/>
            <w:hideMark/>
          </w:tcPr>
          <w:p w:rsidR="00000000" w:rsidRDefault="00A32496">
            <w:pPr>
              <w:pStyle w:val="a3"/>
              <w:spacing w:before="0" w:beforeAutospacing="0" w:after="0" w:afterAutospacing="0"/>
              <w:jc w:val="center"/>
              <w:rPr>
                <w:sz w:val="18"/>
                <w:szCs w:val="18"/>
              </w:rPr>
            </w:pPr>
            <w:r>
              <w:rPr>
                <w:b/>
                <w:bCs/>
                <w:sz w:val="18"/>
                <w:szCs w:val="18"/>
              </w:rPr>
              <w:t>September 30</w:t>
            </w:r>
            <w:r>
              <w:rPr>
                <w:b/>
                <w:bCs/>
                <w:sz w:val="18"/>
                <w:szCs w:val="18"/>
              </w:rPr>
              <w: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243957601"/>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243957601"/>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Stock option</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3,476,60</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1,686,68</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243957601"/>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Restricted stoc</w:t>
            </w:r>
            <w:r>
              <w:rPr>
                <w:sz w:val="18"/>
                <w:szCs w:val="18"/>
              </w:rPr>
              <w:t>k</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1,777,95</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28,62</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243957601"/>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SAR</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3,000,00</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bl>
    <w:p w:rsidR="00000000" w:rsidRDefault="00A32496">
      <w:pPr>
        <w:pStyle w:val="a3"/>
        <w:spacing w:before="0" w:beforeAutospacing="0" w:after="0" w:afterAutospacing="0"/>
        <w:rPr>
          <w:sz w:val="20"/>
          <w:szCs w:val="20"/>
        </w:rPr>
      </w:pPr>
      <w:r>
        <w:rPr>
          <w:sz w:val="20"/>
          <w:szCs w:val="20"/>
        </w:rPr>
        <w:t> </w:t>
      </w:r>
    </w:p>
    <w:p w:rsidR="00000000" w:rsidRDefault="00A32496">
      <w:pPr>
        <w:pStyle w:val="a3"/>
        <w:spacing w:before="360" w:beforeAutospacing="0" w:after="0" w:afterAutospacing="0"/>
        <w:divId w:val="2104917359"/>
        <w:rPr>
          <w:sz w:val="20"/>
          <w:szCs w:val="20"/>
        </w:rPr>
      </w:pPr>
      <w:r>
        <w:rPr>
          <w:b/>
          <w:bCs/>
          <w:sz w:val="20"/>
          <w:szCs w:val="20"/>
        </w:rPr>
        <w:t>18. SEGMENT INFORMATIO</w:t>
      </w:r>
      <w:r>
        <w:rPr>
          <w:b/>
          <w:bCs/>
          <w:sz w:val="20"/>
          <w:szCs w:val="20"/>
        </w:rPr>
        <w:t>N</w:t>
      </w:r>
    </w:p>
    <w:p w:rsidR="00000000" w:rsidRDefault="00A32496">
      <w:pPr>
        <w:pStyle w:val="a3"/>
        <w:spacing w:before="240" w:beforeAutospacing="0" w:after="0" w:afterAutospacing="0"/>
        <w:ind w:firstLine="555"/>
        <w:divId w:val="2104917359"/>
        <w:rPr>
          <w:sz w:val="20"/>
          <w:szCs w:val="20"/>
        </w:rPr>
      </w:pPr>
      <w:r>
        <w:rPr>
          <w:sz w:val="20"/>
          <w:szCs w:val="20"/>
        </w:rPr>
        <w:t>The Company has</w:t>
      </w:r>
      <w:r>
        <w:rPr>
          <w:sz w:val="20"/>
          <w:szCs w:val="20"/>
        </w:rPr>
        <w:t xml:space="preserve"> </w:t>
      </w:r>
      <w:r>
        <w:rPr>
          <w:sz w:val="20"/>
          <w:szCs w:val="20"/>
        </w:rPr>
        <w:t>thre</w:t>
      </w:r>
      <w:r>
        <w:rPr>
          <w:sz w:val="20"/>
          <w:szCs w:val="20"/>
        </w:rPr>
        <w:t>e</w:t>
      </w:r>
      <w:r>
        <w:rPr>
          <w:sz w:val="20"/>
          <w:szCs w:val="20"/>
        </w:rPr>
        <w:t xml:space="preserve"> </w:t>
      </w:r>
      <w:r>
        <w:rPr>
          <w:sz w:val="20"/>
          <w:szCs w:val="20"/>
        </w:rPr>
        <w:t>operating and reportable segments: Assessment, Permitting and Response, Measurement and Analysis and Remediation and Reuse. These segments are monitored separately by management for performance against budget and prior year and are consistent with internal</w:t>
      </w:r>
      <w:r>
        <w:rPr>
          <w:sz w:val="20"/>
          <w:szCs w:val="20"/>
        </w:rPr>
        <w:t xml:space="preserve"> financial reporting. The Company’s operating segments are organized based upon primary services provided, the nature of the production process, their type of customers, methods used to distribute the products and the nature of the regulatory environment</w:t>
      </w:r>
      <w:r>
        <w:rPr>
          <w:sz w:val="20"/>
          <w:szCs w:val="20"/>
        </w:rPr>
        <w:t>.</w:t>
      </w:r>
    </w:p>
    <w:p w:rsidR="00000000" w:rsidRDefault="00A32496">
      <w:pPr>
        <w:pStyle w:val="a3"/>
        <w:spacing w:before="240" w:beforeAutospacing="0" w:after="0" w:afterAutospacing="0"/>
        <w:ind w:firstLine="555"/>
        <w:divId w:val="2104917359"/>
        <w:rPr>
          <w:sz w:val="20"/>
          <w:szCs w:val="20"/>
        </w:rPr>
      </w:pPr>
      <w:r>
        <w:rPr>
          <w:sz w:val="20"/>
          <w:szCs w:val="20"/>
        </w:rPr>
        <w:t>Segment Adjusted EBITDA is the primary measure of operating performance for all</w:t>
      </w:r>
      <w:r>
        <w:rPr>
          <w:sz w:val="20"/>
          <w:szCs w:val="20"/>
        </w:rPr>
        <w:t xml:space="preserve"> </w:t>
      </w:r>
      <w:r>
        <w:rPr>
          <w:sz w:val="20"/>
          <w:szCs w:val="20"/>
        </w:rPr>
        <w:t>thre</w:t>
      </w:r>
      <w:r>
        <w:rPr>
          <w:sz w:val="20"/>
          <w:szCs w:val="20"/>
        </w:rPr>
        <w:t>e</w:t>
      </w:r>
      <w:r>
        <w:rPr>
          <w:sz w:val="20"/>
          <w:szCs w:val="20"/>
        </w:rPr>
        <w:t xml:space="preserve"> operating segments. Segment Adjusted EBITDA is the calculated Company’s Earnings before Interest, Tax, Depreciation and Amortization (“EBITDA”), adjusted to exclude certa</w:t>
      </w:r>
      <w:r>
        <w:rPr>
          <w:sz w:val="20"/>
          <w:szCs w:val="20"/>
        </w:rPr>
        <w:t>in transactions such as stock-based compensation, acquisition costs and fair value changes in financial instruments, amongst others. The Chief Operating Decision Maker (“CODM”) does not review segment assets as a measure of segment performance</w:t>
      </w:r>
      <w:r>
        <w:rPr>
          <w:sz w:val="20"/>
          <w:szCs w:val="20"/>
        </w:rPr>
        <w:t>.</w:t>
      </w:r>
    </w:p>
    <w:p w:rsidR="00000000" w:rsidRDefault="00A32496">
      <w:pPr>
        <w:pStyle w:val="a3"/>
        <w:spacing w:before="240" w:beforeAutospacing="0" w:after="0" w:afterAutospacing="0"/>
        <w:ind w:firstLine="555"/>
        <w:divId w:val="2104917359"/>
        <w:rPr>
          <w:sz w:val="20"/>
          <w:szCs w:val="20"/>
        </w:rPr>
      </w:pPr>
      <w:r>
        <w:rPr>
          <w:sz w:val="20"/>
          <w:szCs w:val="20"/>
        </w:rPr>
        <w:t>Corporate a</w:t>
      </w:r>
      <w:r>
        <w:rPr>
          <w:sz w:val="20"/>
          <w:szCs w:val="20"/>
        </w:rPr>
        <w:t>nd Other includes costs associated with general corporate overhead (including executive, legal, finance, safety, human resources, marketing and IT related costs) that are not directly related to supporting operations. Overhead costs that are directly relat</w:t>
      </w:r>
      <w:r>
        <w:rPr>
          <w:sz w:val="20"/>
          <w:szCs w:val="20"/>
        </w:rPr>
        <w:t>ed to supporting operations (such as insurance, software, licenses, shared services and payroll processing costs) are allocated to the operating segments on a basis that reasonably approximates an estimate of the use of these services</w:t>
      </w:r>
      <w:r>
        <w:rPr>
          <w:sz w:val="20"/>
          <w:szCs w:val="20"/>
        </w:rPr>
        <w:t>.</w:t>
      </w:r>
    </w:p>
    <w:p w:rsidR="00000000" w:rsidRDefault="00A32496">
      <w:pPr>
        <w:pStyle w:val="a3"/>
        <w:spacing w:before="240" w:beforeAutospacing="0" w:after="0" w:afterAutospacing="0"/>
        <w:jc w:val="center"/>
        <w:divId w:val="2104917359"/>
        <w:rPr>
          <w:sz w:val="20"/>
          <w:szCs w:val="20"/>
        </w:rPr>
      </w:pPr>
      <w:r>
        <w:rPr>
          <w:sz w:val="20"/>
          <w:szCs w:val="20"/>
        </w:rPr>
        <w:t>2</w:t>
      </w:r>
      <w:r>
        <w:rPr>
          <w:sz w:val="20"/>
          <w:szCs w:val="20"/>
        </w:rPr>
        <w:t>8</w:t>
      </w:r>
    </w:p>
    <w:p w:rsidR="00000000" w:rsidRDefault="00A32496">
      <w:pPr>
        <w:divId w:val="2104917359"/>
        <w:rPr>
          <w:rFonts w:eastAsia="Times New Roman"/>
          <w:sz w:val="20"/>
          <w:szCs w:val="20"/>
        </w:rPr>
      </w:pPr>
      <w:r>
        <w:rPr>
          <w:rFonts w:eastAsia="Times New Roman"/>
          <w:sz w:val="20"/>
          <w:szCs w:val="20"/>
        </w:rPr>
        <w:pict>
          <v:rect id="_x0000_i1054" style="width:0;height:1.5pt" o:hralign="center" o:hrstd="t" o:hr="t" fillcolor="#a0a0a0" stroked="f"/>
        </w:pict>
      </w:r>
    </w:p>
    <w:p w:rsidR="00000000" w:rsidRDefault="00A32496">
      <w:pPr>
        <w:pStyle w:val="a3"/>
        <w:spacing w:before="0" w:beforeAutospacing="0" w:after="0" w:afterAutospacing="0"/>
        <w:divId w:val="2104917359"/>
        <w:rPr>
          <w:sz w:val="20"/>
          <w:szCs w:val="20"/>
        </w:rPr>
      </w:pPr>
      <w:r>
        <w:rPr>
          <w:sz w:val="20"/>
          <w:szCs w:val="20"/>
        </w:rPr>
        <w:t> </w:t>
      </w:r>
    </w:p>
    <w:p w:rsidR="00000000" w:rsidRDefault="00A32496">
      <w:pPr>
        <w:pStyle w:val="a3"/>
        <w:spacing w:before="240" w:beforeAutospacing="0" w:after="0" w:afterAutospacing="0"/>
        <w:ind w:firstLine="555"/>
        <w:divId w:val="1688630753"/>
        <w:rPr>
          <w:sz w:val="20"/>
          <w:szCs w:val="20"/>
        </w:rPr>
      </w:pPr>
      <w:r>
        <w:rPr>
          <w:sz w:val="20"/>
          <w:szCs w:val="20"/>
        </w:rPr>
        <w:t>Segment revenues and Adjusted EBITDA consisted of the following</w:t>
      </w:r>
      <w:r>
        <w:rPr>
          <w:sz w:val="20"/>
          <w:szCs w:val="20"/>
        </w:rPr>
        <w:t>:</w:t>
      </w:r>
    </w:p>
    <w:p w:rsidR="00000000" w:rsidRDefault="00A32496">
      <w:pPr>
        <w:pStyle w:val="a3"/>
        <w:spacing w:before="0" w:beforeAutospacing="0" w:after="0" w:afterAutospacing="0"/>
        <w:divId w:val="1688630753"/>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33"/>
        <w:gridCol w:w="111"/>
        <w:gridCol w:w="150"/>
        <w:gridCol w:w="785"/>
        <w:gridCol w:w="105"/>
        <w:gridCol w:w="105"/>
        <w:gridCol w:w="150"/>
        <w:gridCol w:w="891"/>
        <w:gridCol w:w="120"/>
        <w:gridCol w:w="112"/>
        <w:gridCol w:w="150"/>
        <w:gridCol w:w="786"/>
        <w:gridCol w:w="105"/>
        <w:gridCol w:w="105"/>
        <w:gridCol w:w="150"/>
        <w:gridCol w:w="913"/>
        <w:gridCol w:w="135"/>
      </w:tblGrid>
      <w:tr w:rsidR="00000000">
        <w:trPr>
          <w:divId w:val="1688630753"/>
          <w:tblCellSpacing w:w="15" w:type="dxa"/>
        </w:trPr>
        <w:tc>
          <w:tcPr>
            <w:tcW w:w="2192" w:type="pct"/>
            <w:vAlign w:val="center"/>
            <w:hideMark/>
          </w:tcPr>
          <w:p w:rsidR="00000000" w:rsidRDefault="00A32496">
            <w:pPr>
              <w:rPr>
                <w:sz w:val="20"/>
                <w:szCs w:val="20"/>
              </w:rPr>
            </w:pPr>
          </w:p>
        </w:tc>
        <w:tc>
          <w:tcPr>
            <w:tcW w:w="64"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498"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64"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70"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64"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498"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64"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84"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r>
      <w:tr w:rsidR="00000000">
        <w:trPr>
          <w:divId w:val="1688630753"/>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14"/>
            <w:vAlign w:val="bottom"/>
            <w:hideMark/>
          </w:tcPr>
          <w:p w:rsidR="00000000" w:rsidRDefault="00A32496">
            <w:pPr>
              <w:pStyle w:val="a3"/>
              <w:spacing w:before="0" w:beforeAutospacing="0" w:after="0" w:afterAutospacing="0"/>
              <w:jc w:val="center"/>
              <w:rPr>
                <w:sz w:val="18"/>
                <w:szCs w:val="18"/>
              </w:rPr>
            </w:pPr>
            <w:r>
              <w:rPr>
                <w:b/>
                <w:bCs/>
                <w:sz w:val="18"/>
                <w:szCs w:val="18"/>
              </w:rPr>
              <w:t>Three Months Ended September 30</w:t>
            </w:r>
            <w:r>
              <w:rPr>
                <w:b/>
                <w:bCs/>
                <w:sz w:val="18"/>
                <w:szCs w:val="18"/>
              </w:rPr>
              <w: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1688630753"/>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6"/>
            <w:vAlign w:val="bottom"/>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6"/>
            <w:vAlign w:val="bottom"/>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1688630753"/>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Segmen</w:t>
            </w:r>
            <w:r>
              <w:rPr>
                <w:b/>
                <w:bCs/>
                <w:sz w:val="18"/>
                <w:szCs w:val="18"/>
              </w:rPr>
              <w:t>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Segmen</w:t>
            </w:r>
            <w:r>
              <w:rPr>
                <w:b/>
                <w:bCs/>
                <w:sz w:val="18"/>
                <w:szCs w:val="18"/>
              </w:rPr>
              <w:t>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1688630753"/>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Segmen</w:t>
            </w:r>
            <w:r>
              <w:rPr>
                <w:b/>
                <w:bCs/>
                <w:sz w:val="18"/>
                <w:szCs w:val="18"/>
              </w:rPr>
              <w:t>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Adjuste</w:t>
            </w:r>
            <w:r>
              <w:rPr>
                <w:b/>
                <w:bCs/>
                <w:sz w:val="18"/>
                <w:szCs w:val="18"/>
              </w:rPr>
              <w:t>d</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Segmen</w:t>
            </w:r>
            <w:r>
              <w:rPr>
                <w:b/>
                <w:bCs/>
                <w:sz w:val="18"/>
                <w:szCs w:val="18"/>
              </w:rPr>
              <w:t>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Adjuste</w:t>
            </w:r>
            <w:r>
              <w:rPr>
                <w:b/>
                <w:bCs/>
                <w:sz w:val="18"/>
                <w:szCs w:val="18"/>
              </w:rPr>
              <w:t>d</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1688630753"/>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Revenue</w:t>
            </w:r>
            <w:r>
              <w:rPr>
                <w:b/>
                <w:bCs/>
                <w:sz w:val="18"/>
                <w:szCs w:val="18"/>
              </w:rPr>
              <w:t>s</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EBITD</w:t>
            </w:r>
            <w:r>
              <w:rPr>
                <w:b/>
                <w:bCs/>
                <w:sz w:val="18"/>
                <w:szCs w:val="18"/>
              </w:rPr>
              <w:t>A</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Revenue</w:t>
            </w:r>
            <w:r>
              <w:rPr>
                <w:b/>
                <w:bCs/>
                <w:sz w:val="18"/>
                <w:szCs w:val="18"/>
              </w:rPr>
              <w:t>s</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EBITD</w:t>
            </w:r>
            <w:r>
              <w:rPr>
                <w:b/>
                <w:bCs/>
                <w:sz w:val="18"/>
                <w:szCs w:val="18"/>
              </w:rPr>
              <w:t>A</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1688630753"/>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Assessment, Permitting and Respons</w:t>
            </w:r>
            <w:r>
              <w:rPr>
                <w:sz w:val="18"/>
                <w:szCs w:val="18"/>
              </w:rPr>
              <w:t>e</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46,41</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9,82</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63,41</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15,71</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688630753"/>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Measurement and Analysi</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43,75</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8,48</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38,75</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8,28</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688630753"/>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Remediation and Reus</w:t>
            </w:r>
            <w:r>
              <w:rPr>
                <w:sz w:val="18"/>
                <w:szCs w:val="18"/>
              </w:rPr>
              <w:t>e</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40,14</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7,01</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30,41</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5,47</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688630753"/>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Total Operating Segment</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130,31</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25,31</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132,57</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29,47</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688630753"/>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Corporate and Othe</w:t>
            </w:r>
            <w:r>
              <w:rPr>
                <w:sz w:val="18"/>
                <w:szCs w:val="18"/>
              </w:rPr>
              <w:t>r</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6,94</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7,98</w:t>
            </w:r>
            <w:r>
              <w:rPr>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r>
      <w:tr w:rsidR="00000000">
        <w:trPr>
          <w:divId w:val="1688630753"/>
          <w:trHeight w:val="180"/>
          <w:tblCellSpacing w:w="15" w:type="dxa"/>
        </w:trPr>
        <w:tc>
          <w:tcPr>
            <w:tcW w:w="0" w:type="auto"/>
            <w:hideMark/>
          </w:tcPr>
          <w:p w:rsidR="00000000" w:rsidRDefault="00A32496">
            <w:pPr>
              <w:pStyle w:val="a3"/>
              <w:spacing w:before="0" w:beforeAutospacing="0" w:after="0" w:afterAutospacing="0"/>
              <w:ind w:left="200"/>
              <w:rPr>
                <w:sz w:val="18"/>
                <w:szCs w:val="18"/>
              </w:rPr>
            </w:pPr>
            <w:r>
              <w:rPr>
                <w:sz w:val="18"/>
                <w:szCs w:val="18"/>
              </w:rPr>
              <w:t>Tota</w:t>
            </w:r>
            <w:r>
              <w:rPr>
                <w:sz w:val="18"/>
                <w:szCs w:val="18"/>
              </w:rPr>
              <w:t>l</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130,31</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18,37</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132,57</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21,48</w:t>
            </w:r>
            <w:r>
              <w:rPr>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688630753"/>
          <w:tblCellSpacing w:w="15" w:type="dxa"/>
        </w:trPr>
        <w:tc>
          <w:tcPr>
            <w:tcW w:w="0" w:type="auto"/>
            <w:hideMark/>
          </w:tcPr>
          <w:p w:rsidR="00000000" w:rsidRDefault="00A32496">
            <w:pPr>
              <w:pStyle w:val="a3"/>
              <w:spacing w:before="0" w:beforeAutospacing="0" w:after="0" w:afterAutospacing="0"/>
              <w:ind w:left="20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r>
      <w:tr w:rsidR="00000000">
        <w:trPr>
          <w:divId w:val="1688630753"/>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14"/>
            <w:vAlign w:val="bottom"/>
            <w:hideMark/>
          </w:tcPr>
          <w:p w:rsidR="00000000" w:rsidRDefault="00A32496">
            <w:pPr>
              <w:pStyle w:val="a3"/>
              <w:spacing w:before="0" w:beforeAutospacing="0" w:after="0" w:afterAutospacing="0"/>
              <w:jc w:val="center"/>
              <w:rPr>
                <w:sz w:val="18"/>
                <w:szCs w:val="18"/>
              </w:rPr>
            </w:pPr>
            <w:r>
              <w:rPr>
                <w:b/>
                <w:bCs/>
                <w:sz w:val="18"/>
                <w:szCs w:val="18"/>
              </w:rPr>
              <w:t>Nine Months Ended September 30</w:t>
            </w:r>
            <w:r>
              <w:rPr>
                <w:b/>
                <w:bCs/>
                <w:sz w:val="18"/>
                <w:szCs w:val="18"/>
              </w:rPr>
              <w: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1688630753"/>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6"/>
            <w:vAlign w:val="bottom"/>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6"/>
            <w:vAlign w:val="bottom"/>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1688630753"/>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Segmen</w:t>
            </w:r>
            <w:r>
              <w:rPr>
                <w:b/>
                <w:bCs/>
                <w:sz w:val="18"/>
                <w:szCs w:val="18"/>
              </w:rPr>
              <w:t>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Segmen</w:t>
            </w:r>
            <w:r>
              <w:rPr>
                <w:b/>
                <w:bCs/>
                <w:sz w:val="18"/>
                <w:szCs w:val="18"/>
              </w:rPr>
              <w:t>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1688630753"/>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Segmen</w:t>
            </w:r>
            <w:r>
              <w:rPr>
                <w:b/>
                <w:bCs/>
                <w:sz w:val="18"/>
                <w:szCs w:val="18"/>
              </w:rPr>
              <w:t>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Adjuste</w:t>
            </w:r>
            <w:r>
              <w:rPr>
                <w:b/>
                <w:bCs/>
                <w:sz w:val="18"/>
                <w:szCs w:val="18"/>
              </w:rPr>
              <w:t>d</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Segmen</w:t>
            </w:r>
            <w:r>
              <w:rPr>
                <w:b/>
                <w:bCs/>
                <w:sz w:val="18"/>
                <w:szCs w:val="18"/>
              </w:rPr>
              <w:t>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Adjuste</w:t>
            </w:r>
            <w:r>
              <w:rPr>
                <w:b/>
                <w:bCs/>
                <w:sz w:val="18"/>
                <w:szCs w:val="18"/>
              </w:rPr>
              <w:t>d</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1688630753"/>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Revenue</w:t>
            </w:r>
            <w:r>
              <w:rPr>
                <w:b/>
                <w:bCs/>
                <w:sz w:val="18"/>
                <w:szCs w:val="18"/>
              </w:rPr>
              <w:t>s</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EBITD</w:t>
            </w:r>
            <w:r>
              <w:rPr>
                <w:b/>
                <w:bCs/>
                <w:sz w:val="18"/>
                <w:szCs w:val="18"/>
              </w:rPr>
              <w:t>A</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Revenue</w:t>
            </w:r>
            <w:r>
              <w:rPr>
                <w:b/>
                <w:bCs/>
                <w:sz w:val="18"/>
                <w:szCs w:val="18"/>
              </w:rPr>
              <w:t>s</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EBITD</w:t>
            </w:r>
            <w:r>
              <w:rPr>
                <w:b/>
                <w:bCs/>
                <w:sz w:val="18"/>
                <w:szCs w:val="18"/>
              </w:rPr>
              <w:t>A</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1688630753"/>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Assessment, Permitting and Respons</w:t>
            </w:r>
            <w:r>
              <w:rPr>
                <w:sz w:val="18"/>
                <w:szCs w:val="18"/>
              </w:rPr>
              <w:t>e</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142,05</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30,25</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209,37</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46,37</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688630753"/>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Measurement and Analysi</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125,73</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21,85</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111,30</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22,63</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688630753"/>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Remediation and Reus</w:t>
            </w:r>
            <w:r>
              <w:rPr>
                <w:sz w:val="18"/>
                <w:szCs w:val="18"/>
              </w:rPr>
              <w:t>e</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137,11</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22,05</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81,93</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12,26</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688630753"/>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Total Operating Segment</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404,90</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74,16</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402,61</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81,27</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688630753"/>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Corporate and Othe</w:t>
            </w:r>
            <w:r>
              <w:rPr>
                <w:sz w:val="18"/>
                <w:szCs w:val="18"/>
              </w:rPr>
              <w:t>r</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22,82</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22,02</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r>
      <w:tr w:rsidR="00000000">
        <w:trPr>
          <w:divId w:val="1688630753"/>
          <w:trHeight w:val="180"/>
          <w:tblCellSpacing w:w="15" w:type="dxa"/>
        </w:trPr>
        <w:tc>
          <w:tcPr>
            <w:tcW w:w="0" w:type="auto"/>
            <w:hideMark/>
          </w:tcPr>
          <w:p w:rsidR="00000000" w:rsidRDefault="00A32496">
            <w:pPr>
              <w:pStyle w:val="a3"/>
              <w:spacing w:before="0" w:beforeAutospacing="0" w:after="0" w:afterAutospacing="0"/>
              <w:ind w:left="200"/>
              <w:rPr>
                <w:sz w:val="18"/>
                <w:szCs w:val="18"/>
              </w:rPr>
            </w:pPr>
            <w:r>
              <w:rPr>
                <w:sz w:val="18"/>
                <w:szCs w:val="18"/>
              </w:rPr>
              <w:t>Tota</w:t>
            </w:r>
            <w:r>
              <w:rPr>
                <w:sz w:val="18"/>
                <w:szCs w:val="18"/>
              </w:rPr>
              <w:t>l</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404,90</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51,33</w:t>
            </w:r>
            <w:r>
              <w:rPr>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402,61</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59,24</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688630753"/>
          <w:tblCellSpacing w:w="15" w:type="dxa"/>
        </w:trPr>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r>
    </w:tbl>
    <w:p w:rsidR="00000000" w:rsidRDefault="00A32496">
      <w:pPr>
        <w:pStyle w:val="a3"/>
        <w:spacing w:before="240" w:beforeAutospacing="0" w:after="0" w:afterAutospacing="0"/>
        <w:ind w:firstLine="555"/>
        <w:divId w:val="1755590973"/>
        <w:rPr>
          <w:sz w:val="20"/>
          <w:szCs w:val="20"/>
        </w:rPr>
      </w:pPr>
      <w:r>
        <w:rPr>
          <w:sz w:val="20"/>
          <w:szCs w:val="20"/>
        </w:rPr>
        <w:t>Presented below is a reconciliation of the Company’s segment measure to net loss</w:t>
      </w:r>
      <w:r>
        <w:rPr>
          <w:sz w:val="20"/>
          <w:szCs w:val="20"/>
        </w:rPr>
        <w:t>:</w:t>
      </w:r>
    </w:p>
    <w:p w:rsidR="00000000" w:rsidRDefault="00A32496">
      <w:pPr>
        <w:pStyle w:val="a3"/>
        <w:spacing w:before="0" w:beforeAutospacing="0" w:after="0" w:afterAutospacing="0"/>
        <w:divId w:val="1755590973"/>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174"/>
        <w:gridCol w:w="124"/>
        <w:gridCol w:w="150"/>
        <w:gridCol w:w="667"/>
        <w:gridCol w:w="120"/>
        <w:gridCol w:w="125"/>
        <w:gridCol w:w="150"/>
        <w:gridCol w:w="686"/>
        <w:gridCol w:w="120"/>
        <w:gridCol w:w="125"/>
        <w:gridCol w:w="150"/>
        <w:gridCol w:w="668"/>
        <w:gridCol w:w="120"/>
        <w:gridCol w:w="125"/>
        <w:gridCol w:w="150"/>
        <w:gridCol w:w="686"/>
        <w:gridCol w:w="135"/>
      </w:tblGrid>
      <w:tr w:rsidR="00000000">
        <w:trPr>
          <w:divId w:val="1755590973"/>
          <w:tblCellSpacing w:w="15" w:type="dxa"/>
        </w:trPr>
        <w:tc>
          <w:tcPr>
            <w:tcW w:w="2277" w:type="pct"/>
            <w:vAlign w:val="center"/>
            <w:hideMark/>
          </w:tcPr>
          <w:p w:rsidR="00000000" w:rsidRDefault="00A32496">
            <w:pPr>
              <w:rPr>
                <w:sz w:val="20"/>
                <w:szCs w:val="20"/>
              </w:rPr>
            </w:pPr>
          </w:p>
        </w:tc>
        <w:tc>
          <w:tcPr>
            <w:tcW w:w="91"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482"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91"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495"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91"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482"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91"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495"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r>
      <w:tr w:rsidR="00000000">
        <w:trPr>
          <w:divId w:val="1755590973"/>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6"/>
            <w:vAlign w:val="bottom"/>
            <w:hideMark/>
          </w:tcPr>
          <w:p w:rsidR="00000000" w:rsidRDefault="00A32496">
            <w:pPr>
              <w:pStyle w:val="a3"/>
              <w:spacing w:before="0" w:beforeAutospacing="0" w:after="0" w:afterAutospacing="0"/>
              <w:jc w:val="center"/>
              <w:rPr>
                <w:sz w:val="18"/>
                <w:szCs w:val="18"/>
              </w:rPr>
            </w:pPr>
            <w:r>
              <w:rPr>
                <w:b/>
                <w:bCs/>
                <w:sz w:val="18"/>
                <w:szCs w:val="18"/>
              </w:rPr>
              <w:t>For the Three Months</w:t>
            </w:r>
            <w:r>
              <w:rPr>
                <w:b/>
                <w:bCs/>
                <w:sz w:val="18"/>
                <w:szCs w:val="18"/>
              </w:rPr>
              <w:br/>
              <w:t>Ended September 30</w:t>
            </w:r>
            <w:r>
              <w:rPr>
                <w:b/>
                <w:bCs/>
                <w:sz w:val="18"/>
                <w:szCs w:val="18"/>
              </w:rPr>
              <w: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6"/>
            <w:vAlign w:val="bottom"/>
            <w:hideMark/>
          </w:tcPr>
          <w:p w:rsidR="00000000" w:rsidRDefault="00A32496">
            <w:pPr>
              <w:pStyle w:val="a3"/>
              <w:spacing w:before="0" w:beforeAutospacing="0" w:after="0" w:afterAutospacing="0"/>
              <w:jc w:val="center"/>
              <w:rPr>
                <w:sz w:val="18"/>
                <w:szCs w:val="18"/>
              </w:rPr>
            </w:pPr>
            <w:r>
              <w:rPr>
                <w:b/>
                <w:bCs/>
                <w:sz w:val="18"/>
                <w:szCs w:val="18"/>
              </w:rPr>
              <w:t>For the Nine Months</w:t>
            </w:r>
            <w:r>
              <w:rPr>
                <w:b/>
                <w:bCs/>
                <w:sz w:val="18"/>
                <w:szCs w:val="18"/>
              </w:rPr>
              <w:br/>
              <w:t>Ended September 30</w:t>
            </w:r>
            <w:r>
              <w:rPr>
                <w:b/>
                <w:bCs/>
                <w:sz w:val="18"/>
                <w:szCs w:val="18"/>
              </w:rPr>
              <w: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1755590973"/>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divId w:val="1755590973"/>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Tota</w:t>
            </w:r>
            <w:r>
              <w:rPr>
                <w:sz w:val="18"/>
                <w:szCs w:val="18"/>
              </w:rPr>
              <w:t>l</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18,37</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21,48</w:t>
            </w:r>
            <w:r>
              <w:rPr>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51,33</w:t>
            </w:r>
            <w:r>
              <w:rPr>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59,24</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divId w:val="1755590973"/>
          <w:trHeight w:val="180"/>
          <w:tblCellSpacing w:w="15" w:type="dxa"/>
        </w:trPr>
        <w:tc>
          <w:tcPr>
            <w:tcW w:w="0" w:type="auto"/>
            <w:hideMark/>
          </w:tcPr>
          <w:p w:rsidR="00000000" w:rsidRDefault="00A32496">
            <w:pPr>
              <w:pStyle w:val="a3"/>
              <w:spacing w:before="0" w:beforeAutospacing="0" w:after="0" w:afterAutospacing="0"/>
              <w:ind w:left="200"/>
              <w:rPr>
                <w:sz w:val="18"/>
                <w:szCs w:val="18"/>
              </w:rPr>
            </w:pPr>
            <w:r>
              <w:rPr>
                <w:sz w:val="18"/>
                <w:szCs w:val="18"/>
              </w:rPr>
              <w:t>Interest expense, ne</w:t>
            </w:r>
            <w:r>
              <w:rPr>
                <w:sz w:val="18"/>
                <w:szCs w:val="18"/>
              </w:rPr>
              <w:t>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1,40</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1,72</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4,01</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11,20</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r>
      <w:tr w:rsidR="00000000">
        <w:trPr>
          <w:divId w:val="1755590973"/>
          <w:trHeight w:val="180"/>
          <w:tblCellSpacing w:w="15" w:type="dxa"/>
        </w:trPr>
        <w:tc>
          <w:tcPr>
            <w:tcW w:w="0" w:type="auto"/>
            <w:hideMark/>
          </w:tcPr>
          <w:p w:rsidR="00000000" w:rsidRDefault="00A32496">
            <w:pPr>
              <w:pStyle w:val="a3"/>
              <w:spacing w:before="0" w:beforeAutospacing="0" w:after="0" w:afterAutospacing="0"/>
              <w:ind w:left="200"/>
              <w:rPr>
                <w:sz w:val="18"/>
                <w:szCs w:val="18"/>
              </w:rPr>
            </w:pPr>
            <w:r>
              <w:rPr>
                <w:sz w:val="18"/>
                <w:szCs w:val="18"/>
              </w:rPr>
              <w:t>Income tax benefit (expense</w:t>
            </w: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20</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90</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1,89</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64</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r>
      <w:tr w:rsidR="00000000">
        <w:trPr>
          <w:divId w:val="1755590973"/>
          <w:trHeight w:val="180"/>
          <w:tblCellSpacing w:w="15" w:type="dxa"/>
        </w:trPr>
        <w:tc>
          <w:tcPr>
            <w:tcW w:w="0" w:type="auto"/>
            <w:hideMark/>
          </w:tcPr>
          <w:p w:rsidR="00000000" w:rsidRDefault="00A32496">
            <w:pPr>
              <w:pStyle w:val="a3"/>
              <w:spacing w:before="0" w:beforeAutospacing="0" w:after="0" w:afterAutospacing="0"/>
              <w:ind w:left="200"/>
              <w:rPr>
                <w:sz w:val="18"/>
                <w:szCs w:val="18"/>
              </w:rPr>
            </w:pPr>
            <w:r>
              <w:rPr>
                <w:sz w:val="18"/>
                <w:szCs w:val="18"/>
              </w:rPr>
              <w:t>Depreciation and amortizatio</w:t>
            </w:r>
            <w:r>
              <w:rPr>
                <w:sz w:val="18"/>
                <w:szCs w:val="18"/>
              </w:rPr>
              <w:t>n</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11,50</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11,47</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35,92</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33,14</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r>
      <w:tr w:rsidR="00000000">
        <w:trPr>
          <w:divId w:val="1755590973"/>
          <w:trHeight w:val="180"/>
          <w:tblCellSpacing w:w="15" w:type="dxa"/>
        </w:trPr>
        <w:tc>
          <w:tcPr>
            <w:tcW w:w="0" w:type="auto"/>
            <w:hideMark/>
          </w:tcPr>
          <w:p w:rsidR="00000000" w:rsidRDefault="00A32496">
            <w:pPr>
              <w:pStyle w:val="a3"/>
              <w:spacing w:before="0" w:beforeAutospacing="0" w:after="0" w:afterAutospacing="0"/>
              <w:ind w:left="200"/>
              <w:rPr>
                <w:sz w:val="18"/>
                <w:szCs w:val="18"/>
              </w:rPr>
            </w:pPr>
            <w:r>
              <w:rPr>
                <w:sz w:val="18"/>
                <w:szCs w:val="18"/>
              </w:rPr>
              <w:t>Stock-based compensatio</w:t>
            </w:r>
            <w:r>
              <w:rPr>
                <w:sz w:val="18"/>
                <w:szCs w:val="18"/>
              </w:rPr>
              <w:t>n</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11,01</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2,36</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32,37</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6,58</w:t>
            </w:r>
            <w:r>
              <w:rPr>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r>
      <w:tr w:rsidR="00000000">
        <w:trPr>
          <w:divId w:val="1755590973"/>
          <w:trHeight w:val="180"/>
          <w:tblCellSpacing w:w="15" w:type="dxa"/>
        </w:trPr>
        <w:tc>
          <w:tcPr>
            <w:tcW w:w="0" w:type="auto"/>
            <w:hideMark/>
          </w:tcPr>
          <w:p w:rsidR="00000000" w:rsidRDefault="00A32496">
            <w:pPr>
              <w:pStyle w:val="a3"/>
              <w:spacing w:before="0" w:beforeAutospacing="0" w:after="0" w:afterAutospacing="0"/>
              <w:ind w:left="200"/>
              <w:rPr>
                <w:sz w:val="18"/>
                <w:szCs w:val="18"/>
              </w:rPr>
            </w:pPr>
            <w:r>
              <w:rPr>
                <w:sz w:val="18"/>
                <w:szCs w:val="18"/>
              </w:rPr>
              <w:t>Start-up losses and investment in new service</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1,27</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1,18</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2,94</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3,27</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r>
      <w:tr w:rsidR="00000000">
        <w:trPr>
          <w:divId w:val="1755590973"/>
          <w:trHeight w:val="180"/>
          <w:tblCellSpacing w:w="15" w:type="dxa"/>
        </w:trPr>
        <w:tc>
          <w:tcPr>
            <w:tcW w:w="0" w:type="auto"/>
            <w:hideMark/>
          </w:tcPr>
          <w:p w:rsidR="00000000" w:rsidRDefault="00A32496">
            <w:pPr>
              <w:pStyle w:val="a3"/>
              <w:spacing w:before="0" w:beforeAutospacing="0" w:after="0" w:afterAutospacing="0"/>
              <w:ind w:left="200"/>
              <w:rPr>
                <w:sz w:val="18"/>
                <w:szCs w:val="18"/>
              </w:rPr>
            </w:pPr>
            <w:r>
              <w:rPr>
                <w:sz w:val="18"/>
                <w:szCs w:val="18"/>
              </w:rPr>
              <w:t>Acquisition cost</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36</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91</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1,35</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1,65</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r>
      <w:tr w:rsidR="00000000">
        <w:trPr>
          <w:divId w:val="1755590973"/>
          <w:trHeight w:val="180"/>
          <w:tblCellSpacing w:w="15" w:type="dxa"/>
        </w:trPr>
        <w:tc>
          <w:tcPr>
            <w:tcW w:w="0" w:type="auto"/>
            <w:hideMark/>
          </w:tcPr>
          <w:p w:rsidR="00000000" w:rsidRDefault="00A32496">
            <w:pPr>
              <w:pStyle w:val="a3"/>
              <w:spacing w:before="0" w:beforeAutospacing="0" w:after="0" w:afterAutospacing="0"/>
              <w:ind w:left="200"/>
              <w:rPr>
                <w:sz w:val="18"/>
                <w:szCs w:val="18"/>
              </w:rPr>
            </w:pPr>
            <w:r>
              <w:rPr>
                <w:sz w:val="18"/>
                <w:szCs w:val="18"/>
              </w:rPr>
              <w:t>Fair value changes in financial instrument</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1,80</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53</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4,66</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1,65</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r>
      <w:tr w:rsidR="00000000">
        <w:trPr>
          <w:divId w:val="1755590973"/>
          <w:trHeight w:val="180"/>
          <w:tblCellSpacing w:w="15" w:type="dxa"/>
        </w:trPr>
        <w:tc>
          <w:tcPr>
            <w:tcW w:w="0" w:type="auto"/>
            <w:hideMark/>
          </w:tcPr>
          <w:p w:rsidR="00000000" w:rsidRDefault="00A32496">
            <w:pPr>
              <w:pStyle w:val="a3"/>
              <w:spacing w:before="0" w:beforeAutospacing="0" w:after="0" w:afterAutospacing="0"/>
              <w:ind w:left="200"/>
              <w:rPr>
                <w:sz w:val="18"/>
                <w:szCs w:val="18"/>
              </w:rPr>
            </w:pPr>
            <w:r>
              <w:rPr>
                <w:sz w:val="18"/>
                <w:szCs w:val="18"/>
              </w:rPr>
              <w:t xml:space="preserve">Fair value changes in business acquisition </w:t>
            </w:r>
            <w:r>
              <w:rPr>
                <w:sz w:val="18"/>
                <w:szCs w:val="18"/>
              </w:rPr>
              <w:br/>
              <w:t>   contingencie</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5</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3,47</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24,03</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r>
      <w:tr w:rsidR="00000000">
        <w:trPr>
          <w:divId w:val="1755590973"/>
          <w:trHeight w:val="180"/>
          <w:tblCellSpacing w:w="15" w:type="dxa"/>
        </w:trPr>
        <w:tc>
          <w:tcPr>
            <w:tcW w:w="0" w:type="auto"/>
            <w:hideMark/>
          </w:tcPr>
          <w:p w:rsidR="00000000" w:rsidRDefault="00A32496">
            <w:pPr>
              <w:pStyle w:val="a3"/>
              <w:spacing w:before="0" w:beforeAutospacing="0" w:after="0" w:afterAutospacing="0"/>
              <w:ind w:left="200"/>
              <w:rPr>
                <w:sz w:val="18"/>
                <w:szCs w:val="18"/>
              </w:rPr>
            </w:pPr>
            <w:r>
              <w:rPr>
                <w:sz w:val="18"/>
                <w:szCs w:val="18"/>
              </w:rPr>
              <w:t>Expenses related to financing transaction</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5</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r>
      <w:tr w:rsidR="00000000">
        <w:trPr>
          <w:divId w:val="1755590973"/>
          <w:trHeight w:val="180"/>
          <w:tblCellSpacing w:w="15" w:type="dxa"/>
        </w:trPr>
        <w:tc>
          <w:tcPr>
            <w:tcW w:w="0" w:type="auto"/>
            <w:hideMark/>
          </w:tcPr>
          <w:p w:rsidR="00000000" w:rsidRDefault="00A32496">
            <w:pPr>
              <w:pStyle w:val="a3"/>
              <w:spacing w:before="0" w:beforeAutospacing="0" w:after="0" w:afterAutospacing="0"/>
              <w:ind w:left="200"/>
              <w:rPr>
                <w:sz w:val="18"/>
                <w:szCs w:val="18"/>
              </w:rPr>
            </w:pPr>
            <w:r>
              <w:rPr>
                <w:sz w:val="18"/>
                <w:szCs w:val="18"/>
              </w:rPr>
              <w:t>Other losses or expense</w:t>
            </w:r>
            <w:r>
              <w:rPr>
                <w:sz w:val="18"/>
                <w:szCs w:val="18"/>
              </w:rPr>
              <w:t>s</w:t>
            </w:r>
            <w:r>
              <w:rPr>
                <w:sz w:val="12"/>
                <w:szCs w:val="12"/>
              </w:rPr>
              <w:t> (1</w:t>
            </w:r>
            <w:r>
              <w:rPr>
                <w:sz w:val="12"/>
                <w:szCs w:val="12"/>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48</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17</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1,96</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84</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r>
      <w:tr w:rsidR="00000000">
        <w:trPr>
          <w:divId w:val="1755590973"/>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Net (loss) incom</w:t>
            </w:r>
            <w:r>
              <w:rPr>
                <w:sz w:val="18"/>
                <w:szCs w:val="18"/>
              </w:rPr>
              <w:t>e</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5,72</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2,22</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21,00</w:t>
            </w:r>
            <w:r>
              <w:rPr>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20"/>
                <w:szCs w:val="20"/>
              </w:rPr>
            </w:pPr>
            <w:r>
              <w:rPr>
                <w:sz w:val="18"/>
                <w:szCs w:val="18"/>
              </w:rPr>
              <w:t>(</w:t>
            </w:r>
            <w:r>
              <w:rPr>
                <w:sz w:val="18"/>
                <w:szCs w:val="18"/>
              </w:rPr>
              <w:t>23,85</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r>
      <w:tr w:rsidR="00000000">
        <w:trPr>
          <w:divId w:val="1755590973"/>
          <w:tblCellSpacing w:w="15" w:type="dxa"/>
        </w:trPr>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r>
    </w:tbl>
    <w:p w:rsidR="00000000" w:rsidRDefault="00A32496">
      <w:pPr>
        <w:pStyle w:val="a3"/>
        <w:pBdr>
          <w:bottom w:val="single" w:sz="4" w:space="1" w:color="auto"/>
        </w:pBdr>
        <w:spacing w:before="0" w:beforeAutospacing="0" w:after="0" w:afterAutospacing="0"/>
        <w:ind w:right="9167"/>
        <w:divId w:val="1755590973"/>
        <w:rPr>
          <w:sz w:val="20"/>
          <w:szCs w:val="20"/>
        </w:rPr>
      </w:pPr>
      <w:r>
        <w:rPr>
          <w:sz w:val="20"/>
          <w:szCs w:val="20"/>
        </w:rPr>
        <w:t> </w:t>
      </w:r>
    </w:p>
    <w:p w:rsidR="00000000" w:rsidRDefault="00A32496">
      <w:pPr>
        <w:pStyle w:val="a3"/>
        <w:spacing w:before="0" w:beforeAutospacing="0" w:after="0" w:afterAutospacing="0"/>
        <w:ind w:left="476"/>
        <w:divId w:val="1755590973"/>
        <w:rPr>
          <w:sz w:val="20"/>
          <w:szCs w:val="20"/>
        </w:rPr>
      </w:pPr>
      <w:r>
        <w:rPr>
          <w:sz w:val="16"/>
          <w:szCs w:val="16"/>
        </w:rPr>
        <w:t>(1</w:t>
      </w:r>
      <w:r>
        <w:rPr>
          <w:sz w:val="16"/>
          <w:szCs w:val="16"/>
        </w:rPr>
        <w:t>)</w:t>
      </w:r>
      <w:r>
        <w:rPr>
          <w:sz w:val="16"/>
          <w:szCs w:val="16"/>
        </w:rPr>
        <w:t xml:space="preserve"> </w:t>
      </w:r>
      <w:r>
        <w:rPr>
          <w:sz w:val="16"/>
          <w:szCs w:val="16"/>
        </w:rPr>
        <w:t>In 2022, amounts include costs associated with the closing of a lab and severance costs related to a restructuring within our soil remediation business. In 2021, amounts include non-operational charges incurred due to the remeasurement of finance leases as</w:t>
      </w:r>
      <w:r>
        <w:rPr>
          <w:sz w:val="16"/>
          <w:szCs w:val="16"/>
        </w:rPr>
        <w:t xml:space="preserve"> a result of the adoption of ASC 842 and costs related to the implementation of a new ERP</w:t>
      </w:r>
      <w:r>
        <w:rPr>
          <w:sz w:val="16"/>
          <w:szCs w:val="16"/>
        </w:rPr>
        <w:t>.</w:t>
      </w:r>
    </w:p>
    <w:p w:rsidR="00000000" w:rsidRDefault="00A32496">
      <w:pPr>
        <w:pStyle w:val="a3"/>
        <w:spacing w:before="360" w:beforeAutospacing="0" w:after="0" w:afterAutospacing="0"/>
        <w:divId w:val="1122312071"/>
        <w:rPr>
          <w:sz w:val="20"/>
          <w:szCs w:val="20"/>
        </w:rPr>
      </w:pPr>
      <w:r>
        <w:rPr>
          <w:b/>
          <w:bCs/>
          <w:sz w:val="20"/>
          <w:szCs w:val="20"/>
        </w:rPr>
        <w:t>19. RELATED-PARTY TRANSACTION</w:t>
      </w:r>
      <w:r>
        <w:rPr>
          <w:b/>
          <w:bCs/>
          <w:sz w:val="20"/>
          <w:szCs w:val="20"/>
        </w:rPr>
        <w:t>S</w:t>
      </w:r>
    </w:p>
    <w:p w:rsidR="00000000" w:rsidRDefault="00A32496">
      <w:pPr>
        <w:pStyle w:val="a3"/>
        <w:spacing w:before="240" w:beforeAutospacing="0" w:after="0" w:afterAutospacing="0"/>
        <w:ind w:firstLine="555"/>
        <w:divId w:val="1122312071"/>
        <w:rPr>
          <w:sz w:val="20"/>
          <w:szCs w:val="20"/>
        </w:rPr>
      </w:pPr>
      <w:r>
        <w:rPr>
          <w:sz w:val="20"/>
          <w:szCs w:val="20"/>
        </w:rPr>
        <w:t>The Compan</w:t>
      </w:r>
      <w:r>
        <w:rPr>
          <w:sz w:val="20"/>
          <w:szCs w:val="20"/>
        </w:rPr>
        <w:t>y</w:t>
      </w:r>
      <w:r>
        <w:rPr>
          <w:sz w:val="20"/>
          <w:szCs w:val="20"/>
        </w:rPr>
        <w:t xml:space="preserve"> did</w:t>
      </w:r>
      <w:r>
        <w:rPr>
          <w:sz w:val="20"/>
          <w:szCs w:val="20"/>
        </w:rPr>
        <w:t xml:space="preserve"> </w:t>
      </w:r>
      <w:r>
        <w:rPr>
          <w:sz w:val="20"/>
          <w:szCs w:val="20"/>
        </w:rPr>
        <w:t>n</w:t>
      </w:r>
      <w:r>
        <w:rPr>
          <w:sz w:val="20"/>
          <w:szCs w:val="20"/>
        </w:rPr>
        <w:t>o</w:t>
      </w:r>
      <w:r>
        <w:rPr>
          <w:sz w:val="20"/>
          <w:szCs w:val="20"/>
        </w:rPr>
        <w:t>t have any related party transaction</w:t>
      </w:r>
      <w:r>
        <w:rPr>
          <w:sz w:val="20"/>
          <w:szCs w:val="20"/>
        </w:rPr>
        <w:t>s</w:t>
      </w:r>
      <w:r>
        <w:rPr>
          <w:sz w:val="20"/>
          <w:szCs w:val="20"/>
        </w:rPr>
        <w:t xml:space="preserve"> during the three and nine months ended September 30, 2022 and September 30, 20</w:t>
      </w:r>
      <w:r>
        <w:rPr>
          <w:sz w:val="20"/>
          <w:szCs w:val="20"/>
        </w:rPr>
        <w:t>2</w:t>
      </w:r>
      <w:r>
        <w:rPr>
          <w:sz w:val="20"/>
          <w:szCs w:val="20"/>
        </w:rPr>
        <w:t>1</w:t>
      </w:r>
      <w:r>
        <w:rPr>
          <w:sz w:val="20"/>
          <w:szCs w:val="20"/>
        </w:rPr>
        <w:t>.</w:t>
      </w:r>
    </w:p>
    <w:p w:rsidR="00000000" w:rsidRDefault="00A32496">
      <w:pPr>
        <w:pStyle w:val="a3"/>
        <w:spacing w:before="360" w:beforeAutospacing="0" w:after="0" w:afterAutospacing="0"/>
        <w:divId w:val="2114127951"/>
        <w:rPr>
          <w:sz w:val="20"/>
          <w:szCs w:val="20"/>
        </w:rPr>
      </w:pPr>
      <w:r>
        <w:rPr>
          <w:b/>
          <w:bCs/>
          <w:sz w:val="20"/>
          <w:szCs w:val="20"/>
        </w:rPr>
        <w:t>20. DEFINED CONTRIBUTION PLA</w:t>
      </w:r>
      <w:r>
        <w:rPr>
          <w:b/>
          <w:bCs/>
          <w:sz w:val="20"/>
          <w:szCs w:val="20"/>
        </w:rPr>
        <w:t>N</w:t>
      </w:r>
    </w:p>
    <w:p w:rsidR="00000000" w:rsidRDefault="00A32496">
      <w:pPr>
        <w:pStyle w:val="a3"/>
        <w:spacing w:before="240" w:beforeAutospacing="0" w:after="0" w:afterAutospacing="0"/>
        <w:ind w:firstLine="555"/>
        <w:divId w:val="2114127951"/>
        <w:rPr>
          <w:sz w:val="20"/>
          <w:szCs w:val="20"/>
        </w:rPr>
      </w:pPr>
      <w:r>
        <w:rPr>
          <w:sz w:val="20"/>
          <w:szCs w:val="20"/>
        </w:rPr>
        <w:t>On January 1, 2014, the Company established the Montrose Environmental Group</w:t>
      </w:r>
      <w:r>
        <w:rPr>
          <w:sz w:val="20"/>
          <w:szCs w:val="20"/>
        </w:rPr>
        <w:t xml:space="preserve"> </w:t>
      </w:r>
      <w:r>
        <w:rPr>
          <w:sz w:val="20"/>
          <w:szCs w:val="20"/>
        </w:rPr>
        <w:t>401(k) Savings Pla</w:t>
      </w:r>
      <w:r>
        <w:rPr>
          <w:sz w:val="20"/>
          <w:szCs w:val="20"/>
        </w:rPr>
        <w:t>n</w:t>
      </w:r>
      <w:r>
        <w:rPr>
          <w:sz w:val="20"/>
          <w:szCs w:val="20"/>
        </w:rPr>
        <w:t xml:space="preserve"> (the “401(k) Savings Plan”). As of</w:t>
      </w:r>
      <w:r>
        <w:rPr>
          <w:sz w:val="20"/>
          <w:szCs w:val="20"/>
        </w:rPr>
        <w:t xml:space="preserve"> </w:t>
      </w:r>
      <w:r>
        <w:rPr>
          <w:sz w:val="20"/>
          <w:szCs w:val="20"/>
        </w:rPr>
        <w:t>September 30, 2022, and December 31, 202</w:t>
      </w:r>
      <w:r>
        <w:rPr>
          <w:sz w:val="20"/>
          <w:szCs w:val="20"/>
        </w:rPr>
        <w:t>1</w:t>
      </w:r>
      <w:r>
        <w:rPr>
          <w:sz w:val="20"/>
          <w:szCs w:val="20"/>
        </w:rPr>
        <w:t>, plan participants may defer up to</w:t>
      </w:r>
      <w:r>
        <w:rPr>
          <w:sz w:val="20"/>
          <w:szCs w:val="20"/>
        </w:rPr>
        <w:t xml:space="preserve"> </w:t>
      </w:r>
      <w:r>
        <w:rPr>
          <w:sz w:val="20"/>
          <w:szCs w:val="20"/>
        </w:rPr>
        <w:t>85.</w:t>
      </w:r>
      <w:r>
        <w:rPr>
          <w:sz w:val="20"/>
          <w:szCs w:val="20"/>
        </w:rPr>
        <w:t>0</w:t>
      </w:r>
      <w:r>
        <w:rPr>
          <w:sz w:val="20"/>
          <w:szCs w:val="20"/>
        </w:rPr>
        <w:t>% of thei</w:t>
      </w:r>
      <w:r>
        <w:rPr>
          <w:sz w:val="20"/>
          <w:szCs w:val="20"/>
        </w:rPr>
        <w:t>r eligible wages for the year, up to the Internal Revenue Service dollar limit and catch-up contribution allowed by law. Prior to May 22, 2020, the Company provided employer matching contributions equal to</w:t>
      </w:r>
      <w:r>
        <w:rPr>
          <w:sz w:val="20"/>
          <w:szCs w:val="20"/>
        </w:rPr>
        <w:t xml:space="preserve"> </w:t>
      </w:r>
      <w:r>
        <w:rPr>
          <w:sz w:val="20"/>
          <w:szCs w:val="20"/>
        </w:rPr>
        <w:t>100.</w:t>
      </w:r>
      <w:r>
        <w:rPr>
          <w:sz w:val="20"/>
          <w:szCs w:val="20"/>
        </w:rPr>
        <w:t>0</w:t>
      </w:r>
      <w:r>
        <w:rPr>
          <w:sz w:val="20"/>
          <w:szCs w:val="20"/>
        </w:rPr>
        <w:t>% of the first</w:t>
      </w:r>
      <w:r>
        <w:rPr>
          <w:sz w:val="20"/>
          <w:szCs w:val="20"/>
        </w:rPr>
        <w:t xml:space="preserve"> </w:t>
      </w:r>
      <w:r>
        <w:rPr>
          <w:sz w:val="20"/>
          <w:szCs w:val="20"/>
        </w:rPr>
        <w:t>3.</w:t>
      </w:r>
      <w:r>
        <w:rPr>
          <w:sz w:val="20"/>
          <w:szCs w:val="20"/>
        </w:rPr>
        <w:t>0</w:t>
      </w:r>
      <w:r>
        <w:rPr>
          <w:sz w:val="20"/>
          <w:szCs w:val="20"/>
        </w:rPr>
        <w:t>% of the participant’s comp</w:t>
      </w:r>
      <w:r>
        <w:rPr>
          <w:sz w:val="20"/>
          <w:szCs w:val="20"/>
        </w:rPr>
        <w:t>ensation and</w:t>
      </w:r>
      <w:r>
        <w:rPr>
          <w:sz w:val="20"/>
          <w:szCs w:val="20"/>
        </w:rPr>
        <w:t xml:space="preserve"> </w:t>
      </w:r>
      <w:r>
        <w:rPr>
          <w:sz w:val="20"/>
          <w:szCs w:val="20"/>
        </w:rPr>
        <w:t>50.</w:t>
      </w:r>
      <w:r>
        <w:rPr>
          <w:sz w:val="20"/>
          <w:szCs w:val="20"/>
        </w:rPr>
        <w:t>0</w:t>
      </w:r>
      <w:r>
        <w:rPr>
          <w:sz w:val="20"/>
          <w:szCs w:val="20"/>
        </w:rPr>
        <w:t>%</w:t>
      </w:r>
      <w:r>
        <w:rPr>
          <w:sz w:val="20"/>
          <w:szCs w:val="20"/>
        </w:rPr>
        <w:t xml:space="preserve"> </w:t>
      </w:r>
      <w:r>
        <w:rPr>
          <w:sz w:val="20"/>
          <w:szCs w:val="20"/>
        </w:rPr>
        <w:t>of th</w:t>
      </w:r>
      <w:r>
        <w:rPr>
          <w:sz w:val="20"/>
          <w:szCs w:val="20"/>
        </w:rPr>
        <w:t>e</w:t>
      </w:r>
      <w:r>
        <w:rPr>
          <w:sz w:val="20"/>
          <w:szCs w:val="20"/>
        </w:rPr>
        <w:t xml:space="preserve"> </w:t>
      </w:r>
    </w:p>
    <w:p w:rsidR="00000000" w:rsidRDefault="00A32496">
      <w:pPr>
        <w:pStyle w:val="a3"/>
        <w:spacing w:before="240" w:beforeAutospacing="0" w:after="0" w:afterAutospacing="0"/>
        <w:jc w:val="center"/>
        <w:divId w:val="2114127951"/>
        <w:rPr>
          <w:sz w:val="20"/>
          <w:szCs w:val="20"/>
        </w:rPr>
      </w:pPr>
      <w:r>
        <w:rPr>
          <w:sz w:val="20"/>
          <w:szCs w:val="20"/>
        </w:rPr>
        <w:t>2</w:t>
      </w:r>
      <w:r>
        <w:rPr>
          <w:sz w:val="20"/>
          <w:szCs w:val="20"/>
        </w:rPr>
        <w:t>9</w:t>
      </w:r>
    </w:p>
    <w:p w:rsidR="00000000" w:rsidRDefault="00A32496">
      <w:pPr>
        <w:divId w:val="2114127951"/>
        <w:rPr>
          <w:rFonts w:eastAsia="Times New Roman"/>
          <w:sz w:val="20"/>
          <w:szCs w:val="20"/>
        </w:rPr>
      </w:pPr>
      <w:r>
        <w:rPr>
          <w:rFonts w:eastAsia="Times New Roman"/>
          <w:sz w:val="20"/>
          <w:szCs w:val="20"/>
        </w:rPr>
        <w:pict>
          <v:rect id="_x0000_i1055" style="width:0;height:1.5pt" o:hralign="center" o:hrstd="t" o:hr="t" fillcolor="#a0a0a0" stroked="f"/>
        </w:pict>
      </w:r>
    </w:p>
    <w:p w:rsidR="00000000" w:rsidRDefault="00A32496">
      <w:pPr>
        <w:pStyle w:val="a3"/>
        <w:spacing w:before="0" w:beforeAutospacing="0" w:after="0" w:afterAutospacing="0"/>
        <w:divId w:val="2114127951"/>
        <w:rPr>
          <w:sz w:val="20"/>
          <w:szCs w:val="20"/>
        </w:rPr>
      </w:pPr>
      <w:r>
        <w:rPr>
          <w:sz w:val="20"/>
          <w:szCs w:val="20"/>
        </w:rPr>
        <w:t> </w:t>
      </w:r>
    </w:p>
    <w:p w:rsidR="00000000" w:rsidRDefault="00A32496">
      <w:pPr>
        <w:pStyle w:val="a3"/>
        <w:spacing w:before="240" w:beforeAutospacing="0" w:after="0" w:afterAutospacing="0"/>
        <w:divId w:val="2114127951"/>
        <w:rPr>
          <w:sz w:val="20"/>
          <w:szCs w:val="20"/>
        </w:rPr>
      </w:pPr>
      <w:r>
        <w:rPr>
          <w:sz w:val="20"/>
          <w:szCs w:val="20"/>
        </w:rPr>
        <w:t>participant’s</w:t>
      </w:r>
      <w:r>
        <w:rPr>
          <w:sz w:val="20"/>
          <w:szCs w:val="20"/>
        </w:rPr>
        <w:t xml:space="preserve"> </w:t>
      </w:r>
      <w:r>
        <w:rPr>
          <w:sz w:val="20"/>
          <w:szCs w:val="20"/>
        </w:rPr>
        <w:t>elective deferrals that exceed</w:t>
      </w:r>
      <w:r>
        <w:rPr>
          <w:sz w:val="20"/>
          <w:szCs w:val="20"/>
        </w:rPr>
        <w:t xml:space="preserve"> </w:t>
      </w:r>
      <w:r>
        <w:rPr>
          <w:sz w:val="20"/>
          <w:szCs w:val="20"/>
        </w:rPr>
        <w:t>3.</w:t>
      </w:r>
      <w:r>
        <w:rPr>
          <w:sz w:val="20"/>
          <w:szCs w:val="20"/>
        </w:rPr>
        <w:t>0</w:t>
      </w:r>
      <w:r>
        <w:rPr>
          <w:sz w:val="20"/>
          <w:szCs w:val="20"/>
        </w:rPr>
        <w:t>% but do not exceed</w:t>
      </w:r>
      <w:r>
        <w:rPr>
          <w:sz w:val="20"/>
          <w:szCs w:val="20"/>
        </w:rPr>
        <w:t xml:space="preserve"> </w:t>
      </w:r>
      <w:r>
        <w:rPr>
          <w:sz w:val="20"/>
          <w:szCs w:val="20"/>
        </w:rPr>
        <w:t>4.</w:t>
      </w:r>
      <w:r>
        <w:rPr>
          <w:sz w:val="20"/>
          <w:szCs w:val="20"/>
        </w:rPr>
        <w:t>0</w:t>
      </w:r>
      <w:r>
        <w:rPr>
          <w:sz w:val="20"/>
          <w:szCs w:val="20"/>
        </w:rPr>
        <w:t>% of the participant’s compensation. Beginning on May 22, 2020, the Company temporarily ceased making employer contri</w:t>
      </w:r>
      <w:r>
        <w:rPr>
          <w:sz w:val="20"/>
          <w:szCs w:val="20"/>
        </w:rPr>
        <w:t>butions. Employer contributions were reinstated beginning on April 23, 2021. Employer contributions under the 401(k) Savings Plan we</w:t>
      </w:r>
      <w:r>
        <w:rPr>
          <w:sz w:val="20"/>
          <w:szCs w:val="20"/>
        </w:rPr>
        <w:t>r</w:t>
      </w:r>
      <w:r>
        <w:rPr>
          <w:sz w:val="20"/>
          <w:szCs w:val="20"/>
        </w:rPr>
        <w:t xml:space="preserve">e </w:t>
      </w:r>
      <w:r>
        <w:rPr>
          <w:sz w:val="20"/>
          <w:szCs w:val="20"/>
        </w:rPr>
        <w:t>$</w:t>
      </w:r>
      <w:r>
        <w:rPr>
          <w:sz w:val="20"/>
          <w:szCs w:val="20"/>
        </w:rPr>
        <w:t>1.</w:t>
      </w:r>
      <w:r>
        <w:rPr>
          <w:sz w:val="20"/>
          <w:szCs w:val="20"/>
        </w:rPr>
        <w:t>2</w:t>
      </w:r>
      <w:r>
        <w:rPr>
          <w:sz w:val="20"/>
          <w:szCs w:val="20"/>
        </w:rPr>
        <w:t xml:space="preserve"> million and </w:t>
      </w:r>
      <w:r>
        <w:rPr>
          <w:sz w:val="20"/>
          <w:szCs w:val="20"/>
        </w:rPr>
        <w:t>$</w:t>
      </w:r>
      <w:r>
        <w:rPr>
          <w:sz w:val="20"/>
          <w:szCs w:val="20"/>
        </w:rPr>
        <w:t>4.</w:t>
      </w:r>
      <w:r>
        <w:rPr>
          <w:sz w:val="20"/>
          <w:szCs w:val="20"/>
        </w:rPr>
        <w:t>6</w:t>
      </w:r>
      <w:r>
        <w:rPr>
          <w:sz w:val="20"/>
          <w:szCs w:val="20"/>
        </w:rPr>
        <w:t xml:space="preserve"> million for the three and nine months ended September 30, 2022, respectively,</w:t>
      </w:r>
      <w:r>
        <w:rPr>
          <w:sz w:val="20"/>
          <w:szCs w:val="20"/>
        </w:rPr>
        <w:t xml:space="preserve"> </w:t>
      </w:r>
      <w:r>
        <w:rPr>
          <w:sz w:val="20"/>
          <w:szCs w:val="20"/>
        </w:rPr>
        <w:t xml:space="preserve">and </w:t>
      </w:r>
      <w:r>
        <w:rPr>
          <w:sz w:val="20"/>
          <w:szCs w:val="20"/>
        </w:rPr>
        <w:t>$</w:t>
      </w:r>
      <w:r>
        <w:rPr>
          <w:sz w:val="20"/>
          <w:szCs w:val="20"/>
        </w:rPr>
        <w:t>0.</w:t>
      </w:r>
      <w:r>
        <w:rPr>
          <w:sz w:val="20"/>
          <w:szCs w:val="20"/>
        </w:rPr>
        <w:t>8</w:t>
      </w:r>
      <w:r>
        <w:rPr>
          <w:sz w:val="20"/>
          <w:szCs w:val="20"/>
        </w:rPr>
        <w:t xml:space="preserve"> million and </w:t>
      </w:r>
      <w:r>
        <w:rPr>
          <w:sz w:val="20"/>
          <w:szCs w:val="20"/>
        </w:rPr>
        <w:t>$</w:t>
      </w:r>
      <w:r>
        <w:rPr>
          <w:sz w:val="20"/>
          <w:szCs w:val="20"/>
        </w:rPr>
        <w:t>1.</w:t>
      </w:r>
      <w:r>
        <w:rPr>
          <w:sz w:val="20"/>
          <w:szCs w:val="20"/>
        </w:rPr>
        <w:t>6</w:t>
      </w:r>
      <w:r>
        <w:rPr>
          <w:sz w:val="20"/>
          <w:szCs w:val="20"/>
        </w:rPr>
        <w:t xml:space="preserve"> million for th</w:t>
      </w:r>
      <w:r>
        <w:rPr>
          <w:sz w:val="20"/>
          <w:szCs w:val="20"/>
        </w:rPr>
        <w:t>e</w:t>
      </w:r>
      <w:r>
        <w:rPr>
          <w:sz w:val="20"/>
          <w:szCs w:val="20"/>
        </w:rPr>
        <w:t xml:space="preserve"> three and nine months ended September 30, 202</w:t>
      </w:r>
      <w:r>
        <w:rPr>
          <w:sz w:val="20"/>
          <w:szCs w:val="20"/>
        </w:rPr>
        <w:t>1</w:t>
      </w:r>
      <w:r>
        <w:rPr>
          <w:sz w:val="20"/>
          <w:szCs w:val="20"/>
        </w:rPr>
        <w:t>, and are included within selling, general, and administrative expense on the unaudited condensed consolidated statements of operations</w:t>
      </w:r>
      <w:r>
        <w:rPr>
          <w:sz w:val="20"/>
          <w:szCs w:val="20"/>
        </w:rPr>
        <w:t>.</w:t>
      </w:r>
    </w:p>
    <w:p w:rsidR="00000000" w:rsidRDefault="00A32496">
      <w:pPr>
        <w:pStyle w:val="a3"/>
        <w:spacing w:before="240" w:beforeAutospacing="0" w:after="0" w:afterAutospacing="0"/>
        <w:jc w:val="center"/>
        <w:rPr>
          <w:sz w:val="20"/>
          <w:szCs w:val="20"/>
        </w:rPr>
      </w:pPr>
      <w:r>
        <w:rPr>
          <w:sz w:val="20"/>
          <w:szCs w:val="20"/>
        </w:rPr>
        <w:t>3</w:t>
      </w:r>
      <w:r>
        <w:rPr>
          <w:sz w:val="20"/>
          <w:szCs w:val="20"/>
        </w:rPr>
        <w:t>0</w:t>
      </w:r>
    </w:p>
    <w:p w:rsidR="00000000" w:rsidRDefault="00A32496">
      <w:pPr>
        <w:rPr>
          <w:rFonts w:eastAsia="Times New Roman"/>
        </w:rPr>
      </w:pPr>
      <w:r>
        <w:rPr>
          <w:rFonts w:eastAsia="Times New Roman"/>
        </w:rPr>
        <w:pict>
          <v:rect id="_x0000_i1056" style="width:0;height:1.5pt" o:hralign="center" o:hrstd="t" o:hr="t" fillcolor="#a0a0a0" stroked="f"/>
        </w:pict>
      </w:r>
    </w:p>
    <w:p w:rsidR="00000000" w:rsidRDefault="00A32496">
      <w:pPr>
        <w:pStyle w:val="a3"/>
        <w:spacing w:before="0" w:beforeAutospacing="0" w:after="0" w:afterAutospacing="0"/>
        <w:rPr>
          <w:sz w:val="20"/>
          <w:szCs w:val="20"/>
        </w:rPr>
      </w:pPr>
      <w:r>
        <w:rPr>
          <w:sz w:val="20"/>
          <w:szCs w:val="20"/>
        </w:rPr>
        <w:t> </w:t>
      </w:r>
    </w:p>
    <w:p w:rsidR="00000000" w:rsidRDefault="00A32496">
      <w:pPr>
        <w:pStyle w:val="a3"/>
        <w:spacing w:before="0" w:beforeAutospacing="0" w:after="0" w:afterAutospacing="0"/>
        <w:jc w:val="center"/>
        <w:rPr>
          <w:sz w:val="20"/>
          <w:szCs w:val="20"/>
        </w:rPr>
      </w:pPr>
      <w:r>
        <w:rPr>
          <w:b/>
          <w:bCs/>
          <w:sz w:val="20"/>
          <w:szCs w:val="20"/>
        </w:rPr>
        <w:t>FORWARD-LO</w:t>
      </w:r>
      <w:r>
        <w:rPr>
          <w:b/>
          <w:bCs/>
          <w:sz w:val="20"/>
          <w:szCs w:val="20"/>
        </w:rPr>
        <w:t>OKING STATEMENT</w:t>
      </w:r>
      <w:r>
        <w:rPr>
          <w:b/>
          <w:bCs/>
          <w:sz w:val="20"/>
          <w:szCs w:val="20"/>
        </w:rPr>
        <w:t>S</w:t>
      </w:r>
    </w:p>
    <w:p w:rsidR="00000000" w:rsidRDefault="00A32496">
      <w:pPr>
        <w:pStyle w:val="a3"/>
        <w:spacing w:before="240" w:beforeAutospacing="0" w:after="0" w:afterAutospacing="0"/>
        <w:ind w:firstLine="555"/>
        <w:rPr>
          <w:sz w:val="20"/>
          <w:szCs w:val="20"/>
        </w:rPr>
      </w:pPr>
      <w:r>
        <w:rPr>
          <w:sz w:val="20"/>
          <w:szCs w:val="20"/>
        </w:rPr>
        <w:t>This Quarterly Report on Form 10-Q contains “forward-looking statements” within the meaning of Section 27A of the Securities Act of 1933, as amended, or the Securities Act, and Section 21E of the Securities Exchange Act of 1934, as amended</w:t>
      </w:r>
      <w:r>
        <w:rPr>
          <w:sz w:val="20"/>
          <w:szCs w:val="20"/>
        </w:rPr>
        <w:t>, or the Exchange Act. These forward-looking statements relate to matters such as our industry, business strategy, goals and expectations concerning our market position, future operations, margins, profitability, capital expenditures, liquidity, capital re</w:t>
      </w:r>
      <w:r>
        <w:rPr>
          <w:sz w:val="20"/>
          <w:szCs w:val="20"/>
        </w:rPr>
        <w:t>sources and other financial and operating information. We use words such as “anticipate,” “assume,” “believe,” “contemplate,” “continue,” “could,” “estimate,” “expect,” “future,” “intend,” “may,” “plan,” “position,” “potential,” “predict,” “project,” “seek</w:t>
      </w:r>
      <w:r>
        <w:rPr>
          <w:sz w:val="20"/>
          <w:szCs w:val="20"/>
        </w:rPr>
        <w:t>,” “should,” “target,” “will” and similar terms and phrases to identify forward-looking statements in this filing. All of our forward-looking statements are subject to risks and uncertainties that may cause actual results to differ materially from those th</w:t>
      </w:r>
      <w:r>
        <w:rPr>
          <w:sz w:val="20"/>
          <w:szCs w:val="20"/>
        </w:rPr>
        <w:t>at we are expecting, including</w:t>
      </w:r>
      <w:r>
        <w:rPr>
          <w:sz w:val="20"/>
          <w:szCs w:val="20"/>
        </w:rPr>
        <w:t>:</w:t>
      </w:r>
    </w:p>
    <w:p w:rsidR="00000000" w:rsidRDefault="00A32496">
      <w:pPr>
        <w:divId w:val="802427603"/>
        <w:rPr>
          <w:rFonts w:eastAsia="Times New Roman"/>
        </w:rPr>
      </w:pPr>
      <w:r>
        <w:rPr>
          <w:rFonts w:eastAsia="Times New Roman"/>
          <w:sz w:val="20"/>
          <w:szCs w:val="20"/>
        </w:rPr>
        <w:t>•</w:t>
      </w:r>
    </w:p>
    <w:p w:rsidR="00000000" w:rsidRDefault="00A32496">
      <w:pPr>
        <w:divId w:val="1162309911"/>
        <w:rPr>
          <w:rFonts w:eastAsia="Times New Roman"/>
        </w:rPr>
      </w:pPr>
      <w:r>
        <w:rPr>
          <w:rFonts w:eastAsia="Times New Roman"/>
          <w:sz w:val="20"/>
          <w:szCs w:val="20"/>
        </w:rPr>
        <w:t>our limited operating history</w:t>
      </w:r>
      <w:r>
        <w:rPr>
          <w:rFonts w:eastAsia="Times New Roman"/>
          <w:sz w:val="20"/>
          <w:szCs w:val="20"/>
        </w:rPr>
        <w:t>;</w:t>
      </w:r>
    </w:p>
    <w:p w:rsidR="00000000" w:rsidRDefault="00A32496">
      <w:pPr>
        <w:divId w:val="1640694140"/>
        <w:rPr>
          <w:rFonts w:eastAsia="Times New Roman"/>
        </w:rPr>
      </w:pPr>
      <w:r>
        <w:rPr>
          <w:rFonts w:eastAsia="Times New Roman"/>
          <w:sz w:val="20"/>
          <w:szCs w:val="20"/>
        </w:rPr>
        <w:t>•</w:t>
      </w:r>
    </w:p>
    <w:p w:rsidR="00000000" w:rsidRDefault="00A32496">
      <w:pPr>
        <w:divId w:val="1184782485"/>
        <w:rPr>
          <w:rFonts w:eastAsia="Times New Roman"/>
        </w:rPr>
      </w:pPr>
      <w:r>
        <w:rPr>
          <w:rFonts w:eastAsia="Times New Roman"/>
          <w:sz w:val="20"/>
          <w:szCs w:val="20"/>
        </w:rPr>
        <w:t>our history of losses and ability to achieve profitability;</w:t>
      </w:r>
      <w:r>
        <w:rPr>
          <w:rFonts w:eastAsia="Times New Roman"/>
          <w:sz w:val="20"/>
          <w:szCs w:val="20"/>
        </w:rPr>
        <w:t xml:space="preserve"> </w:t>
      </w:r>
    </w:p>
    <w:p w:rsidR="00000000" w:rsidRDefault="00A32496">
      <w:pPr>
        <w:divId w:val="1302728831"/>
        <w:rPr>
          <w:rFonts w:eastAsia="Times New Roman"/>
        </w:rPr>
      </w:pPr>
      <w:r>
        <w:rPr>
          <w:rFonts w:eastAsia="Times New Roman"/>
          <w:sz w:val="20"/>
          <w:szCs w:val="20"/>
        </w:rPr>
        <w:t>•</w:t>
      </w:r>
    </w:p>
    <w:p w:rsidR="00000000" w:rsidRDefault="00A32496">
      <w:pPr>
        <w:divId w:val="1794444508"/>
        <w:rPr>
          <w:rFonts w:eastAsia="Times New Roman"/>
        </w:rPr>
      </w:pPr>
      <w:r>
        <w:rPr>
          <w:rFonts w:eastAsia="Times New Roman"/>
          <w:sz w:val="20"/>
          <w:szCs w:val="20"/>
        </w:rPr>
        <w:t>general global economic, business and other conditions, including inflation, the cyclical nature of our industry and the significant fluctuations in events that impact our business</w:t>
      </w:r>
      <w:r>
        <w:rPr>
          <w:rFonts w:eastAsia="Times New Roman"/>
          <w:sz w:val="20"/>
          <w:szCs w:val="20"/>
        </w:rPr>
        <w:t>;</w:t>
      </w:r>
    </w:p>
    <w:p w:rsidR="00000000" w:rsidRDefault="00A32496">
      <w:pPr>
        <w:divId w:val="590551075"/>
        <w:rPr>
          <w:rFonts w:eastAsia="Times New Roman"/>
        </w:rPr>
      </w:pPr>
      <w:r>
        <w:rPr>
          <w:rFonts w:eastAsia="Times New Roman"/>
          <w:sz w:val="20"/>
          <w:szCs w:val="20"/>
        </w:rPr>
        <w:t>•</w:t>
      </w:r>
    </w:p>
    <w:p w:rsidR="00000000" w:rsidRDefault="00A32496">
      <w:pPr>
        <w:divId w:val="1972901246"/>
        <w:rPr>
          <w:rFonts w:eastAsia="Times New Roman"/>
        </w:rPr>
      </w:pPr>
      <w:r>
        <w:rPr>
          <w:rFonts w:eastAsia="Times New Roman"/>
          <w:sz w:val="20"/>
          <w:szCs w:val="20"/>
        </w:rPr>
        <w:t>the impact of the COVID-19 pandemic on our business operations and on lo</w:t>
      </w:r>
      <w:r>
        <w:rPr>
          <w:rFonts w:eastAsia="Times New Roman"/>
          <w:sz w:val="20"/>
          <w:szCs w:val="20"/>
        </w:rPr>
        <w:t>cal, national and global economies</w:t>
      </w:r>
      <w:r>
        <w:rPr>
          <w:rFonts w:eastAsia="Times New Roman"/>
          <w:sz w:val="20"/>
          <w:szCs w:val="20"/>
        </w:rPr>
        <w:t>;</w:t>
      </w:r>
    </w:p>
    <w:p w:rsidR="00000000" w:rsidRDefault="00A32496">
      <w:pPr>
        <w:divId w:val="151604387"/>
        <w:rPr>
          <w:rFonts w:eastAsia="Times New Roman"/>
        </w:rPr>
      </w:pPr>
      <w:r>
        <w:rPr>
          <w:rFonts w:eastAsia="Times New Roman"/>
          <w:sz w:val="20"/>
          <w:szCs w:val="20"/>
        </w:rPr>
        <w:t>•</w:t>
      </w:r>
    </w:p>
    <w:p w:rsidR="00000000" w:rsidRDefault="00A32496">
      <w:pPr>
        <w:divId w:val="62217990"/>
        <w:rPr>
          <w:rFonts w:eastAsia="Times New Roman"/>
        </w:rPr>
      </w:pPr>
      <w:r>
        <w:rPr>
          <w:rFonts w:eastAsia="Times New Roman"/>
          <w:sz w:val="20"/>
          <w:szCs w:val="20"/>
        </w:rPr>
        <w:t>the parts of our business that depend on difficult to predict natural or manmade events and the fluctuations in our revenue and customer concentration as a result thereof</w:t>
      </w:r>
      <w:r>
        <w:rPr>
          <w:rFonts w:eastAsia="Times New Roman"/>
          <w:sz w:val="20"/>
          <w:szCs w:val="20"/>
        </w:rPr>
        <w:t>;</w:t>
      </w:r>
    </w:p>
    <w:p w:rsidR="00000000" w:rsidRDefault="00A32496">
      <w:pPr>
        <w:divId w:val="989938934"/>
        <w:rPr>
          <w:rFonts w:eastAsia="Times New Roman"/>
        </w:rPr>
      </w:pPr>
      <w:r>
        <w:rPr>
          <w:rFonts w:eastAsia="Times New Roman"/>
          <w:sz w:val="20"/>
          <w:szCs w:val="20"/>
        </w:rPr>
        <w:t>•</w:t>
      </w:r>
    </w:p>
    <w:p w:rsidR="00000000" w:rsidRDefault="00A32496">
      <w:pPr>
        <w:divId w:val="460150331"/>
        <w:rPr>
          <w:rFonts w:eastAsia="Times New Roman"/>
        </w:rPr>
      </w:pPr>
      <w:r>
        <w:rPr>
          <w:rFonts w:eastAsia="Times New Roman"/>
          <w:sz w:val="20"/>
          <w:szCs w:val="20"/>
        </w:rPr>
        <w:t>the highly competitive nature of our busines</w:t>
      </w:r>
      <w:r>
        <w:rPr>
          <w:rFonts w:eastAsia="Times New Roman"/>
          <w:sz w:val="20"/>
          <w:szCs w:val="20"/>
        </w:rPr>
        <w:t>s</w:t>
      </w:r>
      <w:r>
        <w:rPr>
          <w:rFonts w:eastAsia="Times New Roman"/>
          <w:sz w:val="20"/>
          <w:szCs w:val="20"/>
        </w:rPr>
        <w:t>;</w:t>
      </w:r>
    </w:p>
    <w:p w:rsidR="00000000" w:rsidRDefault="00A32496">
      <w:pPr>
        <w:divId w:val="1615746138"/>
        <w:rPr>
          <w:rFonts w:eastAsia="Times New Roman"/>
        </w:rPr>
      </w:pPr>
      <w:r>
        <w:rPr>
          <w:rFonts w:eastAsia="Times New Roman"/>
          <w:sz w:val="20"/>
          <w:szCs w:val="20"/>
        </w:rPr>
        <w:t>•</w:t>
      </w:r>
    </w:p>
    <w:p w:rsidR="00000000" w:rsidRDefault="00A32496">
      <w:pPr>
        <w:divId w:val="798647028"/>
        <w:rPr>
          <w:rFonts w:eastAsia="Times New Roman"/>
        </w:rPr>
      </w:pPr>
      <w:r>
        <w:rPr>
          <w:rFonts w:eastAsia="Times New Roman"/>
          <w:sz w:val="20"/>
          <w:szCs w:val="20"/>
        </w:rPr>
        <w:t>our ability to execute on our acquisition strategy and successfully integrate and realize benefits of our acquisitions</w:t>
      </w:r>
      <w:r>
        <w:rPr>
          <w:rFonts w:eastAsia="Times New Roman"/>
          <w:sz w:val="20"/>
          <w:szCs w:val="20"/>
        </w:rPr>
        <w:t>;</w:t>
      </w:r>
    </w:p>
    <w:p w:rsidR="00000000" w:rsidRDefault="00A32496">
      <w:pPr>
        <w:divId w:val="1994485406"/>
        <w:rPr>
          <w:rFonts w:eastAsia="Times New Roman"/>
        </w:rPr>
      </w:pPr>
      <w:r>
        <w:rPr>
          <w:rFonts w:eastAsia="Times New Roman"/>
          <w:sz w:val="20"/>
          <w:szCs w:val="20"/>
        </w:rPr>
        <w:t>•</w:t>
      </w:r>
    </w:p>
    <w:p w:rsidR="00000000" w:rsidRDefault="00A32496">
      <w:pPr>
        <w:divId w:val="828250894"/>
        <w:rPr>
          <w:rFonts w:eastAsia="Times New Roman"/>
        </w:rPr>
      </w:pPr>
      <w:r>
        <w:rPr>
          <w:rFonts w:eastAsia="Times New Roman"/>
          <w:sz w:val="20"/>
          <w:szCs w:val="20"/>
        </w:rPr>
        <w:t>our ability to promote and develop our brands</w:t>
      </w:r>
      <w:r>
        <w:rPr>
          <w:rFonts w:eastAsia="Times New Roman"/>
          <w:sz w:val="20"/>
          <w:szCs w:val="20"/>
        </w:rPr>
        <w:t>;</w:t>
      </w:r>
    </w:p>
    <w:p w:rsidR="00000000" w:rsidRDefault="00A32496">
      <w:pPr>
        <w:divId w:val="865215866"/>
        <w:rPr>
          <w:rFonts w:eastAsia="Times New Roman"/>
        </w:rPr>
      </w:pPr>
      <w:r>
        <w:rPr>
          <w:rFonts w:eastAsia="Times New Roman"/>
          <w:sz w:val="20"/>
          <w:szCs w:val="20"/>
        </w:rPr>
        <w:t>•</w:t>
      </w:r>
    </w:p>
    <w:p w:rsidR="00000000" w:rsidRDefault="00A32496">
      <w:pPr>
        <w:divId w:val="1372338531"/>
        <w:rPr>
          <w:rFonts w:eastAsia="Times New Roman"/>
        </w:rPr>
      </w:pPr>
      <w:r>
        <w:rPr>
          <w:rFonts w:eastAsia="Times New Roman"/>
          <w:sz w:val="20"/>
          <w:szCs w:val="20"/>
        </w:rPr>
        <w:t>our ability to maintain and expand our client base</w:t>
      </w:r>
      <w:r>
        <w:rPr>
          <w:rFonts w:eastAsia="Times New Roman"/>
          <w:sz w:val="20"/>
          <w:szCs w:val="20"/>
        </w:rPr>
        <w:t>;</w:t>
      </w:r>
    </w:p>
    <w:p w:rsidR="00000000" w:rsidRDefault="00A32496">
      <w:pPr>
        <w:divId w:val="995189053"/>
        <w:rPr>
          <w:rFonts w:eastAsia="Times New Roman"/>
        </w:rPr>
      </w:pPr>
      <w:r>
        <w:rPr>
          <w:rFonts w:eastAsia="Times New Roman"/>
          <w:sz w:val="20"/>
          <w:szCs w:val="20"/>
        </w:rPr>
        <w:t>•</w:t>
      </w:r>
    </w:p>
    <w:p w:rsidR="00000000" w:rsidRDefault="00A32496">
      <w:pPr>
        <w:divId w:val="1407144307"/>
        <w:rPr>
          <w:rFonts w:eastAsia="Times New Roman"/>
        </w:rPr>
      </w:pPr>
      <w:r>
        <w:rPr>
          <w:rFonts w:eastAsia="Times New Roman"/>
          <w:sz w:val="20"/>
          <w:szCs w:val="20"/>
        </w:rPr>
        <w:t>our ability to maintain necessary accreditations and other authorizations in varying jurisdictions</w:t>
      </w:r>
      <w:r>
        <w:rPr>
          <w:rFonts w:eastAsia="Times New Roman"/>
          <w:sz w:val="20"/>
          <w:szCs w:val="20"/>
        </w:rPr>
        <w:t>;</w:t>
      </w:r>
    </w:p>
    <w:p w:rsidR="00000000" w:rsidRDefault="00A32496">
      <w:pPr>
        <w:divId w:val="1970815908"/>
        <w:rPr>
          <w:rFonts w:eastAsia="Times New Roman"/>
        </w:rPr>
      </w:pPr>
      <w:r>
        <w:rPr>
          <w:rFonts w:eastAsia="Times New Roman"/>
          <w:sz w:val="20"/>
          <w:szCs w:val="20"/>
        </w:rPr>
        <w:t>•</w:t>
      </w:r>
    </w:p>
    <w:p w:rsidR="00000000" w:rsidRDefault="00A32496">
      <w:pPr>
        <w:divId w:val="1989166361"/>
        <w:rPr>
          <w:rFonts w:eastAsia="Times New Roman"/>
        </w:rPr>
      </w:pPr>
      <w:r>
        <w:rPr>
          <w:rFonts w:eastAsia="Times New Roman"/>
          <w:sz w:val="20"/>
          <w:szCs w:val="20"/>
        </w:rPr>
        <w:t>significant environmental governmental regulation</w:t>
      </w:r>
      <w:r>
        <w:rPr>
          <w:rFonts w:eastAsia="Times New Roman"/>
          <w:sz w:val="20"/>
          <w:szCs w:val="20"/>
        </w:rPr>
        <w:t>;</w:t>
      </w:r>
    </w:p>
    <w:p w:rsidR="00000000" w:rsidRDefault="00A32496">
      <w:pPr>
        <w:divId w:val="1174953904"/>
        <w:rPr>
          <w:rFonts w:eastAsia="Times New Roman"/>
        </w:rPr>
      </w:pPr>
      <w:r>
        <w:rPr>
          <w:rFonts w:eastAsia="Times New Roman"/>
          <w:sz w:val="20"/>
          <w:szCs w:val="20"/>
        </w:rPr>
        <w:t>•</w:t>
      </w:r>
    </w:p>
    <w:p w:rsidR="00000000" w:rsidRDefault="00A32496">
      <w:pPr>
        <w:divId w:val="2016564722"/>
        <w:rPr>
          <w:rFonts w:eastAsia="Times New Roman"/>
        </w:rPr>
      </w:pPr>
      <w:r>
        <w:rPr>
          <w:rFonts w:eastAsia="Times New Roman"/>
          <w:sz w:val="20"/>
          <w:szCs w:val="20"/>
        </w:rPr>
        <w:t>our ability to attract and retain qualified man</w:t>
      </w:r>
      <w:r>
        <w:rPr>
          <w:rFonts w:eastAsia="Times New Roman"/>
          <w:sz w:val="20"/>
          <w:szCs w:val="20"/>
        </w:rPr>
        <w:t>agerial and skilled technical personnel</w:t>
      </w:r>
      <w:r>
        <w:rPr>
          <w:rFonts w:eastAsia="Times New Roman"/>
          <w:sz w:val="20"/>
          <w:szCs w:val="20"/>
        </w:rPr>
        <w:t>;</w:t>
      </w:r>
    </w:p>
    <w:p w:rsidR="00000000" w:rsidRDefault="00A32496">
      <w:pPr>
        <w:divId w:val="585458979"/>
        <w:rPr>
          <w:rFonts w:eastAsia="Times New Roman"/>
        </w:rPr>
      </w:pPr>
      <w:r>
        <w:rPr>
          <w:rFonts w:eastAsia="Times New Roman"/>
          <w:sz w:val="20"/>
          <w:szCs w:val="20"/>
        </w:rPr>
        <w:t>•</w:t>
      </w:r>
    </w:p>
    <w:p w:rsidR="00000000" w:rsidRDefault="00A32496">
      <w:pPr>
        <w:divId w:val="310255419"/>
        <w:rPr>
          <w:rFonts w:eastAsia="Times New Roman"/>
        </w:rPr>
      </w:pPr>
      <w:r>
        <w:rPr>
          <w:rFonts w:eastAsia="Times New Roman"/>
          <w:sz w:val="20"/>
          <w:szCs w:val="20"/>
        </w:rPr>
        <w:t>safety-related issues</w:t>
      </w:r>
      <w:r>
        <w:rPr>
          <w:rFonts w:eastAsia="Times New Roman"/>
          <w:sz w:val="20"/>
          <w:szCs w:val="20"/>
        </w:rPr>
        <w:t>;</w:t>
      </w:r>
    </w:p>
    <w:p w:rsidR="00000000" w:rsidRDefault="00A32496">
      <w:pPr>
        <w:divId w:val="1916549217"/>
        <w:rPr>
          <w:rFonts w:eastAsia="Times New Roman"/>
        </w:rPr>
      </w:pPr>
      <w:r>
        <w:rPr>
          <w:rFonts w:eastAsia="Times New Roman"/>
          <w:sz w:val="20"/>
          <w:szCs w:val="20"/>
        </w:rPr>
        <w:t>•</w:t>
      </w:r>
    </w:p>
    <w:p w:rsidR="00000000" w:rsidRDefault="00A32496">
      <w:pPr>
        <w:divId w:val="653335704"/>
        <w:rPr>
          <w:rFonts w:eastAsia="Times New Roman"/>
        </w:rPr>
      </w:pPr>
      <w:r>
        <w:rPr>
          <w:rFonts w:eastAsia="Times New Roman"/>
          <w:sz w:val="20"/>
          <w:szCs w:val="20"/>
        </w:rPr>
        <w:t>allegations regarding compliance with professional standards, duties and statutory obligations and our ability to provide accurate results</w:t>
      </w:r>
      <w:r>
        <w:rPr>
          <w:rFonts w:eastAsia="Times New Roman"/>
          <w:sz w:val="20"/>
          <w:szCs w:val="20"/>
        </w:rPr>
        <w:t>;</w:t>
      </w:r>
    </w:p>
    <w:p w:rsidR="00000000" w:rsidRDefault="00A32496">
      <w:pPr>
        <w:divId w:val="1577284770"/>
        <w:rPr>
          <w:rFonts w:eastAsia="Times New Roman"/>
        </w:rPr>
      </w:pPr>
      <w:r>
        <w:rPr>
          <w:rFonts w:eastAsia="Times New Roman"/>
          <w:sz w:val="20"/>
          <w:szCs w:val="20"/>
        </w:rPr>
        <w:t>•</w:t>
      </w:r>
    </w:p>
    <w:p w:rsidR="00000000" w:rsidRDefault="00A32496">
      <w:pPr>
        <w:divId w:val="1874615805"/>
        <w:rPr>
          <w:rFonts w:eastAsia="Times New Roman"/>
        </w:rPr>
      </w:pPr>
      <w:r>
        <w:rPr>
          <w:rFonts w:eastAsia="Times New Roman"/>
          <w:sz w:val="20"/>
          <w:szCs w:val="20"/>
        </w:rPr>
        <w:t>the lack of formal long-term agreements with m</w:t>
      </w:r>
      <w:r>
        <w:rPr>
          <w:rFonts w:eastAsia="Times New Roman"/>
          <w:sz w:val="20"/>
          <w:szCs w:val="20"/>
        </w:rPr>
        <w:t>any of our clients</w:t>
      </w:r>
      <w:r>
        <w:rPr>
          <w:rFonts w:eastAsia="Times New Roman"/>
          <w:sz w:val="20"/>
          <w:szCs w:val="20"/>
        </w:rPr>
        <w:t>;</w:t>
      </w:r>
    </w:p>
    <w:p w:rsidR="00000000" w:rsidRDefault="00A32496">
      <w:pPr>
        <w:divId w:val="804396621"/>
        <w:rPr>
          <w:rFonts w:eastAsia="Times New Roman"/>
        </w:rPr>
      </w:pPr>
      <w:r>
        <w:rPr>
          <w:rFonts w:eastAsia="Times New Roman"/>
          <w:sz w:val="20"/>
          <w:szCs w:val="20"/>
        </w:rPr>
        <w:t>•</w:t>
      </w:r>
    </w:p>
    <w:p w:rsidR="00000000" w:rsidRDefault="00A32496">
      <w:pPr>
        <w:divId w:val="482895630"/>
        <w:rPr>
          <w:rFonts w:eastAsia="Times New Roman"/>
        </w:rPr>
      </w:pPr>
      <w:r>
        <w:rPr>
          <w:rFonts w:eastAsia="Times New Roman"/>
          <w:sz w:val="20"/>
          <w:szCs w:val="20"/>
        </w:rPr>
        <w:t>our ability to adapt to changing technology, industry standards or regulatory requirements</w:t>
      </w:r>
      <w:r>
        <w:rPr>
          <w:rFonts w:eastAsia="Times New Roman"/>
          <w:sz w:val="20"/>
          <w:szCs w:val="20"/>
        </w:rPr>
        <w:t>;</w:t>
      </w:r>
    </w:p>
    <w:p w:rsidR="00000000" w:rsidRDefault="00A32496">
      <w:pPr>
        <w:divId w:val="664477361"/>
        <w:rPr>
          <w:rFonts w:eastAsia="Times New Roman"/>
        </w:rPr>
      </w:pPr>
      <w:r>
        <w:rPr>
          <w:rFonts w:eastAsia="Times New Roman"/>
          <w:sz w:val="20"/>
          <w:szCs w:val="20"/>
        </w:rPr>
        <w:t>•</w:t>
      </w:r>
    </w:p>
    <w:p w:rsidR="00000000" w:rsidRDefault="00A32496">
      <w:pPr>
        <w:divId w:val="2033337009"/>
        <w:rPr>
          <w:rFonts w:eastAsia="Times New Roman"/>
        </w:rPr>
      </w:pPr>
      <w:r>
        <w:rPr>
          <w:rFonts w:eastAsia="Times New Roman"/>
          <w:sz w:val="20"/>
          <w:szCs w:val="20"/>
        </w:rPr>
        <w:t>government clients and contracts</w:t>
      </w:r>
      <w:r>
        <w:rPr>
          <w:rFonts w:eastAsia="Times New Roman"/>
          <w:sz w:val="20"/>
          <w:szCs w:val="20"/>
        </w:rPr>
        <w:t>;</w:t>
      </w:r>
    </w:p>
    <w:p w:rsidR="00000000" w:rsidRDefault="00A32496">
      <w:pPr>
        <w:divId w:val="81151650"/>
        <w:rPr>
          <w:rFonts w:eastAsia="Times New Roman"/>
        </w:rPr>
      </w:pPr>
      <w:r>
        <w:rPr>
          <w:rFonts w:eastAsia="Times New Roman"/>
          <w:sz w:val="20"/>
          <w:szCs w:val="20"/>
        </w:rPr>
        <w:t>•</w:t>
      </w:r>
    </w:p>
    <w:p w:rsidR="00000000" w:rsidRDefault="00A32496">
      <w:pPr>
        <w:divId w:val="156045867"/>
        <w:rPr>
          <w:rFonts w:eastAsia="Times New Roman"/>
        </w:rPr>
      </w:pPr>
      <w:r>
        <w:rPr>
          <w:rFonts w:eastAsia="Times New Roman"/>
          <w:sz w:val="20"/>
          <w:szCs w:val="20"/>
        </w:rPr>
        <w:t>our ability to maintain our prices and manage costs;</w:t>
      </w:r>
      <w:r>
        <w:rPr>
          <w:rFonts w:eastAsia="Times New Roman"/>
          <w:sz w:val="20"/>
          <w:szCs w:val="20"/>
        </w:rPr>
        <w:t xml:space="preserve"> </w:t>
      </w:r>
    </w:p>
    <w:p w:rsidR="00000000" w:rsidRDefault="00A32496">
      <w:pPr>
        <w:divId w:val="959382824"/>
        <w:rPr>
          <w:rFonts w:eastAsia="Times New Roman"/>
        </w:rPr>
      </w:pPr>
      <w:r>
        <w:rPr>
          <w:rFonts w:eastAsia="Times New Roman"/>
          <w:sz w:val="20"/>
          <w:szCs w:val="20"/>
        </w:rPr>
        <w:t>•</w:t>
      </w:r>
    </w:p>
    <w:p w:rsidR="00000000" w:rsidRDefault="00A32496">
      <w:pPr>
        <w:divId w:val="1054159947"/>
        <w:rPr>
          <w:rFonts w:eastAsia="Times New Roman"/>
        </w:rPr>
      </w:pPr>
      <w:r>
        <w:rPr>
          <w:rFonts w:eastAsia="Times New Roman"/>
          <w:sz w:val="20"/>
          <w:szCs w:val="20"/>
        </w:rPr>
        <w:t>our ability to protect our intellectual property or claims that we infringe on the intellectual property rights of others</w:t>
      </w:r>
      <w:r>
        <w:rPr>
          <w:rFonts w:eastAsia="Times New Roman"/>
          <w:sz w:val="20"/>
          <w:szCs w:val="20"/>
        </w:rPr>
        <w:t>;</w:t>
      </w:r>
    </w:p>
    <w:p w:rsidR="00000000" w:rsidRDefault="00A32496">
      <w:pPr>
        <w:divId w:val="1180853235"/>
        <w:rPr>
          <w:rFonts w:eastAsia="Times New Roman"/>
        </w:rPr>
      </w:pPr>
      <w:r>
        <w:rPr>
          <w:rFonts w:eastAsia="Times New Roman"/>
          <w:sz w:val="20"/>
          <w:szCs w:val="20"/>
        </w:rPr>
        <w:t>•</w:t>
      </w:r>
    </w:p>
    <w:p w:rsidR="00000000" w:rsidRDefault="00A32496">
      <w:pPr>
        <w:divId w:val="1524324250"/>
        <w:rPr>
          <w:rFonts w:eastAsia="Times New Roman"/>
        </w:rPr>
      </w:pPr>
      <w:r>
        <w:rPr>
          <w:rFonts w:eastAsia="Times New Roman"/>
          <w:sz w:val="20"/>
          <w:szCs w:val="20"/>
        </w:rPr>
        <w:t>laws and regulations regarding handling of confidential information</w:t>
      </w:r>
      <w:r>
        <w:rPr>
          <w:rFonts w:eastAsia="Times New Roman"/>
          <w:sz w:val="20"/>
          <w:szCs w:val="20"/>
        </w:rPr>
        <w:t>;</w:t>
      </w:r>
    </w:p>
    <w:p w:rsidR="00000000" w:rsidRDefault="00A32496">
      <w:pPr>
        <w:divId w:val="1278832301"/>
        <w:rPr>
          <w:rFonts w:eastAsia="Times New Roman"/>
        </w:rPr>
      </w:pPr>
      <w:r>
        <w:rPr>
          <w:rFonts w:eastAsia="Times New Roman"/>
          <w:sz w:val="20"/>
          <w:szCs w:val="20"/>
        </w:rPr>
        <w:t>•</w:t>
      </w:r>
    </w:p>
    <w:p w:rsidR="00000000" w:rsidRDefault="00A32496">
      <w:pPr>
        <w:divId w:val="2060469178"/>
        <w:rPr>
          <w:rFonts w:eastAsia="Times New Roman"/>
        </w:rPr>
      </w:pPr>
      <w:r>
        <w:rPr>
          <w:rFonts w:eastAsia="Times New Roman"/>
          <w:sz w:val="20"/>
          <w:szCs w:val="20"/>
        </w:rPr>
        <w:t>any failure in or breach of our networks and systems or othe</w:t>
      </w:r>
      <w:r>
        <w:rPr>
          <w:rFonts w:eastAsia="Times New Roman"/>
          <w:sz w:val="20"/>
          <w:szCs w:val="20"/>
        </w:rPr>
        <w:t>r forms of cyber-attack</w:t>
      </w:r>
      <w:r>
        <w:rPr>
          <w:rFonts w:eastAsia="Times New Roman"/>
          <w:sz w:val="20"/>
          <w:szCs w:val="20"/>
        </w:rPr>
        <w:t>;</w:t>
      </w:r>
    </w:p>
    <w:p w:rsidR="00000000" w:rsidRDefault="00A32496">
      <w:pPr>
        <w:divId w:val="519272656"/>
        <w:rPr>
          <w:rFonts w:eastAsia="Times New Roman"/>
        </w:rPr>
      </w:pPr>
      <w:r>
        <w:rPr>
          <w:rFonts w:eastAsia="Times New Roman"/>
          <w:sz w:val="20"/>
          <w:szCs w:val="20"/>
        </w:rPr>
        <w:t>•</w:t>
      </w:r>
    </w:p>
    <w:p w:rsidR="00000000" w:rsidRDefault="00A32496">
      <w:pPr>
        <w:divId w:val="2059083645"/>
        <w:rPr>
          <w:rFonts w:eastAsia="Times New Roman"/>
        </w:rPr>
      </w:pPr>
      <w:r>
        <w:rPr>
          <w:rFonts w:eastAsia="Times New Roman"/>
          <w:sz w:val="20"/>
          <w:szCs w:val="20"/>
        </w:rPr>
        <w:t>our international operations</w:t>
      </w:r>
      <w:r>
        <w:rPr>
          <w:rFonts w:eastAsia="Times New Roman"/>
          <w:sz w:val="20"/>
          <w:szCs w:val="20"/>
        </w:rPr>
        <w:t>;</w:t>
      </w:r>
    </w:p>
    <w:p w:rsidR="00000000" w:rsidRDefault="00A32496">
      <w:pPr>
        <w:divId w:val="714810811"/>
        <w:rPr>
          <w:rFonts w:eastAsia="Times New Roman"/>
        </w:rPr>
      </w:pPr>
      <w:r>
        <w:rPr>
          <w:rFonts w:eastAsia="Times New Roman"/>
          <w:sz w:val="20"/>
          <w:szCs w:val="20"/>
        </w:rPr>
        <w:t>•</w:t>
      </w:r>
    </w:p>
    <w:p w:rsidR="00000000" w:rsidRDefault="00A32496">
      <w:pPr>
        <w:divId w:val="2058819183"/>
        <w:rPr>
          <w:rFonts w:eastAsia="Times New Roman"/>
        </w:rPr>
      </w:pPr>
      <w:r>
        <w:rPr>
          <w:rFonts w:eastAsia="Times New Roman"/>
          <w:sz w:val="20"/>
          <w:szCs w:val="20"/>
        </w:rPr>
        <w:t>product related risks</w:t>
      </w:r>
      <w:r>
        <w:rPr>
          <w:rFonts w:eastAsia="Times New Roman"/>
          <w:sz w:val="20"/>
          <w:szCs w:val="20"/>
        </w:rPr>
        <w:t>;</w:t>
      </w:r>
    </w:p>
    <w:p w:rsidR="00000000" w:rsidRDefault="00A32496">
      <w:pPr>
        <w:divId w:val="230385810"/>
        <w:rPr>
          <w:rFonts w:eastAsia="Times New Roman"/>
        </w:rPr>
      </w:pPr>
      <w:r>
        <w:rPr>
          <w:rFonts w:eastAsia="Times New Roman"/>
          <w:sz w:val="20"/>
          <w:szCs w:val="20"/>
        </w:rPr>
        <w:t>•</w:t>
      </w:r>
    </w:p>
    <w:p w:rsidR="00000000" w:rsidRDefault="00A32496">
      <w:pPr>
        <w:divId w:val="407384338"/>
        <w:rPr>
          <w:rFonts w:eastAsia="Times New Roman"/>
        </w:rPr>
      </w:pPr>
      <w:r>
        <w:rPr>
          <w:rFonts w:eastAsia="Times New Roman"/>
          <w:sz w:val="20"/>
          <w:szCs w:val="20"/>
        </w:rPr>
        <w:t>environmental regulations and liabilities; an</w:t>
      </w:r>
      <w:r>
        <w:rPr>
          <w:rFonts w:eastAsia="Times New Roman"/>
          <w:sz w:val="20"/>
          <w:szCs w:val="20"/>
        </w:rPr>
        <w:t>d</w:t>
      </w:r>
    </w:p>
    <w:p w:rsidR="00000000" w:rsidRDefault="00A32496">
      <w:pPr>
        <w:divId w:val="474686627"/>
        <w:rPr>
          <w:rFonts w:eastAsia="Times New Roman"/>
        </w:rPr>
      </w:pPr>
      <w:r>
        <w:rPr>
          <w:rFonts w:eastAsia="Times New Roman"/>
          <w:sz w:val="20"/>
          <w:szCs w:val="20"/>
        </w:rPr>
        <w:t>•</w:t>
      </w:r>
    </w:p>
    <w:p w:rsidR="00000000" w:rsidRDefault="00A32496">
      <w:pPr>
        <w:divId w:val="1099302339"/>
        <w:rPr>
          <w:rFonts w:eastAsia="Times New Roman"/>
        </w:rPr>
      </w:pPr>
      <w:r>
        <w:rPr>
          <w:rFonts w:eastAsia="Times New Roman"/>
          <w:sz w:val="20"/>
          <w:szCs w:val="20"/>
        </w:rPr>
        <w:t>additional factors discussed in our filings with the Securities and Exchange Commission, or the SEC</w:t>
      </w:r>
      <w:r>
        <w:rPr>
          <w:rFonts w:eastAsia="Times New Roman"/>
          <w:sz w:val="20"/>
          <w:szCs w:val="20"/>
        </w:rPr>
        <w:t>.</w:t>
      </w:r>
    </w:p>
    <w:p w:rsidR="00000000" w:rsidRDefault="00A32496">
      <w:pPr>
        <w:pStyle w:val="a3"/>
        <w:spacing w:before="240" w:beforeAutospacing="0" w:after="0" w:afterAutospacing="0"/>
        <w:jc w:val="center"/>
        <w:rPr>
          <w:sz w:val="20"/>
          <w:szCs w:val="20"/>
        </w:rPr>
      </w:pPr>
      <w:r>
        <w:rPr>
          <w:sz w:val="20"/>
          <w:szCs w:val="20"/>
        </w:rPr>
        <w:t>3</w:t>
      </w:r>
      <w:r>
        <w:rPr>
          <w:sz w:val="20"/>
          <w:szCs w:val="20"/>
        </w:rPr>
        <w:t>1</w:t>
      </w:r>
    </w:p>
    <w:p w:rsidR="00000000" w:rsidRDefault="00A32496">
      <w:pPr>
        <w:rPr>
          <w:rFonts w:eastAsia="Times New Roman"/>
        </w:rPr>
      </w:pPr>
      <w:r>
        <w:rPr>
          <w:rFonts w:eastAsia="Times New Roman"/>
        </w:rPr>
        <w:pict>
          <v:rect id="_x0000_i1057" style="width:0;height:1.5pt" o:hralign="center" o:hrstd="t" o:hr="t" fillcolor="#a0a0a0" stroked="f"/>
        </w:pict>
      </w:r>
    </w:p>
    <w:p w:rsidR="00000000" w:rsidRDefault="00A32496">
      <w:pPr>
        <w:pStyle w:val="a3"/>
        <w:spacing w:before="0" w:beforeAutospacing="0" w:after="0" w:afterAutospacing="0"/>
        <w:rPr>
          <w:sz w:val="20"/>
          <w:szCs w:val="20"/>
        </w:rPr>
      </w:pPr>
      <w:r>
        <w:rPr>
          <w:sz w:val="20"/>
          <w:szCs w:val="20"/>
        </w:rPr>
        <w:t> </w:t>
      </w:r>
    </w:p>
    <w:p w:rsidR="00000000" w:rsidRDefault="00A32496">
      <w:pPr>
        <w:pStyle w:val="a3"/>
        <w:spacing w:before="240" w:beforeAutospacing="0" w:after="0" w:afterAutospacing="0"/>
        <w:ind w:firstLine="555"/>
        <w:rPr>
          <w:sz w:val="20"/>
          <w:szCs w:val="20"/>
        </w:rPr>
      </w:pPr>
      <w:r>
        <w:rPr>
          <w:sz w:val="20"/>
          <w:szCs w:val="20"/>
        </w:rPr>
        <w:t>The forward-looking statements in this Quarterly Report on Form 10-Q are based on historical performance and management’s current plans, estimates and expectations in light of information currently available to us and are subject to unc</w:t>
      </w:r>
      <w:r>
        <w:rPr>
          <w:sz w:val="20"/>
          <w:szCs w:val="20"/>
        </w:rPr>
        <w:t>ertainty and changes in circumstances. There can be no assurance that future developments affecting us will be those that we have anticipated. Actual results or outcomes may differ materially from these expectations due to changes in global, regional or lo</w:t>
      </w:r>
      <w:r>
        <w:rPr>
          <w:sz w:val="20"/>
          <w:szCs w:val="20"/>
        </w:rPr>
        <w:t xml:space="preserve">cal political, economic, business, competitive, market, regulatory and other factors, many of which are beyond our control, as well as the other factors described in Item 1A. “Risk Factors” in our Annual Report on Form 10-K for the year ended December 31, </w:t>
      </w:r>
      <w:r>
        <w:rPr>
          <w:sz w:val="20"/>
          <w:szCs w:val="20"/>
        </w:rPr>
        <w:t>2021 filed with the SEC on March 1, 2022, or the 2021 Form 10-K. Further, many of these factors are, and may continue to be, amplified by the COVID-19 pandemic</w:t>
      </w:r>
      <w:r>
        <w:rPr>
          <w:sz w:val="20"/>
          <w:szCs w:val="20"/>
        </w:rPr>
        <w:t>.</w:t>
      </w:r>
      <w:r>
        <w:rPr>
          <w:sz w:val="20"/>
          <w:szCs w:val="20"/>
        </w:rPr>
        <w:t xml:space="preserve"> </w:t>
      </w:r>
    </w:p>
    <w:p w:rsidR="00000000" w:rsidRDefault="00A32496">
      <w:pPr>
        <w:pStyle w:val="a3"/>
        <w:spacing w:before="240" w:beforeAutospacing="0" w:after="0" w:afterAutospacing="0"/>
        <w:ind w:firstLine="555"/>
        <w:rPr>
          <w:sz w:val="20"/>
          <w:szCs w:val="20"/>
        </w:rPr>
      </w:pPr>
      <w:r>
        <w:rPr>
          <w:sz w:val="20"/>
          <w:szCs w:val="20"/>
        </w:rPr>
        <w:t>Additional factors or events that could cause our actual results or outcomes to differ may als</w:t>
      </w:r>
      <w:r>
        <w:rPr>
          <w:sz w:val="20"/>
          <w:szCs w:val="20"/>
        </w:rPr>
        <w:t>o emerge from time to time, and it is not possible for us to predict all of them. In addition, historical, current and forward-looking sustainability-related statements may be based on standards for measuring progress that are still developing, internal co</w:t>
      </w:r>
      <w:r>
        <w:rPr>
          <w:sz w:val="20"/>
          <w:szCs w:val="20"/>
        </w:rPr>
        <w:t>ntrols and processes that continue to evolve, and assumptions that are subject to change in the future. Should one or more of these risks or uncertainties materialize, or should any of our assumptions prove to be incorrect, our actual results or outcomes m</w:t>
      </w:r>
      <w:r>
        <w:rPr>
          <w:sz w:val="20"/>
          <w:szCs w:val="20"/>
        </w:rPr>
        <w:t>ay vary in material respects from what we may have expressed or implied by any forward-looking statement and, therefore, you should not regard any forward-looking statement as a representation or warranty by us or any other person that we will successfully</w:t>
      </w:r>
      <w:r>
        <w:rPr>
          <w:sz w:val="20"/>
          <w:szCs w:val="20"/>
        </w:rPr>
        <w:t xml:space="preserve"> achieve the expectation, plan or objective expressed in such forward-looking statement in any specified time frame, or at all. We caution that you should not place undue reliance on any of our forward-looking statements. Any forward-looking statement made</w:t>
      </w:r>
      <w:r>
        <w:rPr>
          <w:sz w:val="20"/>
          <w:szCs w:val="20"/>
        </w:rPr>
        <w:t xml:space="preserve"> by us speaks only as of the date on which we make it. We undertake no obligation to publicly update any forward-looking statement, whether as a result of new information, future developments or otherwise, except as may be required by applicable securities</w:t>
      </w:r>
      <w:r>
        <w:rPr>
          <w:sz w:val="20"/>
          <w:szCs w:val="20"/>
        </w:rPr>
        <w:t xml:space="preserve"> laws</w:t>
      </w:r>
      <w:r>
        <w:rPr>
          <w:sz w:val="20"/>
          <w:szCs w:val="20"/>
        </w:rPr>
        <w:t>.</w:t>
      </w:r>
    </w:p>
    <w:p w:rsidR="00000000" w:rsidRDefault="00A32496">
      <w:pPr>
        <w:pStyle w:val="a3"/>
        <w:spacing w:before="0" w:beforeAutospacing="0" w:after="0" w:afterAutospacing="0"/>
        <w:rPr>
          <w:sz w:val="20"/>
          <w:szCs w:val="20"/>
        </w:rPr>
      </w:pPr>
      <w:r>
        <w:rPr>
          <w:sz w:val="20"/>
          <w:szCs w:val="20"/>
        </w:rPr>
        <w:t> </w:t>
      </w:r>
    </w:p>
    <w:p w:rsidR="00000000" w:rsidRDefault="00A32496">
      <w:pPr>
        <w:pStyle w:val="a3"/>
        <w:spacing w:before="240" w:beforeAutospacing="0" w:after="0" w:afterAutospacing="0"/>
        <w:jc w:val="center"/>
        <w:rPr>
          <w:sz w:val="20"/>
          <w:szCs w:val="20"/>
        </w:rPr>
      </w:pPr>
      <w:r>
        <w:rPr>
          <w:sz w:val="20"/>
          <w:szCs w:val="20"/>
        </w:rPr>
        <w:t>3</w:t>
      </w:r>
      <w:r>
        <w:rPr>
          <w:sz w:val="20"/>
          <w:szCs w:val="20"/>
        </w:rPr>
        <w:t>2</w:t>
      </w:r>
    </w:p>
    <w:p w:rsidR="00000000" w:rsidRDefault="00A32496">
      <w:pPr>
        <w:rPr>
          <w:rFonts w:eastAsia="Times New Roman"/>
        </w:rPr>
      </w:pPr>
      <w:r>
        <w:rPr>
          <w:rFonts w:eastAsia="Times New Roman"/>
        </w:rPr>
        <w:pict>
          <v:rect id="_x0000_i1058" style="width:0;height:1.5pt" o:hralign="center" o:hrstd="t" o:hr="t" fillcolor="#a0a0a0" stroked="f"/>
        </w:pict>
      </w:r>
    </w:p>
    <w:p w:rsidR="00000000" w:rsidRDefault="00A32496">
      <w:pPr>
        <w:pStyle w:val="a3"/>
        <w:spacing w:before="0" w:beforeAutospacing="0" w:after="0" w:afterAutospacing="0"/>
        <w:rPr>
          <w:sz w:val="20"/>
          <w:szCs w:val="20"/>
        </w:rPr>
      </w:pPr>
      <w:r>
        <w:rPr>
          <w:sz w:val="20"/>
          <w:szCs w:val="20"/>
        </w:rPr>
        <w:t> </w:t>
      </w:r>
    </w:p>
    <w:p w:rsidR="00000000" w:rsidRDefault="00A32496">
      <w:pPr>
        <w:pStyle w:val="a3"/>
        <w:spacing w:before="0" w:beforeAutospacing="0" w:after="0" w:afterAutospacing="0"/>
        <w:rPr>
          <w:sz w:val="20"/>
          <w:szCs w:val="20"/>
        </w:rPr>
      </w:pPr>
      <w:r>
        <w:rPr>
          <w:b/>
          <w:bCs/>
          <w:sz w:val="20"/>
          <w:szCs w:val="20"/>
        </w:rPr>
        <w:t>Item 2. Management’s Discussion and Analysis o</w:t>
      </w:r>
      <w:r>
        <w:rPr>
          <w:b/>
          <w:bCs/>
          <w:sz w:val="20"/>
          <w:szCs w:val="20"/>
        </w:rPr>
        <w:t>f</w:t>
      </w:r>
      <w:r>
        <w:rPr>
          <w:b/>
          <w:bCs/>
          <w:sz w:val="20"/>
          <w:szCs w:val="20"/>
        </w:rPr>
        <w:t xml:space="preserve"> Financial Condition and Results of Operations</w:t>
      </w:r>
      <w:r>
        <w:rPr>
          <w:b/>
          <w:bCs/>
          <w:sz w:val="20"/>
          <w:szCs w:val="20"/>
        </w:rPr>
        <w:t>.</w:t>
      </w:r>
    </w:p>
    <w:p w:rsidR="00000000" w:rsidRDefault="00A32496">
      <w:pPr>
        <w:pStyle w:val="a3"/>
        <w:spacing w:before="120" w:beforeAutospacing="0" w:after="0" w:afterAutospacing="0"/>
        <w:ind w:firstLine="555"/>
        <w:rPr>
          <w:sz w:val="20"/>
          <w:szCs w:val="20"/>
        </w:rPr>
      </w:pPr>
      <w:r>
        <w:rPr>
          <w:i/>
          <w:iCs/>
          <w:sz w:val="20"/>
          <w:szCs w:val="20"/>
        </w:rPr>
        <w:t xml:space="preserve">The following discussion and analysis of our financial condition and results of operations should be read in conjunction with our historical audited and unaudited consolidated financial statements and related notes and other information included elsewhere </w:t>
      </w:r>
      <w:r>
        <w:rPr>
          <w:i/>
          <w:iCs/>
          <w:sz w:val="20"/>
          <w:szCs w:val="20"/>
        </w:rPr>
        <w:t>in this filing and our other filings with the SEC, including our unaudited condensed consolidated financial statements and the accompanying notes as of and for the three and nine months ended September 30, 2022 and September 30, 2021 included in Part I, It</w:t>
      </w:r>
      <w:r>
        <w:rPr>
          <w:i/>
          <w:iCs/>
          <w:sz w:val="20"/>
          <w:szCs w:val="20"/>
        </w:rPr>
        <w:t>em 1. “Financial Statements” in this Quarterly Report on Form 10-Q. This discussion contains forward-looking statements that involve risks and uncertainties. Our actual results could differ materially from such forward-looking statements. Factors that coul</w:t>
      </w:r>
      <w:r>
        <w:rPr>
          <w:i/>
          <w:iCs/>
          <w:sz w:val="20"/>
          <w:szCs w:val="20"/>
        </w:rPr>
        <w:t xml:space="preserve">d cause or contribute to those differences include, but are not limited to, those identified below and those discussed in the section entitled “Forward-Looking Statements”, and elsewhere in this filing and our other filings with the SEC, including in Item </w:t>
      </w:r>
      <w:r>
        <w:rPr>
          <w:i/>
          <w:iCs/>
          <w:sz w:val="20"/>
          <w:szCs w:val="20"/>
        </w:rPr>
        <w:t>1A. Risk Factors in the 2021 Form 10-K</w:t>
      </w:r>
      <w:r>
        <w:rPr>
          <w:i/>
          <w:iCs/>
          <w:sz w:val="20"/>
          <w:szCs w:val="20"/>
        </w:rPr>
        <w:t>.</w:t>
      </w:r>
      <w:r>
        <w:rPr>
          <w:i/>
          <w:iCs/>
          <w:sz w:val="20"/>
          <w:szCs w:val="20"/>
        </w:rPr>
        <w:t xml:space="preserve"> </w:t>
      </w:r>
    </w:p>
    <w:p w:rsidR="00000000" w:rsidRDefault="00A32496">
      <w:pPr>
        <w:pStyle w:val="a3"/>
        <w:spacing w:before="360" w:beforeAutospacing="0" w:after="0" w:afterAutospacing="0"/>
        <w:rPr>
          <w:sz w:val="20"/>
          <w:szCs w:val="20"/>
        </w:rPr>
      </w:pPr>
      <w:r>
        <w:rPr>
          <w:b/>
          <w:bCs/>
          <w:sz w:val="20"/>
          <w:szCs w:val="20"/>
        </w:rPr>
        <w:t>Overvie</w:t>
      </w:r>
      <w:r>
        <w:rPr>
          <w:b/>
          <w:bCs/>
          <w:sz w:val="20"/>
          <w:szCs w:val="20"/>
        </w:rPr>
        <w:t>w</w:t>
      </w:r>
    </w:p>
    <w:p w:rsidR="00000000" w:rsidRDefault="00A32496">
      <w:pPr>
        <w:pStyle w:val="a3"/>
        <w:spacing w:before="240" w:beforeAutospacing="0" w:after="0" w:afterAutospacing="0"/>
        <w:ind w:firstLine="555"/>
        <w:rPr>
          <w:sz w:val="20"/>
          <w:szCs w:val="20"/>
        </w:rPr>
      </w:pPr>
      <w:r>
        <w:rPr>
          <w:sz w:val="20"/>
          <w:szCs w:val="20"/>
        </w:rPr>
        <w:t>Since our inception in 2012, our mission has been to help clients and communities meet their environmental goals and needs. According to data derived from a 2021 Environmental Industry Study prepared by Env</w:t>
      </w:r>
      <w:r>
        <w:rPr>
          <w:sz w:val="20"/>
          <w:szCs w:val="20"/>
        </w:rPr>
        <w:t>ironmental Business International, Inc., or EBI, which we commissioned, the global environmental industry is estimated to be approximately $1.3 trillion, with $428.0 billion concentrated in the United States</w:t>
      </w:r>
      <w:r>
        <w:rPr>
          <w:sz w:val="20"/>
          <w:szCs w:val="20"/>
        </w:rPr>
        <w:t>.</w:t>
      </w:r>
    </w:p>
    <w:p w:rsidR="00000000" w:rsidRDefault="00A32496">
      <w:pPr>
        <w:pStyle w:val="a3"/>
        <w:spacing w:before="360" w:beforeAutospacing="0" w:after="0" w:afterAutospacing="0"/>
        <w:rPr>
          <w:sz w:val="20"/>
          <w:szCs w:val="20"/>
        </w:rPr>
      </w:pPr>
      <w:r>
        <w:rPr>
          <w:b/>
          <w:bCs/>
          <w:i/>
          <w:iCs/>
          <w:sz w:val="20"/>
          <w:szCs w:val="20"/>
        </w:rPr>
        <w:t>Our Segment</w:t>
      </w:r>
      <w:r>
        <w:rPr>
          <w:b/>
          <w:bCs/>
          <w:i/>
          <w:iCs/>
          <w:sz w:val="20"/>
          <w:szCs w:val="20"/>
        </w:rPr>
        <w:t>s</w:t>
      </w:r>
    </w:p>
    <w:p w:rsidR="00000000" w:rsidRDefault="00A32496">
      <w:pPr>
        <w:pStyle w:val="a3"/>
        <w:spacing w:before="120" w:beforeAutospacing="0" w:after="0" w:afterAutospacing="0"/>
        <w:ind w:firstLine="555"/>
        <w:rPr>
          <w:sz w:val="20"/>
          <w:szCs w:val="20"/>
        </w:rPr>
      </w:pPr>
      <w:r>
        <w:rPr>
          <w:sz w:val="20"/>
          <w:szCs w:val="20"/>
        </w:rPr>
        <w:t xml:space="preserve">We provide environmental services to our clients through three business segments—Assessment, Permitting and Response, Measurement and Analysis and Remediation and Reuse. For more information on each of our operating segments, see Item 1. “Business” in the </w:t>
      </w:r>
      <w:r>
        <w:rPr>
          <w:sz w:val="20"/>
          <w:szCs w:val="20"/>
        </w:rPr>
        <w:t>2021 Form 10-K</w:t>
      </w:r>
      <w:r>
        <w:rPr>
          <w:sz w:val="20"/>
          <w:szCs w:val="20"/>
        </w:rPr>
        <w:t>.</w:t>
      </w:r>
    </w:p>
    <w:p w:rsidR="00000000" w:rsidRDefault="00A32496">
      <w:pPr>
        <w:pStyle w:val="a3"/>
        <w:spacing w:before="360" w:beforeAutospacing="0" w:after="0" w:afterAutospacing="0"/>
        <w:ind w:firstLine="555"/>
        <w:rPr>
          <w:sz w:val="20"/>
          <w:szCs w:val="20"/>
        </w:rPr>
      </w:pPr>
      <w:r>
        <w:rPr>
          <w:b/>
          <w:bCs/>
          <w:i/>
          <w:iCs/>
          <w:sz w:val="20"/>
          <w:szCs w:val="20"/>
        </w:rPr>
        <w:t>Assessment, Permitting and Respons</w:t>
      </w:r>
      <w:r>
        <w:rPr>
          <w:b/>
          <w:bCs/>
          <w:i/>
          <w:iCs/>
          <w:sz w:val="20"/>
          <w:szCs w:val="20"/>
        </w:rPr>
        <w:t>e</w:t>
      </w:r>
    </w:p>
    <w:p w:rsidR="00000000" w:rsidRDefault="00A32496">
      <w:pPr>
        <w:pStyle w:val="a3"/>
        <w:spacing w:before="120" w:beforeAutospacing="0" w:after="0" w:afterAutospacing="0"/>
        <w:ind w:firstLine="555"/>
        <w:rPr>
          <w:sz w:val="20"/>
          <w:szCs w:val="20"/>
        </w:rPr>
      </w:pPr>
      <w:r>
        <w:rPr>
          <w:sz w:val="20"/>
          <w:szCs w:val="20"/>
        </w:rPr>
        <w:t>Through our Assessment, Permitting and Response segment, we provide scientific advisory and consulting services to support environmental assessments, environmental emergency response, and environmental au</w:t>
      </w:r>
      <w:r>
        <w:rPr>
          <w:sz w:val="20"/>
          <w:szCs w:val="20"/>
        </w:rPr>
        <w:t>dits and permits for current operations, facility upgrades, new projects, decommissioning projects and development projects. Our technical advisory and consulting offerings include regulatory compliance support and planning, environmental, ecosystem and to</w:t>
      </w:r>
      <w:r>
        <w:rPr>
          <w:sz w:val="20"/>
          <w:szCs w:val="20"/>
        </w:rPr>
        <w:t>xicological assessments and support during responses to environmental disruption. We help clients navigate regulations at the local, state, provincial and federal levels. In addition to environmental toxicology, and given our expertise in helping businesse</w:t>
      </w:r>
      <w:r>
        <w:rPr>
          <w:sz w:val="20"/>
          <w:szCs w:val="20"/>
        </w:rPr>
        <w:t>s plan for and respond to disruptions, our scientists and response teams have helped clients navigate their preparation for and response to the COVID-19 pandemic</w:t>
      </w:r>
      <w:r>
        <w:rPr>
          <w:sz w:val="20"/>
          <w:szCs w:val="20"/>
        </w:rPr>
        <w:t>.</w:t>
      </w:r>
      <w:r>
        <w:rPr>
          <w:sz w:val="20"/>
          <w:szCs w:val="20"/>
        </w:rPr>
        <w:t xml:space="preserve"> </w:t>
      </w:r>
    </w:p>
    <w:p w:rsidR="00000000" w:rsidRDefault="00A32496">
      <w:pPr>
        <w:pStyle w:val="a3"/>
        <w:spacing w:before="360" w:beforeAutospacing="0" w:after="0" w:afterAutospacing="0"/>
        <w:ind w:firstLine="555"/>
        <w:rPr>
          <w:sz w:val="20"/>
          <w:szCs w:val="20"/>
        </w:rPr>
      </w:pPr>
      <w:r>
        <w:rPr>
          <w:b/>
          <w:bCs/>
          <w:i/>
          <w:iCs/>
          <w:sz w:val="20"/>
          <w:szCs w:val="20"/>
        </w:rPr>
        <w:t>Measurement and Analysi</w:t>
      </w:r>
      <w:r>
        <w:rPr>
          <w:b/>
          <w:bCs/>
          <w:i/>
          <w:iCs/>
          <w:sz w:val="20"/>
          <w:szCs w:val="20"/>
        </w:rPr>
        <w:t>s</w:t>
      </w:r>
    </w:p>
    <w:p w:rsidR="00000000" w:rsidRDefault="00A32496">
      <w:pPr>
        <w:pStyle w:val="a3"/>
        <w:spacing w:before="120" w:beforeAutospacing="0" w:after="0" w:afterAutospacing="0"/>
        <w:ind w:firstLine="555"/>
        <w:rPr>
          <w:sz w:val="20"/>
          <w:szCs w:val="20"/>
        </w:rPr>
      </w:pPr>
      <w:r>
        <w:rPr>
          <w:sz w:val="20"/>
          <w:szCs w:val="20"/>
        </w:rPr>
        <w:t>Through our Measurement and Analysis segment, our highly credential</w:t>
      </w:r>
      <w:r>
        <w:rPr>
          <w:sz w:val="20"/>
          <w:szCs w:val="20"/>
        </w:rPr>
        <w:t>ed teams test and analyze air, water and soil to determine concentrations of contaminants, as well as the toxicological impact of contaminants on flora, fauna and human health. Our offerings include source and ambient air testing and monitoring, leak detec</w:t>
      </w:r>
      <w:r>
        <w:rPr>
          <w:sz w:val="20"/>
          <w:szCs w:val="20"/>
        </w:rPr>
        <w:t>tion and advanced analytical laboratory services such as air, storm water, wastewater and drinking water analysis</w:t>
      </w:r>
      <w:r>
        <w:rPr>
          <w:sz w:val="20"/>
          <w:szCs w:val="20"/>
        </w:rPr>
        <w:t>.</w:t>
      </w:r>
      <w:r>
        <w:rPr>
          <w:sz w:val="20"/>
          <w:szCs w:val="20"/>
        </w:rPr>
        <w:t xml:space="preserve"> </w:t>
      </w:r>
    </w:p>
    <w:p w:rsidR="00000000" w:rsidRDefault="00A32496">
      <w:pPr>
        <w:pStyle w:val="a3"/>
        <w:spacing w:before="360" w:beforeAutospacing="0" w:after="0" w:afterAutospacing="0"/>
        <w:ind w:firstLine="555"/>
        <w:rPr>
          <w:sz w:val="20"/>
          <w:szCs w:val="20"/>
        </w:rPr>
      </w:pPr>
      <w:r>
        <w:rPr>
          <w:b/>
          <w:bCs/>
          <w:i/>
          <w:iCs/>
          <w:sz w:val="20"/>
          <w:szCs w:val="20"/>
        </w:rPr>
        <w:t>Remediation and Reus</w:t>
      </w:r>
      <w:r>
        <w:rPr>
          <w:b/>
          <w:bCs/>
          <w:i/>
          <w:iCs/>
          <w:sz w:val="20"/>
          <w:szCs w:val="20"/>
        </w:rPr>
        <w:t>e</w:t>
      </w:r>
    </w:p>
    <w:p w:rsidR="00000000" w:rsidRDefault="00A32496">
      <w:pPr>
        <w:pStyle w:val="a3"/>
        <w:spacing w:before="120" w:beforeAutospacing="0" w:after="0" w:afterAutospacing="0"/>
        <w:ind w:firstLine="555"/>
        <w:rPr>
          <w:sz w:val="20"/>
          <w:szCs w:val="20"/>
        </w:rPr>
      </w:pPr>
      <w:r>
        <w:rPr>
          <w:sz w:val="20"/>
          <w:szCs w:val="20"/>
        </w:rPr>
        <w:t xml:space="preserve">Through our Remediation and Reuse segment, we provide clients with engineering, design, implementation and operations </w:t>
      </w:r>
      <w:r>
        <w:rPr>
          <w:sz w:val="20"/>
          <w:szCs w:val="20"/>
        </w:rPr>
        <w:t>and maintenance services, primarily to treat contaminated water, remove contaminants from soil or create biogas from waste. We do not own the properties or facilities at which we implement these projects or the underlying liabilities, nor do we own materia</w:t>
      </w:r>
      <w:r>
        <w:rPr>
          <w:sz w:val="20"/>
          <w:szCs w:val="20"/>
        </w:rPr>
        <w:t>l amounts of the equipment used in projects; instead, we assist our clients in designing solutions, managing projects and mitigating their environmental risks and liabilities</w:t>
      </w:r>
      <w:r>
        <w:rPr>
          <w:sz w:val="20"/>
          <w:szCs w:val="20"/>
        </w:rPr>
        <w:t>.</w:t>
      </w:r>
    </w:p>
    <w:p w:rsidR="00000000" w:rsidRDefault="00A32496">
      <w:pPr>
        <w:pStyle w:val="a3"/>
        <w:spacing w:before="240" w:beforeAutospacing="0" w:after="0" w:afterAutospacing="0"/>
        <w:ind w:firstLine="555"/>
        <w:rPr>
          <w:sz w:val="20"/>
          <w:szCs w:val="20"/>
        </w:rPr>
      </w:pPr>
      <w:r>
        <w:rPr>
          <w:sz w:val="20"/>
          <w:szCs w:val="20"/>
        </w:rPr>
        <w:t>These operating segments have been structured and organized to align with how we</w:t>
      </w:r>
      <w:r>
        <w:rPr>
          <w:sz w:val="20"/>
          <w:szCs w:val="20"/>
        </w:rPr>
        <w:t xml:space="preserve"> view and manage the business with the full lifecycle of our clients’ targeted environmental concerns and needs in mind. Within each segment, we cover similar service offerings, regulatory frameworks, internal operating structures and client types. Corpora</w:t>
      </w:r>
      <w:r>
        <w:rPr>
          <w:sz w:val="20"/>
          <w:szCs w:val="20"/>
        </w:rPr>
        <w:t>te activities not directly related to segment performance, including general corporate expenses, interest and taxes, are reported separately</w:t>
      </w:r>
      <w:r>
        <w:rPr>
          <w:sz w:val="20"/>
          <w:szCs w:val="20"/>
        </w:rPr>
        <w:t>.</w:t>
      </w:r>
      <w:r>
        <w:rPr>
          <w:sz w:val="20"/>
          <w:szCs w:val="20"/>
        </w:rPr>
        <w:t xml:space="preserve"> </w:t>
      </w:r>
    </w:p>
    <w:p w:rsidR="00000000" w:rsidRDefault="00A32496">
      <w:pPr>
        <w:pStyle w:val="a3"/>
        <w:spacing w:before="240" w:beforeAutospacing="0" w:after="0" w:afterAutospacing="0"/>
        <w:jc w:val="center"/>
        <w:rPr>
          <w:sz w:val="20"/>
          <w:szCs w:val="20"/>
        </w:rPr>
      </w:pPr>
      <w:r>
        <w:rPr>
          <w:sz w:val="20"/>
          <w:szCs w:val="20"/>
        </w:rPr>
        <w:t>3</w:t>
      </w:r>
      <w:r>
        <w:rPr>
          <w:sz w:val="20"/>
          <w:szCs w:val="20"/>
        </w:rPr>
        <w:t>3</w:t>
      </w:r>
    </w:p>
    <w:p w:rsidR="00000000" w:rsidRDefault="00A32496">
      <w:pPr>
        <w:rPr>
          <w:rFonts w:eastAsia="Times New Roman"/>
        </w:rPr>
      </w:pPr>
      <w:r>
        <w:rPr>
          <w:rFonts w:eastAsia="Times New Roman"/>
        </w:rPr>
        <w:pict>
          <v:rect id="_x0000_i1059" style="width:0;height:1.5pt" o:hralign="center" o:hrstd="t" o:hr="t" fillcolor="#a0a0a0" stroked="f"/>
        </w:pict>
      </w:r>
    </w:p>
    <w:p w:rsidR="00000000" w:rsidRDefault="00A32496">
      <w:pPr>
        <w:pStyle w:val="a3"/>
        <w:spacing w:before="0" w:beforeAutospacing="0" w:after="0" w:afterAutospacing="0"/>
        <w:rPr>
          <w:sz w:val="20"/>
          <w:szCs w:val="20"/>
        </w:rPr>
      </w:pPr>
      <w:r>
        <w:rPr>
          <w:sz w:val="20"/>
          <w:szCs w:val="20"/>
        </w:rPr>
        <w:t> </w:t>
      </w:r>
    </w:p>
    <w:p w:rsidR="00000000" w:rsidRDefault="00A32496">
      <w:pPr>
        <w:pStyle w:val="a3"/>
        <w:spacing w:before="360" w:beforeAutospacing="0" w:after="0" w:afterAutospacing="0"/>
        <w:rPr>
          <w:sz w:val="20"/>
          <w:szCs w:val="20"/>
        </w:rPr>
      </w:pPr>
      <w:r>
        <w:rPr>
          <w:b/>
          <w:bCs/>
          <w:i/>
          <w:iCs/>
          <w:sz w:val="20"/>
          <w:szCs w:val="20"/>
        </w:rPr>
        <w:t>COVID-1</w:t>
      </w:r>
      <w:r>
        <w:rPr>
          <w:b/>
          <w:bCs/>
          <w:i/>
          <w:iCs/>
          <w:sz w:val="20"/>
          <w:szCs w:val="20"/>
        </w:rPr>
        <w:t>9</w:t>
      </w:r>
    </w:p>
    <w:p w:rsidR="00000000" w:rsidRDefault="00A32496">
      <w:pPr>
        <w:pStyle w:val="a3"/>
        <w:spacing w:before="120" w:beforeAutospacing="0" w:after="0" w:afterAutospacing="0"/>
        <w:ind w:firstLine="555"/>
        <w:rPr>
          <w:sz w:val="20"/>
          <w:szCs w:val="20"/>
        </w:rPr>
      </w:pPr>
      <w:r>
        <w:rPr>
          <w:sz w:val="20"/>
          <w:szCs w:val="20"/>
        </w:rPr>
        <w:t>To date, COVID-19 related adverse impacts such as temporarily d</w:t>
      </w:r>
      <w:r>
        <w:rPr>
          <w:sz w:val="20"/>
          <w:szCs w:val="20"/>
        </w:rPr>
        <w:t>elayed project start dates, particularly within our Remediation and Reuse segment, exiting certain service lines and employee quarantines have not had a material adverse effect on our reported results. On the other hand, we have seen benefits from COVID-19</w:t>
      </w:r>
      <w:r>
        <w:rPr>
          <w:sz w:val="20"/>
          <w:szCs w:val="20"/>
        </w:rPr>
        <w:t xml:space="preserve"> given client demand for CTEH’s toxicology and response services, which represented a meaningful, although expectedly declining, revenue stream in the three and nine months ended September 30, 2022 and September 30, 2021, and that, once the pandemic subsid</w:t>
      </w:r>
      <w:r>
        <w:rPr>
          <w:sz w:val="20"/>
          <w:szCs w:val="20"/>
        </w:rPr>
        <w:t>es, we may not be able to replace in future periods. Although many parts of our business saw some impact from COVID-19, i</w:t>
      </w:r>
      <w:r>
        <w:rPr>
          <w:sz w:val="20"/>
          <w:szCs w:val="20"/>
        </w:rPr>
        <w:t>n</w:t>
      </w:r>
      <w:r>
        <w:t xml:space="preserve"> </w:t>
      </w:r>
      <w:r>
        <w:rPr>
          <w:sz w:val="20"/>
          <w:szCs w:val="20"/>
        </w:rPr>
        <w:t>the aggregate, our overall busines</w:t>
      </w:r>
      <w:r>
        <w:rPr>
          <w:sz w:val="20"/>
          <w:szCs w:val="20"/>
        </w:rPr>
        <w:t>s</w:t>
      </w:r>
      <w:r>
        <w:rPr>
          <w:sz w:val="16"/>
          <w:szCs w:val="16"/>
        </w:rPr>
        <w:t xml:space="preserve"> </w:t>
      </w:r>
      <w:r>
        <w:rPr>
          <w:sz w:val="20"/>
          <w:szCs w:val="20"/>
        </w:rPr>
        <w:t>benefitted from COVID-1</w:t>
      </w:r>
      <w:r>
        <w:rPr>
          <w:sz w:val="20"/>
          <w:szCs w:val="20"/>
        </w:rPr>
        <w:t>9</w:t>
      </w:r>
      <w:r>
        <w:rPr>
          <w:sz w:val="16"/>
          <w:szCs w:val="16"/>
        </w:rPr>
        <w:t xml:space="preserve"> </w:t>
      </w:r>
      <w:r>
        <w:rPr>
          <w:sz w:val="20"/>
          <w:szCs w:val="20"/>
        </w:rPr>
        <w:t xml:space="preserve">during the three and nine months ended September 30, 2022 and September </w:t>
      </w:r>
      <w:r>
        <w:rPr>
          <w:sz w:val="20"/>
          <w:szCs w:val="20"/>
        </w:rPr>
        <w:t>30, 2021, primarily as a result of COVID-19 response work performed by CTEH. For additional information regarding the historical impacts of COVID-19 on our business, see Item 7. Management’s Discussion and Analysis of Financial Condition and Results of Ope</w:t>
      </w:r>
      <w:r>
        <w:rPr>
          <w:sz w:val="20"/>
          <w:szCs w:val="20"/>
        </w:rPr>
        <w:t>rations in the 2021 Form 10-K</w:t>
      </w:r>
      <w:r>
        <w:rPr>
          <w:sz w:val="20"/>
          <w:szCs w:val="20"/>
        </w:rPr>
        <w:t>.</w:t>
      </w:r>
      <w:r>
        <w:rPr>
          <w:sz w:val="20"/>
          <w:szCs w:val="20"/>
        </w:rPr>
        <w:t xml:space="preserve"> </w:t>
      </w:r>
    </w:p>
    <w:p w:rsidR="00000000" w:rsidRDefault="00A32496">
      <w:pPr>
        <w:pStyle w:val="a3"/>
        <w:spacing w:before="240" w:beforeAutospacing="0" w:after="0" w:afterAutospacing="0"/>
        <w:ind w:firstLine="555"/>
        <w:rPr>
          <w:sz w:val="20"/>
          <w:szCs w:val="20"/>
        </w:rPr>
      </w:pPr>
      <w:r>
        <w:rPr>
          <w:sz w:val="20"/>
          <w:szCs w:val="20"/>
        </w:rPr>
        <w:t>COVID-19 has had an impact on our historical seasonality trends. We have not experienced a significant slowdown in cash collections, and as a result cash flow from operations has not been materially adversely impacted</w:t>
      </w:r>
      <w:r>
        <w:rPr>
          <w:sz w:val="20"/>
          <w:szCs w:val="20"/>
        </w:rPr>
        <w:t>.</w:t>
      </w:r>
      <w:r>
        <w:rPr>
          <w:sz w:val="20"/>
          <w:szCs w:val="20"/>
        </w:rPr>
        <w:t xml:space="preserve"> </w:t>
      </w:r>
    </w:p>
    <w:p w:rsidR="00000000" w:rsidRDefault="00A32496">
      <w:pPr>
        <w:pStyle w:val="a3"/>
        <w:spacing w:before="240" w:beforeAutospacing="0" w:after="0" w:afterAutospacing="0"/>
        <w:ind w:firstLine="555"/>
        <w:rPr>
          <w:sz w:val="20"/>
          <w:szCs w:val="20"/>
        </w:rPr>
      </w:pPr>
      <w:r>
        <w:rPr>
          <w:sz w:val="20"/>
          <w:szCs w:val="20"/>
        </w:rPr>
        <w:t>On M</w:t>
      </w:r>
      <w:r>
        <w:rPr>
          <w:sz w:val="20"/>
          <w:szCs w:val="20"/>
        </w:rPr>
        <w:t>arch 27, 2020, the Coronavirus Aid, Relief, and Economic Security Act, or the CARES Act, was enacted. The CARES Act includes several significant provisions for corporations, including those pertaining to net operating losses, interest deductions and payrol</w:t>
      </w:r>
      <w:r>
        <w:rPr>
          <w:sz w:val="20"/>
          <w:szCs w:val="20"/>
        </w:rPr>
        <w:t>l tax benefits. We utilized certain of these provisions in 2020, including the deferral of the employer side social security payments for payroll for the eligible portion of the year. In total, we deferred approximately $5.0 million of 2020 payments to 202</w:t>
      </w:r>
      <w:r>
        <w:rPr>
          <w:sz w:val="20"/>
          <w:szCs w:val="20"/>
        </w:rPr>
        <w:t>1 and 2022, of which $2.5 million was repaid in December 2021 and we expect to pay the remaining $2.5 million in the fourth quarter of 2022</w:t>
      </w:r>
      <w:r>
        <w:rPr>
          <w:sz w:val="20"/>
          <w:szCs w:val="20"/>
        </w:rPr>
        <w:t>.</w:t>
      </w:r>
      <w:r>
        <w:rPr>
          <w:sz w:val="20"/>
          <w:szCs w:val="20"/>
        </w:rPr>
        <w:t xml:space="preserve"> </w:t>
      </w:r>
    </w:p>
    <w:p w:rsidR="00000000" w:rsidRDefault="00A32496">
      <w:pPr>
        <w:pStyle w:val="a3"/>
        <w:spacing w:before="240" w:beforeAutospacing="0" w:after="0" w:afterAutospacing="0"/>
        <w:ind w:firstLine="555"/>
        <w:rPr>
          <w:sz w:val="20"/>
          <w:szCs w:val="20"/>
        </w:rPr>
      </w:pPr>
      <w:r>
        <w:rPr>
          <w:sz w:val="20"/>
          <w:szCs w:val="20"/>
        </w:rPr>
        <w:t xml:space="preserve">It is difficult to predict the future impact COVID-19 may have on our business, results of operations, financial position, or cash flows. The extent to which we may be impacted will depend largely on future and rapidly evolving developments, including new </w:t>
      </w:r>
      <w:r>
        <w:rPr>
          <w:sz w:val="20"/>
          <w:szCs w:val="20"/>
        </w:rPr>
        <w:t xml:space="preserve">information on the severity of new strains, the roll-out and long-term efficacy of vaccines, and actions by various government authorities to contain the pandemic and mitigate its impact. We intend to closely monitor the impact of COVID-19 on our business </w:t>
      </w:r>
      <w:r>
        <w:rPr>
          <w:sz w:val="20"/>
          <w:szCs w:val="20"/>
        </w:rPr>
        <w:t>and will respond as we believe is appropriate</w:t>
      </w:r>
      <w:r>
        <w:rPr>
          <w:sz w:val="20"/>
          <w:szCs w:val="20"/>
        </w:rPr>
        <w:t>.</w:t>
      </w:r>
    </w:p>
    <w:p w:rsidR="00000000" w:rsidRDefault="00A32496">
      <w:pPr>
        <w:pStyle w:val="a3"/>
        <w:spacing w:before="360" w:beforeAutospacing="0" w:after="0" w:afterAutospacing="0"/>
        <w:rPr>
          <w:sz w:val="20"/>
          <w:szCs w:val="20"/>
        </w:rPr>
      </w:pPr>
      <w:r>
        <w:rPr>
          <w:b/>
          <w:bCs/>
          <w:i/>
          <w:iCs/>
          <w:sz w:val="20"/>
          <w:szCs w:val="20"/>
        </w:rPr>
        <w:t>Key Factors that Affect Our Business and Our Result</w:t>
      </w:r>
      <w:r>
        <w:rPr>
          <w:b/>
          <w:bCs/>
          <w:i/>
          <w:iCs/>
          <w:sz w:val="20"/>
          <w:szCs w:val="20"/>
        </w:rPr>
        <w:t>s</w:t>
      </w:r>
    </w:p>
    <w:p w:rsidR="00000000" w:rsidRDefault="00A32496">
      <w:pPr>
        <w:pStyle w:val="a3"/>
        <w:spacing w:before="120" w:beforeAutospacing="0" w:after="0" w:afterAutospacing="0"/>
        <w:ind w:firstLine="555"/>
        <w:rPr>
          <w:sz w:val="20"/>
          <w:szCs w:val="20"/>
        </w:rPr>
      </w:pPr>
      <w:r>
        <w:rPr>
          <w:sz w:val="20"/>
          <w:szCs w:val="20"/>
        </w:rPr>
        <w:t>Our operating results and financial performance are influenced by a variety of internal and external trends and other factors. Some of the more important fa</w:t>
      </w:r>
      <w:r>
        <w:rPr>
          <w:sz w:val="20"/>
          <w:szCs w:val="20"/>
        </w:rPr>
        <w:t>ctors are discussed briefly below</w:t>
      </w:r>
      <w:r>
        <w:rPr>
          <w:sz w:val="20"/>
          <w:szCs w:val="20"/>
        </w:rPr>
        <w:t>.</w:t>
      </w:r>
    </w:p>
    <w:p w:rsidR="00000000" w:rsidRDefault="00A32496">
      <w:pPr>
        <w:pStyle w:val="a3"/>
        <w:spacing w:before="360" w:beforeAutospacing="0" w:after="0" w:afterAutospacing="0"/>
        <w:ind w:firstLine="555"/>
        <w:rPr>
          <w:sz w:val="20"/>
          <w:szCs w:val="20"/>
        </w:rPr>
      </w:pPr>
      <w:r>
        <w:rPr>
          <w:b/>
          <w:bCs/>
          <w:i/>
          <w:iCs/>
          <w:sz w:val="20"/>
          <w:szCs w:val="20"/>
        </w:rPr>
        <w:t>Acquisition</w:t>
      </w:r>
      <w:r>
        <w:rPr>
          <w:b/>
          <w:bCs/>
          <w:i/>
          <w:iCs/>
          <w:sz w:val="20"/>
          <w:szCs w:val="20"/>
        </w:rPr>
        <w:t>s</w:t>
      </w:r>
    </w:p>
    <w:p w:rsidR="00000000" w:rsidRDefault="00A32496">
      <w:pPr>
        <w:pStyle w:val="a3"/>
        <w:spacing w:before="120" w:beforeAutospacing="0" w:after="0" w:afterAutospacing="0"/>
        <w:ind w:firstLine="555"/>
        <w:rPr>
          <w:sz w:val="20"/>
          <w:szCs w:val="20"/>
        </w:rPr>
      </w:pPr>
      <w:r>
        <w:rPr>
          <w:sz w:val="20"/>
          <w:szCs w:val="20"/>
        </w:rPr>
        <w:t>We have been, and expect to continue to be, an acquisitive company. Acquisitions have expanded our environmental service capabilities across all three segments, our access to technology, as well as our geogra</w:t>
      </w:r>
      <w:r>
        <w:rPr>
          <w:sz w:val="20"/>
          <w:szCs w:val="20"/>
        </w:rPr>
        <w:t>phic reach in the United States, Canada and Australia. The table below sets forth the number of acquisitions completed, revenues generated by and the percentage of total revenues attributable to those acquisitions completed during the three and nine months</w:t>
      </w:r>
      <w:r>
        <w:rPr>
          <w:sz w:val="20"/>
          <w:szCs w:val="20"/>
        </w:rPr>
        <w:t xml:space="preserve"> ended September 30, 2022 and September 30, 2021</w:t>
      </w:r>
      <w:r>
        <w:rPr>
          <w:sz w:val="20"/>
          <w:szCs w:val="20"/>
        </w:rPr>
        <w:t>:</w:t>
      </w:r>
    </w:p>
    <w:p w:rsidR="00000000" w:rsidRDefault="00A32496">
      <w:pPr>
        <w:pStyle w:val="a3"/>
        <w:spacing w:before="0" w:beforeAutospacing="0" w:after="0" w:afterAutospacing="0"/>
        <w:ind w:firstLine="555"/>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55"/>
        <w:gridCol w:w="117"/>
        <w:gridCol w:w="105"/>
        <w:gridCol w:w="824"/>
        <w:gridCol w:w="210"/>
        <w:gridCol w:w="117"/>
        <w:gridCol w:w="150"/>
        <w:gridCol w:w="922"/>
        <w:gridCol w:w="210"/>
        <w:gridCol w:w="117"/>
        <w:gridCol w:w="150"/>
        <w:gridCol w:w="903"/>
        <w:gridCol w:w="210"/>
        <w:gridCol w:w="118"/>
        <w:gridCol w:w="150"/>
        <w:gridCol w:w="923"/>
        <w:gridCol w:w="225"/>
      </w:tblGrid>
      <w:tr w:rsidR="00000000">
        <w:trPr>
          <w:tblCellSpacing w:w="15" w:type="dxa"/>
        </w:trPr>
        <w:tc>
          <w:tcPr>
            <w:tcW w:w="1842" w:type="pct"/>
            <w:vAlign w:val="center"/>
            <w:hideMark/>
          </w:tcPr>
          <w:p w:rsidR="00000000" w:rsidRDefault="00A32496">
            <w:pPr>
              <w:rPr>
                <w:sz w:val="20"/>
                <w:szCs w:val="20"/>
              </w:rPr>
            </w:pPr>
          </w:p>
        </w:tc>
        <w:tc>
          <w:tcPr>
            <w:tcW w:w="91"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78"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91"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608"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91"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95"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91"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608"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r>
      <w:tr w:rsidR="00000000">
        <w:trPr>
          <w:trHeight w:val="180"/>
          <w:tblCellSpacing w:w="15" w:type="dxa"/>
        </w:trPr>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6"/>
            <w:vAlign w:val="center"/>
            <w:hideMark/>
          </w:tcPr>
          <w:p w:rsidR="00000000" w:rsidRDefault="00A32496">
            <w:pPr>
              <w:pStyle w:val="a3"/>
              <w:spacing w:before="0" w:beforeAutospacing="0" w:after="0" w:afterAutospacing="0"/>
              <w:jc w:val="center"/>
              <w:rPr>
                <w:sz w:val="18"/>
                <w:szCs w:val="18"/>
              </w:rPr>
            </w:pPr>
            <w:r>
              <w:rPr>
                <w:b/>
                <w:bCs/>
                <w:sz w:val="18"/>
                <w:szCs w:val="18"/>
              </w:rPr>
              <w:t>Three Months Ended September 30</w:t>
            </w:r>
            <w:r>
              <w:rPr>
                <w:b/>
                <w:bCs/>
                <w:sz w:val="18"/>
                <w:szCs w:val="18"/>
              </w:rPr>
              <w:t>,</w:t>
            </w:r>
          </w:p>
        </w:tc>
        <w:tc>
          <w:tcPr>
            <w:tcW w:w="0" w:type="auto"/>
            <w:vAlign w:val="center"/>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gridSpan w:val="6"/>
            <w:vAlign w:val="center"/>
            <w:hideMark/>
          </w:tcPr>
          <w:p w:rsidR="00000000" w:rsidRDefault="00A32496">
            <w:pPr>
              <w:pStyle w:val="a3"/>
              <w:spacing w:before="0" w:beforeAutospacing="0" w:after="0" w:afterAutospacing="0"/>
              <w:jc w:val="center"/>
              <w:rPr>
                <w:sz w:val="18"/>
                <w:szCs w:val="18"/>
              </w:rPr>
            </w:pPr>
            <w:r>
              <w:rPr>
                <w:b/>
                <w:bCs/>
                <w:sz w:val="18"/>
                <w:szCs w:val="18"/>
              </w:rPr>
              <w:t>Nine Months Ended September 30</w:t>
            </w:r>
            <w:r>
              <w:rPr>
                <w:b/>
                <w:bCs/>
                <w:sz w:val="18"/>
                <w:szCs w:val="18"/>
              </w:rPr>
              <w:t>,</w:t>
            </w:r>
          </w:p>
        </w:tc>
        <w:tc>
          <w:tcPr>
            <w:tcW w:w="0" w:type="auto"/>
            <w:vAlign w:val="center"/>
            <w:hideMark/>
          </w:tcPr>
          <w:p w:rsidR="00000000" w:rsidRDefault="00A32496">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A32496">
            <w:pPr>
              <w:pStyle w:val="a3"/>
              <w:spacing w:before="0" w:beforeAutospacing="0" w:after="0" w:afterAutospacing="0"/>
              <w:rPr>
                <w:sz w:val="18"/>
                <w:szCs w:val="18"/>
              </w:rPr>
            </w:pPr>
            <w:r>
              <w:rPr>
                <w:b/>
                <w:bCs/>
                <w:sz w:val="18"/>
                <w:szCs w:val="18"/>
              </w:rPr>
              <w:t>(Revenues in thousands</w:t>
            </w:r>
            <w:r>
              <w:rPr>
                <w:b/>
                <w:bCs/>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center"/>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jc w:val="center"/>
              <w:rPr>
                <w:sz w:val="18"/>
                <w:szCs w:val="18"/>
              </w:rPr>
            </w:pPr>
            <w:r>
              <w:rPr>
                <w:sz w:val="18"/>
                <w:szCs w:val="18"/>
              </w:rPr>
              <w:t> </w:t>
            </w:r>
          </w:p>
        </w:tc>
        <w:tc>
          <w:tcPr>
            <w:tcW w:w="0" w:type="auto"/>
            <w:gridSpan w:val="2"/>
            <w:vAlign w:val="center"/>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center"/>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jc w:val="center"/>
              <w:rPr>
                <w:sz w:val="18"/>
                <w:szCs w:val="18"/>
              </w:rPr>
            </w:pPr>
            <w:r>
              <w:rPr>
                <w:sz w:val="18"/>
                <w:szCs w:val="18"/>
              </w:rPr>
              <w:t> </w:t>
            </w:r>
          </w:p>
        </w:tc>
        <w:tc>
          <w:tcPr>
            <w:tcW w:w="0" w:type="auto"/>
            <w:gridSpan w:val="2"/>
            <w:vAlign w:val="center"/>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center"/>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jc w:val="center"/>
              <w:rPr>
                <w:sz w:val="18"/>
                <w:szCs w:val="18"/>
              </w:rPr>
            </w:pPr>
            <w:r>
              <w:rPr>
                <w:sz w:val="18"/>
                <w:szCs w:val="18"/>
              </w:rPr>
              <w:t> </w:t>
            </w:r>
          </w:p>
        </w:tc>
        <w:tc>
          <w:tcPr>
            <w:tcW w:w="0" w:type="auto"/>
            <w:gridSpan w:val="2"/>
            <w:vAlign w:val="center"/>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center"/>
            <w:hideMark/>
          </w:tcPr>
          <w:p w:rsidR="00000000" w:rsidRDefault="00A32496">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A32496">
            <w:pPr>
              <w:pStyle w:val="a3"/>
              <w:spacing w:before="0" w:beforeAutospacing="0" w:after="0" w:afterAutospacing="0"/>
              <w:rPr>
                <w:sz w:val="18"/>
                <w:szCs w:val="18"/>
              </w:rPr>
            </w:pPr>
            <w:r>
              <w:rPr>
                <w:sz w:val="18"/>
                <w:szCs w:val="18"/>
              </w:rPr>
              <w:t>Acquisitions complete</w:t>
            </w:r>
            <w:r>
              <w:rPr>
                <w:sz w:val="18"/>
                <w:szCs w:val="18"/>
              </w:rPr>
              <w:t>d</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2</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4</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vAlign w:val="bottom"/>
            <w:hideMark/>
          </w:tcPr>
          <w:p w:rsidR="00000000" w:rsidRDefault="00A32496">
            <w:pPr>
              <w:pStyle w:val="a3"/>
              <w:spacing w:before="0" w:beforeAutospacing="0" w:after="0" w:afterAutospacing="0"/>
              <w:rPr>
                <w:sz w:val="18"/>
                <w:szCs w:val="18"/>
              </w:rPr>
            </w:pPr>
            <w:r>
              <w:rPr>
                <w:sz w:val="18"/>
                <w:szCs w:val="18"/>
              </w:rPr>
              <w:t xml:space="preserve">Revenues attributable to </w:t>
            </w:r>
            <w:r>
              <w:rPr>
                <w:sz w:val="18"/>
                <w:szCs w:val="18"/>
              </w:rPr>
              <w:br/>
              <w:t>   acquisitions in the perio</w:t>
            </w:r>
            <w:r>
              <w:rPr>
                <w:sz w:val="18"/>
                <w:szCs w:val="18"/>
              </w:rPr>
              <w:t>d</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90</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5,80</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13,19</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19,72</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A32496">
            <w:pPr>
              <w:pStyle w:val="a3"/>
              <w:spacing w:before="0" w:beforeAutospacing="0" w:after="0" w:afterAutospacing="0"/>
              <w:rPr>
                <w:sz w:val="18"/>
                <w:szCs w:val="18"/>
              </w:rPr>
            </w:pPr>
            <w:r>
              <w:rPr>
                <w:sz w:val="18"/>
                <w:szCs w:val="18"/>
              </w:rPr>
              <w:t>Percentage of revenue</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0.</w:t>
            </w:r>
            <w:r>
              <w:rPr>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4.</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3.</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4.</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r>
    </w:tbl>
    <w:p w:rsidR="00000000" w:rsidRDefault="00A32496">
      <w:pPr>
        <w:pStyle w:val="a3"/>
        <w:spacing w:before="240" w:beforeAutospacing="0" w:after="0" w:afterAutospacing="0"/>
        <w:ind w:firstLine="555"/>
        <w:rPr>
          <w:sz w:val="20"/>
          <w:szCs w:val="20"/>
        </w:rPr>
      </w:pPr>
      <w:r>
        <w:rPr>
          <w:sz w:val="20"/>
          <w:szCs w:val="20"/>
        </w:rPr>
        <w:t>Revenues from acquired companies exclude intercompany revenues from revenue synergies realized between business lines within operating segments, as these are eliminated at the consolidated segment and Company level. We expect our revenue growth to continue</w:t>
      </w:r>
      <w:r>
        <w:rPr>
          <w:sz w:val="20"/>
          <w:szCs w:val="20"/>
        </w:rPr>
        <w:t xml:space="preserve"> to be driven in significant part by acquisitions</w:t>
      </w:r>
      <w:r>
        <w:rPr>
          <w:sz w:val="20"/>
          <w:szCs w:val="20"/>
        </w:rPr>
        <w:t>.</w:t>
      </w:r>
    </w:p>
    <w:p w:rsidR="00000000" w:rsidRDefault="00A32496">
      <w:pPr>
        <w:pStyle w:val="a3"/>
        <w:spacing w:before="240" w:beforeAutospacing="0" w:after="0" w:afterAutospacing="0"/>
        <w:ind w:firstLine="555"/>
        <w:rPr>
          <w:sz w:val="20"/>
          <w:szCs w:val="20"/>
        </w:rPr>
      </w:pPr>
      <w:r>
        <w:rPr>
          <w:sz w:val="20"/>
          <w:szCs w:val="20"/>
        </w:rPr>
        <w:t>As a result of our acquisitions, goodwill and other intangible assets represent a significant proportion of our total assets, and amortization of intangible assets has historically been a significant expen</w:t>
      </w:r>
      <w:r>
        <w:rPr>
          <w:sz w:val="20"/>
          <w:szCs w:val="20"/>
        </w:rPr>
        <w:t>se. Our historical financial statements also include other acquisition-related costs, including costs relating to external legal support, diligence and valuation services and other transaction and integration-related matters. In addition, in any year gains</w:t>
      </w:r>
      <w:r>
        <w:rPr>
          <w:sz w:val="20"/>
          <w:szCs w:val="20"/>
        </w:rPr>
        <w:t xml:space="preserve"> and losses from changes in the fair value of business acquisition contingencies such as earn outs could be significant. The amount of each for the three and nine months ended September 30, 2022 and September 30, 2021, was</w:t>
      </w:r>
      <w:r>
        <w:rPr>
          <w:sz w:val="20"/>
          <w:szCs w:val="20"/>
        </w:rPr>
        <w:t>:</w:t>
      </w:r>
    </w:p>
    <w:p w:rsidR="00000000" w:rsidRDefault="00A32496">
      <w:pPr>
        <w:pStyle w:val="a3"/>
        <w:spacing w:before="0" w:beforeAutospacing="0" w:after="0" w:afterAutospacing="0"/>
        <w:ind w:firstLine="726"/>
        <w:rPr>
          <w:sz w:val="20"/>
          <w:szCs w:val="20"/>
        </w:rPr>
      </w:pPr>
      <w:r>
        <w:rPr>
          <w:sz w:val="20"/>
          <w:szCs w:val="20"/>
        </w:rPr>
        <w:t> </w:t>
      </w:r>
    </w:p>
    <w:p w:rsidR="00000000" w:rsidRDefault="00A32496">
      <w:pPr>
        <w:pStyle w:val="a3"/>
        <w:spacing w:before="240" w:beforeAutospacing="0" w:after="0" w:afterAutospacing="0"/>
        <w:jc w:val="center"/>
        <w:rPr>
          <w:sz w:val="20"/>
          <w:szCs w:val="20"/>
        </w:rPr>
      </w:pPr>
      <w:r>
        <w:rPr>
          <w:sz w:val="20"/>
          <w:szCs w:val="20"/>
        </w:rPr>
        <w:t>3</w:t>
      </w:r>
      <w:r>
        <w:rPr>
          <w:sz w:val="20"/>
          <w:szCs w:val="20"/>
        </w:rPr>
        <w:t>4</w:t>
      </w:r>
    </w:p>
    <w:p w:rsidR="00000000" w:rsidRDefault="00A32496">
      <w:pPr>
        <w:rPr>
          <w:rFonts w:eastAsia="Times New Roman"/>
        </w:rPr>
      </w:pPr>
      <w:r>
        <w:rPr>
          <w:rFonts w:eastAsia="Times New Roman"/>
        </w:rPr>
        <w:pict>
          <v:rect id="_x0000_i1060" style="width:0;height:1.5pt" o:hralign="center" o:hrstd="t" o:hr="t" fillcolor="#a0a0a0" stroked="f"/>
        </w:pict>
      </w:r>
    </w:p>
    <w:p w:rsidR="00000000" w:rsidRDefault="00A32496">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70"/>
        <w:gridCol w:w="159"/>
        <w:gridCol w:w="150"/>
        <w:gridCol w:w="941"/>
        <w:gridCol w:w="105"/>
        <w:gridCol w:w="148"/>
        <w:gridCol w:w="150"/>
        <w:gridCol w:w="975"/>
        <w:gridCol w:w="105"/>
        <w:gridCol w:w="123"/>
        <w:gridCol w:w="150"/>
        <w:gridCol w:w="892"/>
        <w:gridCol w:w="120"/>
        <w:gridCol w:w="135"/>
        <w:gridCol w:w="150"/>
        <w:gridCol w:w="913"/>
        <w:gridCol w:w="120"/>
      </w:tblGrid>
      <w:tr w:rsidR="00000000">
        <w:trPr>
          <w:tblCellSpacing w:w="15" w:type="dxa"/>
        </w:trPr>
        <w:tc>
          <w:tcPr>
            <w:tcW w:w="1892" w:type="pct"/>
            <w:vAlign w:val="center"/>
            <w:hideMark/>
          </w:tcPr>
          <w:p w:rsidR="00000000" w:rsidRDefault="00A32496">
            <w:pPr>
              <w:rPr>
                <w:sz w:val="20"/>
                <w:szCs w:val="20"/>
              </w:rPr>
            </w:pPr>
          </w:p>
        </w:tc>
        <w:tc>
          <w:tcPr>
            <w:tcW w:w="94"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97"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94"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619"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78"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65"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78"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79"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r>
      <w:tr w:rsidR="00000000">
        <w:trPr>
          <w:trHeight w:val="180"/>
          <w:tblCellSpacing w:w="15" w:type="dxa"/>
        </w:trPr>
        <w:tc>
          <w:tcPr>
            <w:tcW w:w="0" w:type="auto"/>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gridSpan w:val="6"/>
            <w:vAlign w:val="center"/>
            <w:hideMark/>
          </w:tcPr>
          <w:p w:rsidR="00000000" w:rsidRDefault="00A32496">
            <w:pPr>
              <w:pStyle w:val="a3"/>
              <w:spacing w:before="0" w:beforeAutospacing="0" w:after="0" w:afterAutospacing="0"/>
              <w:jc w:val="center"/>
              <w:rPr>
                <w:sz w:val="18"/>
                <w:szCs w:val="18"/>
              </w:rPr>
            </w:pPr>
            <w:r>
              <w:rPr>
                <w:b/>
                <w:bCs/>
                <w:sz w:val="18"/>
                <w:szCs w:val="18"/>
              </w:rPr>
              <w:t>Three Months Ended September 30</w:t>
            </w:r>
            <w:r>
              <w:rPr>
                <w:b/>
                <w:bCs/>
                <w:sz w:val="18"/>
                <w:szCs w:val="18"/>
              </w:rPr>
              <w:t>,</w:t>
            </w:r>
          </w:p>
        </w:tc>
        <w:tc>
          <w:tcPr>
            <w:tcW w:w="0" w:type="auto"/>
            <w:vAlign w:val="center"/>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gridSpan w:val="6"/>
            <w:vAlign w:val="center"/>
            <w:hideMark/>
          </w:tcPr>
          <w:p w:rsidR="00000000" w:rsidRDefault="00A32496">
            <w:pPr>
              <w:pStyle w:val="a3"/>
              <w:spacing w:before="0" w:beforeAutospacing="0" w:after="0" w:afterAutospacing="0"/>
              <w:jc w:val="center"/>
              <w:rPr>
                <w:sz w:val="18"/>
                <w:szCs w:val="18"/>
              </w:rPr>
            </w:pPr>
            <w:r>
              <w:rPr>
                <w:b/>
                <w:bCs/>
                <w:sz w:val="18"/>
                <w:szCs w:val="18"/>
              </w:rPr>
              <w:t>Nine Months Ended September 30</w:t>
            </w:r>
            <w:r>
              <w:rPr>
                <w:b/>
                <w:bCs/>
                <w:sz w:val="18"/>
                <w:szCs w:val="18"/>
              </w:rPr>
              <w:t>,</w:t>
            </w:r>
          </w:p>
        </w:tc>
        <w:tc>
          <w:tcPr>
            <w:tcW w:w="0" w:type="auto"/>
            <w:vAlign w:val="center"/>
            <w:hideMark/>
          </w:tcPr>
          <w:p w:rsidR="00000000" w:rsidRDefault="00A32496">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center"/>
            <w:hideMark/>
          </w:tcPr>
          <w:p w:rsidR="00000000" w:rsidRDefault="00A32496">
            <w:pPr>
              <w:pStyle w:val="a3"/>
              <w:spacing w:before="0" w:beforeAutospacing="0" w:after="0" w:afterAutospacing="0"/>
              <w:rPr>
                <w:sz w:val="18"/>
                <w:szCs w:val="18"/>
              </w:rPr>
            </w:pPr>
            <w:r>
              <w:rPr>
                <w:b/>
                <w:bCs/>
                <w:sz w:val="18"/>
                <w:szCs w:val="18"/>
              </w:rPr>
              <w:t>(in thousands</w:t>
            </w:r>
            <w:r>
              <w:rPr>
                <w:b/>
                <w:bCs/>
                <w:sz w:val="18"/>
                <w:szCs w:val="18"/>
              </w:rPr>
              <w:t>)</w:t>
            </w:r>
          </w:p>
        </w:tc>
        <w:tc>
          <w:tcPr>
            <w:tcW w:w="0" w:type="auto"/>
            <w:vAlign w:val="center"/>
            <w:hideMark/>
          </w:tcPr>
          <w:p w:rsidR="00000000" w:rsidRDefault="00A32496">
            <w:pPr>
              <w:pStyle w:val="a3"/>
              <w:spacing w:before="0" w:beforeAutospacing="0" w:after="0" w:afterAutospacing="0"/>
              <w:jc w:val="center"/>
              <w:rPr>
                <w:sz w:val="18"/>
                <w:szCs w:val="18"/>
              </w:rPr>
            </w:pPr>
            <w:r>
              <w:rPr>
                <w:sz w:val="18"/>
                <w:szCs w:val="18"/>
              </w:rPr>
              <w:t> </w:t>
            </w:r>
          </w:p>
        </w:tc>
        <w:tc>
          <w:tcPr>
            <w:tcW w:w="0" w:type="auto"/>
            <w:gridSpan w:val="2"/>
            <w:vAlign w:val="center"/>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center"/>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jc w:val="center"/>
              <w:rPr>
                <w:sz w:val="18"/>
                <w:szCs w:val="18"/>
              </w:rPr>
            </w:pPr>
            <w:r>
              <w:rPr>
                <w:sz w:val="18"/>
                <w:szCs w:val="18"/>
              </w:rPr>
              <w:t> </w:t>
            </w:r>
          </w:p>
        </w:tc>
        <w:tc>
          <w:tcPr>
            <w:tcW w:w="0" w:type="auto"/>
            <w:gridSpan w:val="2"/>
            <w:vAlign w:val="center"/>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center"/>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jc w:val="center"/>
              <w:rPr>
                <w:sz w:val="18"/>
                <w:szCs w:val="18"/>
              </w:rPr>
            </w:pPr>
            <w:r>
              <w:rPr>
                <w:sz w:val="18"/>
                <w:szCs w:val="18"/>
              </w:rPr>
              <w:t> </w:t>
            </w:r>
          </w:p>
        </w:tc>
        <w:tc>
          <w:tcPr>
            <w:tcW w:w="0" w:type="auto"/>
            <w:gridSpan w:val="2"/>
            <w:vAlign w:val="center"/>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center"/>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jc w:val="center"/>
              <w:rPr>
                <w:sz w:val="18"/>
                <w:szCs w:val="18"/>
              </w:rPr>
            </w:pPr>
            <w:r>
              <w:rPr>
                <w:sz w:val="18"/>
                <w:szCs w:val="18"/>
              </w:rPr>
              <w:t> </w:t>
            </w:r>
          </w:p>
        </w:tc>
        <w:tc>
          <w:tcPr>
            <w:tcW w:w="0" w:type="auto"/>
            <w:gridSpan w:val="2"/>
            <w:vAlign w:val="center"/>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center"/>
            <w:hideMark/>
          </w:tcPr>
          <w:p w:rsidR="00000000" w:rsidRDefault="00A32496">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center"/>
            <w:hideMark/>
          </w:tcPr>
          <w:p w:rsidR="00000000" w:rsidRDefault="00A32496">
            <w:pPr>
              <w:pStyle w:val="a3"/>
              <w:spacing w:before="0" w:beforeAutospacing="0" w:after="0" w:afterAutospacing="0"/>
              <w:rPr>
                <w:sz w:val="18"/>
                <w:szCs w:val="18"/>
              </w:rPr>
            </w:pPr>
            <w:r>
              <w:rPr>
                <w:sz w:val="18"/>
                <w:szCs w:val="18"/>
              </w:rPr>
              <w:t>Amortization expens</w:t>
            </w:r>
            <w:r>
              <w:rPr>
                <w:sz w:val="18"/>
                <w:szCs w:val="18"/>
              </w:rPr>
              <w:t>e</w:t>
            </w:r>
          </w:p>
        </w:tc>
        <w:tc>
          <w:tcPr>
            <w:tcW w:w="0" w:type="auto"/>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center"/>
            <w:hideMark/>
          </w:tcPr>
          <w:p w:rsidR="00000000" w:rsidRDefault="00A32496">
            <w:pPr>
              <w:pStyle w:val="a3"/>
              <w:spacing w:before="0" w:beforeAutospacing="0" w:after="0" w:afterAutospacing="0"/>
              <w:rPr>
                <w:sz w:val="18"/>
                <w:szCs w:val="18"/>
              </w:rPr>
            </w:pPr>
            <w:r>
              <w:rPr>
                <w:sz w:val="18"/>
                <w:szCs w:val="18"/>
              </w:rPr>
              <w:t>$</w:t>
            </w:r>
          </w:p>
        </w:tc>
        <w:tc>
          <w:tcPr>
            <w:tcW w:w="0" w:type="auto"/>
            <w:vAlign w:val="center"/>
            <w:hideMark/>
          </w:tcPr>
          <w:p w:rsidR="00000000" w:rsidRDefault="00A32496">
            <w:pPr>
              <w:pStyle w:val="a3"/>
              <w:spacing w:before="0" w:beforeAutospacing="0" w:after="0" w:afterAutospacing="0"/>
              <w:jc w:val="right"/>
              <w:rPr>
                <w:sz w:val="18"/>
                <w:szCs w:val="18"/>
              </w:rPr>
            </w:pPr>
            <w:r>
              <w:rPr>
                <w:sz w:val="18"/>
                <w:szCs w:val="18"/>
              </w:rPr>
              <w:t>8,66</w:t>
            </w:r>
            <w:r>
              <w:rPr>
                <w:sz w:val="18"/>
                <w:szCs w:val="18"/>
              </w:rPr>
              <w:t>8</w:t>
            </w:r>
          </w:p>
        </w:tc>
        <w:tc>
          <w:tcPr>
            <w:tcW w:w="0" w:type="auto"/>
            <w:noWrap/>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center"/>
            <w:hideMark/>
          </w:tcPr>
          <w:p w:rsidR="00000000" w:rsidRDefault="00A32496">
            <w:pPr>
              <w:pStyle w:val="a3"/>
              <w:spacing w:before="0" w:beforeAutospacing="0" w:after="0" w:afterAutospacing="0"/>
              <w:rPr>
                <w:sz w:val="18"/>
                <w:szCs w:val="18"/>
              </w:rPr>
            </w:pPr>
            <w:r>
              <w:rPr>
                <w:sz w:val="18"/>
                <w:szCs w:val="18"/>
              </w:rPr>
              <w:t>$</w:t>
            </w:r>
          </w:p>
        </w:tc>
        <w:tc>
          <w:tcPr>
            <w:tcW w:w="0" w:type="auto"/>
            <w:vAlign w:val="center"/>
            <w:hideMark/>
          </w:tcPr>
          <w:p w:rsidR="00000000" w:rsidRDefault="00A32496">
            <w:pPr>
              <w:pStyle w:val="a3"/>
              <w:spacing w:before="0" w:beforeAutospacing="0" w:after="0" w:afterAutospacing="0"/>
              <w:jc w:val="right"/>
              <w:rPr>
                <w:sz w:val="18"/>
                <w:szCs w:val="18"/>
              </w:rPr>
            </w:pPr>
            <w:r>
              <w:rPr>
                <w:sz w:val="18"/>
                <w:szCs w:val="18"/>
              </w:rPr>
              <w:t>8,93</w:t>
            </w:r>
            <w:r>
              <w:rPr>
                <w:sz w:val="18"/>
                <w:szCs w:val="18"/>
              </w:rPr>
              <w:t>6</w:t>
            </w:r>
          </w:p>
        </w:tc>
        <w:tc>
          <w:tcPr>
            <w:tcW w:w="0" w:type="auto"/>
            <w:noWrap/>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center"/>
            <w:hideMark/>
          </w:tcPr>
          <w:p w:rsidR="00000000" w:rsidRDefault="00A32496">
            <w:pPr>
              <w:pStyle w:val="a3"/>
              <w:spacing w:before="0" w:beforeAutospacing="0" w:after="0" w:afterAutospacing="0"/>
              <w:rPr>
                <w:sz w:val="18"/>
                <w:szCs w:val="18"/>
              </w:rPr>
            </w:pPr>
            <w:r>
              <w:rPr>
                <w:sz w:val="18"/>
                <w:szCs w:val="18"/>
              </w:rPr>
              <w:t>$</w:t>
            </w:r>
          </w:p>
        </w:tc>
        <w:tc>
          <w:tcPr>
            <w:tcW w:w="0" w:type="auto"/>
            <w:vAlign w:val="center"/>
            <w:hideMark/>
          </w:tcPr>
          <w:p w:rsidR="00000000" w:rsidRDefault="00A32496">
            <w:pPr>
              <w:pStyle w:val="a3"/>
              <w:spacing w:before="0" w:beforeAutospacing="0" w:after="0" w:afterAutospacing="0"/>
              <w:jc w:val="right"/>
              <w:rPr>
                <w:sz w:val="18"/>
                <w:szCs w:val="18"/>
              </w:rPr>
            </w:pPr>
            <w:r>
              <w:rPr>
                <w:sz w:val="18"/>
                <w:szCs w:val="18"/>
              </w:rPr>
              <w:t>27,57</w:t>
            </w:r>
            <w:r>
              <w:rPr>
                <w:sz w:val="18"/>
                <w:szCs w:val="18"/>
              </w:rPr>
              <w:t>9</w:t>
            </w:r>
          </w:p>
        </w:tc>
        <w:tc>
          <w:tcPr>
            <w:tcW w:w="0" w:type="auto"/>
            <w:noWrap/>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center"/>
            <w:hideMark/>
          </w:tcPr>
          <w:p w:rsidR="00000000" w:rsidRDefault="00A32496">
            <w:pPr>
              <w:pStyle w:val="a3"/>
              <w:spacing w:before="0" w:beforeAutospacing="0" w:after="0" w:afterAutospacing="0"/>
              <w:rPr>
                <w:sz w:val="18"/>
                <w:szCs w:val="18"/>
              </w:rPr>
            </w:pPr>
            <w:r>
              <w:rPr>
                <w:sz w:val="18"/>
                <w:szCs w:val="18"/>
              </w:rPr>
              <w:t>$</w:t>
            </w:r>
          </w:p>
        </w:tc>
        <w:tc>
          <w:tcPr>
            <w:tcW w:w="0" w:type="auto"/>
            <w:vAlign w:val="center"/>
            <w:hideMark/>
          </w:tcPr>
          <w:p w:rsidR="00000000" w:rsidRDefault="00A32496">
            <w:pPr>
              <w:pStyle w:val="a3"/>
              <w:spacing w:before="0" w:beforeAutospacing="0" w:after="0" w:afterAutospacing="0"/>
              <w:jc w:val="right"/>
              <w:rPr>
                <w:sz w:val="18"/>
                <w:szCs w:val="18"/>
              </w:rPr>
            </w:pPr>
            <w:r>
              <w:rPr>
                <w:sz w:val="18"/>
                <w:szCs w:val="18"/>
              </w:rPr>
              <w:t>25,93</w:t>
            </w:r>
            <w:r>
              <w:rPr>
                <w:sz w:val="18"/>
                <w:szCs w:val="18"/>
              </w:rPr>
              <w:t>8</w:t>
            </w:r>
          </w:p>
        </w:tc>
        <w:tc>
          <w:tcPr>
            <w:tcW w:w="0" w:type="auto"/>
            <w:noWrap/>
            <w:vAlign w:val="center"/>
            <w:hideMark/>
          </w:tcPr>
          <w:p w:rsidR="00000000" w:rsidRDefault="00A3249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center"/>
            <w:hideMark/>
          </w:tcPr>
          <w:p w:rsidR="00000000" w:rsidRDefault="00A32496">
            <w:pPr>
              <w:pStyle w:val="a3"/>
              <w:spacing w:before="0" w:beforeAutospacing="0" w:after="0" w:afterAutospacing="0"/>
              <w:rPr>
                <w:sz w:val="18"/>
                <w:szCs w:val="18"/>
              </w:rPr>
            </w:pPr>
            <w:r>
              <w:rPr>
                <w:sz w:val="18"/>
                <w:szCs w:val="18"/>
              </w:rPr>
              <w:t>Acquisition-related cost</w:t>
            </w:r>
            <w:r>
              <w:rPr>
                <w:sz w:val="18"/>
                <w:szCs w:val="18"/>
              </w:rPr>
              <w:t>s</w:t>
            </w:r>
          </w:p>
        </w:tc>
        <w:tc>
          <w:tcPr>
            <w:tcW w:w="0" w:type="auto"/>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jc w:val="right"/>
              <w:rPr>
                <w:sz w:val="18"/>
                <w:szCs w:val="18"/>
              </w:rPr>
            </w:pPr>
            <w:r>
              <w:rPr>
                <w:sz w:val="18"/>
                <w:szCs w:val="18"/>
              </w:rPr>
              <w:t>36</w:t>
            </w:r>
            <w:r>
              <w:rPr>
                <w:sz w:val="18"/>
                <w:szCs w:val="18"/>
              </w:rPr>
              <w:t>8</w:t>
            </w:r>
          </w:p>
        </w:tc>
        <w:tc>
          <w:tcPr>
            <w:tcW w:w="0" w:type="auto"/>
            <w:noWrap/>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jc w:val="right"/>
              <w:rPr>
                <w:sz w:val="18"/>
                <w:szCs w:val="18"/>
              </w:rPr>
            </w:pPr>
            <w:r>
              <w:rPr>
                <w:sz w:val="18"/>
                <w:szCs w:val="18"/>
              </w:rPr>
              <w:t>91</w:t>
            </w:r>
            <w:r>
              <w:rPr>
                <w:sz w:val="18"/>
                <w:szCs w:val="18"/>
              </w:rPr>
              <w:t>3</w:t>
            </w:r>
          </w:p>
        </w:tc>
        <w:tc>
          <w:tcPr>
            <w:tcW w:w="0" w:type="auto"/>
            <w:noWrap/>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1,35</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jc w:val="right"/>
              <w:rPr>
                <w:sz w:val="18"/>
                <w:szCs w:val="18"/>
              </w:rPr>
            </w:pPr>
            <w:r>
              <w:rPr>
                <w:sz w:val="18"/>
                <w:szCs w:val="18"/>
              </w:rPr>
              <w:t>1,65</w:t>
            </w:r>
            <w:r>
              <w:rPr>
                <w:sz w:val="18"/>
                <w:szCs w:val="18"/>
              </w:rPr>
              <w:t>6</w:t>
            </w:r>
          </w:p>
        </w:tc>
        <w:tc>
          <w:tcPr>
            <w:tcW w:w="0" w:type="auto"/>
            <w:noWrap/>
            <w:vAlign w:val="center"/>
            <w:hideMark/>
          </w:tcPr>
          <w:p w:rsidR="00000000" w:rsidRDefault="00A3249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center"/>
            <w:hideMark/>
          </w:tcPr>
          <w:p w:rsidR="00000000" w:rsidRDefault="00A32496">
            <w:pPr>
              <w:pStyle w:val="a3"/>
              <w:spacing w:before="0" w:beforeAutospacing="0" w:after="0" w:afterAutospacing="0"/>
              <w:rPr>
                <w:sz w:val="18"/>
                <w:szCs w:val="18"/>
              </w:rPr>
            </w:pPr>
            <w:r>
              <w:rPr>
                <w:sz w:val="18"/>
                <w:szCs w:val="18"/>
              </w:rPr>
              <w:t xml:space="preserve">Fair value changes in business </w:t>
            </w:r>
            <w:r>
              <w:rPr>
                <w:sz w:val="18"/>
                <w:szCs w:val="18"/>
              </w:rPr>
              <w:br/>
              <w:t>   acquisition contingencie</w:t>
            </w:r>
            <w:r>
              <w:rPr>
                <w:sz w:val="18"/>
                <w:szCs w:val="18"/>
              </w:rPr>
              <w:t>s</w:t>
            </w:r>
          </w:p>
        </w:tc>
        <w:tc>
          <w:tcPr>
            <w:tcW w:w="0" w:type="auto"/>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jc w:val="right"/>
              <w:rPr>
                <w:sz w:val="18"/>
                <w:szCs w:val="18"/>
              </w:rPr>
            </w:pPr>
            <w:r>
              <w:rPr>
                <w:sz w:val="18"/>
                <w:szCs w:val="18"/>
              </w:rPr>
              <w:t>5</w:t>
            </w:r>
            <w:r>
              <w:rPr>
                <w:sz w:val="18"/>
                <w:szCs w:val="18"/>
              </w:rPr>
              <w:t>9</w:t>
            </w:r>
          </w:p>
        </w:tc>
        <w:tc>
          <w:tcPr>
            <w:tcW w:w="0" w:type="auto"/>
            <w:noWrap/>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jc w:val="right"/>
              <w:rPr>
                <w:sz w:val="18"/>
                <w:szCs w:val="18"/>
              </w:rPr>
            </w:pPr>
            <w:r>
              <w:rPr>
                <w:sz w:val="18"/>
                <w:szCs w:val="18"/>
              </w:rPr>
              <w:t>(3,47</w:t>
            </w:r>
            <w:r>
              <w:rPr>
                <w:sz w:val="18"/>
                <w:szCs w:val="18"/>
              </w:rPr>
              <w:t>2</w:t>
            </w:r>
          </w:p>
        </w:tc>
        <w:tc>
          <w:tcPr>
            <w:tcW w:w="0" w:type="auto"/>
            <w:noWrap/>
            <w:vAlign w:val="center"/>
            <w:hideMark/>
          </w:tcPr>
          <w:p w:rsidR="00000000" w:rsidRDefault="00A32496">
            <w:pPr>
              <w:pStyle w:val="a3"/>
              <w:spacing w:before="0" w:beforeAutospacing="0" w:after="0" w:afterAutospacing="0"/>
              <w:rPr>
                <w:sz w:val="18"/>
                <w:szCs w:val="18"/>
              </w:rPr>
            </w:pPr>
            <w:r>
              <w:rPr>
                <w:sz w:val="18"/>
                <w:szCs w:val="18"/>
              </w:rPr>
              <w:t>)</w:t>
            </w:r>
          </w:p>
        </w:tc>
        <w:tc>
          <w:tcPr>
            <w:tcW w:w="0" w:type="auto"/>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center"/>
            <w:hideMark/>
          </w:tcPr>
          <w:p w:rsidR="00000000" w:rsidRDefault="00A32496">
            <w:pPr>
              <w:pStyle w:val="a3"/>
              <w:spacing w:before="0" w:beforeAutospacing="0" w:after="0" w:afterAutospacing="0"/>
              <w:rPr>
                <w:sz w:val="18"/>
                <w:szCs w:val="18"/>
              </w:rPr>
            </w:pPr>
            <w:r>
              <w:rPr>
                <w:sz w:val="18"/>
                <w:szCs w:val="18"/>
              </w:rPr>
              <w:t> </w:t>
            </w:r>
          </w:p>
        </w:tc>
        <w:tc>
          <w:tcPr>
            <w:tcW w:w="0" w:type="auto"/>
            <w:vAlign w:val="center"/>
            <w:hideMark/>
          </w:tcPr>
          <w:p w:rsidR="00000000" w:rsidRDefault="00A32496">
            <w:pPr>
              <w:pStyle w:val="a3"/>
              <w:spacing w:before="0" w:beforeAutospacing="0" w:after="0" w:afterAutospacing="0"/>
              <w:jc w:val="right"/>
              <w:rPr>
                <w:sz w:val="18"/>
                <w:szCs w:val="18"/>
              </w:rPr>
            </w:pPr>
            <w:r>
              <w:rPr>
                <w:sz w:val="18"/>
                <w:szCs w:val="18"/>
              </w:rPr>
              <w:t>24,03</w:t>
            </w:r>
            <w:r>
              <w:rPr>
                <w:sz w:val="18"/>
                <w:szCs w:val="18"/>
              </w:rPr>
              <w:t>5</w:t>
            </w:r>
          </w:p>
        </w:tc>
        <w:tc>
          <w:tcPr>
            <w:tcW w:w="0" w:type="auto"/>
            <w:noWrap/>
            <w:vAlign w:val="center"/>
            <w:hideMark/>
          </w:tcPr>
          <w:p w:rsidR="00000000" w:rsidRDefault="00A32496">
            <w:pPr>
              <w:pStyle w:val="a3"/>
              <w:spacing w:before="0" w:beforeAutospacing="0" w:after="0" w:afterAutospacing="0"/>
              <w:rPr>
                <w:sz w:val="18"/>
                <w:szCs w:val="18"/>
              </w:rPr>
            </w:pPr>
            <w:r>
              <w:rPr>
                <w:sz w:val="18"/>
                <w:szCs w:val="18"/>
              </w:rPr>
              <w:t> </w:t>
            </w:r>
          </w:p>
        </w:tc>
      </w:tr>
    </w:tbl>
    <w:p w:rsidR="00000000" w:rsidRDefault="00A32496">
      <w:pPr>
        <w:pStyle w:val="a3"/>
        <w:spacing w:before="240" w:beforeAutospacing="0" w:after="0" w:afterAutospacing="0"/>
        <w:ind w:firstLine="555"/>
        <w:rPr>
          <w:sz w:val="20"/>
          <w:szCs w:val="20"/>
        </w:rPr>
      </w:pPr>
      <w:r>
        <w:rPr>
          <w:sz w:val="20"/>
          <w:szCs w:val="20"/>
        </w:rPr>
        <w:t>We expect that amortization of identifiable intangible assets and other acquisition-related costs, assuming we continue to acquire, will continue to be significant</w:t>
      </w:r>
      <w:r>
        <w:rPr>
          <w:sz w:val="20"/>
          <w:szCs w:val="20"/>
        </w:rPr>
        <w:t>.</w:t>
      </w:r>
    </w:p>
    <w:p w:rsidR="00000000" w:rsidRDefault="00A32496">
      <w:pPr>
        <w:pStyle w:val="a3"/>
        <w:spacing w:before="240" w:beforeAutospacing="0" w:after="0" w:afterAutospacing="0"/>
        <w:ind w:firstLine="555"/>
        <w:rPr>
          <w:sz w:val="20"/>
          <w:szCs w:val="20"/>
        </w:rPr>
      </w:pPr>
      <w:r>
        <w:rPr>
          <w:sz w:val="20"/>
          <w:szCs w:val="20"/>
        </w:rPr>
        <w:t>Additionally, we made earn-out payments of $30.0 million and $50.0 million in March 2022 an</w:t>
      </w:r>
      <w:r>
        <w:rPr>
          <w:sz w:val="20"/>
          <w:szCs w:val="20"/>
        </w:rPr>
        <w:t xml:space="preserve">d April 2021, respectively, in connection with our CTEH acquisition. $25.0 million of the 2021 CTEH earn-out payment was made in the form of shares of our common stock. In connection with our Vista, Sensible, ECI and EnvStd acquisitions, we may make up to </w:t>
      </w:r>
      <w:r>
        <w:rPr>
          <w:sz w:val="20"/>
          <w:szCs w:val="20"/>
        </w:rPr>
        <w:t>$8.5 million in aggregate earn-out payments between the years 2023 and 2026, up to $3.0 million of which may be paid in cash. See Note 7 to our unaudited condensed consolidated financial statements included in Part I, Item 1. “Financial Statements.</w:t>
      </w:r>
      <w:r>
        <w:rPr>
          <w:sz w:val="20"/>
          <w:szCs w:val="20"/>
        </w:rPr>
        <w:t>”</w:t>
      </w:r>
    </w:p>
    <w:p w:rsidR="00000000" w:rsidRDefault="00A32496">
      <w:pPr>
        <w:pStyle w:val="a3"/>
        <w:spacing w:before="360" w:beforeAutospacing="0" w:after="0" w:afterAutospacing="0"/>
        <w:ind w:firstLine="555"/>
        <w:rPr>
          <w:sz w:val="20"/>
          <w:szCs w:val="20"/>
        </w:rPr>
      </w:pPr>
      <w:r>
        <w:rPr>
          <w:b/>
          <w:bCs/>
          <w:i/>
          <w:iCs/>
          <w:sz w:val="20"/>
          <w:szCs w:val="20"/>
        </w:rPr>
        <w:t>Organi</w:t>
      </w:r>
      <w:r>
        <w:rPr>
          <w:b/>
          <w:bCs/>
          <w:i/>
          <w:iCs/>
          <w:sz w:val="20"/>
          <w:szCs w:val="20"/>
        </w:rPr>
        <w:t>c Growt</w:t>
      </w:r>
      <w:r>
        <w:rPr>
          <w:b/>
          <w:bCs/>
          <w:i/>
          <w:iCs/>
          <w:sz w:val="20"/>
          <w:szCs w:val="20"/>
        </w:rPr>
        <w:t>h</w:t>
      </w:r>
    </w:p>
    <w:p w:rsidR="00000000" w:rsidRDefault="00A32496">
      <w:pPr>
        <w:pStyle w:val="a3"/>
        <w:spacing w:before="240" w:beforeAutospacing="0" w:after="0" w:afterAutospacing="0"/>
        <w:ind w:firstLine="555"/>
        <w:rPr>
          <w:sz w:val="20"/>
          <w:szCs w:val="20"/>
        </w:rPr>
      </w:pPr>
      <w:r>
        <w:rPr>
          <w:sz w:val="20"/>
          <w:szCs w:val="20"/>
        </w:rPr>
        <w:t>We define organic growth as the change in revenues excluding revenues from acquisitions for the first twelve months following the date of acquisition and excluding revenues from businesses disposed of or discontinued. As a result of the significan</w:t>
      </w:r>
      <w:r>
        <w:rPr>
          <w:sz w:val="20"/>
          <w:szCs w:val="20"/>
        </w:rPr>
        <w:t>ce of CTEH to Montrose and the potential annual volatility in CTEH’s revenues due to the emergency response aspect of their business, we also disclose organic growth without the annual organic revenue growth of CTEH. We expect to continue to disclose organ</w:t>
      </w:r>
      <w:r>
        <w:rPr>
          <w:sz w:val="20"/>
          <w:szCs w:val="20"/>
        </w:rPr>
        <w:t>ic revenue growth with and without CTEH. Management uses organic growth as one of the means by which it assesses our results of operations. Organic growth is not, however, a measure of revenue growth calculated in accordance with U.S. generally accepted ac</w:t>
      </w:r>
      <w:r>
        <w:rPr>
          <w:sz w:val="20"/>
          <w:szCs w:val="20"/>
        </w:rPr>
        <w:t>counting principles, or GAAP, and should be considered in conjunction with revenue growth calculated in accordance with GAAP. We have grown organically and expect to continue to do so</w:t>
      </w:r>
      <w:r>
        <w:rPr>
          <w:sz w:val="20"/>
          <w:szCs w:val="20"/>
        </w:rPr>
        <w:t>.</w:t>
      </w:r>
      <w:r>
        <w:rPr>
          <w:sz w:val="20"/>
          <w:szCs w:val="20"/>
        </w:rPr>
        <w:t xml:space="preserve"> </w:t>
      </w:r>
    </w:p>
    <w:p w:rsidR="00000000" w:rsidRDefault="00A32496">
      <w:pPr>
        <w:pStyle w:val="a3"/>
        <w:spacing w:before="360" w:beforeAutospacing="0" w:after="0" w:afterAutospacing="0"/>
        <w:ind w:left="476"/>
        <w:rPr>
          <w:sz w:val="20"/>
          <w:szCs w:val="20"/>
        </w:rPr>
      </w:pPr>
      <w:r>
        <w:rPr>
          <w:b/>
          <w:bCs/>
          <w:i/>
          <w:iCs/>
          <w:sz w:val="20"/>
          <w:szCs w:val="20"/>
        </w:rPr>
        <w:t>Discontinued Service Line</w:t>
      </w:r>
      <w:r>
        <w:rPr>
          <w:b/>
          <w:bCs/>
          <w:i/>
          <w:iCs/>
          <w:sz w:val="20"/>
          <w:szCs w:val="20"/>
        </w:rPr>
        <w:t>s</w:t>
      </w:r>
      <w:r>
        <w:rPr>
          <w:b/>
          <w:bCs/>
          <w:i/>
          <w:iCs/>
          <w:sz w:val="20"/>
          <w:szCs w:val="20"/>
        </w:rPr>
        <w:t xml:space="preserve"> </w:t>
      </w:r>
    </w:p>
    <w:p w:rsidR="00000000" w:rsidRDefault="00A32496">
      <w:pPr>
        <w:pStyle w:val="a3"/>
        <w:spacing w:before="120" w:beforeAutospacing="0" w:after="0" w:afterAutospacing="0"/>
        <w:ind w:firstLine="555"/>
        <w:rPr>
          <w:sz w:val="20"/>
          <w:szCs w:val="20"/>
        </w:rPr>
      </w:pPr>
      <w:r>
        <w:rPr>
          <w:sz w:val="20"/>
          <w:szCs w:val="20"/>
        </w:rPr>
        <w:t>Periodically, or when circumstances warran</w:t>
      </w:r>
      <w:r>
        <w:rPr>
          <w:sz w:val="20"/>
          <w:szCs w:val="20"/>
        </w:rPr>
        <w:t>t, we evaluate the performance of our business services to ensure that performance and outlook are consistent with expectations. During the second quarter of 2022, as part of this evaluation, we determined to exit all legacy water treatment and biogas oper</w:t>
      </w:r>
      <w:r>
        <w:rPr>
          <w:sz w:val="20"/>
          <w:szCs w:val="20"/>
        </w:rPr>
        <w:t>ations and maintenance contracts, collectively, the Discontinued O&amp;M Contracts. The decision to exit these contracts was reached after a careful consideration of the risks and rewards associated with them. The work associated with these contracts is non-sp</w:t>
      </w:r>
      <w:r>
        <w:rPr>
          <w:sz w:val="20"/>
          <w:szCs w:val="20"/>
        </w:rPr>
        <w:t>ecialized and commoditized, and it was determined that the risk of facility failure taken on by the Company as the O&amp;M contractor, no longer justified the low margins in these contracts. As a part of exiting these contracts, a process that is expected to b</w:t>
      </w:r>
      <w:r>
        <w:rPr>
          <w:sz w:val="20"/>
          <w:szCs w:val="20"/>
        </w:rPr>
        <w:t>e completed by the end of 2022, we have eliminated the positions associated with the workstreams. Revenue from our water treatment and biogas operations and maintenance contracts, which are included in the results of our Remediation and Reuse segment, were</w:t>
      </w:r>
      <w:r>
        <w:rPr>
          <w:sz w:val="20"/>
          <w:szCs w:val="20"/>
        </w:rPr>
        <w:t xml:space="preserve"> $0.7 million and $2.9 million in the three months ended September 30, 2022 and September 30, 2021, respectively, and $3.1 million and $9.7 million in the nine months ended September 30, 2022 and September 30, 2021, respectively. This decision does not imp</w:t>
      </w:r>
      <w:r>
        <w:rPr>
          <w:sz w:val="20"/>
          <w:szCs w:val="20"/>
        </w:rPr>
        <w:t>act the Company’s specialized PFAS water treatment operations and maintenance contracts</w:t>
      </w:r>
      <w:r>
        <w:rPr>
          <w:sz w:val="20"/>
          <w:szCs w:val="20"/>
        </w:rPr>
        <w:t>.</w:t>
      </w:r>
    </w:p>
    <w:p w:rsidR="00000000" w:rsidRDefault="00A32496">
      <w:pPr>
        <w:pStyle w:val="a3"/>
        <w:spacing w:before="360" w:beforeAutospacing="0" w:after="0" w:afterAutospacing="0"/>
        <w:ind w:firstLine="555"/>
        <w:rPr>
          <w:sz w:val="20"/>
          <w:szCs w:val="20"/>
        </w:rPr>
      </w:pPr>
      <w:r>
        <w:rPr>
          <w:b/>
          <w:bCs/>
          <w:i/>
          <w:iCs/>
          <w:sz w:val="20"/>
          <w:szCs w:val="20"/>
        </w:rPr>
        <w:t>Revenue Mi</w:t>
      </w:r>
      <w:r>
        <w:rPr>
          <w:b/>
          <w:bCs/>
          <w:i/>
          <w:iCs/>
          <w:sz w:val="20"/>
          <w:szCs w:val="20"/>
        </w:rPr>
        <w:t>x</w:t>
      </w:r>
    </w:p>
    <w:p w:rsidR="00000000" w:rsidRDefault="00A32496">
      <w:pPr>
        <w:pStyle w:val="a3"/>
        <w:spacing w:before="120" w:beforeAutospacing="0" w:after="0" w:afterAutospacing="0"/>
        <w:ind w:firstLine="555"/>
        <w:rPr>
          <w:sz w:val="20"/>
          <w:szCs w:val="20"/>
        </w:rPr>
      </w:pPr>
      <w:r>
        <w:rPr>
          <w:sz w:val="20"/>
          <w:szCs w:val="20"/>
        </w:rPr>
        <w:t>Our segments generate different levels of profitability and, accordingly, shifts in the mix of revenues between segments can impact our consolidated report</w:t>
      </w:r>
      <w:r>
        <w:rPr>
          <w:sz w:val="20"/>
          <w:szCs w:val="20"/>
        </w:rPr>
        <w:t>ed net income, net loss margin, Adjusted EBITDA and Adjusted EBITDA margin from quarter to quarter and year to year. Inter-company revenues between business lines within segments have been eliminated. See Note 18 to our unaudited condensed consolidated fin</w:t>
      </w:r>
      <w:r>
        <w:rPr>
          <w:sz w:val="20"/>
          <w:szCs w:val="20"/>
        </w:rPr>
        <w:t>ancial statements included in Part 1, Item 1 “Financial Statements.</w:t>
      </w:r>
      <w:r>
        <w:rPr>
          <w:sz w:val="20"/>
          <w:szCs w:val="20"/>
        </w:rPr>
        <w:t>”</w:t>
      </w:r>
      <w:r>
        <w:rPr>
          <w:sz w:val="20"/>
          <w:szCs w:val="20"/>
        </w:rPr>
        <w:t xml:space="preserve"> </w:t>
      </w:r>
    </w:p>
    <w:p w:rsidR="00000000" w:rsidRDefault="00A32496">
      <w:pPr>
        <w:pStyle w:val="a3"/>
        <w:spacing w:before="360" w:beforeAutospacing="0" w:after="0" w:afterAutospacing="0"/>
        <w:ind w:firstLine="555"/>
        <w:rPr>
          <w:sz w:val="20"/>
          <w:szCs w:val="20"/>
        </w:rPr>
      </w:pPr>
      <w:r>
        <w:rPr>
          <w:b/>
          <w:bCs/>
          <w:i/>
          <w:iCs/>
          <w:sz w:val="20"/>
          <w:szCs w:val="20"/>
        </w:rPr>
        <w:t>Financing Cost</w:t>
      </w:r>
      <w:r>
        <w:rPr>
          <w:b/>
          <w:bCs/>
          <w:i/>
          <w:iCs/>
          <w:sz w:val="20"/>
          <w:szCs w:val="20"/>
        </w:rPr>
        <w:t>s</w:t>
      </w:r>
    </w:p>
    <w:p w:rsidR="00000000" w:rsidRDefault="00A32496">
      <w:pPr>
        <w:pStyle w:val="a3"/>
        <w:spacing w:before="120" w:beforeAutospacing="0" w:after="0" w:afterAutospacing="0"/>
        <w:ind w:firstLine="555"/>
        <w:rPr>
          <w:sz w:val="20"/>
          <w:szCs w:val="20"/>
        </w:rPr>
      </w:pPr>
      <w:r>
        <w:rPr>
          <w:sz w:val="20"/>
          <w:szCs w:val="20"/>
        </w:rPr>
        <w:t xml:space="preserve">Financing costs, relating primarily to interest expense on our debt, continue to be a significant component of our results of operations. We incurred interest expense of </w:t>
      </w:r>
      <w:r>
        <w:rPr>
          <w:sz w:val="20"/>
          <w:szCs w:val="20"/>
        </w:rPr>
        <w:t>$1.4 million and $4.0 million during the three and nine months ended September 30, 2022, respectively, and $1.7 million and $11.2 million during the three and nine months ended September 30, 2021</w:t>
      </w:r>
      <w:r>
        <w:rPr>
          <w:sz w:val="20"/>
          <w:szCs w:val="20"/>
        </w:rPr>
        <w:t>.</w:t>
      </w:r>
      <w:r>
        <w:rPr>
          <w:sz w:val="20"/>
          <w:szCs w:val="20"/>
        </w:rPr>
        <w:t xml:space="preserve"> </w:t>
      </w:r>
    </w:p>
    <w:p w:rsidR="00000000" w:rsidRDefault="00A32496">
      <w:pPr>
        <w:pStyle w:val="a3"/>
        <w:spacing w:before="240" w:beforeAutospacing="0" w:after="0" w:afterAutospacing="0"/>
        <w:ind w:firstLine="555"/>
        <w:rPr>
          <w:sz w:val="20"/>
          <w:szCs w:val="20"/>
        </w:rPr>
      </w:pPr>
      <w:r>
        <w:rPr>
          <w:sz w:val="20"/>
          <w:szCs w:val="20"/>
        </w:rPr>
        <w:t>On April 27, 2021, we entered into the 2021 Credit Facilit</w:t>
      </w:r>
      <w:r>
        <w:rPr>
          <w:sz w:val="20"/>
          <w:szCs w:val="20"/>
        </w:rPr>
        <w:t>y and repaid all amounts outstanding under the prior Credit Facility. The 2021 Credit Facility consists of a $175.0 million term loan and a $125.0 million revolving credit facility. The interest rate on the 2021 Credit Facility varies depending on leverage</w:t>
      </w:r>
      <w:r>
        <w:rPr>
          <w:sz w:val="20"/>
          <w:szCs w:val="20"/>
        </w:rPr>
        <w:t>, with a minimum of LIBOR plus 1.5% and a maximum of LIBOR plus 2.5%. We incurred debt extinguishment costs of $4.1 million in connection with this refinancing</w:t>
      </w:r>
      <w:r>
        <w:rPr>
          <w:sz w:val="20"/>
          <w:szCs w:val="20"/>
        </w:rPr>
        <w:t>.</w:t>
      </w:r>
    </w:p>
    <w:p w:rsidR="00000000" w:rsidRDefault="00A32496">
      <w:pPr>
        <w:pStyle w:val="a3"/>
        <w:spacing w:before="240" w:beforeAutospacing="0" w:after="0" w:afterAutospacing="0"/>
        <w:jc w:val="center"/>
        <w:rPr>
          <w:sz w:val="20"/>
          <w:szCs w:val="20"/>
        </w:rPr>
      </w:pPr>
      <w:r>
        <w:rPr>
          <w:sz w:val="20"/>
          <w:szCs w:val="20"/>
        </w:rPr>
        <w:t>3</w:t>
      </w:r>
      <w:r>
        <w:rPr>
          <w:sz w:val="20"/>
          <w:szCs w:val="20"/>
        </w:rPr>
        <w:t>5</w:t>
      </w:r>
    </w:p>
    <w:p w:rsidR="00000000" w:rsidRDefault="00A32496">
      <w:pPr>
        <w:rPr>
          <w:rFonts w:eastAsia="Times New Roman"/>
        </w:rPr>
      </w:pPr>
      <w:r>
        <w:rPr>
          <w:rFonts w:eastAsia="Times New Roman"/>
        </w:rPr>
        <w:pict>
          <v:rect id="_x0000_i1061" style="width:0;height:1.5pt" o:hralign="center" o:hrstd="t" o:hr="t" fillcolor="#a0a0a0" stroked="f"/>
        </w:pict>
      </w:r>
    </w:p>
    <w:p w:rsidR="00000000" w:rsidRDefault="00A32496">
      <w:pPr>
        <w:pStyle w:val="a3"/>
        <w:spacing w:before="0" w:beforeAutospacing="0" w:after="0" w:afterAutospacing="0"/>
        <w:rPr>
          <w:sz w:val="20"/>
          <w:szCs w:val="20"/>
        </w:rPr>
      </w:pPr>
      <w:r>
        <w:rPr>
          <w:sz w:val="20"/>
          <w:szCs w:val="20"/>
        </w:rPr>
        <w:t> </w:t>
      </w:r>
    </w:p>
    <w:p w:rsidR="00000000" w:rsidRDefault="00A32496">
      <w:pPr>
        <w:pStyle w:val="a3"/>
        <w:spacing w:before="240" w:beforeAutospacing="0" w:after="0" w:afterAutospacing="0"/>
        <w:ind w:firstLine="555"/>
        <w:rPr>
          <w:sz w:val="20"/>
          <w:szCs w:val="20"/>
        </w:rPr>
      </w:pPr>
      <w:r>
        <w:rPr>
          <w:sz w:val="20"/>
          <w:szCs w:val="20"/>
        </w:rPr>
        <w:t>Furthermore, effective January 27, 2022, we entered into an interest rate swap transaction fixing the floating component of the interest rate on $100.0 million of borrowings to 1.39% until January 27, 2025</w:t>
      </w:r>
      <w:r>
        <w:rPr>
          <w:sz w:val="20"/>
          <w:szCs w:val="20"/>
        </w:rPr>
        <w:t>.</w:t>
      </w:r>
    </w:p>
    <w:p w:rsidR="00000000" w:rsidRDefault="00A32496">
      <w:pPr>
        <w:pStyle w:val="a3"/>
        <w:spacing w:before="240" w:beforeAutospacing="0" w:after="0" w:afterAutospacing="0"/>
        <w:ind w:firstLine="555"/>
        <w:rPr>
          <w:sz w:val="20"/>
          <w:szCs w:val="20"/>
        </w:rPr>
      </w:pPr>
      <w:r>
        <w:rPr>
          <w:sz w:val="20"/>
          <w:szCs w:val="20"/>
        </w:rPr>
        <w:t>We expect i</w:t>
      </w:r>
      <w:r>
        <w:rPr>
          <w:sz w:val="20"/>
          <w:szCs w:val="20"/>
        </w:rPr>
        <w:t>nterest expense to remain a significant cost as we continue to leverage our credit facility to support our operations and future acquisitions</w:t>
      </w:r>
      <w:r>
        <w:rPr>
          <w:sz w:val="20"/>
          <w:szCs w:val="20"/>
        </w:rPr>
        <w:t>.</w:t>
      </w:r>
      <w:r>
        <w:rPr>
          <w:sz w:val="20"/>
          <w:szCs w:val="20"/>
        </w:rPr>
        <w:t xml:space="preserve"> </w:t>
      </w:r>
    </w:p>
    <w:p w:rsidR="00000000" w:rsidRDefault="00A32496">
      <w:pPr>
        <w:pStyle w:val="a3"/>
        <w:spacing w:before="240" w:beforeAutospacing="0" w:after="0" w:afterAutospacing="0"/>
        <w:ind w:firstLine="555"/>
        <w:rPr>
          <w:sz w:val="20"/>
          <w:szCs w:val="20"/>
        </w:rPr>
      </w:pPr>
      <w:r>
        <w:rPr>
          <w:sz w:val="20"/>
          <w:szCs w:val="20"/>
        </w:rPr>
        <w:t>See Note 12 to our unaudited condensed consolidated financial statements included in Part 1, Item 1 “Financial S</w:t>
      </w:r>
      <w:r>
        <w:rPr>
          <w:sz w:val="20"/>
          <w:szCs w:val="20"/>
        </w:rPr>
        <w:t>tatements” and “Liquidity and Capital Resources.</w:t>
      </w:r>
      <w:r>
        <w:rPr>
          <w:sz w:val="20"/>
          <w:szCs w:val="20"/>
        </w:rPr>
        <w:t>”</w:t>
      </w:r>
    </w:p>
    <w:p w:rsidR="00000000" w:rsidRDefault="00A32496">
      <w:pPr>
        <w:pStyle w:val="a3"/>
        <w:spacing w:before="360" w:beforeAutospacing="0" w:after="0" w:afterAutospacing="0"/>
        <w:ind w:firstLine="555"/>
        <w:rPr>
          <w:sz w:val="20"/>
          <w:szCs w:val="20"/>
        </w:rPr>
      </w:pPr>
      <w:r>
        <w:rPr>
          <w:b/>
          <w:bCs/>
          <w:i/>
          <w:iCs/>
          <w:sz w:val="20"/>
          <w:szCs w:val="20"/>
        </w:rPr>
        <w:t>Corporate and Operational Infrastructure Investment</w:t>
      </w:r>
      <w:r>
        <w:rPr>
          <w:b/>
          <w:bCs/>
          <w:i/>
          <w:iCs/>
          <w:sz w:val="20"/>
          <w:szCs w:val="20"/>
        </w:rPr>
        <w:t>s</w:t>
      </w:r>
    </w:p>
    <w:p w:rsidR="00000000" w:rsidRDefault="00A32496">
      <w:pPr>
        <w:pStyle w:val="a3"/>
        <w:spacing w:before="120" w:beforeAutospacing="0" w:after="0" w:afterAutospacing="0"/>
        <w:ind w:firstLine="555"/>
        <w:rPr>
          <w:sz w:val="20"/>
          <w:szCs w:val="20"/>
        </w:rPr>
      </w:pPr>
      <w:r>
        <w:rPr>
          <w:sz w:val="20"/>
          <w:szCs w:val="20"/>
        </w:rPr>
        <w:t>Our historical operating results reflect the impact of our ongoing investments in our corporate infrastructure to support our growth. We have made and ex</w:t>
      </w:r>
      <w:r>
        <w:rPr>
          <w:sz w:val="20"/>
          <w:szCs w:val="20"/>
        </w:rPr>
        <w:t>pect to continue to make investments in our business platform that we believe have laid the foundation for continued growth. Investments in logistics, quality, risk management, sales and marketing, safety, human resources, research and development, finance</w:t>
      </w:r>
      <w:r>
        <w:rPr>
          <w:sz w:val="20"/>
          <w:szCs w:val="20"/>
        </w:rPr>
        <w:t xml:space="preserve"> and information technology and other areas enable us to support continued growth. These investments should allow us to improve our margins over time</w:t>
      </w:r>
      <w:r>
        <w:rPr>
          <w:sz w:val="20"/>
          <w:szCs w:val="20"/>
        </w:rPr>
        <w:t>.</w:t>
      </w:r>
    </w:p>
    <w:p w:rsidR="00000000" w:rsidRDefault="00A32496">
      <w:pPr>
        <w:pStyle w:val="a3"/>
        <w:spacing w:before="360" w:beforeAutospacing="0" w:after="0" w:afterAutospacing="0"/>
        <w:ind w:firstLine="555"/>
        <w:rPr>
          <w:sz w:val="20"/>
          <w:szCs w:val="20"/>
        </w:rPr>
      </w:pPr>
      <w:r>
        <w:rPr>
          <w:b/>
          <w:bCs/>
          <w:i/>
          <w:iCs/>
          <w:sz w:val="20"/>
          <w:szCs w:val="20"/>
        </w:rPr>
        <w:t>Seasonalit</w:t>
      </w:r>
      <w:r>
        <w:rPr>
          <w:b/>
          <w:bCs/>
          <w:i/>
          <w:iCs/>
          <w:sz w:val="20"/>
          <w:szCs w:val="20"/>
        </w:rPr>
        <w:t>y</w:t>
      </w:r>
    </w:p>
    <w:p w:rsidR="00000000" w:rsidRDefault="00A32496">
      <w:pPr>
        <w:pStyle w:val="a3"/>
        <w:spacing w:before="120" w:beforeAutospacing="0" w:after="0" w:afterAutospacing="0"/>
        <w:ind w:firstLine="555"/>
        <w:rPr>
          <w:sz w:val="20"/>
          <w:szCs w:val="20"/>
        </w:rPr>
      </w:pPr>
      <w:r>
        <w:rPr>
          <w:sz w:val="20"/>
          <w:szCs w:val="20"/>
        </w:rPr>
        <w:t>Due to the field-based nature of certain of our services, weather patterns generally impact o</w:t>
      </w:r>
      <w:r>
        <w:rPr>
          <w:sz w:val="20"/>
          <w:szCs w:val="20"/>
        </w:rPr>
        <w:t>ur field-based teams’ ability to operate in the winter months. As a result, our operating results in our Measurement and Analysis segment experience some quarterly variability with generally lower revenues and lower earnings in the first and fourth quarter</w:t>
      </w:r>
      <w:r>
        <w:rPr>
          <w:sz w:val="20"/>
          <w:szCs w:val="20"/>
        </w:rPr>
        <w:t>s and higher overall revenues and earnings in the second and third quarters. As we continue to grow and expand into new geographies and service lines, quarterly variability in our Measurement and Analysis segment may deviate from historical trends</w:t>
      </w:r>
      <w:r>
        <w:rPr>
          <w:sz w:val="20"/>
          <w:szCs w:val="20"/>
        </w:rPr>
        <w:t>.</w:t>
      </w:r>
    </w:p>
    <w:p w:rsidR="00000000" w:rsidRDefault="00A32496">
      <w:pPr>
        <w:pStyle w:val="a3"/>
        <w:spacing w:before="360" w:beforeAutospacing="0" w:after="0" w:afterAutospacing="0"/>
        <w:ind w:firstLine="555"/>
        <w:rPr>
          <w:sz w:val="20"/>
          <w:szCs w:val="20"/>
        </w:rPr>
      </w:pPr>
      <w:r>
        <w:rPr>
          <w:b/>
          <w:bCs/>
          <w:i/>
          <w:iCs/>
          <w:sz w:val="20"/>
          <w:szCs w:val="20"/>
        </w:rPr>
        <w:t>Earning</w:t>
      </w:r>
      <w:r>
        <w:rPr>
          <w:b/>
          <w:bCs/>
          <w:i/>
          <w:iCs/>
          <w:sz w:val="20"/>
          <w:szCs w:val="20"/>
        </w:rPr>
        <w:t>s Volatilit</w:t>
      </w:r>
      <w:r>
        <w:rPr>
          <w:b/>
          <w:bCs/>
          <w:i/>
          <w:iCs/>
          <w:sz w:val="20"/>
          <w:szCs w:val="20"/>
        </w:rPr>
        <w:t>y</w:t>
      </w:r>
    </w:p>
    <w:p w:rsidR="00000000" w:rsidRDefault="00A32496">
      <w:pPr>
        <w:pStyle w:val="a3"/>
        <w:spacing w:before="120" w:beforeAutospacing="0" w:after="0" w:afterAutospacing="0"/>
        <w:ind w:firstLine="555"/>
        <w:rPr>
          <w:sz w:val="20"/>
          <w:szCs w:val="20"/>
        </w:rPr>
      </w:pPr>
      <w:r>
        <w:rPr>
          <w:sz w:val="20"/>
          <w:szCs w:val="20"/>
        </w:rPr>
        <w:t>In addition to the impact of seasonality on earnings, the acquisition of CTEH exposes us to potentially significant revenue and earnings fluctuations tied both to the timing of large environmental emergency response projects following an incid</w:t>
      </w:r>
      <w:r>
        <w:rPr>
          <w:sz w:val="20"/>
          <w:szCs w:val="20"/>
        </w:rPr>
        <w:t>ent or natural disaster, and more recently, the benefit from COVID related work. The benefit from COVID related work began in the third quarter of 2020, peaked in the first quarter of 2021 and has declined each subsequent quarter, although demand has conti</w:t>
      </w:r>
      <w:r>
        <w:rPr>
          <w:sz w:val="20"/>
          <w:szCs w:val="20"/>
        </w:rPr>
        <w:t>nued through September 30, 2022. Demand for COVID-19 related or environmental emergency response services provided by CTEH remains difficult to predict and as a result, we may have experienced revenues and earnings in both the nine months ended September 3</w:t>
      </w:r>
      <w:r>
        <w:rPr>
          <w:sz w:val="20"/>
          <w:szCs w:val="20"/>
        </w:rPr>
        <w:t xml:space="preserve">0, 2022 and in fiscal year 2021 that are not indicative of future results, making those periods particularly difficult comparisons for future periods. We do however expect that a portion of expectedly declining COVID-19 response revenues will be offset by </w:t>
      </w:r>
      <w:r>
        <w:rPr>
          <w:sz w:val="20"/>
          <w:szCs w:val="20"/>
        </w:rPr>
        <w:t>other CTEH service line revenues such as environmental emergency responses as internal resources are freed up from the COVID-19 response work. Earnings volatility is also driven by the timing of large projects, particularly in our Remediation and Reuse seg</w:t>
      </w:r>
      <w:r>
        <w:rPr>
          <w:sz w:val="20"/>
          <w:szCs w:val="20"/>
        </w:rPr>
        <w:t>ment, and the impact of acquisitions. As a result of these factors, and because demand for environmental services is not driven by specific or predictable patterns in one or more fiscal quarters, our business is better assessed based on yearly results</w:t>
      </w:r>
      <w:r>
        <w:rPr>
          <w:sz w:val="20"/>
          <w:szCs w:val="20"/>
        </w:rPr>
        <w:t>.</w:t>
      </w:r>
      <w:r>
        <w:rPr>
          <w:sz w:val="20"/>
          <w:szCs w:val="20"/>
        </w:rPr>
        <w:t xml:space="preserve"> </w:t>
      </w:r>
    </w:p>
    <w:p w:rsidR="00000000" w:rsidRDefault="00A32496">
      <w:pPr>
        <w:pStyle w:val="a3"/>
        <w:spacing w:before="360" w:beforeAutospacing="0" w:after="0" w:afterAutospacing="0"/>
        <w:ind w:firstLine="555"/>
        <w:rPr>
          <w:sz w:val="20"/>
          <w:szCs w:val="20"/>
        </w:rPr>
      </w:pPr>
      <w:r>
        <w:rPr>
          <w:b/>
          <w:bCs/>
          <w:i/>
          <w:iCs/>
          <w:sz w:val="20"/>
          <w:szCs w:val="20"/>
        </w:rPr>
        <w:t>Cy</w:t>
      </w:r>
      <w:r>
        <w:rPr>
          <w:b/>
          <w:bCs/>
          <w:i/>
          <w:iCs/>
          <w:sz w:val="20"/>
          <w:szCs w:val="20"/>
        </w:rPr>
        <w:t>bersecurity Breac</w:t>
      </w:r>
      <w:r>
        <w:rPr>
          <w:b/>
          <w:bCs/>
          <w:i/>
          <w:iCs/>
          <w:sz w:val="20"/>
          <w:szCs w:val="20"/>
        </w:rPr>
        <w:t>h</w:t>
      </w:r>
    </w:p>
    <w:p w:rsidR="00000000" w:rsidRDefault="00A32496">
      <w:pPr>
        <w:pStyle w:val="a3"/>
        <w:spacing w:before="120" w:beforeAutospacing="0" w:after="0" w:afterAutospacing="0"/>
        <w:ind w:firstLine="555"/>
        <w:rPr>
          <w:sz w:val="20"/>
          <w:szCs w:val="20"/>
        </w:rPr>
      </w:pPr>
      <w:r>
        <w:rPr>
          <w:sz w:val="20"/>
          <w:szCs w:val="20"/>
        </w:rPr>
        <w:t>As previously disclosed, on June 11, 2022 we were the target of an organized ransomware attack on our IT systems that led to the temporary disruption of our regular operations. The most affected portion of the business was our Enthalpy l</w:t>
      </w:r>
      <w:r>
        <w:rPr>
          <w:sz w:val="20"/>
          <w:szCs w:val="20"/>
        </w:rPr>
        <w:t>ab network. Upon discovery of the attack, we immediately began restoration and remediation efforts. By June 30, 2022, we had substantially restored our operations. The Company's financial systems are cloud based and were not affected. We engaged third part</w:t>
      </w:r>
      <w:r>
        <w:rPr>
          <w:sz w:val="20"/>
          <w:szCs w:val="20"/>
        </w:rPr>
        <w:t xml:space="preserve">y experts, including cyber legal counsel and a cybersecurity firm, to perform a fulsome forensic investigation of this attack and we promptly notified federal law enforcement. Based on the results of the investigation, we do not believe there has been any </w:t>
      </w:r>
      <w:r>
        <w:rPr>
          <w:sz w:val="20"/>
          <w:szCs w:val="20"/>
        </w:rPr>
        <w:t>misuse of confidential or sensitive client data, have made notifications to clients, and have proactively addressed client concerns regarding our security environment. Furthermore, we have identified a limited number of individuals whose personally identif</w:t>
      </w:r>
      <w:r>
        <w:rPr>
          <w:sz w:val="20"/>
          <w:szCs w:val="20"/>
        </w:rPr>
        <w:t>iable information may have been accessed from our systems and have made appropriate notifications to such individuals and required regulators. The Company has insurance coverage, subject to a $0.3 million deductible, against recovery costs and business int</w:t>
      </w:r>
      <w:r>
        <w:rPr>
          <w:sz w:val="20"/>
          <w:szCs w:val="20"/>
        </w:rPr>
        <w:t>erruption resulting from cyber-attacks and is in the process of preparing and submitting claims. We believe that the impact on revenues and income before tax in the quarters ended June 30, 2022 and September 30, 2022 was approximately $1.0 million and $0.5</w:t>
      </w:r>
      <w:r>
        <w:rPr>
          <w:sz w:val="20"/>
          <w:szCs w:val="20"/>
        </w:rPr>
        <w:t xml:space="preserve"> million, respectively, with the third quarter impact limited to July 2022.</w:t>
      </w:r>
      <w:r>
        <w:rPr>
          <w:sz w:val="20"/>
          <w:szCs w:val="20"/>
        </w:rPr>
        <w:br/>
      </w:r>
      <w:r>
        <w:rPr>
          <w:sz w:val="20"/>
          <w:szCs w:val="20"/>
        </w:rPr>
        <w:br/>
      </w:r>
      <w:r>
        <w:rPr>
          <w:sz w:val="20"/>
          <w:szCs w:val="20"/>
        </w:rPr>
        <w:t> </w:t>
      </w:r>
    </w:p>
    <w:p w:rsidR="00000000" w:rsidRDefault="00A32496">
      <w:pPr>
        <w:pStyle w:val="a3"/>
        <w:spacing w:before="240" w:beforeAutospacing="0" w:after="0" w:afterAutospacing="0"/>
        <w:jc w:val="center"/>
        <w:rPr>
          <w:sz w:val="20"/>
          <w:szCs w:val="20"/>
        </w:rPr>
      </w:pPr>
      <w:r>
        <w:rPr>
          <w:sz w:val="20"/>
          <w:szCs w:val="20"/>
        </w:rPr>
        <w:t>3</w:t>
      </w:r>
      <w:r>
        <w:rPr>
          <w:sz w:val="20"/>
          <w:szCs w:val="20"/>
        </w:rPr>
        <w:t>6</w:t>
      </w:r>
    </w:p>
    <w:p w:rsidR="00000000" w:rsidRDefault="00A32496">
      <w:pPr>
        <w:rPr>
          <w:rFonts w:eastAsia="Times New Roman"/>
        </w:rPr>
      </w:pPr>
      <w:r>
        <w:rPr>
          <w:rFonts w:eastAsia="Times New Roman"/>
        </w:rPr>
        <w:pict>
          <v:rect id="_x0000_i1062" style="width:0;height:1.5pt" o:hralign="center" o:hrstd="t" o:hr="t" fillcolor="#a0a0a0" stroked="f"/>
        </w:pict>
      </w:r>
    </w:p>
    <w:p w:rsidR="00000000" w:rsidRDefault="00A32496">
      <w:pPr>
        <w:pStyle w:val="a3"/>
        <w:spacing w:before="0" w:beforeAutospacing="0" w:after="0" w:afterAutospacing="0"/>
        <w:rPr>
          <w:sz w:val="20"/>
          <w:szCs w:val="20"/>
        </w:rPr>
      </w:pPr>
      <w:r>
        <w:rPr>
          <w:sz w:val="20"/>
          <w:szCs w:val="20"/>
        </w:rPr>
        <w:t> </w:t>
      </w:r>
    </w:p>
    <w:p w:rsidR="00000000" w:rsidRDefault="00A32496">
      <w:pPr>
        <w:pStyle w:val="a3"/>
        <w:spacing w:before="360" w:beforeAutospacing="0" w:after="0" w:afterAutospacing="0"/>
        <w:rPr>
          <w:sz w:val="20"/>
          <w:szCs w:val="20"/>
        </w:rPr>
      </w:pPr>
      <w:r>
        <w:rPr>
          <w:b/>
          <w:bCs/>
          <w:sz w:val="20"/>
          <w:szCs w:val="20"/>
        </w:rPr>
        <w:t>Results of Operation</w:t>
      </w:r>
      <w:r>
        <w:rPr>
          <w:b/>
          <w:bCs/>
          <w:sz w:val="20"/>
          <w:szCs w:val="20"/>
        </w:rPr>
        <w:t>s</w:t>
      </w:r>
    </w:p>
    <w:p w:rsidR="00000000" w:rsidRDefault="00A32496">
      <w:pPr>
        <w:pStyle w:val="a3"/>
        <w:spacing w:before="120" w:beforeAutospacing="0" w:after="0" w:afterAutospacing="0"/>
        <w:rPr>
          <w:sz w:val="20"/>
          <w:szCs w:val="20"/>
        </w:rPr>
      </w:pPr>
      <w:r>
        <w:rPr>
          <w:b/>
          <w:bCs/>
          <w:i/>
          <w:iCs/>
          <w:sz w:val="20"/>
          <w:szCs w:val="20"/>
        </w:rPr>
        <w:t>Three Months Ended September 30, 2022 Compared to the Three Months Ended September 30, 202</w:t>
      </w:r>
      <w:r>
        <w:rPr>
          <w:b/>
          <w:bCs/>
          <w:i/>
          <w:iCs/>
          <w:sz w:val="20"/>
          <w:szCs w:val="20"/>
        </w:rPr>
        <w:t>1</w:t>
      </w:r>
    </w:p>
    <w:p w:rsidR="00000000" w:rsidRDefault="00A32496">
      <w:pPr>
        <w:pStyle w:val="a3"/>
        <w:spacing w:before="0" w:beforeAutospacing="0" w:after="0" w:afterAutospacing="0"/>
        <w:rPr>
          <w:sz w:val="20"/>
          <w:szCs w:val="20"/>
        </w:rPr>
      </w:pPr>
      <w:r>
        <w:rPr>
          <w:sz w:val="20"/>
          <w:szCs w:val="20"/>
        </w:rPr>
        <w:t> </w:t>
      </w:r>
    </w:p>
    <w:tbl>
      <w:tblPr>
        <w:tblW w:w="3050" w:type="pct"/>
        <w:tblCellSpacing w:w="15" w:type="dxa"/>
        <w:tblCellMar>
          <w:top w:w="15" w:type="dxa"/>
          <w:left w:w="15" w:type="dxa"/>
          <w:bottom w:w="15" w:type="dxa"/>
          <w:right w:w="15" w:type="dxa"/>
        </w:tblCellMar>
        <w:tblLook w:val="04A0" w:firstRow="1" w:lastRow="0" w:firstColumn="1" w:lastColumn="0" w:noHBand="0" w:noVBand="1"/>
      </w:tblPr>
      <w:tblGrid>
        <w:gridCol w:w="3012"/>
        <w:gridCol w:w="105"/>
        <w:gridCol w:w="150"/>
        <w:gridCol w:w="645"/>
        <w:gridCol w:w="120"/>
        <w:gridCol w:w="105"/>
        <w:gridCol w:w="150"/>
        <w:gridCol w:w="645"/>
        <w:gridCol w:w="135"/>
      </w:tblGrid>
      <w:tr w:rsidR="00000000">
        <w:trPr>
          <w:tblCellSpacing w:w="15" w:type="dxa"/>
        </w:trPr>
        <w:tc>
          <w:tcPr>
            <w:tcW w:w="3315" w:type="pct"/>
            <w:vAlign w:val="center"/>
            <w:hideMark/>
          </w:tcPr>
          <w:p w:rsidR="00000000" w:rsidRDefault="00A32496">
            <w:pPr>
              <w:rPr>
                <w:sz w:val="20"/>
                <w:szCs w:val="20"/>
              </w:rPr>
            </w:pPr>
          </w:p>
        </w:tc>
        <w:tc>
          <w:tcPr>
            <w:tcW w:w="78"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657"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78"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670"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r>
      <w:tr w:rsidR="00000000">
        <w:trPr>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6"/>
            <w:vAlign w:val="bottom"/>
            <w:hideMark/>
          </w:tcPr>
          <w:p w:rsidR="00000000" w:rsidRDefault="00A32496">
            <w:pPr>
              <w:pStyle w:val="a3"/>
              <w:spacing w:before="0" w:beforeAutospacing="0" w:after="0" w:afterAutospacing="0"/>
              <w:jc w:val="center"/>
              <w:rPr>
                <w:sz w:val="18"/>
                <w:szCs w:val="18"/>
              </w:rPr>
            </w:pPr>
            <w:r>
              <w:rPr>
                <w:b/>
                <w:bCs/>
                <w:sz w:val="18"/>
                <w:szCs w:val="18"/>
              </w:rPr>
              <w:t>Three Months Ended September 30</w:t>
            </w:r>
            <w:r>
              <w:rPr>
                <w:b/>
                <w:bCs/>
                <w:sz w:val="18"/>
                <w:szCs w:val="18"/>
              </w:rPr>
              <w: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A32496">
            <w:pPr>
              <w:pStyle w:val="a3"/>
              <w:spacing w:before="0" w:beforeAutospacing="0" w:after="0" w:afterAutospacing="0"/>
              <w:rPr>
                <w:sz w:val="18"/>
                <w:szCs w:val="18"/>
              </w:rPr>
            </w:pPr>
            <w:r>
              <w:rPr>
                <w:b/>
                <w:bCs/>
                <w:sz w:val="18"/>
                <w:szCs w:val="18"/>
              </w:rPr>
              <w:t>(in thousands, except per share and percentage data</w:t>
            </w:r>
            <w:r>
              <w:rPr>
                <w:b/>
                <w:bCs/>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rPr>
                <w:sz w:val="18"/>
                <w:szCs w:val="18"/>
              </w:rPr>
            </w:pPr>
            <w:r>
              <w:rPr>
                <w:b/>
                <w:bCs/>
                <w:sz w:val="18"/>
                <w:szCs w:val="18"/>
              </w:rPr>
              <w:t>Statements of operations data</w:t>
            </w:r>
            <w:r>
              <w:rPr>
                <w:b/>
                <w:bCs/>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Revenue</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130,31</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132,57</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Cost of revenues (exclusive of depreciation and amortization</w:t>
            </w: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82,23</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85,24</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Selling, general and administrative expens</w:t>
            </w:r>
            <w:r>
              <w:rPr>
                <w:sz w:val="18"/>
                <w:szCs w:val="18"/>
              </w:rPr>
              <w:t>e</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42,85</w:t>
            </w:r>
            <w:r>
              <w:rPr>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30,49</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Fair value changes in business acquisition contingencie</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5</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Depreciation and amortizatio</w:t>
            </w:r>
            <w:r>
              <w:rPr>
                <w:sz w:val="18"/>
                <w:szCs w:val="18"/>
              </w:rPr>
              <w:t>n</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11,50</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11,47</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rPr>
                <w:sz w:val="18"/>
                <w:szCs w:val="18"/>
              </w:rPr>
            </w:pPr>
            <w:r>
              <w:rPr>
                <w:b/>
                <w:bCs/>
                <w:sz w:val="18"/>
                <w:szCs w:val="18"/>
              </w:rPr>
              <w:t>(Loss) income from operation</w:t>
            </w:r>
            <w:r>
              <w:rPr>
                <w:b/>
                <w:bCs/>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b/>
                <w:bCs/>
                <w:sz w:val="18"/>
                <w:szCs w:val="18"/>
              </w:rPr>
              <w:t>(6,34</w:t>
            </w:r>
            <w:r>
              <w:rPr>
                <w:b/>
                <w:bCs/>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b/>
                <w:bCs/>
                <w:sz w:val="18"/>
                <w:szCs w:val="18"/>
              </w:rPr>
              <w:t>5,36</w:t>
            </w:r>
            <w:r>
              <w:rPr>
                <w:b/>
                <w:bCs/>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Other income (expense</w:t>
            </w: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1,81</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(51</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Interest expense, ne</w:t>
            </w:r>
            <w:r>
              <w:rPr>
                <w:sz w:val="18"/>
                <w:szCs w:val="18"/>
              </w:rPr>
              <w:t>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(1,40</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(1,72</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A32496">
            <w:pPr>
              <w:pStyle w:val="a3"/>
              <w:spacing w:before="0" w:beforeAutospacing="0" w:after="0" w:afterAutospacing="0"/>
              <w:rPr>
                <w:sz w:val="18"/>
                <w:szCs w:val="18"/>
              </w:rPr>
            </w:pPr>
            <w:r>
              <w:rPr>
                <w:b/>
                <w:bCs/>
                <w:sz w:val="18"/>
                <w:szCs w:val="18"/>
              </w:rPr>
              <w:t>(Loss) income before income taxe</w:t>
            </w:r>
            <w:r>
              <w:rPr>
                <w:b/>
                <w:bCs/>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b/>
                <w:bCs/>
                <w:sz w:val="18"/>
                <w:szCs w:val="18"/>
              </w:rPr>
              <w:t>(5,92</w:t>
            </w:r>
            <w:r>
              <w:rPr>
                <w:b/>
                <w:bCs/>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b/>
                <w:bCs/>
                <w:sz w:val="18"/>
                <w:szCs w:val="18"/>
              </w:rPr>
              <w:t>3,12</w:t>
            </w:r>
            <w:r>
              <w:rPr>
                <w:b/>
                <w:bCs/>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Income tax (benefit) expens</w:t>
            </w:r>
            <w:r>
              <w:rPr>
                <w:sz w:val="18"/>
                <w:szCs w:val="18"/>
              </w:rPr>
              <w:t>e</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(20</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90</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rPr>
                <w:sz w:val="18"/>
                <w:szCs w:val="18"/>
              </w:rPr>
            </w:pPr>
            <w:r>
              <w:rPr>
                <w:b/>
                <w:bCs/>
                <w:sz w:val="18"/>
                <w:szCs w:val="18"/>
              </w:rPr>
              <w:t>Net (loss) incom</w:t>
            </w:r>
            <w:r>
              <w:rPr>
                <w:b/>
                <w:bCs/>
                <w:sz w:val="18"/>
                <w:szCs w:val="18"/>
              </w:rPr>
              <w:t>e</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b/>
                <w:bCs/>
                <w:sz w:val="18"/>
                <w:szCs w:val="18"/>
              </w:rPr>
              <w:t>(5,72</w:t>
            </w:r>
            <w:r>
              <w:rPr>
                <w:b/>
                <w:bCs/>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b/>
                <w:bCs/>
                <w:sz w:val="18"/>
                <w:szCs w:val="18"/>
              </w:rPr>
              <w:t>2,22</w:t>
            </w:r>
            <w:r>
              <w:rPr>
                <w:b/>
                <w:bCs/>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ind w:left="200"/>
              <w:rPr>
                <w:sz w:val="18"/>
                <w:szCs w:val="18"/>
              </w:rPr>
            </w:pPr>
            <w:r>
              <w:rPr>
                <w:sz w:val="18"/>
                <w:szCs w:val="18"/>
              </w:rPr>
              <w:t>Series A-2 dividend paymen</w:t>
            </w:r>
            <w:r>
              <w:rPr>
                <w:sz w:val="18"/>
                <w:szCs w:val="18"/>
              </w:rPr>
              <w:t>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(4,10</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(4,10</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A32496">
            <w:pPr>
              <w:pStyle w:val="a3"/>
              <w:spacing w:before="0" w:beforeAutospacing="0" w:after="0" w:afterAutospacing="0"/>
              <w:rPr>
                <w:sz w:val="18"/>
                <w:szCs w:val="18"/>
              </w:rPr>
            </w:pPr>
            <w:r>
              <w:rPr>
                <w:b/>
                <w:bCs/>
                <w:sz w:val="18"/>
                <w:szCs w:val="18"/>
              </w:rPr>
              <w:t>Net loss attributable to common stockholder</w:t>
            </w:r>
            <w:r>
              <w:rPr>
                <w:b/>
                <w:bCs/>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b/>
                <w:bCs/>
                <w:sz w:val="18"/>
                <w:szCs w:val="18"/>
              </w:rPr>
              <w:t>(9,82</w:t>
            </w:r>
            <w:r>
              <w:rPr>
                <w:b/>
                <w:bCs/>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b/>
                <w:bCs/>
                <w:sz w:val="18"/>
                <w:szCs w:val="18"/>
              </w:rPr>
              <w:t>(1,87</w:t>
            </w:r>
            <w:r>
              <w:rPr>
                <w:b/>
                <w:bCs/>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b/>
                <w:bCs/>
                <w:sz w:val="18"/>
                <w:szCs w:val="18"/>
              </w:rPr>
              <w:t>)</w:t>
            </w:r>
          </w:p>
        </w:tc>
      </w:tr>
      <w:tr w:rsidR="00000000">
        <w:trPr>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Weighted average number of shares — basic and dilute</w:t>
            </w:r>
            <w:r>
              <w:rPr>
                <w:sz w:val="18"/>
                <w:szCs w:val="18"/>
              </w:rPr>
              <w:t>d</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29,69</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26,22</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rPr>
                <w:sz w:val="18"/>
                <w:szCs w:val="18"/>
              </w:rPr>
            </w:pPr>
            <w:r>
              <w:rPr>
                <w:b/>
                <w:bCs/>
                <w:sz w:val="18"/>
                <w:szCs w:val="18"/>
              </w:rPr>
              <w:t xml:space="preserve">Loss per share — </w:t>
            </w:r>
            <w:r>
              <w:rPr>
                <w:b/>
                <w:bCs/>
                <w:sz w:val="18"/>
                <w:szCs w:val="18"/>
              </w:rPr>
              <w:t>basic and dilute</w:t>
            </w:r>
            <w:r>
              <w:rPr>
                <w:b/>
                <w:bCs/>
                <w:sz w:val="18"/>
                <w:szCs w:val="18"/>
              </w:rPr>
              <w:t>d</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b/>
                <w:bCs/>
                <w:sz w:val="18"/>
                <w:szCs w:val="18"/>
              </w:rPr>
              <w:t>(0.3</w:t>
            </w:r>
            <w:r>
              <w:rPr>
                <w:b/>
                <w:bCs/>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b/>
                <w:bCs/>
                <w:sz w:val="18"/>
                <w:szCs w:val="18"/>
              </w:rPr>
              <w:t>(0.0</w:t>
            </w:r>
            <w:r>
              <w:rPr>
                <w:b/>
                <w:bCs/>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b/>
                <w:bCs/>
                <w:sz w:val="18"/>
                <w:szCs w:val="18"/>
              </w:rPr>
              <w:t>)</w:t>
            </w:r>
          </w:p>
        </w:tc>
      </w:tr>
    </w:tbl>
    <w:p w:rsidR="00000000" w:rsidRDefault="00A32496">
      <w:pPr>
        <w:pStyle w:val="a3"/>
        <w:spacing w:before="0" w:beforeAutospacing="0" w:after="0" w:afterAutospacing="0"/>
        <w:ind w:left="476"/>
        <w:rPr>
          <w:sz w:val="20"/>
          <w:szCs w:val="20"/>
        </w:rPr>
      </w:pPr>
      <w:r>
        <w:rPr>
          <w:sz w:val="20"/>
          <w:szCs w:val="20"/>
        </w:rPr>
        <w:t> </w:t>
      </w:r>
    </w:p>
    <w:p w:rsidR="00000000" w:rsidRDefault="00A32496">
      <w:pPr>
        <w:pStyle w:val="a3"/>
        <w:spacing w:before="0" w:beforeAutospacing="0" w:after="0" w:afterAutospacing="0"/>
        <w:ind w:left="476"/>
        <w:rPr>
          <w:sz w:val="20"/>
          <w:szCs w:val="20"/>
        </w:rPr>
      </w:pPr>
      <w:r>
        <w:rPr>
          <w:b/>
          <w:bCs/>
          <w:i/>
          <w:iCs/>
          <w:sz w:val="20"/>
          <w:szCs w:val="20"/>
        </w:rPr>
        <w:t>Revenue</w:t>
      </w:r>
      <w:r>
        <w:rPr>
          <w:b/>
          <w:bCs/>
          <w:i/>
          <w:iCs/>
          <w:sz w:val="20"/>
          <w:szCs w:val="20"/>
        </w:rPr>
        <w:t>s</w:t>
      </w:r>
    </w:p>
    <w:p w:rsidR="00000000" w:rsidRDefault="00A32496">
      <w:pPr>
        <w:pStyle w:val="a3"/>
        <w:spacing w:before="120" w:beforeAutospacing="0" w:after="0" w:afterAutospacing="0"/>
        <w:ind w:firstLine="555"/>
        <w:rPr>
          <w:sz w:val="20"/>
          <w:szCs w:val="20"/>
        </w:rPr>
      </w:pPr>
      <w:r>
        <w:rPr>
          <w:sz w:val="20"/>
          <w:szCs w:val="20"/>
        </w:rPr>
        <w:t>For the three months ended September 30, 2022, we had revenues of $130.3 million, a decrease of $2.3 million, or (1.7)% over the three months ended September 30, 2021. The period over period decrease in revenues was driven by expected and significantly low</w:t>
      </w:r>
      <w:r>
        <w:rPr>
          <w:sz w:val="20"/>
          <w:szCs w:val="20"/>
        </w:rPr>
        <w:t>er revenue from CTEH driven by lower demand for COVID-19 related services, and exiting the Discontinued O&amp;M Contracts. Thes</w:t>
      </w:r>
      <w:r>
        <w:rPr>
          <w:sz w:val="20"/>
          <w:szCs w:val="20"/>
        </w:rPr>
        <w:t>e</w:t>
      </w:r>
      <w:r>
        <w:rPr>
          <w:sz w:val="20"/>
          <w:szCs w:val="20"/>
        </w:rPr>
        <w:t xml:space="preserve"> </w:t>
      </w:r>
      <w:r>
        <w:rPr>
          <w:sz w:val="20"/>
          <w:szCs w:val="20"/>
        </w:rPr>
        <w:t>decreases were partially offset by organic growth in our Measurement and Analysis and Remediation and Reuse segments, and acquisiti</w:t>
      </w:r>
      <w:r>
        <w:rPr>
          <w:sz w:val="20"/>
          <w:szCs w:val="20"/>
        </w:rPr>
        <w:t>ons completed in and subsequent to the quarter ended September 30, 2021, which contributed revenues of $7.5 million. Revenue from CTEH was $26.2 million in the three months ended September 30, 2022 compared to $53.1 million in the three months ended Septem</w:t>
      </w:r>
      <w:r>
        <w:rPr>
          <w:sz w:val="20"/>
          <w:szCs w:val="20"/>
        </w:rPr>
        <w:t>ber 30, 2021. Total revenue from COVID-19 related services was $13.8 million and $44.9 million in the three months ended September 30, 2022 and September 30, 2021, respectively. Discontinued O&amp;M Contracts generated revenues of $0.7 million and $2.9 million</w:t>
      </w:r>
      <w:r>
        <w:rPr>
          <w:sz w:val="20"/>
          <w:szCs w:val="20"/>
        </w:rPr>
        <w:t xml:space="preserve"> in the three months ended September 30, 2022 and September 30, 2021, respectively. Revenue by segment and as a percentage of total revenues was as follows</w:t>
      </w:r>
      <w:r>
        <w:rPr>
          <w:sz w:val="20"/>
          <w:szCs w:val="20"/>
        </w:rPr>
        <w:t>:</w:t>
      </w:r>
    </w:p>
    <w:p w:rsidR="00000000" w:rsidRDefault="00A32496">
      <w:pPr>
        <w:pStyle w:val="a3"/>
        <w:spacing w:before="0" w:beforeAutospacing="0" w:after="0" w:afterAutospacing="0"/>
        <w:ind w:firstLine="555"/>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161"/>
        <w:gridCol w:w="203"/>
        <w:gridCol w:w="172"/>
        <w:gridCol w:w="110"/>
        <w:gridCol w:w="710"/>
        <w:gridCol w:w="110"/>
        <w:gridCol w:w="172"/>
        <w:gridCol w:w="110"/>
        <w:gridCol w:w="724"/>
        <w:gridCol w:w="110"/>
        <w:gridCol w:w="227"/>
        <w:gridCol w:w="203"/>
        <w:gridCol w:w="173"/>
        <w:gridCol w:w="110"/>
        <w:gridCol w:w="710"/>
        <w:gridCol w:w="110"/>
        <w:gridCol w:w="173"/>
        <w:gridCol w:w="110"/>
        <w:gridCol w:w="725"/>
        <w:gridCol w:w="110"/>
        <w:gridCol w:w="242"/>
      </w:tblGrid>
      <w:tr w:rsidR="00000000">
        <w:trPr>
          <w:tblCellSpacing w:w="15" w:type="dxa"/>
        </w:trPr>
        <w:tc>
          <w:tcPr>
            <w:tcW w:w="1562" w:type="pct"/>
            <w:vAlign w:val="center"/>
            <w:hideMark/>
          </w:tcPr>
          <w:p w:rsidR="00000000" w:rsidRDefault="00A32496">
            <w:pPr>
              <w:rPr>
                <w:sz w:val="20"/>
                <w:szCs w:val="20"/>
              </w:rPr>
            </w:pPr>
          </w:p>
        </w:tc>
        <w:tc>
          <w:tcPr>
            <w:tcW w:w="139" w:type="pct"/>
            <w:vAlign w:val="center"/>
            <w:hideMark/>
          </w:tcPr>
          <w:p w:rsidR="00000000" w:rsidRDefault="00A32496">
            <w:pPr>
              <w:rPr>
                <w:rFonts w:eastAsia="Times New Roman"/>
                <w:sz w:val="20"/>
                <w:szCs w:val="20"/>
              </w:rPr>
            </w:pPr>
          </w:p>
        </w:tc>
        <w:tc>
          <w:tcPr>
            <w:tcW w:w="116"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486"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116"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20"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139" w:type="pct"/>
            <w:vAlign w:val="center"/>
            <w:hideMark/>
          </w:tcPr>
          <w:p w:rsidR="00000000" w:rsidRDefault="00A32496">
            <w:pPr>
              <w:rPr>
                <w:rFonts w:eastAsia="Times New Roman"/>
                <w:sz w:val="20"/>
                <w:szCs w:val="20"/>
              </w:rPr>
            </w:pPr>
          </w:p>
        </w:tc>
        <w:tc>
          <w:tcPr>
            <w:tcW w:w="139" w:type="pct"/>
            <w:vAlign w:val="center"/>
            <w:hideMark/>
          </w:tcPr>
          <w:p w:rsidR="00000000" w:rsidRDefault="00A32496">
            <w:pPr>
              <w:rPr>
                <w:rFonts w:eastAsia="Times New Roman"/>
                <w:sz w:val="20"/>
                <w:szCs w:val="20"/>
              </w:rPr>
            </w:pPr>
          </w:p>
        </w:tc>
        <w:tc>
          <w:tcPr>
            <w:tcW w:w="116"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486"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116"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20"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139" w:type="pct"/>
            <w:vAlign w:val="center"/>
            <w:hideMark/>
          </w:tcPr>
          <w:p w:rsidR="00000000" w:rsidRDefault="00A32496">
            <w:pPr>
              <w:rPr>
                <w:rFonts w:eastAsia="Times New Roman"/>
                <w:sz w:val="20"/>
                <w:szCs w:val="20"/>
              </w:rPr>
            </w:pPr>
          </w:p>
        </w:tc>
      </w:tr>
      <w:tr w:rsidR="00000000">
        <w:trPr>
          <w:trHeight w:val="160"/>
          <w:tblCellSpacing w:w="15" w:type="dxa"/>
        </w:trPr>
        <w:tc>
          <w:tcPr>
            <w:tcW w:w="0" w:type="auto"/>
            <w:vAlign w:val="center"/>
            <w:hideMark/>
          </w:tcPr>
          <w:p w:rsidR="00000000" w:rsidRDefault="00A32496">
            <w:pPr>
              <w:pStyle w:val="a3"/>
              <w:spacing w:before="0" w:beforeAutospacing="0" w:after="0" w:afterAutospacing="0"/>
              <w:rPr>
                <w:sz w:val="16"/>
                <w:szCs w:val="16"/>
              </w:rPr>
            </w:pPr>
            <w:r>
              <w:rPr>
                <w:sz w:val="16"/>
                <w:szCs w:val="16"/>
              </w:rPr>
              <w:t> </w:t>
            </w:r>
          </w:p>
        </w:tc>
        <w:tc>
          <w:tcPr>
            <w:tcW w:w="0" w:type="auto"/>
            <w:vAlign w:val="center"/>
            <w:hideMark/>
          </w:tcPr>
          <w:p w:rsidR="00000000" w:rsidRDefault="00A32496">
            <w:pPr>
              <w:pStyle w:val="a3"/>
              <w:spacing w:before="0" w:beforeAutospacing="0" w:after="0" w:afterAutospacing="0"/>
              <w:rPr>
                <w:sz w:val="16"/>
                <w:szCs w:val="16"/>
              </w:rPr>
            </w:pPr>
            <w:r>
              <w:rPr>
                <w:sz w:val="16"/>
                <w:szCs w:val="16"/>
              </w:rPr>
              <w:t> </w:t>
            </w:r>
          </w:p>
        </w:tc>
        <w:tc>
          <w:tcPr>
            <w:tcW w:w="0" w:type="auto"/>
            <w:gridSpan w:val="19"/>
            <w:vAlign w:val="center"/>
            <w:hideMark/>
          </w:tcPr>
          <w:p w:rsidR="00000000" w:rsidRDefault="00A32496">
            <w:pPr>
              <w:pStyle w:val="a3"/>
              <w:spacing w:before="0" w:beforeAutospacing="0" w:after="0" w:afterAutospacing="0"/>
              <w:jc w:val="center"/>
              <w:rPr>
                <w:sz w:val="16"/>
                <w:szCs w:val="16"/>
              </w:rPr>
            </w:pPr>
            <w:r>
              <w:rPr>
                <w:b/>
                <w:bCs/>
                <w:sz w:val="16"/>
                <w:szCs w:val="16"/>
              </w:rPr>
              <w:t>Three Months Ended September 30</w:t>
            </w:r>
            <w:r>
              <w:rPr>
                <w:b/>
                <w:bCs/>
                <w:sz w:val="16"/>
                <w:szCs w:val="16"/>
              </w:rPr>
              <w:t>,</w:t>
            </w:r>
          </w:p>
        </w:tc>
      </w:tr>
      <w:tr w:rsidR="00000000">
        <w:trPr>
          <w:trHeight w:val="160"/>
          <w:tblCellSpacing w:w="15" w:type="dxa"/>
        </w:trPr>
        <w:tc>
          <w:tcPr>
            <w:tcW w:w="0" w:type="auto"/>
            <w:vAlign w:val="bottom"/>
            <w:hideMark/>
          </w:tcPr>
          <w:p w:rsidR="00000000" w:rsidRDefault="00A32496">
            <w:pPr>
              <w:pStyle w:val="a3"/>
              <w:spacing w:before="0" w:beforeAutospacing="0" w:after="0" w:afterAutospacing="0"/>
              <w:rPr>
                <w:sz w:val="22"/>
                <w:szCs w:val="22"/>
              </w:rPr>
            </w:pPr>
            <w:r>
              <w:rPr>
                <w:sz w:val="22"/>
                <w:szCs w:val="22"/>
              </w:rPr>
              <w:t> </w:t>
            </w:r>
          </w:p>
        </w:tc>
        <w:tc>
          <w:tcPr>
            <w:tcW w:w="0" w:type="auto"/>
            <w:vAlign w:val="bottom"/>
            <w:hideMark/>
          </w:tcPr>
          <w:p w:rsidR="00000000" w:rsidRDefault="00A32496">
            <w:pPr>
              <w:pStyle w:val="a3"/>
              <w:spacing w:before="0" w:beforeAutospacing="0" w:after="0" w:afterAutospacing="0"/>
              <w:rPr>
                <w:sz w:val="22"/>
                <w:szCs w:val="22"/>
              </w:rPr>
            </w:pPr>
            <w:r>
              <w:rPr>
                <w:sz w:val="22"/>
                <w:szCs w:val="22"/>
              </w:rPr>
              <w:t> </w:t>
            </w:r>
          </w:p>
        </w:tc>
        <w:tc>
          <w:tcPr>
            <w:tcW w:w="0" w:type="auto"/>
            <w:gridSpan w:val="9"/>
            <w:vAlign w:val="center"/>
            <w:hideMark/>
          </w:tcPr>
          <w:p w:rsidR="00000000" w:rsidRDefault="00A3249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center"/>
            <w:hideMark/>
          </w:tcPr>
          <w:p w:rsidR="00000000" w:rsidRDefault="00A32496">
            <w:pPr>
              <w:pStyle w:val="a3"/>
              <w:spacing w:before="0" w:beforeAutospacing="0" w:after="0" w:afterAutospacing="0"/>
              <w:jc w:val="center"/>
              <w:rPr>
                <w:sz w:val="16"/>
                <w:szCs w:val="16"/>
              </w:rPr>
            </w:pPr>
            <w:r>
              <w:rPr>
                <w:sz w:val="16"/>
                <w:szCs w:val="16"/>
              </w:rPr>
              <w:t> </w:t>
            </w:r>
          </w:p>
        </w:tc>
        <w:tc>
          <w:tcPr>
            <w:tcW w:w="0" w:type="auto"/>
            <w:gridSpan w:val="9"/>
            <w:vAlign w:val="center"/>
            <w:hideMark/>
          </w:tcPr>
          <w:p w:rsidR="00000000" w:rsidRDefault="00A32496">
            <w:pPr>
              <w:pStyle w:val="a3"/>
              <w:spacing w:before="0" w:beforeAutospacing="0" w:after="0" w:afterAutospacing="0"/>
              <w:jc w:val="center"/>
              <w:rPr>
                <w:sz w:val="16"/>
                <w:szCs w:val="16"/>
              </w:rPr>
            </w:pPr>
            <w:r>
              <w:rPr>
                <w:b/>
                <w:bCs/>
                <w:sz w:val="16"/>
                <w:szCs w:val="16"/>
              </w:rPr>
              <w:t>202</w:t>
            </w:r>
            <w:r>
              <w:rPr>
                <w:b/>
                <w:bCs/>
                <w:sz w:val="16"/>
                <w:szCs w:val="16"/>
              </w:rPr>
              <w:t>1</w:t>
            </w:r>
          </w:p>
        </w:tc>
      </w:tr>
      <w:tr w:rsidR="00000000">
        <w:trPr>
          <w:trHeight w:val="160"/>
          <w:tblCellSpacing w:w="15" w:type="dxa"/>
        </w:trPr>
        <w:tc>
          <w:tcPr>
            <w:tcW w:w="0" w:type="auto"/>
            <w:vAlign w:val="center"/>
            <w:hideMark/>
          </w:tcPr>
          <w:p w:rsidR="00000000" w:rsidRDefault="00A32496">
            <w:pPr>
              <w:pStyle w:val="a3"/>
              <w:spacing w:before="0" w:beforeAutospacing="0" w:after="0" w:afterAutospacing="0"/>
              <w:rPr>
                <w:sz w:val="16"/>
                <w:szCs w:val="16"/>
              </w:rPr>
            </w:pPr>
            <w:r>
              <w:rPr>
                <w:b/>
                <w:bCs/>
                <w:sz w:val="16"/>
                <w:szCs w:val="16"/>
              </w:rPr>
              <w:t>(Revenues in thousands</w:t>
            </w:r>
            <w:r>
              <w:rPr>
                <w:b/>
                <w:bCs/>
                <w:sz w:val="16"/>
                <w:szCs w:val="16"/>
              </w:rPr>
              <w:t>)</w:t>
            </w:r>
          </w:p>
        </w:tc>
        <w:tc>
          <w:tcPr>
            <w:tcW w:w="0" w:type="auto"/>
            <w:vAlign w:val="bottom"/>
            <w:hideMark/>
          </w:tcPr>
          <w:p w:rsidR="00000000" w:rsidRDefault="00A32496">
            <w:pPr>
              <w:pStyle w:val="a3"/>
              <w:spacing w:before="0" w:beforeAutospacing="0" w:after="0" w:afterAutospacing="0"/>
              <w:rPr>
                <w:sz w:val="22"/>
                <w:szCs w:val="22"/>
              </w:rPr>
            </w:pPr>
            <w:r>
              <w:rPr>
                <w:sz w:val="22"/>
                <w:szCs w:val="22"/>
              </w:rPr>
              <w:t> </w:t>
            </w:r>
          </w:p>
        </w:tc>
        <w:tc>
          <w:tcPr>
            <w:tcW w:w="0" w:type="auto"/>
            <w:gridSpan w:val="3"/>
            <w:vAlign w:val="center"/>
            <w:hideMark/>
          </w:tcPr>
          <w:p w:rsidR="00000000" w:rsidRDefault="00A32496">
            <w:pPr>
              <w:pStyle w:val="a3"/>
              <w:spacing w:before="0" w:beforeAutospacing="0" w:after="0" w:afterAutospacing="0"/>
              <w:jc w:val="center"/>
              <w:rPr>
                <w:sz w:val="16"/>
                <w:szCs w:val="16"/>
              </w:rPr>
            </w:pPr>
            <w:r>
              <w:rPr>
                <w:b/>
                <w:bCs/>
                <w:sz w:val="16"/>
                <w:szCs w:val="16"/>
              </w:rPr>
              <w:t>Revenue</w:t>
            </w:r>
            <w:r>
              <w:rPr>
                <w:b/>
                <w:bCs/>
                <w:sz w:val="16"/>
                <w:szCs w:val="16"/>
              </w:rPr>
              <w:t>s</w:t>
            </w:r>
          </w:p>
        </w:tc>
        <w:tc>
          <w:tcPr>
            <w:tcW w:w="0" w:type="auto"/>
            <w:vAlign w:val="center"/>
            <w:hideMark/>
          </w:tcPr>
          <w:p w:rsidR="00000000" w:rsidRDefault="00A32496">
            <w:pPr>
              <w:pStyle w:val="a3"/>
              <w:spacing w:before="0" w:beforeAutospacing="0" w:after="0" w:afterAutospacing="0"/>
              <w:jc w:val="center"/>
              <w:rPr>
                <w:sz w:val="16"/>
                <w:szCs w:val="16"/>
              </w:rPr>
            </w:pPr>
            <w:r>
              <w:rPr>
                <w:sz w:val="16"/>
                <w:szCs w:val="16"/>
              </w:rPr>
              <w:t> </w:t>
            </w:r>
          </w:p>
        </w:tc>
        <w:tc>
          <w:tcPr>
            <w:tcW w:w="0" w:type="auto"/>
            <w:vAlign w:val="center"/>
            <w:hideMark/>
          </w:tcPr>
          <w:p w:rsidR="00000000" w:rsidRDefault="00A32496">
            <w:pPr>
              <w:pStyle w:val="a3"/>
              <w:spacing w:before="0" w:beforeAutospacing="0" w:after="0" w:afterAutospacing="0"/>
              <w:rPr>
                <w:sz w:val="16"/>
                <w:szCs w:val="16"/>
              </w:rPr>
            </w:pPr>
            <w:r>
              <w:rPr>
                <w:sz w:val="16"/>
                <w:szCs w:val="16"/>
              </w:rPr>
              <w:t> </w:t>
            </w:r>
          </w:p>
        </w:tc>
        <w:tc>
          <w:tcPr>
            <w:tcW w:w="0" w:type="auto"/>
            <w:gridSpan w:val="4"/>
            <w:vAlign w:val="center"/>
            <w:hideMark/>
          </w:tcPr>
          <w:p w:rsidR="00000000" w:rsidRDefault="00A32496">
            <w:pPr>
              <w:pStyle w:val="a3"/>
              <w:spacing w:before="0" w:beforeAutospacing="0" w:after="0" w:afterAutospacing="0"/>
              <w:jc w:val="center"/>
              <w:rPr>
                <w:sz w:val="16"/>
                <w:szCs w:val="16"/>
              </w:rPr>
            </w:pPr>
            <w:r>
              <w:rPr>
                <w:b/>
                <w:bCs/>
                <w:sz w:val="16"/>
                <w:szCs w:val="16"/>
              </w:rPr>
              <w:t>% of Total Revenue</w:t>
            </w:r>
            <w:r>
              <w:rPr>
                <w:b/>
                <w:bCs/>
                <w:sz w:val="16"/>
                <w:szCs w:val="16"/>
              </w:rPr>
              <w:t>s</w:t>
            </w:r>
          </w:p>
        </w:tc>
        <w:tc>
          <w:tcPr>
            <w:tcW w:w="0" w:type="auto"/>
            <w:vAlign w:val="center"/>
            <w:hideMark/>
          </w:tcPr>
          <w:p w:rsidR="00000000" w:rsidRDefault="00A32496">
            <w:pPr>
              <w:pStyle w:val="a3"/>
              <w:spacing w:before="0" w:beforeAutospacing="0" w:after="0" w:afterAutospacing="0"/>
              <w:jc w:val="center"/>
              <w:rPr>
                <w:sz w:val="16"/>
                <w:szCs w:val="16"/>
              </w:rPr>
            </w:pPr>
            <w:r>
              <w:rPr>
                <w:sz w:val="16"/>
                <w:szCs w:val="16"/>
              </w:rPr>
              <w:t> </w:t>
            </w:r>
          </w:p>
        </w:tc>
        <w:tc>
          <w:tcPr>
            <w:tcW w:w="0" w:type="auto"/>
            <w:gridSpan w:val="3"/>
            <w:vAlign w:val="center"/>
            <w:hideMark/>
          </w:tcPr>
          <w:p w:rsidR="00000000" w:rsidRDefault="00A32496">
            <w:pPr>
              <w:pStyle w:val="a3"/>
              <w:spacing w:before="0" w:beforeAutospacing="0" w:after="0" w:afterAutospacing="0"/>
              <w:jc w:val="center"/>
              <w:rPr>
                <w:sz w:val="16"/>
                <w:szCs w:val="16"/>
              </w:rPr>
            </w:pPr>
            <w:r>
              <w:rPr>
                <w:b/>
                <w:bCs/>
                <w:sz w:val="16"/>
                <w:szCs w:val="16"/>
              </w:rPr>
              <w:t>Revenue</w:t>
            </w:r>
            <w:r>
              <w:rPr>
                <w:b/>
                <w:bCs/>
                <w:sz w:val="16"/>
                <w:szCs w:val="16"/>
              </w:rPr>
              <w:t>s</w:t>
            </w:r>
          </w:p>
        </w:tc>
        <w:tc>
          <w:tcPr>
            <w:tcW w:w="0" w:type="auto"/>
            <w:vAlign w:val="center"/>
            <w:hideMark/>
          </w:tcPr>
          <w:p w:rsidR="00000000" w:rsidRDefault="00A32496">
            <w:pPr>
              <w:pStyle w:val="a3"/>
              <w:spacing w:before="0" w:beforeAutospacing="0" w:after="0" w:afterAutospacing="0"/>
              <w:jc w:val="center"/>
              <w:rPr>
                <w:sz w:val="16"/>
                <w:szCs w:val="16"/>
              </w:rPr>
            </w:pPr>
            <w:r>
              <w:rPr>
                <w:sz w:val="16"/>
                <w:szCs w:val="16"/>
              </w:rPr>
              <w:t> </w:t>
            </w:r>
          </w:p>
        </w:tc>
        <w:tc>
          <w:tcPr>
            <w:tcW w:w="0" w:type="auto"/>
            <w:vAlign w:val="center"/>
            <w:hideMark/>
          </w:tcPr>
          <w:p w:rsidR="00000000" w:rsidRDefault="00A32496">
            <w:pPr>
              <w:pStyle w:val="a3"/>
              <w:spacing w:before="0" w:beforeAutospacing="0" w:after="0" w:afterAutospacing="0"/>
              <w:jc w:val="center"/>
              <w:rPr>
                <w:sz w:val="20"/>
                <w:szCs w:val="20"/>
              </w:rPr>
            </w:pPr>
            <w:r>
              <w:rPr>
                <w:sz w:val="20"/>
                <w:szCs w:val="20"/>
              </w:rPr>
              <w:t> </w:t>
            </w:r>
          </w:p>
        </w:tc>
        <w:tc>
          <w:tcPr>
            <w:tcW w:w="0" w:type="auto"/>
            <w:gridSpan w:val="4"/>
            <w:vAlign w:val="center"/>
            <w:hideMark/>
          </w:tcPr>
          <w:p w:rsidR="00000000" w:rsidRDefault="00A32496">
            <w:pPr>
              <w:pStyle w:val="a3"/>
              <w:spacing w:before="0" w:beforeAutospacing="0" w:after="0" w:afterAutospacing="0"/>
              <w:jc w:val="center"/>
              <w:rPr>
                <w:sz w:val="16"/>
                <w:szCs w:val="16"/>
              </w:rPr>
            </w:pPr>
            <w:r>
              <w:rPr>
                <w:b/>
                <w:bCs/>
                <w:sz w:val="16"/>
                <w:szCs w:val="16"/>
              </w:rPr>
              <w:t>% of Total Revenue</w:t>
            </w:r>
            <w:r>
              <w:rPr>
                <w:b/>
                <w:bCs/>
                <w:sz w:val="16"/>
                <w:szCs w:val="16"/>
              </w:rPr>
              <w:t>s</w:t>
            </w:r>
          </w:p>
        </w:tc>
      </w:tr>
      <w:tr w:rsidR="00000000">
        <w:trPr>
          <w:trHeight w:val="200"/>
          <w:tblCellSpacing w:w="15" w:type="dxa"/>
        </w:trPr>
        <w:tc>
          <w:tcPr>
            <w:tcW w:w="0" w:type="auto"/>
            <w:vAlign w:val="center"/>
            <w:hideMark/>
          </w:tcPr>
          <w:p w:rsidR="00000000" w:rsidRDefault="00A32496">
            <w:pPr>
              <w:pStyle w:val="a3"/>
              <w:spacing w:before="0" w:beforeAutospacing="0" w:after="0" w:afterAutospacing="0"/>
              <w:rPr>
                <w:sz w:val="20"/>
                <w:szCs w:val="20"/>
              </w:rPr>
            </w:pPr>
            <w:r>
              <w:rPr>
                <w:sz w:val="20"/>
                <w:szCs w:val="20"/>
              </w:rPr>
              <w:t xml:space="preserve">Assessment, Permitting and </w:t>
            </w:r>
            <w:r>
              <w:rPr>
                <w:sz w:val="20"/>
                <w:szCs w:val="20"/>
              </w:rPr>
              <w:br/>
              <w:t>   Respons</w:t>
            </w:r>
            <w:r>
              <w:rPr>
                <w:sz w:val="20"/>
                <w:szCs w:val="20"/>
              </w:rPr>
              <w:t>e</w:t>
            </w:r>
          </w:p>
        </w:tc>
        <w:tc>
          <w:tcPr>
            <w:tcW w:w="0" w:type="auto"/>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rPr>
                <w:sz w:val="20"/>
                <w:szCs w:val="20"/>
              </w:rPr>
            </w:pPr>
            <w:r>
              <w:rPr>
                <w:sz w:val="20"/>
                <w:szCs w:val="20"/>
              </w:rPr>
              <w:t>$</w:t>
            </w:r>
          </w:p>
        </w:tc>
        <w:tc>
          <w:tcPr>
            <w:tcW w:w="0" w:type="auto"/>
            <w:noWrap/>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jc w:val="right"/>
              <w:rPr>
                <w:sz w:val="20"/>
                <w:szCs w:val="20"/>
              </w:rPr>
            </w:pPr>
            <w:r>
              <w:rPr>
                <w:sz w:val="20"/>
                <w:szCs w:val="20"/>
              </w:rPr>
              <w:t>46,41</w:t>
            </w:r>
            <w:r>
              <w:rPr>
                <w:sz w:val="20"/>
                <w:szCs w:val="20"/>
              </w:rPr>
              <w:t>4</w:t>
            </w:r>
          </w:p>
        </w:tc>
        <w:tc>
          <w:tcPr>
            <w:tcW w:w="0" w:type="auto"/>
            <w:noWrap/>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jc w:val="right"/>
              <w:rPr>
                <w:sz w:val="20"/>
                <w:szCs w:val="20"/>
              </w:rPr>
            </w:pPr>
            <w:r>
              <w:rPr>
                <w:sz w:val="20"/>
                <w:szCs w:val="20"/>
              </w:rPr>
              <w:t>35.</w:t>
            </w:r>
            <w:r>
              <w:rPr>
                <w:sz w:val="20"/>
                <w:szCs w:val="20"/>
              </w:rPr>
              <w:t>6</w:t>
            </w:r>
          </w:p>
        </w:tc>
        <w:tc>
          <w:tcPr>
            <w:tcW w:w="0" w:type="auto"/>
            <w:noWrap/>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rPr>
                <w:sz w:val="20"/>
                <w:szCs w:val="20"/>
              </w:rPr>
            </w:pPr>
            <w:r>
              <w:rPr>
                <w:sz w:val="20"/>
                <w:szCs w:val="20"/>
              </w:rPr>
              <w:t>%</w:t>
            </w:r>
          </w:p>
        </w:tc>
        <w:tc>
          <w:tcPr>
            <w:tcW w:w="0" w:type="auto"/>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rPr>
                <w:sz w:val="20"/>
                <w:szCs w:val="20"/>
              </w:rPr>
            </w:pPr>
            <w:r>
              <w:rPr>
                <w:sz w:val="20"/>
                <w:szCs w:val="20"/>
              </w:rPr>
              <w:t>$</w:t>
            </w:r>
          </w:p>
        </w:tc>
        <w:tc>
          <w:tcPr>
            <w:tcW w:w="0" w:type="auto"/>
            <w:noWrap/>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jc w:val="right"/>
              <w:rPr>
                <w:sz w:val="20"/>
                <w:szCs w:val="20"/>
              </w:rPr>
            </w:pPr>
            <w:r>
              <w:rPr>
                <w:sz w:val="20"/>
                <w:szCs w:val="20"/>
              </w:rPr>
              <w:t>63,41</w:t>
            </w:r>
            <w:r>
              <w:rPr>
                <w:sz w:val="20"/>
                <w:szCs w:val="20"/>
              </w:rPr>
              <w:t>2</w:t>
            </w:r>
          </w:p>
        </w:tc>
        <w:tc>
          <w:tcPr>
            <w:tcW w:w="0" w:type="auto"/>
            <w:noWrap/>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jc w:val="right"/>
              <w:rPr>
                <w:sz w:val="20"/>
                <w:szCs w:val="20"/>
              </w:rPr>
            </w:pPr>
            <w:r>
              <w:rPr>
                <w:sz w:val="20"/>
                <w:szCs w:val="20"/>
              </w:rPr>
              <w:t>47.</w:t>
            </w:r>
            <w:r>
              <w:rPr>
                <w:sz w:val="20"/>
                <w:szCs w:val="20"/>
              </w:rPr>
              <w:t>8</w:t>
            </w:r>
          </w:p>
        </w:tc>
        <w:tc>
          <w:tcPr>
            <w:tcW w:w="0" w:type="auto"/>
            <w:noWrap/>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center"/>
            <w:hideMark/>
          </w:tcPr>
          <w:p w:rsidR="00000000" w:rsidRDefault="00A32496">
            <w:pPr>
              <w:pStyle w:val="a3"/>
              <w:spacing w:before="0" w:beforeAutospacing="0" w:after="0" w:afterAutospacing="0"/>
              <w:rPr>
                <w:sz w:val="20"/>
                <w:szCs w:val="20"/>
              </w:rPr>
            </w:pPr>
            <w:r>
              <w:rPr>
                <w:sz w:val="20"/>
                <w:szCs w:val="20"/>
              </w:rPr>
              <w:t>Measurement and Analysi</w:t>
            </w:r>
            <w:r>
              <w:rPr>
                <w:sz w:val="20"/>
                <w:szCs w:val="20"/>
              </w:rPr>
              <w:t>s</w:t>
            </w:r>
          </w:p>
        </w:tc>
        <w:tc>
          <w:tcPr>
            <w:tcW w:w="0" w:type="auto"/>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jc w:val="right"/>
              <w:rPr>
                <w:sz w:val="20"/>
                <w:szCs w:val="20"/>
              </w:rPr>
            </w:pPr>
            <w:r>
              <w:rPr>
                <w:sz w:val="20"/>
                <w:szCs w:val="20"/>
              </w:rPr>
              <w:t>43,75</w:t>
            </w:r>
            <w:r>
              <w:rPr>
                <w:sz w:val="20"/>
                <w:szCs w:val="20"/>
              </w:rPr>
              <w:t>4</w:t>
            </w:r>
          </w:p>
        </w:tc>
        <w:tc>
          <w:tcPr>
            <w:tcW w:w="0" w:type="auto"/>
            <w:noWrap/>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jc w:val="right"/>
              <w:rPr>
                <w:sz w:val="20"/>
                <w:szCs w:val="20"/>
              </w:rPr>
            </w:pPr>
            <w:r>
              <w:rPr>
                <w:sz w:val="20"/>
                <w:szCs w:val="20"/>
              </w:rPr>
              <w:t>33.</w:t>
            </w:r>
            <w:r>
              <w:rPr>
                <w:sz w:val="20"/>
                <w:szCs w:val="20"/>
              </w:rPr>
              <w:t>6</w:t>
            </w:r>
          </w:p>
        </w:tc>
        <w:tc>
          <w:tcPr>
            <w:tcW w:w="0" w:type="auto"/>
            <w:noWrap/>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jc w:val="right"/>
              <w:rPr>
                <w:sz w:val="20"/>
                <w:szCs w:val="20"/>
              </w:rPr>
            </w:pPr>
            <w:r>
              <w:rPr>
                <w:sz w:val="20"/>
                <w:szCs w:val="20"/>
              </w:rPr>
              <w:t>38,75</w:t>
            </w:r>
            <w:r>
              <w:rPr>
                <w:sz w:val="20"/>
                <w:szCs w:val="20"/>
              </w:rPr>
              <w:t>2</w:t>
            </w:r>
          </w:p>
        </w:tc>
        <w:tc>
          <w:tcPr>
            <w:tcW w:w="0" w:type="auto"/>
            <w:noWrap/>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jc w:val="right"/>
              <w:rPr>
                <w:sz w:val="20"/>
                <w:szCs w:val="20"/>
              </w:rPr>
            </w:pPr>
            <w:r>
              <w:rPr>
                <w:sz w:val="20"/>
                <w:szCs w:val="20"/>
              </w:rPr>
              <w:t>29.</w:t>
            </w:r>
            <w:r>
              <w:rPr>
                <w:sz w:val="20"/>
                <w:szCs w:val="20"/>
              </w:rPr>
              <w:t>2</w:t>
            </w:r>
          </w:p>
        </w:tc>
        <w:tc>
          <w:tcPr>
            <w:tcW w:w="0" w:type="auto"/>
            <w:noWrap/>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A32496">
            <w:pPr>
              <w:pStyle w:val="a3"/>
              <w:spacing w:before="0" w:beforeAutospacing="0" w:after="0" w:afterAutospacing="0"/>
              <w:rPr>
                <w:sz w:val="20"/>
                <w:szCs w:val="20"/>
              </w:rPr>
            </w:pPr>
            <w:r>
              <w:rPr>
                <w:sz w:val="20"/>
                <w:szCs w:val="20"/>
              </w:rPr>
              <w:t>Remediation and Reus</w:t>
            </w:r>
            <w:r>
              <w:rPr>
                <w:sz w:val="20"/>
                <w:szCs w:val="20"/>
              </w:rPr>
              <w:t>e</w:t>
            </w:r>
          </w:p>
        </w:tc>
        <w:tc>
          <w:tcPr>
            <w:tcW w:w="0" w:type="auto"/>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jc w:val="right"/>
              <w:rPr>
                <w:sz w:val="20"/>
                <w:szCs w:val="20"/>
              </w:rPr>
            </w:pPr>
            <w:r>
              <w:rPr>
                <w:sz w:val="20"/>
                <w:szCs w:val="20"/>
              </w:rPr>
              <w:t>40,14</w:t>
            </w:r>
            <w:r>
              <w:rPr>
                <w:sz w:val="20"/>
                <w:szCs w:val="20"/>
              </w:rPr>
              <w:t>4</w:t>
            </w:r>
          </w:p>
        </w:tc>
        <w:tc>
          <w:tcPr>
            <w:tcW w:w="0" w:type="auto"/>
            <w:noWrap/>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jc w:val="right"/>
              <w:rPr>
                <w:sz w:val="20"/>
                <w:szCs w:val="20"/>
              </w:rPr>
            </w:pPr>
            <w:r>
              <w:rPr>
                <w:sz w:val="20"/>
                <w:szCs w:val="20"/>
              </w:rPr>
              <w:t>30.</w:t>
            </w:r>
            <w:r>
              <w:rPr>
                <w:sz w:val="20"/>
                <w:szCs w:val="20"/>
              </w:rPr>
              <w:t>8</w:t>
            </w:r>
          </w:p>
        </w:tc>
        <w:tc>
          <w:tcPr>
            <w:tcW w:w="0" w:type="auto"/>
            <w:noWrap/>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jc w:val="right"/>
              <w:rPr>
                <w:sz w:val="20"/>
                <w:szCs w:val="20"/>
              </w:rPr>
            </w:pPr>
            <w:r>
              <w:rPr>
                <w:sz w:val="20"/>
                <w:szCs w:val="20"/>
              </w:rPr>
              <w:t>30,41</w:t>
            </w:r>
            <w:r>
              <w:rPr>
                <w:sz w:val="20"/>
                <w:szCs w:val="20"/>
              </w:rPr>
              <w:t>4</w:t>
            </w:r>
          </w:p>
        </w:tc>
        <w:tc>
          <w:tcPr>
            <w:tcW w:w="0" w:type="auto"/>
            <w:noWrap/>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jc w:val="right"/>
              <w:rPr>
                <w:sz w:val="20"/>
                <w:szCs w:val="20"/>
              </w:rPr>
            </w:pPr>
            <w:r>
              <w:rPr>
                <w:sz w:val="20"/>
                <w:szCs w:val="20"/>
              </w:rPr>
              <w:t>22.</w:t>
            </w:r>
            <w:r>
              <w:rPr>
                <w:sz w:val="20"/>
                <w:szCs w:val="20"/>
              </w:rPr>
              <w:t>9</w:t>
            </w:r>
          </w:p>
        </w:tc>
        <w:tc>
          <w:tcPr>
            <w:tcW w:w="0" w:type="auto"/>
            <w:noWrap/>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rPr>
                <w:sz w:val="2"/>
                <w:szCs w:val="2"/>
              </w:rPr>
            </w:pPr>
            <w:r>
              <w:rPr>
                <w:sz w:val="2"/>
                <w:szCs w:val="2"/>
              </w:rPr>
              <w:t> </w:t>
            </w:r>
          </w:p>
        </w:tc>
      </w:tr>
      <w:tr w:rsidR="00000000">
        <w:trPr>
          <w:trHeight w:val="200"/>
          <w:tblCellSpacing w:w="15" w:type="dxa"/>
        </w:trPr>
        <w:tc>
          <w:tcPr>
            <w:tcW w:w="0" w:type="auto"/>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rPr>
                <w:sz w:val="20"/>
                <w:szCs w:val="20"/>
              </w:rPr>
            </w:pPr>
            <w:r>
              <w:rPr>
                <w:sz w:val="20"/>
                <w:szCs w:val="20"/>
              </w:rPr>
              <w:t>$</w:t>
            </w:r>
          </w:p>
        </w:tc>
        <w:tc>
          <w:tcPr>
            <w:tcW w:w="0" w:type="auto"/>
            <w:noWrap/>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jc w:val="right"/>
              <w:rPr>
                <w:sz w:val="20"/>
                <w:szCs w:val="20"/>
              </w:rPr>
            </w:pPr>
            <w:r>
              <w:rPr>
                <w:sz w:val="20"/>
                <w:szCs w:val="20"/>
              </w:rPr>
              <w:t>130,31</w:t>
            </w:r>
            <w:r>
              <w:rPr>
                <w:sz w:val="20"/>
                <w:szCs w:val="20"/>
              </w:rPr>
              <w:t>2</w:t>
            </w:r>
          </w:p>
        </w:tc>
        <w:tc>
          <w:tcPr>
            <w:tcW w:w="0" w:type="auto"/>
            <w:noWrap/>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gridSpan w:val="2"/>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rPr>
                <w:sz w:val="20"/>
                <w:szCs w:val="20"/>
              </w:rPr>
            </w:pPr>
            <w:r>
              <w:rPr>
                <w:sz w:val="20"/>
                <w:szCs w:val="20"/>
              </w:rPr>
              <w:t>$</w:t>
            </w:r>
          </w:p>
        </w:tc>
        <w:tc>
          <w:tcPr>
            <w:tcW w:w="0" w:type="auto"/>
            <w:noWrap/>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jc w:val="right"/>
              <w:rPr>
                <w:sz w:val="20"/>
                <w:szCs w:val="20"/>
              </w:rPr>
            </w:pPr>
            <w:r>
              <w:rPr>
                <w:sz w:val="20"/>
                <w:szCs w:val="20"/>
              </w:rPr>
              <w:t>132,57</w:t>
            </w:r>
            <w:r>
              <w:rPr>
                <w:sz w:val="20"/>
                <w:szCs w:val="20"/>
              </w:rPr>
              <w:t>8</w:t>
            </w:r>
          </w:p>
        </w:tc>
        <w:tc>
          <w:tcPr>
            <w:tcW w:w="0" w:type="auto"/>
            <w:noWrap/>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gridSpan w:val="2"/>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rPr>
                <w:sz w:val="2"/>
                <w:szCs w:val="2"/>
              </w:rPr>
            </w:pPr>
            <w:r>
              <w:rPr>
                <w:sz w:val="2"/>
                <w:szCs w:val="2"/>
              </w:rPr>
              <w:t> </w:t>
            </w:r>
          </w:p>
        </w:tc>
      </w:tr>
    </w:tbl>
    <w:p w:rsidR="00000000" w:rsidRDefault="00A32496">
      <w:pPr>
        <w:pStyle w:val="a3"/>
        <w:spacing w:before="240" w:beforeAutospacing="0" w:after="0" w:afterAutospacing="0"/>
        <w:ind w:firstLine="555"/>
        <w:rPr>
          <w:sz w:val="20"/>
          <w:szCs w:val="20"/>
        </w:rPr>
      </w:pPr>
      <w:r>
        <w:rPr>
          <w:sz w:val="20"/>
          <w:szCs w:val="20"/>
        </w:rPr>
        <w:t>See “—</w:t>
      </w:r>
      <w:r>
        <w:rPr>
          <w:sz w:val="20"/>
          <w:szCs w:val="20"/>
        </w:rPr>
        <w:t>Segment Results of Operations” below</w:t>
      </w:r>
      <w:r>
        <w:rPr>
          <w:sz w:val="20"/>
          <w:szCs w:val="20"/>
        </w:rPr>
        <w:t>.</w:t>
      </w:r>
    </w:p>
    <w:p w:rsidR="00000000" w:rsidRDefault="00A32496">
      <w:pPr>
        <w:pStyle w:val="a3"/>
        <w:spacing w:before="360" w:beforeAutospacing="0" w:after="0" w:afterAutospacing="0"/>
        <w:ind w:left="476"/>
        <w:rPr>
          <w:sz w:val="20"/>
          <w:szCs w:val="20"/>
        </w:rPr>
      </w:pPr>
      <w:r>
        <w:rPr>
          <w:b/>
          <w:bCs/>
          <w:i/>
          <w:iCs/>
          <w:sz w:val="20"/>
          <w:szCs w:val="20"/>
        </w:rPr>
        <w:t>Cost of Revenue</w:t>
      </w:r>
      <w:r>
        <w:rPr>
          <w:b/>
          <w:bCs/>
          <w:i/>
          <w:iCs/>
          <w:sz w:val="20"/>
          <w:szCs w:val="20"/>
        </w:rPr>
        <w:t>s</w:t>
      </w:r>
    </w:p>
    <w:p w:rsidR="00000000" w:rsidRDefault="00A32496">
      <w:pPr>
        <w:pStyle w:val="a3"/>
        <w:spacing w:before="120" w:beforeAutospacing="0" w:after="0" w:afterAutospacing="0"/>
        <w:ind w:firstLine="555"/>
        <w:rPr>
          <w:sz w:val="20"/>
          <w:szCs w:val="20"/>
        </w:rPr>
      </w:pPr>
      <w:r>
        <w:rPr>
          <w:sz w:val="20"/>
          <w:szCs w:val="20"/>
        </w:rPr>
        <w:t>Cost of revenues consists of all direct costs required to provide services, including fixed and variable direct labor costs, equipment rental and other outside services, field and lab supplies, vehicle</w:t>
      </w:r>
      <w:r>
        <w:rPr>
          <w:sz w:val="20"/>
          <w:szCs w:val="20"/>
        </w:rPr>
        <w:t xml:space="preserve"> costs and travel-related expenses. Variable costs of revenues generally follow the same trends as revenue, while fixed costs tend to change primarily as a result of acquisitions</w:t>
      </w:r>
      <w:r>
        <w:rPr>
          <w:sz w:val="20"/>
          <w:szCs w:val="20"/>
        </w:rPr>
        <w:t>.</w:t>
      </w:r>
    </w:p>
    <w:p w:rsidR="00000000" w:rsidRDefault="00A32496">
      <w:pPr>
        <w:pStyle w:val="a3"/>
        <w:spacing w:before="240" w:beforeAutospacing="0" w:after="0" w:afterAutospacing="0"/>
        <w:ind w:firstLine="555"/>
        <w:rPr>
          <w:sz w:val="20"/>
          <w:szCs w:val="20"/>
        </w:rPr>
      </w:pPr>
      <w:r>
        <w:rPr>
          <w:sz w:val="20"/>
          <w:szCs w:val="20"/>
        </w:rPr>
        <w:t>For the three months ended September 30, 2022, cost of revenues was $82.2 mi</w:t>
      </w:r>
      <w:r>
        <w:rPr>
          <w:sz w:val="20"/>
          <w:szCs w:val="20"/>
        </w:rPr>
        <w:t>llion or 63.1% of revenues, and was comprised of direct labor of $38.0 million, outside services (including contracted labor, laboratory, shipping and freight and other outside services) of $22.4 million, field supplies, testing supplies and equipment cost</w:t>
      </w:r>
      <w:r>
        <w:rPr>
          <w:sz w:val="20"/>
          <w:szCs w:val="20"/>
        </w:rPr>
        <w:t>s of $15.0 million, project-related travel expenses of $4.5 million and other direct costs of $2.3 million</w:t>
      </w:r>
      <w:r>
        <w:rPr>
          <w:sz w:val="20"/>
          <w:szCs w:val="20"/>
        </w:rPr>
        <w:t>.</w:t>
      </w:r>
      <w:r>
        <w:rPr>
          <w:sz w:val="20"/>
          <w:szCs w:val="20"/>
        </w:rPr>
        <w:t xml:space="preserve"> </w:t>
      </w:r>
    </w:p>
    <w:p w:rsidR="00000000" w:rsidRDefault="00A32496">
      <w:pPr>
        <w:pStyle w:val="a3"/>
        <w:spacing w:before="240" w:beforeAutospacing="0" w:after="0" w:afterAutospacing="0"/>
        <w:jc w:val="center"/>
        <w:rPr>
          <w:sz w:val="20"/>
          <w:szCs w:val="20"/>
        </w:rPr>
      </w:pPr>
      <w:r>
        <w:rPr>
          <w:sz w:val="20"/>
          <w:szCs w:val="20"/>
        </w:rPr>
        <w:t>3</w:t>
      </w:r>
      <w:r>
        <w:rPr>
          <w:sz w:val="20"/>
          <w:szCs w:val="20"/>
        </w:rPr>
        <w:t>7</w:t>
      </w:r>
    </w:p>
    <w:p w:rsidR="00000000" w:rsidRDefault="00A32496">
      <w:pPr>
        <w:rPr>
          <w:rFonts w:eastAsia="Times New Roman"/>
        </w:rPr>
      </w:pPr>
      <w:r>
        <w:rPr>
          <w:rFonts w:eastAsia="Times New Roman"/>
        </w:rPr>
        <w:pict>
          <v:rect id="_x0000_i1063" style="width:0;height:1.5pt" o:hralign="center" o:hrstd="t" o:hr="t" fillcolor="#a0a0a0" stroked="f"/>
        </w:pict>
      </w:r>
    </w:p>
    <w:p w:rsidR="00000000" w:rsidRDefault="00A32496">
      <w:pPr>
        <w:pStyle w:val="a3"/>
        <w:spacing w:before="0" w:beforeAutospacing="0" w:after="0" w:afterAutospacing="0"/>
        <w:rPr>
          <w:sz w:val="20"/>
          <w:szCs w:val="20"/>
        </w:rPr>
      </w:pPr>
      <w:r>
        <w:rPr>
          <w:sz w:val="20"/>
          <w:szCs w:val="20"/>
        </w:rPr>
        <w:t> </w:t>
      </w:r>
    </w:p>
    <w:p w:rsidR="00000000" w:rsidRDefault="00A32496">
      <w:pPr>
        <w:pStyle w:val="a3"/>
        <w:spacing w:before="240" w:beforeAutospacing="0" w:after="0" w:afterAutospacing="0"/>
        <w:ind w:firstLine="555"/>
        <w:rPr>
          <w:sz w:val="20"/>
          <w:szCs w:val="20"/>
        </w:rPr>
      </w:pPr>
      <w:r>
        <w:rPr>
          <w:sz w:val="20"/>
          <w:szCs w:val="20"/>
        </w:rPr>
        <w:t>For the three months ended September 30, 2021, cost of revenues was $85.2 million or 64.3% of revenues, an</w:t>
      </w:r>
      <w:r>
        <w:rPr>
          <w:sz w:val="20"/>
          <w:szCs w:val="20"/>
        </w:rPr>
        <w:t>d was comprised of direct labor of $37.0 million, outside services (including contracted labor, laboratory, shipping and freight and other outside services) of $32.3 million, field supplies, testing supplies and equipment costs of $9.7 million, project-rel</w:t>
      </w:r>
      <w:r>
        <w:rPr>
          <w:sz w:val="20"/>
          <w:szCs w:val="20"/>
        </w:rPr>
        <w:t>ated travel expenses of $4.0 million and other direct costs of $2.2 million</w:t>
      </w:r>
      <w:r>
        <w:rPr>
          <w:sz w:val="20"/>
          <w:szCs w:val="20"/>
        </w:rPr>
        <w:t>.</w:t>
      </w:r>
    </w:p>
    <w:p w:rsidR="00000000" w:rsidRDefault="00A32496">
      <w:pPr>
        <w:pStyle w:val="a3"/>
        <w:spacing w:before="240" w:beforeAutospacing="0" w:after="0" w:afterAutospacing="0"/>
        <w:ind w:firstLine="555"/>
        <w:rPr>
          <w:sz w:val="20"/>
          <w:szCs w:val="20"/>
        </w:rPr>
      </w:pPr>
      <w:r>
        <w:rPr>
          <w:sz w:val="20"/>
          <w:szCs w:val="20"/>
        </w:rPr>
        <w:t>For the three months ended September 30, 2022, cost of revenues as a percentage of revenue decreased 1.2% from the three months ended September 30, 2021, as a result of significan</w:t>
      </w:r>
      <w:r>
        <w:rPr>
          <w:sz w:val="20"/>
          <w:szCs w:val="20"/>
        </w:rPr>
        <w:t xml:space="preserve">tly lower outside service costs in 2022 when compared to 2021 driven primarily by a decrease in external lab expenses needed to support CTEH’s COVID-19 response work during 2022, partially offset by higher equipment costs primarily to support higher water </w:t>
      </w:r>
      <w:r>
        <w:rPr>
          <w:sz w:val="20"/>
          <w:szCs w:val="20"/>
        </w:rPr>
        <w:t>treatment and biogas revenues</w:t>
      </w:r>
      <w:r>
        <w:rPr>
          <w:sz w:val="20"/>
          <w:szCs w:val="20"/>
        </w:rPr>
        <w:t>.</w:t>
      </w:r>
    </w:p>
    <w:p w:rsidR="00000000" w:rsidRDefault="00A32496">
      <w:pPr>
        <w:pStyle w:val="a3"/>
        <w:spacing w:before="360" w:beforeAutospacing="0" w:after="0" w:afterAutospacing="0"/>
        <w:ind w:left="476"/>
        <w:rPr>
          <w:sz w:val="20"/>
          <w:szCs w:val="20"/>
        </w:rPr>
      </w:pPr>
      <w:r>
        <w:rPr>
          <w:b/>
          <w:bCs/>
          <w:i/>
          <w:iCs/>
          <w:sz w:val="20"/>
          <w:szCs w:val="20"/>
        </w:rPr>
        <w:t>Selling, General and Administrative Expens</w:t>
      </w:r>
      <w:r>
        <w:rPr>
          <w:b/>
          <w:bCs/>
          <w:i/>
          <w:iCs/>
          <w:sz w:val="20"/>
          <w:szCs w:val="20"/>
        </w:rPr>
        <w:t>e</w:t>
      </w:r>
    </w:p>
    <w:p w:rsidR="00000000" w:rsidRDefault="00A32496">
      <w:pPr>
        <w:pStyle w:val="a3"/>
        <w:spacing w:before="120" w:beforeAutospacing="0" w:after="0" w:afterAutospacing="0"/>
        <w:ind w:firstLine="555"/>
        <w:rPr>
          <w:sz w:val="20"/>
          <w:szCs w:val="20"/>
        </w:rPr>
      </w:pPr>
      <w:r>
        <w:rPr>
          <w:sz w:val="20"/>
          <w:szCs w:val="20"/>
        </w:rPr>
        <w:t>Selling, general and administrative expense consists of general corporate overhead, including executive, legal, finance, safety, risk management, human resource, marketing and information technology related costs, as well as indirect operational costs of l</w:t>
      </w:r>
      <w:r>
        <w:rPr>
          <w:sz w:val="20"/>
          <w:szCs w:val="20"/>
        </w:rPr>
        <w:t>abor, rent, insurance and stock-based compensation</w:t>
      </w:r>
      <w:r>
        <w:rPr>
          <w:sz w:val="20"/>
          <w:szCs w:val="20"/>
        </w:rPr>
        <w:t>.</w:t>
      </w:r>
    </w:p>
    <w:p w:rsidR="00000000" w:rsidRDefault="00A32496">
      <w:pPr>
        <w:pStyle w:val="a3"/>
        <w:spacing w:before="120" w:beforeAutospacing="0" w:after="0" w:afterAutospacing="0"/>
        <w:ind w:firstLine="555"/>
        <w:rPr>
          <w:sz w:val="20"/>
          <w:szCs w:val="20"/>
        </w:rPr>
      </w:pPr>
      <w:r>
        <w:rPr>
          <w:sz w:val="20"/>
          <w:szCs w:val="20"/>
        </w:rPr>
        <w:t>For the three months ended September 30, 2022, selling, general and administrative expense was $42.9 million, an increase of $12.4 million or 40.5% versus the three months ended September 30, 2021. This i</w:t>
      </w:r>
      <w:r>
        <w:rPr>
          <w:sz w:val="20"/>
          <w:szCs w:val="20"/>
        </w:rPr>
        <w:t>ncrease was primarily driven by $8.5 million related to an increase in stock compensation expense, $2.1 million from selling, general and administrative expense pertaining to companies we acquired subsequent to the third quarter of 2021, $1.1 million relat</w:t>
      </w:r>
      <w:r>
        <w:rPr>
          <w:sz w:val="20"/>
          <w:szCs w:val="20"/>
        </w:rPr>
        <w:t>ed to the higher labor and medical benefit costs, primarily reflecting inflationary increases, an increase in headcount to support growth in our PFAS water treatment business, and higher travel expenses. See Part I, Item 3. “Quantitative and Qualitative Di</w:t>
      </w:r>
      <w:r>
        <w:rPr>
          <w:sz w:val="20"/>
          <w:szCs w:val="20"/>
        </w:rPr>
        <w:t>sclosures About Market Risk” for additional information regarding the impact of inflation on our business</w:t>
      </w:r>
      <w:r>
        <w:rPr>
          <w:sz w:val="20"/>
          <w:szCs w:val="20"/>
        </w:rPr>
        <w:t>.</w:t>
      </w:r>
    </w:p>
    <w:p w:rsidR="00000000" w:rsidRDefault="00A32496">
      <w:pPr>
        <w:pStyle w:val="a3"/>
        <w:spacing w:before="240" w:beforeAutospacing="0" w:after="0" w:afterAutospacing="0"/>
        <w:ind w:firstLine="555"/>
        <w:rPr>
          <w:sz w:val="20"/>
          <w:szCs w:val="20"/>
        </w:rPr>
      </w:pPr>
      <w:r>
        <w:rPr>
          <w:sz w:val="20"/>
          <w:szCs w:val="20"/>
        </w:rPr>
        <w:t>For the three months ended September 30, 2022, selling, general and administrative expense was comprised of indirect labor of $19.6 million, stock-ba</w:t>
      </w:r>
      <w:r>
        <w:rPr>
          <w:sz w:val="20"/>
          <w:szCs w:val="20"/>
        </w:rPr>
        <w:t>sed compensation of $10.6 million, facilities costs of $4.5 million, and other costs (including software, travel, insurance, legal, consulting, audit services, bad debt and acquisition-related costs) of $8.2 million</w:t>
      </w:r>
      <w:r>
        <w:rPr>
          <w:sz w:val="20"/>
          <w:szCs w:val="20"/>
        </w:rPr>
        <w:t>.</w:t>
      </w:r>
    </w:p>
    <w:p w:rsidR="00000000" w:rsidRDefault="00A32496">
      <w:pPr>
        <w:pStyle w:val="a3"/>
        <w:spacing w:before="240" w:beforeAutospacing="0" w:after="0" w:afterAutospacing="0"/>
        <w:ind w:firstLine="555"/>
        <w:rPr>
          <w:sz w:val="20"/>
          <w:szCs w:val="20"/>
        </w:rPr>
      </w:pPr>
      <w:r>
        <w:rPr>
          <w:sz w:val="20"/>
          <w:szCs w:val="20"/>
        </w:rPr>
        <w:t>For the three months ended September 30</w:t>
      </w:r>
      <w:r>
        <w:rPr>
          <w:sz w:val="20"/>
          <w:szCs w:val="20"/>
        </w:rPr>
        <w:t>, 2021, selling, general and administrative expense was comprised of indirect labor of $16.0 million, facilities costs of $3.7 million, stock-based compensation of $2.1 million, and other costs (including software, travel, insurance, legal, consulting, aud</w:t>
      </w:r>
      <w:r>
        <w:rPr>
          <w:sz w:val="20"/>
          <w:szCs w:val="20"/>
        </w:rPr>
        <w:t>it services, bad debt and acquisition-related costs) of $8.7 million</w:t>
      </w:r>
      <w:r>
        <w:rPr>
          <w:sz w:val="20"/>
          <w:szCs w:val="20"/>
        </w:rPr>
        <w:t>.</w:t>
      </w:r>
    </w:p>
    <w:p w:rsidR="00000000" w:rsidRDefault="00A32496">
      <w:pPr>
        <w:pStyle w:val="a3"/>
        <w:spacing w:before="360" w:beforeAutospacing="0" w:after="0" w:afterAutospacing="0"/>
        <w:ind w:left="476"/>
        <w:rPr>
          <w:sz w:val="20"/>
          <w:szCs w:val="20"/>
        </w:rPr>
      </w:pPr>
      <w:r>
        <w:rPr>
          <w:b/>
          <w:bCs/>
          <w:i/>
          <w:iCs/>
          <w:sz w:val="20"/>
          <w:szCs w:val="20"/>
        </w:rPr>
        <w:t>Fair Value Changes in Business Acquisition Contingencie</w:t>
      </w:r>
      <w:r>
        <w:rPr>
          <w:b/>
          <w:bCs/>
          <w:i/>
          <w:iCs/>
          <w:sz w:val="20"/>
          <w:szCs w:val="20"/>
        </w:rPr>
        <w:t>s</w:t>
      </w:r>
    </w:p>
    <w:p w:rsidR="00000000" w:rsidRDefault="00A32496">
      <w:pPr>
        <w:pStyle w:val="a3"/>
        <w:spacing w:before="120" w:beforeAutospacing="0" w:after="0" w:afterAutospacing="0"/>
        <w:ind w:firstLine="555"/>
        <w:rPr>
          <w:sz w:val="20"/>
          <w:szCs w:val="20"/>
        </w:rPr>
      </w:pPr>
      <w:r>
        <w:rPr>
          <w:sz w:val="20"/>
          <w:szCs w:val="20"/>
        </w:rPr>
        <w:t>For the three months ended September 30, 2022, fair value changes in business acquisition contingencies resulted in a loss of $0.</w:t>
      </w:r>
      <w:r>
        <w:rPr>
          <w:sz w:val="20"/>
          <w:szCs w:val="20"/>
        </w:rPr>
        <w:t>1 million versus zero for the three months ended September 30, 2021. The change in value in the three months ended September 30, 2022, was attributable to a $0.4 million expense related to fair value changes in business acquisition contingencies and a $0.3</w:t>
      </w:r>
      <w:r>
        <w:rPr>
          <w:sz w:val="20"/>
          <w:szCs w:val="20"/>
        </w:rPr>
        <w:t xml:space="preserve"> million gain related to acquisitions' 338(h)(10) elections make-whole tax accruals. See “—Key Factors that Affect Our Business and Our Results—Acquisitions” and Notes 7 and 13 to our unaudited condensed consolidated financial statements included in Part I</w:t>
      </w:r>
      <w:r>
        <w:rPr>
          <w:sz w:val="20"/>
          <w:szCs w:val="20"/>
        </w:rPr>
        <w:t>, Item 1. “Financial Statements.</w:t>
      </w:r>
      <w:r>
        <w:rPr>
          <w:sz w:val="20"/>
          <w:szCs w:val="20"/>
        </w:rPr>
        <w:t>”</w:t>
      </w:r>
    </w:p>
    <w:p w:rsidR="00000000" w:rsidRDefault="00A32496">
      <w:pPr>
        <w:pStyle w:val="a3"/>
        <w:spacing w:before="360" w:beforeAutospacing="0" w:after="0" w:afterAutospacing="0"/>
        <w:ind w:left="476"/>
        <w:rPr>
          <w:sz w:val="20"/>
          <w:szCs w:val="20"/>
        </w:rPr>
      </w:pPr>
      <w:r>
        <w:rPr>
          <w:b/>
          <w:bCs/>
          <w:i/>
          <w:iCs/>
          <w:sz w:val="20"/>
          <w:szCs w:val="20"/>
        </w:rPr>
        <w:t>Depreciation and Amortizatio</w:t>
      </w:r>
      <w:r>
        <w:rPr>
          <w:b/>
          <w:bCs/>
          <w:i/>
          <w:iCs/>
          <w:sz w:val="20"/>
          <w:szCs w:val="20"/>
        </w:rPr>
        <w:t>n</w:t>
      </w:r>
    </w:p>
    <w:p w:rsidR="00000000" w:rsidRDefault="00A32496">
      <w:pPr>
        <w:pStyle w:val="a3"/>
        <w:spacing w:before="120" w:beforeAutospacing="0" w:after="0" w:afterAutospacing="0"/>
        <w:ind w:firstLine="555"/>
        <w:rPr>
          <w:sz w:val="20"/>
          <w:szCs w:val="20"/>
        </w:rPr>
      </w:pPr>
      <w:r>
        <w:rPr>
          <w:sz w:val="20"/>
          <w:szCs w:val="20"/>
        </w:rPr>
        <w:t>Depreciation and amortization expense for the three months ended September 30, 2022, was $11.5 million and was comprised of amortization of finite lived intangibles of $8.7 million, arising as</w:t>
      </w:r>
      <w:r>
        <w:rPr>
          <w:sz w:val="20"/>
          <w:szCs w:val="20"/>
        </w:rPr>
        <w:t xml:space="preserve"> a result of our acquisition activity, depreciation of property and equipment of $1.7 million and finance leases right-of-use asset amortization of $1.1 million</w:t>
      </w:r>
      <w:r>
        <w:rPr>
          <w:sz w:val="20"/>
          <w:szCs w:val="20"/>
        </w:rPr>
        <w:t>.</w:t>
      </w:r>
    </w:p>
    <w:p w:rsidR="00000000" w:rsidRDefault="00A32496">
      <w:pPr>
        <w:pStyle w:val="a3"/>
        <w:spacing w:before="240" w:beforeAutospacing="0" w:after="0" w:afterAutospacing="0"/>
        <w:ind w:firstLine="555"/>
        <w:rPr>
          <w:sz w:val="20"/>
          <w:szCs w:val="20"/>
        </w:rPr>
      </w:pPr>
      <w:r>
        <w:rPr>
          <w:sz w:val="20"/>
          <w:szCs w:val="20"/>
        </w:rPr>
        <w:t>Depreciation and amortization expense for the three months ended September 30, 2021, was $11.5</w:t>
      </w:r>
      <w:r>
        <w:rPr>
          <w:sz w:val="20"/>
          <w:szCs w:val="20"/>
        </w:rPr>
        <w:t xml:space="preserve"> million and was comprised of amortization of finite lived intangibles of $8.9 million, arising as a result of our acquisition activity, depreciation of property and equipment of $1.8 million and finance leases right-of-use asset amortization of $0.8 milli</w:t>
      </w:r>
      <w:r>
        <w:rPr>
          <w:sz w:val="20"/>
          <w:szCs w:val="20"/>
        </w:rPr>
        <w:t>on</w:t>
      </w:r>
      <w:r>
        <w:rPr>
          <w:sz w:val="20"/>
          <w:szCs w:val="20"/>
        </w:rPr>
        <w:t>.</w:t>
      </w:r>
    </w:p>
    <w:p w:rsidR="00000000" w:rsidRDefault="00A32496">
      <w:pPr>
        <w:pStyle w:val="a3"/>
        <w:spacing w:before="240" w:beforeAutospacing="0" w:after="0" w:afterAutospacing="0"/>
        <w:jc w:val="center"/>
        <w:rPr>
          <w:sz w:val="20"/>
          <w:szCs w:val="20"/>
        </w:rPr>
      </w:pPr>
      <w:r>
        <w:rPr>
          <w:sz w:val="20"/>
          <w:szCs w:val="20"/>
        </w:rPr>
        <w:t>3</w:t>
      </w:r>
      <w:r>
        <w:rPr>
          <w:sz w:val="20"/>
          <w:szCs w:val="20"/>
        </w:rPr>
        <w:t>8</w:t>
      </w:r>
    </w:p>
    <w:p w:rsidR="00000000" w:rsidRDefault="00A32496">
      <w:pPr>
        <w:rPr>
          <w:rFonts w:eastAsia="Times New Roman"/>
        </w:rPr>
      </w:pPr>
      <w:r>
        <w:rPr>
          <w:rFonts w:eastAsia="Times New Roman"/>
        </w:rPr>
        <w:pict>
          <v:rect id="_x0000_i1064" style="width:0;height:1.5pt" o:hralign="center" o:hrstd="t" o:hr="t" fillcolor="#a0a0a0" stroked="f"/>
        </w:pict>
      </w:r>
    </w:p>
    <w:p w:rsidR="00000000" w:rsidRDefault="00A32496">
      <w:pPr>
        <w:pStyle w:val="a3"/>
        <w:spacing w:before="0" w:beforeAutospacing="0" w:after="0" w:afterAutospacing="0"/>
        <w:rPr>
          <w:sz w:val="20"/>
          <w:szCs w:val="20"/>
        </w:rPr>
      </w:pPr>
      <w:r>
        <w:rPr>
          <w:sz w:val="20"/>
          <w:szCs w:val="20"/>
        </w:rPr>
        <w:t> </w:t>
      </w:r>
    </w:p>
    <w:p w:rsidR="00000000" w:rsidRDefault="00A32496">
      <w:pPr>
        <w:pStyle w:val="a3"/>
        <w:spacing w:before="240" w:beforeAutospacing="0" w:after="0" w:afterAutospacing="0"/>
        <w:ind w:firstLine="555"/>
        <w:rPr>
          <w:sz w:val="20"/>
          <w:szCs w:val="20"/>
        </w:rPr>
      </w:pPr>
      <w:r>
        <w:rPr>
          <w:sz w:val="20"/>
          <w:szCs w:val="20"/>
        </w:rPr>
        <w:t>See Notes 5 and 6 to our unaudited condensed consolidated financial statements included in Part 1, Item 1. “Financial Statements.</w:t>
      </w:r>
      <w:r>
        <w:rPr>
          <w:sz w:val="20"/>
          <w:szCs w:val="20"/>
        </w:rPr>
        <w:t>”</w:t>
      </w:r>
    </w:p>
    <w:p w:rsidR="00000000" w:rsidRDefault="00A32496">
      <w:pPr>
        <w:pStyle w:val="a3"/>
        <w:spacing w:before="360" w:beforeAutospacing="0" w:after="0" w:afterAutospacing="0"/>
        <w:ind w:left="476"/>
        <w:rPr>
          <w:sz w:val="20"/>
          <w:szCs w:val="20"/>
        </w:rPr>
      </w:pPr>
      <w:r>
        <w:rPr>
          <w:b/>
          <w:bCs/>
          <w:i/>
          <w:iCs/>
          <w:sz w:val="20"/>
          <w:szCs w:val="20"/>
        </w:rPr>
        <w:t>Other Income (Expense</w:t>
      </w:r>
      <w:r>
        <w:rPr>
          <w:b/>
          <w:bCs/>
          <w:i/>
          <w:iCs/>
          <w:sz w:val="20"/>
          <w:szCs w:val="20"/>
        </w:rPr>
        <w:t>)</w:t>
      </w:r>
    </w:p>
    <w:p w:rsidR="00000000" w:rsidRDefault="00A32496">
      <w:pPr>
        <w:pStyle w:val="a3"/>
        <w:spacing w:before="120" w:beforeAutospacing="0" w:after="0" w:afterAutospacing="0"/>
        <w:ind w:firstLine="555"/>
        <w:rPr>
          <w:sz w:val="20"/>
          <w:szCs w:val="20"/>
        </w:rPr>
      </w:pPr>
      <w:r>
        <w:rPr>
          <w:sz w:val="20"/>
          <w:szCs w:val="20"/>
        </w:rPr>
        <w:t>Other income for the three months ended September 30, 20</w:t>
      </w:r>
      <w:r>
        <w:rPr>
          <w:sz w:val="20"/>
          <w:szCs w:val="20"/>
        </w:rPr>
        <w:t>22 of $1.8 million was driven by the fair value adjustment on our interest rate swap of $2.3 million, which was partially offset by an expense of $0.5 million related to the fair value adjustment of the Series A-2 preferred stock conversion option. Other e</w:t>
      </w:r>
      <w:r>
        <w:rPr>
          <w:sz w:val="20"/>
          <w:szCs w:val="20"/>
        </w:rPr>
        <w:t>xpense of $(0.5) million for the three months ended September 30, 2021 was driven by fair value adjustments related to the Series A-2 preferred stock conversion option. See Notes 12 and 15 to our unaudited condensed consolidated financial statements includ</w:t>
      </w:r>
      <w:r>
        <w:rPr>
          <w:sz w:val="20"/>
          <w:szCs w:val="20"/>
        </w:rPr>
        <w:t>ed in Part 1, Item 1. “Financial Statements.</w:t>
      </w:r>
      <w:r>
        <w:rPr>
          <w:sz w:val="20"/>
          <w:szCs w:val="20"/>
        </w:rPr>
        <w:t>”</w:t>
      </w:r>
    </w:p>
    <w:p w:rsidR="00000000" w:rsidRDefault="00A32496">
      <w:pPr>
        <w:pStyle w:val="a3"/>
        <w:spacing w:before="360" w:beforeAutospacing="0" w:after="0" w:afterAutospacing="0"/>
        <w:ind w:left="476"/>
        <w:rPr>
          <w:sz w:val="20"/>
          <w:szCs w:val="20"/>
        </w:rPr>
      </w:pPr>
      <w:r>
        <w:rPr>
          <w:b/>
          <w:bCs/>
          <w:i/>
          <w:iCs/>
          <w:sz w:val="20"/>
          <w:szCs w:val="20"/>
        </w:rPr>
        <w:t>Interest Expense, Ne</w:t>
      </w:r>
      <w:r>
        <w:rPr>
          <w:b/>
          <w:bCs/>
          <w:i/>
          <w:iCs/>
          <w:sz w:val="20"/>
          <w:szCs w:val="20"/>
        </w:rPr>
        <w:t>t</w:t>
      </w:r>
    </w:p>
    <w:p w:rsidR="00000000" w:rsidRDefault="00A32496">
      <w:pPr>
        <w:pStyle w:val="a3"/>
        <w:spacing w:before="120" w:beforeAutospacing="0" w:after="0" w:afterAutospacing="0"/>
        <w:ind w:firstLine="555"/>
        <w:rPr>
          <w:sz w:val="20"/>
          <w:szCs w:val="20"/>
        </w:rPr>
      </w:pPr>
      <w:r>
        <w:rPr>
          <w:sz w:val="20"/>
          <w:szCs w:val="20"/>
        </w:rPr>
        <w:t>Interest expense, net incurred in the three months ended September 30, 2022, was $1.4 million, compared to $1.7 million for the three months ended September 30, 2021. The decrease in inter</w:t>
      </w:r>
      <w:r>
        <w:rPr>
          <w:sz w:val="20"/>
          <w:szCs w:val="20"/>
        </w:rPr>
        <w:t>est expense was driven by lower outstanding debt balances during the three months ended September 30, 2022 when compared to the three months ended September 30, 2021. See “—Key Factors that Affect Our Business and Our Results—Financing Costs” and Note 12 t</w:t>
      </w:r>
      <w:r>
        <w:rPr>
          <w:sz w:val="20"/>
          <w:szCs w:val="20"/>
        </w:rPr>
        <w:t>o our unaudited condensed consolidated financial statements included in Part I, Item 1. “Financial Statements.</w:t>
      </w:r>
      <w:r>
        <w:rPr>
          <w:sz w:val="20"/>
          <w:szCs w:val="20"/>
        </w:rPr>
        <w:t>”</w:t>
      </w:r>
    </w:p>
    <w:p w:rsidR="00000000" w:rsidRDefault="00A32496">
      <w:pPr>
        <w:pStyle w:val="a3"/>
        <w:spacing w:before="360" w:beforeAutospacing="0" w:after="0" w:afterAutospacing="0"/>
        <w:ind w:left="476"/>
        <w:rPr>
          <w:sz w:val="20"/>
          <w:szCs w:val="20"/>
        </w:rPr>
      </w:pPr>
      <w:r>
        <w:rPr>
          <w:b/>
          <w:bCs/>
          <w:i/>
          <w:iCs/>
          <w:sz w:val="20"/>
          <w:szCs w:val="20"/>
        </w:rPr>
        <w:t>Income Tax (Benefit) Expens</w:t>
      </w:r>
      <w:r>
        <w:rPr>
          <w:b/>
          <w:bCs/>
          <w:i/>
          <w:iCs/>
          <w:sz w:val="20"/>
          <w:szCs w:val="20"/>
        </w:rPr>
        <w:t>e</w:t>
      </w:r>
    </w:p>
    <w:p w:rsidR="00000000" w:rsidRDefault="00A32496">
      <w:pPr>
        <w:pStyle w:val="a3"/>
        <w:spacing w:before="120" w:beforeAutospacing="0" w:after="0" w:afterAutospacing="0"/>
        <w:ind w:firstLine="555"/>
        <w:rPr>
          <w:sz w:val="20"/>
          <w:szCs w:val="20"/>
        </w:rPr>
      </w:pPr>
      <w:r>
        <w:rPr>
          <w:sz w:val="20"/>
          <w:szCs w:val="20"/>
        </w:rPr>
        <w:t>Income tax benefit was $(0.2) million during the three months ended September 30, 2022. Income tax expense was $0.9</w:t>
      </w:r>
      <w:r>
        <w:rPr>
          <w:sz w:val="20"/>
          <w:szCs w:val="20"/>
        </w:rPr>
        <w:t xml:space="preserve"> million for the three months ended September 30, 2021</w:t>
      </w:r>
      <w:r>
        <w:rPr>
          <w:sz w:val="20"/>
          <w:szCs w:val="20"/>
        </w:rPr>
        <w:t>.</w:t>
      </w:r>
      <w:r>
        <w:rPr>
          <w:sz w:val="20"/>
          <w:szCs w:val="20"/>
        </w:rPr>
        <w:t xml:space="preserve"> </w:t>
      </w:r>
    </w:p>
    <w:p w:rsidR="00000000" w:rsidRDefault="00A32496">
      <w:pPr>
        <w:pStyle w:val="a3"/>
        <w:spacing w:before="120" w:beforeAutospacing="0" w:after="0" w:afterAutospacing="0"/>
        <w:ind w:firstLine="555"/>
        <w:rPr>
          <w:sz w:val="20"/>
          <w:szCs w:val="20"/>
        </w:rPr>
      </w:pPr>
      <w:r>
        <w:rPr>
          <w:sz w:val="20"/>
          <w:szCs w:val="20"/>
        </w:rPr>
        <w:t> </w:t>
      </w:r>
    </w:p>
    <w:p w:rsidR="00000000" w:rsidRDefault="00A32496">
      <w:pPr>
        <w:pStyle w:val="a3"/>
        <w:spacing w:before="120" w:beforeAutospacing="0" w:after="0" w:afterAutospacing="0"/>
        <w:rPr>
          <w:sz w:val="20"/>
          <w:szCs w:val="20"/>
        </w:rPr>
      </w:pPr>
      <w:r>
        <w:rPr>
          <w:b/>
          <w:bCs/>
          <w:i/>
          <w:iCs/>
          <w:sz w:val="20"/>
          <w:szCs w:val="20"/>
        </w:rPr>
        <w:t>Nine Months Ended September 30, 2022 Compared to the Nine Months Ended September 30, 202</w:t>
      </w:r>
      <w:r>
        <w:rPr>
          <w:b/>
          <w:bCs/>
          <w:i/>
          <w:iCs/>
          <w:sz w:val="20"/>
          <w:szCs w:val="20"/>
        </w:rPr>
        <w:t>1</w:t>
      </w:r>
    </w:p>
    <w:p w:rsidR="00000000" w:rsidRDefault="00A32496">
      <w:pPr>
        <w:pStyle w:val="a3"/>
        <w:spacing w:before="120" w:beforeAutospacing="0" w:after="0" w:afterAutospacing="0"/>
        <w:rPr>
          <w:sz w:val="20"/>
          <w:szCs w:val="20"/>
        </w:rPr>
      </w:pPr>
      <w:r>
        <w:rPr>
          <w:sz w:val="20"/>
          <w:szCs w:val="20"/>
        </w:rPr>
        <w:t> </w:t>
      </w:r>
    </w:p>
    <w:tbl>
      <w:tblPr>
        <w:tblW w:w="3650" w:type="pct"/>
        <w:tblCellSpacing w:w="15" w:type="dxa"/>
        <w:tblCellMar>
          <w:top w:w="15" w:type="dxa"/>
          <w:left w:w="15" w:type="dxa"/>
          <w:bottom w:w="15" w:type="dxa"/>
          <w:right w:w="15" w:type="dxa"/>
        </w:tblCellMar>
        <w:tblLook w:val="04A0" w:firstRow="1" w:lastRow="0" w:firstColumn="1" w:lastColumn="0" w:noHBand="0" w:noVBand="1"/>
      </w:tblPr>
      <w:tblGrid>
        <w:gridCol w:w="3867"/>
        <w:gridCol w:w="105"/>
        <w:gridCol w:w="150"/>
        <w:gridCol w:w="708"/>
        <w:gridCol w:w="120"/>
        <w:gridCol w:w="105"/>
        <w:gridCol w:w="150"/>
        <w:gridCol w:w="723"/>
        <w:gridCol w:w="135"/>
      </w:tblGrid>
      <w:tr w:rsidR="00000000">
        <w:trPr>
          <w:tblCellSpacing w:w="15" w:type="dxa"/>
        </w:trPr>
        <w:tc>
          <w:tcPr>
            <w:tcW w:w="3347" w:type="pct"/>
            <w:vAlign w:val="center"/>
            <w:hideMark/>
          </w:tcPr>
          <w:p w:rsidR="00000000" w:rsidRDefault="00A32496">
            <w:pPr>
              <w:rPr>
                <w:sz w:val="20"/>
                <w:szCs w:val="20"/>
              </w:rPr>
            </w:pPr>
          </w:p>
        </w:tc>
        <w:tc>
          <w:tcPr>
            <w:tcW w:w="78"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641"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78"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653"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r>
      <w:tr w:rsidR="00000000">
        <w:trPr>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6"/>
            <w:vAlign w:val="bottom"/>
            <w:hideMark/>
          </w:tcPr>
          <w:p w:rsidR="00000000" w:rsidRDefault="00A32496">
            <w:pPr>
              <w:pStyle w:val="a3"/>
              <w:spacing w:before="0" w:beforeAutospacing="0" w:after="0" w:afterAutospacing="0"/>
              <w:jc w:val="center"/>
              <w:rPr>
                <w:sz w:val="18"/>
                <w:szCs w:val="18"/>
              </w:rPr>
            </w:pPr>
            <w:r>
              <w:rPr>
                <w:b/>
                <w:bCs/>
                <w:sz w:val="18"/>
                <w:szCs w:val="18"/>
              </w:rPr>
              <w:t>Nine months ended September 30</w:t>
            </w:r>
            <w:r>
              <w:rPr>
                <w:b/>
                <w:bCs/>
                <w:sz w:val="18"/>
                <w:szCs w:val="18"/>
              </w:rPr>
              <w: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A32496">
            <w:pPr>
              <w:pStyle w:val="a3"/>
              <w:spacing w:before="0" w:beforeAutospacing="0" w:after="0" w:afterAutospacing="0"/>
              <w:rPr>
                <w:sz w:val="18"/>
                <w:szCs w:val="18"/>
              </w:rPr>
            </w:pPr>
            <w:r>
              <w:rPr>
                <w:b/>
                <w:bCs/>
                <w:sz w:val="18"/>
                <w:szCs w:val="18"/>
              </w:rPr>
              <w:t>(in thousands, except per share and percentage data</w:t>
            </w:r>
            <w:r>
              <w:rPr>
                <w:b/>
                <w:bCs/>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rPr>
                <w:sz w:val="18"/>
                <w:szCs w:val="18"/>
              </w:rPr>
            </w:pPr>
            <w:r>
              <w:rPr>
                <w:b/>
                <w:bCs/>
                <w:sz w:val="18"/>
                <w:szCs w:val="18"/>
              </w:rPr>
              <w:t>Statements of operations data</w:t>
            </w:r>
            <w:r>
              <w:rPr>
                <w:b/>
                <w:bCs/>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Revenue</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404,90</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402,61</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Cost of revenues (exclusive of depreciation and amortization</w:t>
            </w: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261,04</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272,66</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Selling, general and administrative expens</w:t>
            </w:r>
            <w:r>
              <w:rPr>
                <w:sz w:val="18"/>
                <w:szCs w:val="18"/>
              </w:rPr>
              <w:t>e</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131,12</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82,86</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Fair value changes in business acquisition contingencie</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(3,47</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24,03</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Depreciation and amortizatio</w:t>
            </w:r>
            <w:r>
              <w:rPr>
                <w:sz w:val="18"/>
                <w:szCs w:val="18"/>
              </w:rPr>
              <w:t>n</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35,92</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33,14</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rPr>
                <w:sz w:val="18"/>
                <w:szCs w:val="18"/>
              </w:rPr>
            </w:pPr>
            <w:r>
              <w:rPr>
                <w:b/>
                <w:bCs/>
                <w:sz w:val="18"/>
                <w:szCs w:val="18"/>
              </w:rPr>
              <w:t>Loss from operation</w:t>
            </w:r>
            <w:r>
              <w:rPr>
                <w:b/>
                <w:bCs/>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b/>
                <w:bCs/>
                <w:sz w:val="18"/>
                <w:szCs w:val="18"/>
              </w:rPr>
              <w:t>(19,72</w:t>
            </w:r>
            <w:r>
              <w:rPr>
                <w:b/>
                <w:bCs/>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b/>
                <w:bCs/>
                <w:sz w:val="18"/>
                <w:szCs w:val="18"/>
              </w:rPr>
              <w:t>(10,08</w:t>
            </w:r>
            <w:r>
              <w:rPr>
                <w:b/>
                <w:bCs/>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b/>
                <w:bCs/>
                <w:sz w:val="18"/>
                <w:szCs w:val="18"/>
              </w:rPr>
              <w:t>)</w:t>
            </w:r>
          </w:p>
        </w:tc>
      </w:tr>
      <w:tr w:rsidR="00000000">
        <w:trPr>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Other income (expense</w:t>
            </w: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4,61</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(1,90</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Interest expense, ne</w:t>
            </w:r>
            <w:r>
              <w:rPr>
                <w:sz w:val="18"/>
                <w:szCs w:val="18"/>
              </w:rPr>
              <w:t>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(4,01</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(11,20</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A32496">
            <w:pPr>
              <w:pStyle w:val="a3"/>
              <w:spacing w:before="0" w:beforeAutospacing="0" w:after="0" w:afterAutospacing="0"/>
              <w:rPr>
                <w:sz w:val="18"/>
                <w:szCs w:val="18"/>
              </w:rPr>
            </w:pPr>
            <w:r>
              <w:rPr>
                <w:b/>
                <w:bCs/>
                <w:sz w:val="18"/>
                <w:szCs w:val="18"/>
              </w:rPr>
              <w:t>Loss before income taxe</w:t>
            </w:r>
            <w:r>
              <w:rPr>
                <w:b/>
                <w:bCs/>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b/>
                <w:bCs/>
                <w:sz w:val="18"/>
                <w:szCs w:val="18"/>
              </w:rPr>
              <w:t>(19,11</w:t>
            </w:r>
            <w:r>
              <w:rPr>
                <w:b/>
                <w:bCs/>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b/>
                <w:bCs/>
                <w:sz w:val="18"/>
                <w:szCs w:val="18"/>
              </w:rPr>
              <w:t>(23,20</w:t>
            </w:r>
            <w:r>
              <w:rPr>
                <w:b/>
                <w:bCs/>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b/>
                <w:bCs/>
                <w:sz w:val="18"/>
                <w:szCs w:val="18"/>
              </w:rPr>
              <w:t>)</w:t>
            </w:r>
          </w:p>
        </w:tc>
      </w:tr>
      <w:tr w:rsidR="00000000">
        <w:trPr>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Income tax expens</w:t>
            </w:r>
            <w:r>
              <w:rPr>
                <w:sz w:val="18"/>
                <w:szCs w:val="18"/>
              </w:rPr>
              <w:t>e</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1,89</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64</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rPr>
                <w:sz w:val="18"/>
                <w:szCs w:val="18"/>
              </w:rPr>
            </w:pPr>
            <w:r>
              <w:rPr>
                <w:b/>
                <w:bCs/>
                <w:sz w:val="18"/>
                <w:szCs w:val="18"/>
              </w:rPr>
              <w:t>Net los</w:t>
            </w:r>
            <w:r>
              <w:rPr>
                <w:b/>
                <w:bCs/>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b/>
                <w:bCs/>
                <w:sz w:val="18"/>
                <w:szCs w:val="18"/>
              </w:rPr>
              <w:t>(21,00</w:t>
            </w:r>
            <w:r>
              <w:rPr>
                <w:b/>
                <w:bCs/>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b/>
                <w:bCs/>
                <w:sz w:val="18"/>
                <w:szCs w:val="18"/>
              </w:rPr>
              <w:t>(23,85</w:t>
            </w:r>
            <w:r>
              <w:rPr>
                <w:b/>
                <w:bCs/>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b/>
                <w:bCs/>
                <w:sz w:val="18"/>
                <w:szCs w:val="18"/>
              </w:rPr>
              <w:t>)</w:t>
            </w:r>
          </w:p>
        </w:tc>
      </w:tr>
      <w:tr w:rsidR="00000000">
        <w:trPr>
          <w:trHeight w:val="180"/>
          <w:tblCellSpacing w:w="15" w:type="dxa"/>
        </w:trPr>
        <w:tc>
          <w:tcPr>
            <w:tcW w:w="0" w:type="auto"/>
            <w:hideMark/>
          </w:tcPr>
          <w:p w:rsidR="00000000" w:rsidRDefault="00A32496">
            <w:pPr>
              <w:pStyle w:val="a3"/>
              <w:spacing w:before="0" w:beforeAutospacing="0" w:after="0" w:afterAutospacing="0"/>
              <w:ind w:left="200"/>
              <w:rPr>
                <w:sz w:val="18"/>
                <w:szCs w:val="18"/>
              </w:rPr>
            </w:pPr>
            <w:r>
              <w:rPr>
                <w:sz w:val="18"/>
                <w:szCs w:val="18"/>
              </w:rPr>
              <w:t>Series A-2 dividend paymen</w:t>
            </w:r>
            <w:r>
              <w:rPr>
                <w:sz w:val="18"/>
                <w:szCs w:val="18"/>
              </w:rPr>
              <w:t>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(12,30</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(12,30</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A32496">
            <w:pPr>
              <w:pStyle w:val="a3"/>
              <w:spacing w:before="0" w:beforeAutospacing="0" w:after="0" w:afterAutospacing="0"/>
              <w:rPr>
                <w:sz w:val="18"/>
                <w:szCs w:val="18"/>
              </w:rPr>
            </w:pPr>
            <w:r>
              <w:rPr>
                <w:b/>
                <w:bCs/>
                <w:sz w:val="18"/>
                <w:szCs w:val="18"/>
              </w:rPr>
              <w:t>Net loss attributable to common stockholder</w:t>
            </w:r>
            <w:r>
              <w:rPr>
                <w:b/>
                <w:bCs/>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b/>
                <w:bCs/>
                <w:sz w:val="18"/>
                <w:szCs w:val="18"/>
              </w:rPr>
              <w:t>(33,30</w:t>
            </w:r>
            <w:r>
              <w:rPr>
                <w:b/>
                <w:bCs/>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b/>
                <w:bCs/>
                <w:sz w:val="18"/>
                <w:szCs w:val="18"/>
              </w:rPr>
              <w:t>(36,15</w:t>
            </w:r>
            <w:r>
              <w:rPr>
                <w:b/>
                <w:bCs/>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b/>
                <w:bCs/>
                <w:sz w:val="18"/>
                <w:szCs w:val="18"/>
              </w:rPr>
              <w:t>)</w:t>
            </w:r>
          </w:p>
        </w:tc>
      </w:tr>
      <w:tr w:rsidR="00000000">
        <w:trPr>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Weighted average number of shares— basic and dilute</w:t>
            </w:r>
            <w:r>
              <w:rPr>
                <w:sz w:val="18"/>
                <w:szCs w:val="18"/>
              </w:rPr>
              <w:t>d</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29,67</w:t>
            </w:r>
            <w:r>
              <w:rPr>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25,79</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rPr>
                <w:sz w:val="18"/>
                <w:szCs w:val="18"/>
              </w:rPr>
            </w:pPr>
            <w:r>
              <w:rPr>
                <w:b/>
                <w:bCs/>
                <w:sz w:val="18"/>
                <w:szCs w:val="18"/>
              </w:rPr>
              <w:t>Loss per share— basic and dilute</w:t>
            </w:r>
            <w:r>
              <w:rPr>
                <w:b/>
                <w:bCs/>
                <w:sz w:val="18"/>
                <w:szCs w:val="18"/>
              </w:rPr>
              <w:t>d</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b/>
                <w:bCs/>
                <w:sz w:val="18"/>
                <w:szCs w:val="18"/>
              </w:rPr>
              <w:t>(1.1</w:t>
            </w:r>
            <w:r>
              <w:rPr>
                <w:b/>
                <w:bCs/>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b/>
                <w:bCs/>
                <w:sz w:val="18"/>
                <w:szCs w:val="18"/>
              </w:rPr>
              <w:t>(1.4</w:t>
            </w:r>
            <w:r>
              <w:rPr>
                <w:b/>
                <w:bCs/>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b/>
                <w:bCs/>
                <w:sz w:val="18"/>
                <w:szCs w:val="18"/>
              </w:rPr>
              <w:t>)</w:t>
            </w:r>
          </w:p>
        </w:tc>
      </w:tr>
    </w:tbl>
    <w:p w:rsidR="00000000" w:rsidRDefault="00A32496">
      <w:pPr>
        <w:pStyle w:val="a3"/>
        <w:spacing w:before="0" w:beforeAutospacing="0" w:after="0" w:afterAutospacing="0"/>
        <w:ind w:left="476"/>
        <w:rPr>
          <w:sz w:val="20"/>
          <w:szCs w:val="20"/>
        </w:rPr>
      </w:pPr>
      <w:r>
        <w:rPr>
          <w:sz w:val="20"/>
          <w:szCs w:val="20"/>
        </w:rPr>
        <w:t> </w:t>
      </w:r>
    </w:p>
    <w:p w:rsidR="00000000" w:rsidRDefault="00A32496">
      <w:pPr>
        <w:pStyle w:val="a3"/>
        <w:spacing w:before="0" w:beforeAutospacing="0" w:after="0" w:afterAutospacing="0"/>
        <w:ind w:left="476"/>
        <w:rPr>
          <w:sz w:val="20"/>
          <w:szCs w:val="20"/>
        </w:rPr>
      </w:pPr>
      <w:r>
        <w:rPr>
          <w:b/>
          <w:bCs/>
          <w:i/>
          <w:iCs/>
          <w:sz w:val="20"/>
          <w:szCs w:val="20"/>
        </w:rPr>
        <w:t>Revenue</w:t>
      </w:r>
      <w:r>
        <w:rPr>
          <w:b/>
          <w:bCs/>
          <w:i/>
          <w:iCs/>
          <w:sz w:val="20"/>
          <w:szCs w:val="20"/>
        </w:rPr>
        <w:t>s</w:t>
      </w:r>
    </w:p>
    <w:p w:rsidR="00000000" w:rsidRDefault="00A32496">
      <w:pPr>
        <w:pStyle w:val="a3"/>
        <w:spacing w:before="120" w:beforeAutospacing="0" w:after="0" w:afterAutospacing="0"/>
        <w:ind w:firstLine="555"/>
        <w:rPr>
          <w:sz w:val="20"/>
          <w:szCs w:val="20"/>
        </w:rPr>
      </w:pPr>
      <w:r>
        <w:rPr>
          <w:sz w:val="20"/>
          <w:szCs w:val="20"/>
        </w:rPr>
        <w:t>For the nine months ended September 30, 2022, we had revenues of $404.9 million, an increase of $2.3 million, or 0.6% over the nine months ended September 30, 2021. The period over period increase in revenues was driven by organic growth in our Measurement</w:t>
      </w:r>
      <w:r>
        <w:rPr>
          <w:sz w:val="20"/>
          <w:szCs w:val="20"/>
        </w:rPr>
        <w:t xml:space="preserve"> and Analysis and Remediation and Reuse segments, and acquisitions completed in and subsequent to the quarter ended September 30, 2021, which contributed revenues of $19.9 million. These increases were partially offset by expected significantly lower reven</w:t>
      </w:r>
      <w:r>
        <w:rPr>
          <w:sz w:val="20"/>
          <w:szCs w:val="20"/>
        </w:rPr>
        <w:t>ues from CTEH, primarily from lower COVID-19 related services, and the exiting of Discontinued O&amp;M Contracts. Revenue from CTEH was $88.2 million in the nine months ended September 30, 2022 compare</w:t>
      </w:r>
      <w:r>
        <w:rPr>
          <w:sz w:val="20"/>
          <w:szCs w:val="20"/>
        </w:rPr>
        <w:t>d</w:t>
      </w:r>
      <w:r>
        <w:rPr>
          <w:sz w:val="20"/>
          <w:szCs w:val="20"/>
        </w:rPr>
        <w:t xml:space="preserve"> to $189.6 million in t</w:t>
      </w:r>
      <w:r>
        <w:rPr>
          <w:sz w:val="20"/>
          <w:szCs w:val="20"/>
        </w:rPr>
        <w:t>h</w:t>
      </w:r>
      <w:r>
        <w:rPr>
          <w:sz w:val="20"/>
          <w:szCs w:val="20"/>
        </w:rPr>
        <w:t xml:space="preserve">e nine months ended September 30, </w:t>
      </w:r>
      <w:r>
        <w:rPr>
          <w:sz w:val="20"/>
          <w:szCs w:val="20"/>
        </w:rPr>
        <w:t xml:space="preserve">2021. Total revenue from COVID-19 related services was $55.4 million and $158.8 million in the nine months ended September 30, 2022 and September 30, 2021, respectively. Discontinued O&amp;M Contracts generated revenues of $3.1 million and $9.7 million in the </w:t>
      </w:r>
      <w:r>
        <w:rPr>
          <w:sz w:val="20"/>
          <w:szCs w:val="20"/>
        </w:rPr>
        <w:t>nine months ended September 30, 2022 and September 30, 2021, respectively. Revenue by segment and as a percentage of total revenues was as follows</w:t>
      </w:r>
      <w:r>
        <w:rPr>
          <w:sz w:val="20"/>
          <w:szCs w:val="20"/>
        </w:rPr>
        <w:t>:</w:t>
      </w:r>
    </w:p>
    <w:p w:rsidR="00000000" w:rsidRDefault="00A32496">
      <w:pPr>
        <w:pStyle w:val="a3"/>
        <w:spacing w:before="240" w:beforeAutospacing="0" w:after="0" w:afterAutospacing="0"/>
        <w:jc w:val="center"/>
        <w:rPr>
          <w:sz w:val="20"/>
          <w:szCs w:val="20"/>
        </w:rPr>
      </w:pPr>
      <w:r>
        <w:rPr>
          <w:sz w:val="20"/>
          <w:szCs w:val="20"/>
        </w:rPr>
        <w:t>3</w:t>
      </w:r>
      <w:r>
        <w:rPr>
          <w:sz w:val="20"/>
          <w:szCs w:val="20"/>
        </w:rPr>
        <w:t>9</w:t>
      </w:r>
    </w:p>
    <w:p w:rsidR="00000000" w:rsidRDefault="00A32496">
      <w:pPr>
        <w:rPr>
          <w:rFonts w:eastAsia="Times New Roman"/>
        </w:rPr>
      </w:pPr>
      <w:r>
        <w:rPr>
          <w:rFonts w:eastAsia="Times New Roman"/>
        </w:rPr>
        <w:pict>
          <v:rect id="_x0000_i1065" style="width:0;height:1.5pt" o:hralign="center" o:hrstd="t" o:hr="t" fillcolor="#a0a0a0" stroked="f"/>
        </w:pict>
      </w:r>
    </w:p>
    <w:p w:rsidR="00000000" w:rsidRDefault="00A32496">
      <w:pPr>
        <w:pStyle w:val="a3"/>
        <w:spacing w:before="0" w:beforeAutospacing="0" w:after="0" w:afterAutospacing="0"/>
        <w:rPr>
          <w:sz w:val="20"/>
          <w:szCs w:val="20"/>
        </w:rPr>
      </w:pPr>
      <w:r>
        <w:rPr>
          <w:sz w:val="20"/>
          <w:szCs w:val="20"/>
        </w:rPr>
        <w:t> </w:t>
      </w:r>
    </w:p>
    <w:p w:rsidR="00000000" w:rsidRDefault="00A32496">
      <w:pPr>
        <w:pStyle w:val="a3"/>
        <w:spacing w:before="120" w:beforeAutospacing="0" w:after="0" w:afterAutospacing="0"/>
        <w:ind w:firstLine="555"/>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40"/>
        <w:gridCol w:w="241"/>
        <w:gridCol w:w="204"/>
        <w:gridCol w:w="110"/>
        <w:gridCol w:w="763"/>
        <w:gridCol w:w="110"/>
        <w:gridCol w:w="204"/>
        <w:gridCol w:w="110"/>
        <w:gridCol w:w="827"/>
        <w:gridCol w:w="115"/>
        <w:gridCol w:w="241"/>
        <w:gridCol w:w="241"/>
        <w:gridCol w:w="204"/>
        <w:gridCol w:w="110"/>
        <w:gridCol w:w="763"/>
        <w:gridCol w:w="110"/>
        <w:gridCol w:w="204"/>
        <w:gridCol w:w="110"/>
        <w:gridCol w:w="827"/>
        <w:gridCol w:w="115"/>
        <w:gridCol w:w="257"/>
      </w:tblGrid>
      <w:tr w:rsidR="00000000">
        <w:trPr>
          <w:tblCellSpacing w:w="15" w:type="dxa"/>
        </w:trPr>
        <w:tc>
          <w:tcPr>
            <w:tcW w:w="1566" w:type="pct"/>
            <w:vAlign w:val="center"/>
            <w:hideMark/>
          </w:tcPr>
          <w:p w:rsidR="00000000" w:rsidRDefault="00A32496">
            <w:pPr>
              <w:rPr>
                <w:sz w:val="20"/>
                <w:szCs w:val="20"/>
              </w:rPr>
            </w:pPr>
          </w:p>
        </w:tc>
        <w:tc>
          <w:tcPr>
            <w:tcW w:w="140" w:type="pct"/>
            <w:vAlign w:val="center"/>
            <w:hideMark/>
          </w:tcPr>
          <w:p w:rsidR="00000000" w:rsidRDefault="00A32496">
            <w:pPr>
              <w:rPr>
                <w:rFonts w:eastAsia="Times New Roman"/>
                <w:sz w:val="20"/>
                <w:szCs w:val="20"/>
              </w:rPr>
            </w:pPr>
          </w:p>
        </w:tc>
        <w:tc>
          <w:tcPr>
            <w:tcW w:w="116"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480"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116"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22"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140" w:type="pct"/>
            <w:vAlign w:val="center"/>
            <w:hideMark/>
          </w:tcPr>
          <w:p w:rsidR="00000000" w:rsidRDefault="00A32496">
            <w:pPr>
              <w:rPr>
                <w:rFonts w:eastAsia="Times New Roman"/>
                <w:sz w:val="20"/>
                <w:szCs w:val="20"/>
              </w:rPr>
            </w:pPr>
          </w:p>
        </w:tc>
        <w:tc>
          <w:tcPr>
            <w:tcW w:w="140" w:type="pct"/>
            <w:vAlign w:val="center"/>
            <w:hideMark/>
          </w:tcPr>
          <w:p w:rsidR="00000000" w:rsidRDefault="00A32496">
            <w:pPr>
              <w:rPr>
                <w:rFonts w:eastAsia="Times New Roman"/>
                <w:sz w:val="20"/>
                <w:szCs w:val="20"/>
              </w:rPr>
            </w:pPr>
          </w:p>
        </w:tc>
        <w:tc>
          <w:tcPr>
            <w:tcW w:w="116"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480"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116"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22"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140" w:type="pct"/>
            <w:vAlign w:val="center"/>
            <w:hideMark/>
          </w:tcPr>
          <w:p w:rsidR="00000000" w:rsidRDefault="00A32496">
            <w:pPr>
              <w:rPr>
                <w:rFonts w:eastAsia="Times New Roman"/>
                <w:sz w:val="20"/>
                <w:szCs w:val="20"/>
              </w:rPr>
            </w:pPr>
          </w:p>
        </w:tc>
      </w:tr>
      <w:tr w:rsidR="00000000">
        <w:trPr>
          <w:trHeight w:val="160"/>
          <w:tblCellSpacing w:w="15" w:type="dxa"/>
        </w:trPr>
        <w:tc>
          <w:tcPr>
            <w:tcW w:w="0" w:type="auto"/>
            <w:vAlign w:val="center"/>
            <w:hideMark/>
          </w:tcPr>
          <w:p w:rsidR="00000000" w:rsidRDefault="00A32496">
            <w:pPr>
              <w:pStyle w:val="a3"/>
              <w:spacing w:before="0" w:beforeAutospacing="0" w:after="0" w:afterAutospacing="0"/>
              <w:rPr>
                <w:sz w:val="16"/>
                <w:szCs w:val="16"/>
              </w:rPr>
            </w:pPr>
            <w:r>
              <w:rPr>
                <w:sz w:val="16"/>
                <w:szCs w:val="16"/>
              </w:rPr>
              <w:t> </w:t>
            </w:r>
          </w:p>
        </w:tc>
        <w:tc>
          <w:tcPr>
            <w:tcW w:w="0" w:type="auto"/>
            <w:vAlign w:val="center"/>
            <w:hideMark/>
          </w:tcPr>
          <w:p w:rsidR="00000000" w:rsidRDefault="00A32496">
            <w:pPr>
              <w:pStyle w:val="a3"/>
              <w:spacing w:before="0" w:beforeAutospacing="0" w:after="0" w:afterAutospacing="0"/>
              <w:rPr>
                <w:sz w:val="16"/>
                <w:szCs w:val="16"/>
              </w:rPr>
            </w:pPr>
            <w:r>
              <w:rPr>
                <w:sz w:val="16"/>
                <w:szCs w:val="16"/>
              </w:rPr>
              <w:t> </w:t>
            </w:r>
          </w:p>
        </w:tc>
        <w:tc>
          <w:tcPr>
            <w:tcW w:w="0" w:type="auto"/>
            <w:gridSpan w:val="19"/>
            <w:vAlign w:val="center"/>
            <w:hideMark/>
          </w:tcPr>
          <w:p w:rsidR="00000000" w:rsidRDefault="00A32496">
            <w:pPr>
              <w:pStyle w:val="a3"/>
              <w:spacing w:before="0" w:beforeAutospacing="0" w:after="0" w:afterAutospacing="0"/>
              <w:jc w:val="center"/>
              <w:rPr>
                <w:sz w:val="16"/>
                <w:szCs w:val="16"/>
              </w:rPr>
            </w:pPr>
            <w:r>
              <w:rPr>
                <w:b/>
                <w:bCs/>
                <w:sz w:val="16"/>
                <w:szCs w:val="16"/>
              </w:rPr>
              <w:t>Nine Months Ended September 30</w:t>
            </w:r>
            <w:r>
              <w:rPr>
                <w:b/>
                <w:bCs/>
                <w:sz w:val="16"/>
                <w:szCs w:val="16"/>
              </w:rPr>
              <w:t>,</w:t>
            </w:r>
          </w:p>
        </w:tc>
      </w:tr>
      <w:tr w:rsidR="00000000">
        <w:trPr>
          <w:trHeight w:val="160"/>
          <w:tblCellSpacing w:w="15" w:type="dxa"/>
        </w:trPr>
        <w:tc>
          <w:tcPr>
            <w:tcW w:w="0" w:type="auto"/>
            <w:vAlign w:val="bottom"/>
            <w:hideMark/>
          </w:tcPr>
          <w:p w:rsidR="00000000" w:rsidRDefault="00A32496">
            <w:pPr>
              <w:pStyle w:val="a3"/>
              <w:spacing w:before="0" w:beforeAutospacing="0" w:after="0" w:afterAutospacing="0"/>
              <w:rPr>
                <w:sz w:val="22"/>
                <w:szCs w:val="22"/>
              </w:rPr>
            </w:pPr>
            <w:r>
              <w:rPr>
                <w:sz w:val="22"/>
                <w:szCs w:val="22"/>
              </w:rPr>
              <w:t> </w:t>
            </w:r>
          </w:p>
        </w:tc>
        <w:tc>
          <w:tcPr>
            <w:tcW w:w="0" w:type="auto"/>
            <w:vAlign w:val="bottom"/>
            <w:hideMark/>
          </w:tcPr>
          <w:p w:rsidR="00000000" w:rsidRDefault="00A32496">
            <w:pPr>
              <w:pStyle w:val="a3"/>
              <w:spacing w:before="0" w:beforeAutospacing="0" w:after="0" w:afterAutospacing="0"/>
              <w:rPr>
                <w:sz w:val="22"/>
                <w:szCs w:val="22"/>
              </w:rPr>
            </w:pPr>
            <w:r>
              <w:rPr>
                <w:sz w:val="22"/>
                <w:szCs w:val="22"/>
              </w:rPr>
              <w:t> </w:t>
            </w:r>
          </w:p>
        </w:tc>
        <w:tc>
          <w:tcPr>
            <w:tcW w:w="0" w:type="auto"/>
            <w:gridSpan w:val="9"/>
            <w:vAlign w:val="center"/>
            <w:hideMark/>
          </w:tcPr>
          <w:p w:rsidR="00000000" w:rsidRDefault="00A3249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center"/>
            <w:hideMark/>
          </w:tcPr>
          <w:p w:rsidR="00000000" w:rsidRDefault="00A32496">
            <w:pPr>
              <w:pStyle w:val="a3"/>
              <w:spacing w:before="0" w:beforeAutospacing="0" w:after="0" w:afterAutospacing="0"/>
              <w:jc w:val="center"/>
              <w:rPr>
                <w:sz w:val="16"/>
                <w:szCs w:val="16"/>
              </w:rPr>
            </w:pPr>
            <w:r>
              <w:rPr>
                <w:sz w:val="16"/>
                <w:szCs w:val="16"/>
              </w:rPr>
              <w:t> </w:t>
            </w:r>
          </w:p>
        </w:tc>
        <w:tc>
          <w:tcPr>
            <w:tcW w:w="0" w:type="auto"/>
            <w:gridSpan w:val="9"/>
            <w:vAlign w:val="center"/>
            <w:hideMark/>
          </w:tcPr>
          <w:p w:rsidR="00000000" w:rsidRDefault="00A32496">
            <w:pPr>
              <w:pStyle w:val="a3"/>
              <w:spacing w:before="0" w:beforeAutospacing="0" w:after="0" w:afterAutospacing="0"/>
              <w:jc w:val="center"/>
              <w:rPr>
                <w:sz w:val="16"/>
                <w:szCs w:val="16"/>
              </w:rPr>
            </w:pPr>
            <w:r>
              <w:rPr>
                <w:b/>
                <w:bCs/>
                <w:sz w:val="16"/>
                <w:szCs w:val="16"/>
              </w:rPr>
              <w:t>202</w:t>
            </w:r>
            <w:r>
              <w:rPr>
                <w:b/>
                <w:bCs/>
                <w:sz w:val="16"/>
                <w:szCs w:val="16"/>
              </w:rPr>
              <w:t>1</w:t>
            </w:r>
          </w:p>
        </w:tc>
      </w:tr>
      <w:tr w:rsidR="00000000">
        <w:trPr>
          <w:trHeight w:val="160"/>
          <w:tblCellSpacing w:w="15" w:type="dxa"/>
        </w:trPr>
        <w:tc>
          <w:tcPr>
            <w:tcW w:w="0" w:type="auto"/>
            <w:vAlign w:val="center"/>
            <w:hideMark/>
          </w:tcPr>
          <w:p w:rsidR="00000000" w:rsidRDefault="00A32496">
            <w:pPr>
              <w:pStyle w:val="a3"/>
              <w:spacing w:before="0" w:beforeAutospacing="0" w:after="0" w:afterAutospacing="0"/>
              <w:rPr>
                <w:sz w:val="16"/>
                <w:szCs w:val="16"/>
              </w:rPr>
            </w:pPr>
            <w:r>
              <w:rPr>
                <w:b/>
                <w:bCs/>
                <w:sz w:val="16"/>
                <w:szCs w:val="16"/>
              </w:rPr>
              <w:t>(revenue in thousands</w:t>
            </w:r>
            <w:r>
              <w:rPr>
                <w:b/>
                <w:bCs/>
                <w:sz w:val="16"/>
                <w:szCs w:val="16"/>
              </w:rPr>
              <w:t>)</w:t>
            </w:r>
          </w:p>
        </w:tc>
        <w:tc>
          <w:tcPr>
            <w:tcW w:w="0" w:type="auto"/>
            <w:vAlign w:val="bottom"/>
            <w:hideMark/>
          </w:tcPr>
          <w:p w:rsidR="00000000" w:rsidRDefault="00A32496">
            <w:pPr>
              <w:pStyle w:val="a3"/>
              <w:spacing w:before="0" w:beforeAutospacing="0" w:after="0" w:afterAutospacing="0"/>
              <w:rPr>
                <w:sz w:val="22"/>
                <w:szCs w:val="22"/>
              </w:rPr>
            </w:pPr>
            <w:r>
              <w:rPr>
                <w:sz w:val="22"/>
                <w:szCs w:val="22"/>
              </w:rPr>
              <w:t> </w:t>
            </w:r>
          </w:p>
        </w:tc>
        <w:tc>
          <w:tcPr>
            <w:tcW w:w="0" w:type="auto"/>
            <w:gridSpan w:val="3"/>
            <w:vAlign w:val="center"/>
            <w:hideMark/>
          </w:tcPr>
          <w:p w:rsidR="00000000" w:rsidRDefault="00A32496">
            <w:pPr>
              <w:pStyle w:val="a3"/>
              <w:spacing w:before="0" w:beforeAutospacing="0" w:after="0" w:afterAutospacing="0"/>
              <w:jc w:val="center"/>
              <w:rPr>
                <w:sz w:val="16"/>
                <w:szCs w:val="16"/>
              </w:rPr>
            </w:pPr>
            <w:r>
              <w:rPr>
                <w:b/>
                <w:bCs/>
                <w:sz w:val="16"/>
                <w:szCs w:val="16"/>
              </w:rPr>
              <w:t>Revenue</w:t>
            </w:r>
            <w:r>
              <w:rPr>
                <w:b/>
                <w:bCs/>
                <w:sz w:val="16"/>
                <w:szCs w:val="16"/>
              </w:rPr>
              <w:t>s</w:t>
            </w:r>
          </w:p>
        </w:tc>
        <w:tc>
          <w:tcPr>
            <w:tcW w:w="0" w:type="auto"/>
            <w:vAlign w:val="center"/>
            <w:hideMark/>
          </w:tcPr>
          <w:p w:rsidR="00000000" w:rsidRDefault="00A32496">
            <w:pPr>
              <w:pStyle w:val="a3"/>
              <w:spacing w:before="0" w:beforeAutospacing="0" w:after="0" w:afterAutospacing="0"/>
              <w:jc w:val="center"/>
              <w:rPr>
                <w:sz w:val="16"/>
                <w:szCs w:val="16"/>
              </w:rPr>
            </w:pPr>
            <w:r>
              <w:rPr>
                <w:sz w:val="16"/>
                <w:szCs w:val="16"/>
              </w:rPr>
              <w:t> </w:t>
            </w:r>
          </w:p>
        </w:tc>
        <w:tc>
          <w:tcPr>
            <w:tcW w:w="0" w:type="auto"/>
            <w:vAlign w:val="center"/>
            <w:hideMark/>
          </w:tcPr>
          <w:p w:rsidR="00000000" w:rsidRDefault="00A32496">
            <w:pPr>
              <w:pStyle w:val="a3"/>
              <w:spacing w:before="0" w:beforeAutospacing="0" w:after="0" w:afterAutospacing="0"/>
              <w:rPr>
                <w:sz w:val="16"/>
                <w:szCs w:val="16"/>
              </w:rPr>
            </w:pPr>
            <w:r>
              <w:rPr>
                <w:sz w:val="16"/>
                <w:szCs w:val="16"/>
              </w:rPr>
              <w:t> </w:t>
            </w:r>
          </w:p>
        </w:tc>
        <w:tc>
          <w:tcPr>
            <w:tcW w:w="0" w:type="auto"/>
            <w:gridSpan w:val="4"/>
            <w:vAlign w:val="center"/>
            <w:hideMark/>
          </w:tcPr>
          <w:p w:rsidR="00000000" w:rsidRDefault="00A32496">
            <w:pPr>
              <w:pStyle w:val="a3"/>
              <w:spacing w:before="0" w:beforeAutospacing="0" w:after="0" w:afterAutospacing="0"/>
              <w:jc w:val="center"/>
              <w:rPr>
                <w:sz w:val="16"/>
                <w:szCs w:val="16"/>
              </w:rPr>
            </w:pPr>
            <w:r>
              <w:rPr>
                <w:b/>
                <w:bCs/>
                <w:sz w:val="16"/>
                <w:szCs w:val="16"/>
              </w:rPr>
              <w:t>% of Total Revenue</w:t>
            </w:r>
            <w:r>
              <w:rPr>
                <w:b/>
                <w:bCs/>
                <w:sz w:val="16"/>
                <w:szCs w:val="16"/>
              </w:rPr>
              <w:t>s</w:t>
            </w:r>
          </w:p>
        </w:tc>
        <w:tc>
          <w:tcPr>
            <w:tcW w:w="0" w:type="auto"/>
            <w:vAlign w:val="center"/>
            <w:hideMark/>
          </w:tcPr>
          <w:p w:rsidR="00000000" w:rsidRDefault="00A32496">
            <w:pPr>
              <w:pStyle w:val="a3"/>
              <w:spacing w:before="0" w:beforeAutospacing="0" w:after="0" w:afterAutospacing="0"/>
              <w:jc w:val="center"/>
              <w:rPr>
                <w:sz w:val="16"/>
                <w:szCs w:val="16"/>
              </w:rPr>
            </w:pPr>
            <w:r>
              <w:rPr>
                <w:sz w:val="16"/>
                <w:szCs w:val="16"/>
              </w:rPr>
              <w:t> </w:t>
            </w:r>
          </w:p>
        </w:tc>
        <w:tc>
          <w:tcPr>
            <w:tcW w:w="0" w:type="auto"/>
            <w:gridSpan w:val="3"/>
            <w:vAlign w:val="center"/>
            <w:hideMark/>
          </w:tcPr>
          <w:p w:rsidR="00000000" w:rsidRDefault="00A32496">
            <w:pPr>
              <w:pStyle w:val="a3"/>
              <w:spacing w:before="0" w:beforeAutospacing="0" w:after="0" w:afterAutospacing="0"/>
              <w:jc w:val="center"/>
              <w:rPr>
                <w:sz w:val="16"/>
                <w:szCs w:val="16"/>
              </w:rPr>
            </w:pPr>
            <w:r>
              <w:rPr>
                <w:b/>
                <w:bCs/>
                <w:sz w:val="16"/>
                <w:szCs w:val="16"/>
              </w:rPr>
              <w:t>Revenue</w:t>
            </w:r>
            <w:r>
              <w:rPr>
                <w:b/>
                <w:bCs/>
                <w:sz w:val="16"/>
                <w:szCs w:val="16"/>
              </w:rPr>
              <w:t>s</w:t>
            </w:r>
          </w:p>
        </w:tc>
        <w:tc>
          <w:tcPr>
            <w:tcW w:w="0" w:type="auto"/>
            <w:vAlign w:val="center"/>
            <w:hideMark/>
          </w:tcPr>
          <w:p w:rsidR="00000000" w:rsidRDefault="00A32496">
            <w:pPr>
              <w:pStyle w:val="a3"/>
              <w:spacing w:before="0" w:beforeAutospacing="0" w:after="0" w:afterAutospacing="0"/>
              <w:jc w:val="center"/>
              <w:rPr>
                <w:sz w:val="16"/>
                <w:szCs w:val="16"/>
              </w:rPr>
            </w:pPr>
            <w:r>
              <w:rPr>
                <w:sz w:val="16"/>
                <w:szCs w:val="16"/>
              </w:rPr>
              <w:t> </w:t>
            </w:r>
          </w:p>
        </w:tc>
        <w:tc>
          <w:tcPr>
            <w:tcW w:w="0" w:type="auto"/>
            <w:vAlign w:val="center"/>
            <w:hideMark/>
          </w:tcPr>
          <w:p w:rsidR="00000000" w:rsidRDefault="00A32496">
            <w:pPr>
              <w:pStyle w:val="a3"/>
              <w:spacing w:before="0" w:beforeAutospacing="0" w:after="0" w:afterAutospacing="0"/>
              <w:jc w:val="center"/>
              <w:rPr>
                <w:sz w:val="20"/>
                <w:szCs w:val="20"/>
              </w:rPr>
            </w:pPr>
            <w:r>
              <w:rPr>
                <w:sz w:val="20"/>
                <w:szCs w:val="20"/>
              </w:rPr>
              <w:t> </w:t>
            </w:r>
          </w:p>
        </w:tc>
        <w:tc>
          <w:tcPr>
            <w:tcW w:w="0" w:type="auto"/>
            <w:gridSpan w:val="4"/>
            <w:vAlign w:val="center"/>
            <w:hideMark/>
          </w:tcPr>
          <w:p w:rsidR="00000000" w:rsidRDefault="00A32496">
            <w:pPr>
              <w:pStyle w:val="a3"/>
              <w:spacing w:before="0" w:beforeAutospacing="0" w:after="0" w:afterAutospacing="0"/>
              <w:jc w:val="center"/>
              <w:rPr>
                <w:sz w:val="16"/>
                <w:szCs w:val="16"/>
              </w:rPr>
            </w:pPr>
            <w:r>
              <w:rPr>
                <w:b/>
                <w:bCs/>
                <w:sz w:val="16"/>
                <w:szCs w:val="16"/>
              </w:rPr>
              <w:t>% of Total Revenue</w:t>
            </w:r>
            <w:r>
              <w:rPr>
                <w:b/>
                <w:bCs/>
                <w:sz w:val="16"/>
                <w:szCs w:val="16"/>
              </w:rPr>
              <w:t>s</w:t>
            </w:r>
          </w:p>
        </w:tc>
      </w:tr>
      <w:tr w:rsidR="00000000">
        <w:trPr>
          <w:trHeight w:val="200"/>
          <w:tblCellSpacing w:w="15" w:type="dxa"/>
        </w:trPr>
        <w:tc>
          <w:tcPr>
            <w:tcW w:w="0" w:type="auto"/>
            <w:vAlign w:val="center"/>
            <w:hideMark/>
          </w:tcPr>
          <w:p w:rsidR="00000000" w:rsidRDefault="00A32496">
            <w:pPr>
              <w:pStyle w:val="a3"/>
              <w:spacing w:before="0" w:beforeAutospacing="0" w:after="0" w:afterAutospacing="0"/>
              <w:rPr>
                <w:sz w:val="20"/>
                <w:szCs w:val="20"/>
              </w:rPr>
            </w:pPr>
            <w:r>
              <w:rPr>
                <w:sz w:val="20"/>
                <w:szCs w:val="20"/>
              </w:rPr>
              <w:t xml:space="preserve">Assessment, Permitting and </w:t>
            </w:r>
            <w:r>
              <w:rPr>
                <w:sz w:val="20"/>
                <w:szCs w:val="20"/>
              </w:rPr>
              <w:br/>
              <w:t>   Respons</w:t>
            </w:r>
            <w:r>
              <w:rPr>
                <w:sz w:val="20"/>
                <w:szCs w:val="20"/>
              </w:rPr>
              <w:t>e</w:t>
            </w:r>
          </w:p>
        </w:tc>
        <w:tc>
          <w:tcPr>
            <w:tcW w:w="0" w:type="auto"/>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rPr>
                <w:sz w:val="20"/>
                <w:szCs w:val="20"/>
              </w:rPr>
            </w:pPr>
            <w:r>
              <w:rPr>
                <w:sz w:val="20"/>
                <w:szCs w:val="20"/>
              </w:rPr>
              <w:t>$</w:t>
            </w:r>
          </w:p>
        </w:tc>
        <w:tc>
          <w:tcPr>
            <w:tcW w:w="0" w:type="auto"/>
            <w:noWrap/>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jc w:val="right"/>
              <w:rPr>
                <w:sz w:val="20"/>
                <w:szCs w:val="20"/>
              </w:rPr>
            </w:pPr>
            <w:r>
              <w:rPr>
                <w:sz w:val="20"/>
                <w:szCs w:val="20"/>
              </w:rPr>
              <w:t>142,05</w:t>
            </w:r>
            <w:r>
              <w:rPr>
                <w:sz w:val="20"/>
                <w:szCs w:val="20"/>
              </w:rPr>
              <w:t>1</w:t>
            </w:r>
          </w:p>
        </w:tc>
        <w:tc>
          <w:tcPr>
            <w:tcW w:w="0" w:type="auto"/>
            <w:noWrap/>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jc w:val="right"/>
              <w:rPr>
                <w:sz w:val="20"/>
                <w:szCs w:val="20"/>
              </w:rPr>
            </w:pPr>
            <w:r>
              <w:rPr>
                <w:sz w:val="20"/>
                <w:szCs w:val="20"/>
              </w:rPr>
              <w:t>35.</w:t>
            </w:r>
            <w:r>
              <w:rPr>
                <w:sz w:val="20"/>
                <w:szCs w:val="20"/>
              </w:rPr>
              <w:t>1</w:t>
            </w:r>
          </w:p>
        </w:tc>
        <w:tc>
          <w:tcPr>
            <w:tcW w:w="0" w:type="auto"/>
            <w:noWrap/>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rPr>
                <w:sz w:val="20"/>
                <w:szCs w:val="20"/>
              </w:rPr>
            </w:pPr>
            <w:r>
              <w:rPr>
                <w:sz w:val="20"/>
                <w:szCs w:val="20"/>
              </w:rPr>
              <w:t>%</w:t>
            </w:r>
          </w:p>
        </w:tc>
        <w:tc>
          <w:tcPr>
            <w:tcW w:w="0" w:type="auto"/>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rPr>
                <w:sz w:val="20"/>
                <w:szCs w:val="20"/>
              </w:rPr>
            </w:pPr>
            <w:r>
              <w:rPr>
                <w:sz w:val="20"/>
                <w:szCs w:val="20"/>
              </w:rPr>
              <w:t>$</w:t>
            </w:r>
          </w:p>
        </w:tc>
        <w:tc>
          <w:tcPr>
            <w:tcW w:w="0" w:type="auto"/>
            <w:noWrap/>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jc w:val="right"/>
              <w:rPr>
                <w:sz w:val="20"/>
                <w:szCs w:val="20"/>
              </w:rPr>
            </w:pPr>
            <w:r>
              <w:rPr>
                <w:sz w:val="20"/>
                <w:szCs w:val="20"/>
              </w:rPr>
              <w:t>209,37</w:t>
            </w:r>
            <w:r>
              <w:rPr>
                <w:sz w:val="20"/>
                <w:szCs w:val="20"/>
              </w:rPr>
              <w:t>9</w:t>
            </w:r>
          </w:p>
        </w:tc>
        <w:tc>
          <w:tcPr>
            <w:tcW w:w="0" w:type="auto"/>
            <w:noWrap/>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jc w:val="right"/>
              <w:rPr>
                <w:sz w:val="20"/>
                <w:szCs w:val="20"/>
              </w:rPr>
            </w:pPr>
            <w:r>
              <w:rPr>
                <w:sz w:val="20"/>
                <w:szCs w:val="20"/>
              </w:rPr>
              <w:t>52.</w:t>
            </w:r>
            <w:r>
              <w:rPr>
                <w:sz w:val="20"/>
                <w:szCs w:val="20"/>
              </w:rPr>
              <w:t>0</w:t>
            </w:r>
          </w:p>
        </w:tc>
        <w:tc>
          <w:tcPr>
            <w:tcW w:w="0" w:type="auto"/>
            <w:noWrap/>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center"/>
            <w:hideMark/>
          </w:tcPr>
          <w:p w:rsidR="00000000" w:rsidRDefault="00A32496">
            <w:pPr>
              <w:pStyle w:val="a3"/>
              <w:spacing w:before="0" w:beforeAutospacing="0" w:after="0" w:afterAutospacing="0"/>
              <w:rPr>
                <w:sz w:val="20"/>
                <w:szCs w:val="20"/>
              </w:rPr>
            </w:pPr>
            <w:r>
              <w:rPr>
                <w:sz w:val="20"/>
                <w:szCs w:val="20"/>
              </w:rPr>
              <w:t>Measurement and Analysi</w:t>
            </w:r>
            <w:r>
              <w:rPr>
                <w:sz w:val="20"/>
                <w:szCs w:val="20"/>
              </w:rPr>
              <w:t>s</w:t>
            </w:r>
          </w:p>
        </w:tc>
        <w:tc>
          <w:tcPr>
            <w:tcW w:w="0" w:type="auto"/>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jc w:val="right"/>
              <w:rPr>
                <w:sz w:val="20"/>
                <w:szCs w:val="20"/>
              </w:rPr>
            </w:pPr>
            <w:r>
              <w:rPr>
                <w:sz w:val="20"/>
                <w:szCs w:val="20"/>
              </w:rPr>
              <w:t>125,73</w:t>
            </w:r>
            <w:r>
              <w:rPr>
                <w:sz w:val="20"/>
                <w:szCs w:val="20"/>
              </w:rPr>
              <w:t>9</w:t>
            </w:r>
          </w:p>
        </w:tc>
        <w:tc>
          <w:tcPr>
            <w:tcW w:w="0" w:type="auto"/>
            <w:noWrap/>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jc w:val="right"/>
              <w:rPr>
                <w:sz w:val="20"/>
                <w:szCs w:val="20"/>
              </w:rPr>
            </w:pPr>
            <w:r>
              <w:rPr>
                <w:sz w:val="20"/>
                <w:szCs w:val="20"/>
              </w:rPr>
              <w:t>31.</w:t>
            </w:r>
            <w:r>
              <w:rPr>
                <w:sz w:val="20"/>
                <w:szCs w:val="20"/>
              </w:rPr>
              <w:t>1</w:t>
            </w:r>
          </w:p>
        </w:tc>
        <w:tc>
          <w:tcPr>
            <w:tcW w:w="0" w:type="auto"/>
            <w:noWrap/>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jc w:val="right"/>
              <w:rPr>
                <w:sz w:val="20"/>
                <w:szCs w:val="20"/>
              </w:rPr>
            </w:pPr>
            <w:r>
              <w:rPr>
                <w:sz w:val="20"/>
                <w:szCs w:val="20"/>
              </w:rPr>
              <w:t>111,30</w:t>
            </w:r>
            <w:r>
              <w:rPr>
                <w:sz w:val="20"/>
                <w:szCs w:val="20"/>
              </w:rPr>
              <w:t>9</w:t>
            </w:r>
          </w:p>
        </w:tc>
        <w:tc>
          <w:tcPr>
            <w:tcW w:w="0" w:type="auto"/>
            <w:noWrap/>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jc w:val="right"/>
              <w:rPr>
                <w:sz w:val="20"/>
                <w:szCs w:val="20"/>
              </w:rPr>
            </w:pPr>
            <w:r>
              <w:rPr>
                <w:sz w:val="20"/>
                <w:szCs w:val="20"/>
              </w:rPr>
              <w:t>27.</w:t>
            </w:r>
            <w:r>
              <w:rPr>
                <w:sz w:val="20"/>
                <w:szCs w:val="20"/>
              </w:rPr>
              <w:t>6</w:t>
            </w:r>
          </w:p>
        </w:tc>
        <w:tc>
          <w:tcPr>
            <w:tcW w:w="0" w:type="auto"/>
            <w:noWrap/>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A32496">
            <w:pPr>
              <w:pStyle w:val="a3"/>
              <w:spacing w:before="0" w:beforeAutospacing="0" w:after="0" w:afterAutospacing="0"/>
              <w:rPr>
                <w:sz w:val="20"/>
                <w:szCs w:val="20"/>
              </w:rPr>
            </w:pPr>
            <w:r>
              <w:rPr>
                <w:sz w:val="20"/>
                <w:szCs w:val="20"/>
              </w:rPr>
              <w:t>Remediation and Reus</w:t>
            </w:r>
            <w:r>
              <w:rPr>
                <w:sz w:val="20"/>
                <w:szCs w:val="20"/>
              </w:rPr>
              <w:t>e</w:t>
            </w:r>
          </w:p>
        </w:tc>
        <w:tc>
          <w:tcPr>
            <w:tcW w:w="0" w:type="auto"/>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jc w:val="right"/>
              <w:rPr>
                <w:sz w:val="20"/>
                <w:szCs w:val="20"/>
              </w:rPr>
            </w:pPr>
            <w:r>
              <w:rPr>
                <w:sz w:val="20"/>
                <w:szCs w:val="20"/>
              </w:rPr>
              <w:t>137,11</w:t>
            </w:r>
            <w:r>
              <w:rPr>
                <w:sz w:val="20"/>
                <w:szCs w:val="20"/>
              </w:rPr>
              <w:t>2</w:t>
            </w:r>
          </w:p>
        </w:tc>
        <w:tc>
          <w:tcPr>
            <w:tcW w:w="0" w:type="auto"/>
            <w:noWrap/>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jc w:val="right"/>
              <w:rPr>
                <w:sz w:val="20"/>
                <w:szCs w:val="20"/>
              </w:rPr>
            </w:pPr>
            <w:r>
              <w:rPr>
                <w:sz w:val="20"/>
                <w:szCs w:val="20"/>
              </w:rPr>
              <w:t>33.</w:t>
            </w:r>
            <w:r>
              <w:rPr>
                <w:sz w:val="20"/>
                <w:szCs w:val="20"/>
              </w:rPr>
              <w:t>9</w:t>
            </w:r>
          </w:p>
        </w:tc>
        <w:tc>
          <w:tcPr>
            <w:tcW w:w="0" w:type="auto"/>
            <w:noWrap/>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jc w:val="right"/>
              <w:rPr>
                <w:sz w:val="20"/>
                <w:szCs w:val="20"/>
              </w:rPr>
            </w:pPr>
            <w:r>
              <w:rPr>
                <w:sz w:val="20"/>
                <w:szCs w:val="20"/>
              </w:rPr>
              <w:t>81,93</w:t>
            </w:r>
            <w:r>
              <w:rPr>
                <w:sz w:val="20"/>
                <w:szCs w:val="20"/>
              </w:rPr>
              <w:t>1</w:t>
            </w:r>
          </w:p>
        </w:tc>
        <w:tc>
          <w:tcPr>
            <w:tcW w:w="0" w:type="auto"/>
            <w:noWrap/>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jc w:val="right"/>
              <w:rPr>
                <w:sz w:val="20"/>
                <w:szCs w:val="20"/>
              </w:rPr>
            </w:pPr>
            <w:r>
              <w:rPr>
                <w:sz w:val="20"/>
                <w:szCs w:val="20"/>
              </w:rPr>
              <w:t>20.</w:t>
            </w:r>
            <w:r>
              <w:rPr>
                <w:sz w:val="20"/>
                <w:szCs w:val="20"/>
              </w:rPr>
              <w:t>3</w:t>
            </w:r>
          </w:p>
        </w:tc>
        <w:tc>
          <w:tcPr>
            <w:tcW w:w="0" w:type="auto"/>
            <w:noWrap/>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rPr>
                <w:sz w:val="2"/>
                <w:szCs w:val="2"/>
              </w:rPr>
            </w:pPr>
            <w:r>
              <w:rPr>
                <w:sz w:val="2"/>
                <w:szCs w:val="2"/>
              </w:rPr>
              <w:t> </w:t>
            </w:r>
          </w:p>
        </w:tc>
      </w:tr>
      <w:tr w:rsidR="00000000">
        <w:trPr>
          <w:trHeight w:val="200"/>
          <w:tblCellSpacing w:w="15" w:type="dxa"/>
        </w:trPr>
        <w:tc>
          <w:tcPr>
            <w:tcW w:w="0" w:type="auto"/>
            <w:vAlign w:val="bottom"/>
            <w:hideMark/>
          </w:tcPr>
          <w:p w:rsidR="00000000" w:rsidRDefault="00A32496">
            <w:pPr>
              <w:pStyle w:val="a3"/>
              <w:spacing w:before="0" w:beforeAutospacing="0" w:after="0" w:afterAutospacing="0"/>
              <w:rPr>
                <w:sz w:val="22"/>
                <w:szCs w:val="22"/>
              </w:rPr>
            </w:pPr>
            <w:r>
              <w:rPr>
                <w:sz w:val="22"/>
                <w:szCs w:val="22"/>
              </w:rPr>
              <w:t> </w:t>
            </w:r>
          </w:p>
        </w:tc>
        <w:tc>
          <w:tcPr>
            <w:tcW w:w="0" w:type="auto"/>
            <w:vAlign w:val="bottom"/>
            <w:hideMark/>
          </w:tcPr>
          <w:p w:rsidR="00000000" w:rsidRDefault="00A32496">
            <w:pPr>
              <w:pStyle w:val="a3"/>
              <w:spacing w:before="0" w:beforeAutospacing="0" w:after="0" w:afterAutospacing="0"/>
              <w:rPr>
                <w:sz w:val="22"/>
                <w:szCs w:val="22"/>
              </w:rPr>
            </w:pPr>
            <w:r>
              <w:rPr>
                <w:sz w:val="22"/>
                <w:szCs w:val="22"/>
              </w:rPr>
              <w:t> </w:t>
            </w:r>
          </w:p>
        </w:tc>
        <w:tc>
          <w:tcPr>
            <w:tcW w:w="0" w:type="auto"/>
            <w:vAlign w:val="center"/>
            <w:hideMark/>
          </w:tcPr>
          <w:p w:rsidR="00000000" w:rsidRDefault="00A32496">
            <w:pPr>
              <w:pStyle w:val="a3"/>
              <w:spacing w:before="0" w:beforeAutospacing="0" w:after="0" w:afterAutospacing="0"/>
              <w:rPr>
                <w:sz w:val="20"/>
                <w:szCs w:val="20"/>
              </w:rPr>
            </w:pPr>
            <w:r>
              <w:rPr>
                <w:sz w:val="20"/>
                <w:szCs w:val="20"/>
              </w:rPr>
              <w:t>$</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404,90</w:t>
            </w:r>
            <w:r>
              <w:rPr>
                <w:sz w:val="20"/>
                <w:szCs w:val="20"/>
              </w:rPr>
              <w:t>2</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A32496">
            <w:pPr>
              <w:pStyle w:val="a3"/>
              <w:spacing w:before="0" w:beforeAutospacing="0" w:after="0" w:afterAutospacing="0"/>
              <w:rPr>
                <w:sz w:val="22"/>
                <w:szCs w:val="22"/>
              </w:rPr>
            </w:pPr>
            <w:r>
              <w:rPr>
                <w:sz w:val="22"/>
                <w:szCs w:val="22"/>
              </w:rPr>
              <w:t> </w:t>
            </w:r>
          </w:p>
        </w:tc>
        <w:tc>
          <w:tcPr>
            <w:tcW w:w="0" w:type="auto"/>
            <w:vAlign w:val="bottom"/>
            <w:hideMark/>
          </w:tcPr>
          <w:p w:rsidR="00000000" w:rsidRDefault="00A32496">
            <w:pPr>
              <w:pStyle w:val="a3"/>
              <w:spacing w:before="0" w:beforeAutospacing="0" w:after="0" w:afterAutospacing="0"/>
              <w:rPr>
                <w:sz w:val="22"/>
                <w:szCs w:val="22"/>
              </w:rPr>
            </w:pPr>
            <w:r>
              <w:rPr>
                <w:sz w:val="22"/>
                <w:szCs w:val="22"/>
              </w:rPr>
              <w:t> </w:t>
            </w:r>
          </w:p>
        </w:tc>
        <w:tc>
          <w:tcPr>
            <w:tcW w:w="0" w:type="auto"/>
            <w:vAlign w:val="bottom"/>
            <w:hideMark/>
          </w:tcPr>
          <w:p w:rsidR="00000000" w:rsidRDefault="00A32496">
            <w:pPr>
              <w:pStyle w:val="a3"/>
              <w:spacing w:before="0" w:beforeAutospacing="0" w:after="0" w:afterAutospacing="0"/>
              <w:rPr>
                <w:sz w:val="22"/>
                <w:szCs w:val="22"/>
              </w:rPr>
            </w:pPr>
            <w:r>
              <w:rPr>
                <w:sz w:val="22"/>
                <w:szCs w:val="22"/>
              </w:rPr>
              <w:t> </w:t>
            </w:r>
          </w:p>
        </w:tc>
        <w:tc>
          <w:tcPr>
            <w:tcW w:w="0" w:type="auto"/>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vAlign w:val="center"/>
            <w:hideMark/>
          </w:tcPr>
          <w:p w:rsidR="00000000" w:rsidRDefault="00A32496">
            <w:pPr>
              <w:pStyle w:val="a3"/>
              <w:spacing w:before="0" w:beforeAutospacing="0" w:after="0" w:afterAutospacing="0"/>
              <w:rPr>
                <w:sz w:val="20"/>
                <w:szCs w:val="20"/>
              </w:rPr>
            </w:pPr>
            <w:r>
              <w:rPr>
                <w:sz w:val="20"/>
                <w:szCs w:val="20"/>
              </w:rPr>
              <w:t>$</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jc w:val="right"/>
              <w:rPr>
                <w:sz w:val="20"/>
                <w:szCs w:val="20"/>
              </w:rPr>
            </w:pPr>
            <w:r>
              <w:rPr>
                <w:sz w:val="20"/>
                <w:szCs w:val="20"/>
              </w:rPr>
              <w:t>402,61</w:t>
            </w:r>
            <w:r>
              <w:rPr>
                <w:sz w:val="20"/>
                <w:szCs w:val="20"/>
              </w:rPr>
              <w:t>9</w:t>
            </w:r>
          </w:p>
        </w:tc>
        <w:tc>
          <w:tcPr>
            <w:tcW w:w="0" w:type="auto"/>
            <w:noWrap/>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vAlign w:val="bottom"/>
            <w:hideMark/>
          </w:tcPr>
          <w:p w:rsidR="00000000" w:rsidRDefault="00A32496">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A32496">
            <w:pPr>
              <w:pStyle w:val="a3"/>
              <w:spacing w:before="0" w:beforeAutospacing="0" w:after="0" w:afterAutospacing="0"/>
              <w:rPr>
                <w:sz w:val="22"/>
                <w:szCs w:val="22"/>
              </w:rPr>
            </w:pPr>
            <w:r>
              <w:rPr>
                <w:sz w:val="22"/>
                <w:szCs w:val="22"/>
              </w:rPr>
              <w:t> </w:t>
            </w:r>
          </w:p>
        </w:tc>
        <w:tc>
          <w:tcPr>
            <w:tcW w:w="0" w:type="auto"/>
            <w:vAlign w:val="bottom"/>
            <w:hideMark/>
          </w:tcPr>
          <w:p w:rsidR="00000000" w:rsidRDefault="00A32496">
            <w:pPr>
              <w:pStyle w:val="a3"/>
              <w:spacing w:before="0" w:beforeAutospacing="0" w:after="0" w:afterAutospacing="0"/>
              <w:rPr>
                <w:sz w:val="22"/>
                <w:szCs w:val="22"/>
              </w:rPr>
            </w:pPr>
            <w:r>
              <w:rPr>
                <w:sz w:val="22"/>
                <w:szCs w:val="22"/>
              </w:rPr>
              <w:t> </w:t>
            </w:r>
          </w:p>
        </w:tc>
        <w:tc>
          <w:tcPr>
            <w:tcW w:w="0" w:type="auto"/>
            <w:vAlign w:val="bottom"/>
            <w:hideMark/>
          </w:tcPr>
          <w:p w:rsidR="00000000" w:rsidRDefault="00A32496">
            <w:pPr>
              <w:pStyle w:val="a3"/>
              <w:spacing w:before="0" w:beforeAutospacing="0" w:after="0" w:afterAutospacing="0"/>
              <w:rPr>
                <w:sz w:val="22"/>
                <w:szCs w:val="22"/>
              </w:rPr>
            </w:pPr>
            <w:r>
              <w:rPr>
                <w:sz w:val="22"/>
                <w:szCs w:val="22"/>
              </w:rPr>
              <w:t> </w:t>
            </w:r>
          </w:p>
        </w:tc>
      </w:tr>
    </w:tbl>
    <w:p w:rsidR="00000000" w:rsidRDefault="00A32496">
      <w:pPr>
        <w:pStyle w:val="a3"/>
        <w:spacing w:before="240" w:beforeAutospacing="0" w:after="0" w:afterAutospacing="0"/>
        <w:ind w:firstLine="555"/>
        <w:rPr>
          <w:sz w:val="20"/>
          <w:szCs w:val="20"/>
        </w:rPr>
      </w:pPr>
      <w:r>
        <w:rPr>
          <w:sz w:val="20"/>
          <w:szCs w:val="20"/>
        </w:rPr>
        <w:t>See “—Segment Results of Operations” below</w:t>
      </w:r>
      <w:r>
        <w:rPr>
          <w:sz w:val="20"/>
          <w:szCs w:val="20"/>
        </w:rPr>
        <w:t>.</w:t>
      </w:r>
    </w:p>
    <w:p w:rsidR="00000000" w:rsidRDefault="00A32496">
      <w:pPr>
        <w:pStyle w:val="a3"/>
        <w:spacing w:before="360" w:beforeAutospacing="0" w:after="0" w:afterAutospacing="0"/>
        <w:ind w:left="476"/>
        <w:rPr>
          <w:sz w:val="20"/>
          <w:szCs w:val="20"/>
        </w:rPr>
      </w:pPr>
      <w:r>
        <w:rPr>
          <w:b/>
          <w:bCs/>
          <w:i/>
          <w:iCs/>
          <w:sz w:val="20"/>
          <w:szCs w:val="20"/>
        </w:rPr>
        <w:t>Cost of Revenue</w:t>
      </w:r>
      <w:r>
        <w:rPr>
          <w:b/>
          <w:bCs/>
          <w:i/>
          <w:iCs/>
          <w:sz w:val="20"/>
          <w:szCs w:val="20"/>
        </w:rPr>
        <w:t>s</w:t>
      </w:r>
    </w:p>
    <w:p w:rsidR="00000000" w:rsidRDefault="00A32496">
      <w:pPr>
        <w:pStyle w:val="a3"/>
        <w:spacing w:before="240" w:beforeAutospacing="0" w:after="0" w:afterAutospacing="0"/>
        <w:ind w:firstLine="555"/>
        <w:rPr>
          <w:sz w:val="20"/>
          <w:szCs w:val="20"/>
        </w:rPr>
      </w:pPr>
      <w:r>
        <w:rPr>
          <w:sz w:val="20"/>
          <w:szCs w:val="20"/>
        </w:rPr>
        <w:t>For the nine months ended September 30, 2022, cost of revenues was $261.0 million or 64.5% of revenues, and was comprised of direct labor of $114.0 million, outside services (including contracted</w:t>
      </w:r>
      <w:r>
        <w:rPr>
          <w:sz w:val="20"/>
          <w:szCs w:val="20"/>
        </w:rPr>
        <w:t xml:space="preserve"> labor, laboratory, shipping and freight and other outside services) of $64.2 million, field supplies, testing supplies and equipment costs of $58.1 million, project-related travel expenses of $13.9 million and other direct costs of $10.8 million</w:t>
      </w:r>
      <w:r>
        <w:rPr>
          <w:sz w:val="20"/>
          <w:szCs w:val="20"/>
        </w:rPr>
        <w:t>.</w:t>
      </w:r>
      <w:r>
        <w:rPr>
          <w:sz w:val="20"/>
          <w:szCs w:val="20"/>
        </w:rPr>
        <w:t xml:space="preserve"> </w:t>
      </w:r>
    </w:p>
    <w:p w:rsidR="00000000" w:rsidRDefault="00A32496">
      <w:pPr>
        <w:pStyle w:val="a3"/>
        <w:spacing w:before="240" w:beforeAutospacing="0" w:after="0" w:afterAutospacing="0"/>
        <w:ind w:firstLine="555"/>
        <w:rPr>
          <w:sz w:val="20"/>
          <w:szCs w:val="20"/>
        </w:rPr>
      </w:pPr>
      <w:r>
        <w:rPr>
          <w:sz w:val="20"/>
          <w:szCs w:val="20"/>
        </w:rPr>
        <w:t>For the</w:t>
      </w:r>
      <w:r>
        <w:rPr>
          <w:sz w:val="20"/>
          <w:szCs w:val="20"/>
        </w:rPr>
        <w:t xml:space="preserve"> nine months ended September 30, 2021, cost of revenues was $272.7 million or 67.7% of revenues, and was comprised of direct labor of $109.3 million, outside services (including contracted labor, laboratory, shipping and freight and other outside services)</w:t>
      </w:r>
      <w:r>
        <w:rPr>
          <w:sz w:val="20"/>
          <w:szCs w:val="20"/>
        </w:rPr>
        <w:t xml:space="preserve"> of $115.2 million, field supplies, testing supplies and equipment costs of $27.9 million, project-related travel expenses of $12.8 million and other direct costs of $7.4 million</w:t>
      </w:r>
      <w:r>
        <w:rPr>
          <w:sz w:val="20"/>
          <w:szCs w:val="20"/>
        </w:rPr>
        <w:t>.</w:t>
      </w:r>
    </w:p>
    <w:p w:rsidR="00000000" w:rsidRDefault="00A32496">
      <w:pPr>
        <w:pStyle w:val="a3"/>
        <w:spacing w:before="240" w:beforeAutospacing="0" w:after="0" w:afterAutospacing="0"/>
        <w:ind w:firstLine="555"/>
        <w:rPr>
          <w:sz w:val="20"/>
          <w:szCs w:val="20"/>
        </w:rPr>
      </w:pPr>
      <w:r>
        <w:rPr>
          <w:sz w:val="20"/>
          <w:szCs w:val="20"/>
        </w:rPr>
        <w:t>For the nine months ended September 30, 2022, cost of revenues as a percenta</w:t>
      </w:r>
      <w:r>
        <w:rPr>
          <w:sz w:val="20"/>
          <w:szCs w:val="20"/>
        </w:rPr>
        <w:t>ge of revenue decreased 3.2% from the nine months ended September 30, 2021, as a result of significantly lower outside service costs in 2022 when compared to 2021 driven primarily by a decrease in external lab expenses needed to support CTEH’s COVID-19 res</w:t>
      </w:r>
      <w:r>
        <w:rPr>
          <w:sz w:val="20"/>
          <w:szCs w:val="20"/>
        </w:rPr>
        <w:t>ponse work during 2022, partially offset by higher equipment costs primarily to support higher water treatment and biogas revenues</w:t>
      </w:r>
      <w:r>
        <w:rPr>
          <w:sz w:val="20"/>
          <w:szCs w:val="20"/>
        </w:rPr>
        <w:t>.</w:t>
      </w:r>
    </w:p>
    <w:p w:rsidR="00000000" w:rsidRDefault="00A32496">
      <w:pPr>
        <w:pStyle w:val="a3"/>
        <w:spacing w:before="360" w:beforeAutospacing="0" w:after="0" w:afterAutospacing="0"/>
        <w:ind w:left="476"/>
        <w:rPr>
          <w:sz w:val="20"/>
          <w:szCs w:val="20"/>
        </w:rPr>
      </w:pPr>
      <w:r>
        <w:rPr>
          <w:b/>
          <w:bCs/>
          <w:i/>
          <w:iCs/>
          <w:sz w:val="20"/>
          <w:szCs w:val="20"/>
        </w:rPr>
        <w:t>Selling, General and Administrative Expens</w:t>
      </w:r>
      <w:r>
        <w:rPr>
          <w:b/>
          <w:bCs/>
          <w:i/>
          <w:iCs/>
          <w:sz w:val="20"/>
          <w:szCs w:val="20"/>
        </w:rPr>
        <w:t>e</w:t>
      </w:r>
    </w:p>
    <w:p w:rsidR="00000000" w:rsidRDefault="00A32496">
      <w:pPr>
        <w:pStyle w:val="a3"/>
        <w:spacing w:before="120" w:beforeAutospacing="0" w:after="0" w:afterAutospacing="0"/>
        <w:ind w:firstLine="555"/>
        <w:rPr>
          <w:sz w:val="20"/>
          <w:szCs w:val="20"/>
        </w:rPr>
      </w:pPr>
      <w:r>
        <w:rPr>
          <w:sz w:val="20"/>
          <w:szCs w:val="20"/>
        </w:rPr>
        <w:t>For the nine months ended September 30, 2022, selling, general and administrativ</w:t>
      </w:r>
      <w:r>
        <w:rPr>
          <w:sz w:val="20"/>
          <w:szCs w:val="20"/>
        </w:rPr>
        <w:t>e expense was $131.1 million, an increase of $48.2 million or 58.2% versus the nine months ended September 30, 2021. This increase was primarily driven by $25.9 million related to an increase in stock compensation expense, $5.6 million from selling, genera</w:t>
      </w:r>
      <w:r>
        <w:rPr>
          <w:sz w:val="20"/>
          <w:szCs w:val="20"/>
        </w:rPr>
        <w:t>l and administrative expense pertaining to companies we acquired subsequent to the third quarter of 2021, $9.0 million related to the higher labor and medical benefit costs, primarily reflecting inflationary increases, an increase in headcount to support g</w:t>
      </w:r>
      <w:r>
        <w:rPr>
          <w:sz w:val="20"/>
          <w:szCs w:val="20"/>
        </w:rPr>
        <w:t>rowth in our PFAS water treatment business, and investments in corporate infrastructure (primarily administrative, marketing, finance, IT, legal and human resources) and $3.0 million was from an increase in the defined contribution plan employer contributi</w:t>
      </w:r>
      <w:r>
        <w:rPr>
          <w:sz w:val="20"/>
          <w:szCs w:val="20"/>
        </w:rPr>
        <w:t>ons following the reinstatement of employer matching during the second quarter of 2021, as well as higher travel expenses. See Part I, Item 3. “Quantitative and Qualitative Disclosures About Market Risk” for additional information regarding the impact of i</w:t>
      </w:r>
      <w:r>
        <w:rPr>
          <w:sz w:val="20"/>
          <w:szCs w:val="20"/>
        </w:rPr>
        <w:t>nflation on our business</w:t>
      </w:r>
      <w:r>
        <w:rPr>
          <w:sz w:val="20"/>
          <w:szCs w:val="20"/>
        </w:rPr>
        <w:t>.</w:t>
      </w:r>
    </w:p>
    <w:p w:rsidR="00000000" w:rsidRDefault="00A32496">
      <w:pPr>
        <w:pStyle w:val="a3"/>
        <w:spacing w:before="240" w:beforeAutospacing="0" w:after="0" w:afterAutospacing="0"/>
        <w:ind w:firstLine="555"/>
        <w:rPr>
          <w:sz w:val="20"/>
          <w:szCs w:val="20"/>
        </w:rPr>
      </w:pPr>
      <w:r>
        <w:rPr>
          <w:sz w:val="20"/>
          <w:szCs w:val="20"/>
        </w:rPr>
        <w:t>For the nine months ended September 30, 2022, selling, general and administrative expense was comprised of indirect labor of $60.8 million, stock-based compensation of $31.3 million, facilities costs of $13.2 million, acquisition-</w:t>
      </w:r>
      <w:r>
        <w:rPr>
          <w:sz w:val="20"/>
          <w:szCs w:val="20"/>
        </w:rPr>
        <w:t>related costs of $1.4 million, a bad debt credit of $0.8 million, and other costs (including software, travel, insurance, legal, consulting and audit services) of $25.2 million</w:t>
      </w:r>
      <w:r>
        <w:rPr>
          <w:sz w:val="20"/>
          <w:szCs w:val="20"/>
        </w:rPr>
        <w:t>.</w:t>
      </w:r>
    </w:p>
    <w:p w:rsidR="00000000" w:rsidRDefault="00A32496">
      <w:pPr>
        <w:pStyle w:val="a3"/>
        <w:spacing w:before="240" w:beforeAutospacing="0" w:after="0" w:afterAutospacing="0"/>
        <w:ind w:firstLine="555"/>
        <w:rPr>
          <w:sz w:val="20"/>
          <w:szCs w:val="20"/>
        </w:rPr>
      </w:pPr>
      <w:r>
        <w:rPr>
          <w:sz w:val="20"/>
          <w:szCs w:val="20"/>
        </w:rPr>
        <w:t>For the nine months ended September 30, 2021, selling, general and administrat</w:t>
      </w:r>
      <w:r>
        <w:rPr>
          <w:sz w:val="20"/>
          <w:szCs w:val="20"/>
        </w:rPr>
        <w:t>ive expense was comprised of indirect labor of $43.2 million, facilities costs of $10.7 million, stock-based compensation of $5.4 million, acquisition-related costs of $1.7 million, bad debt expense of $0.8 million, and other costs (including software, tra</w:t>
      </w:r>
      <w:r>
        <w:rPr>
          <w:sz w:val="20"/>
          <w:szCs w:val="20"/>
        </w:rPr>
        <w:t>vel, insurance, legal, consulting and audit services) of $20.7 million</w:t>
      </w:r>
      <w:r>
        <w:rPr>
          <w:sz w:val="20"/>
          <w:szCs w:val="20"/>
        </w:rPr>
        <w:t>.</w:t>
      </w:r>
    </w:p>
    <w:p w:rsidR="00000000" w:rsidRDefault="00A32496">
      <w:pPr>
        <w:pStyle w:val="a3"/>
        <w:spacing w:before="360" w:beforeAutospacing="0" w:after="0" w:afterAutospacing="0"/>
        <w:ind w:left="476"/>
        <w:rPr>
          <w:sz w:val="20"/>
          <w:szCs w:val="20"/>
        </w:rPr>
      </w:pPr>
      <w:r>
        <w:rPr>
          <w:b/>
          <w:bCs/>
          <w:i/>
          <w:iCs/>
          <w:sz w:val="20"/>
          <w:szCs w:val="20"/>
        </w:rPr>
        <w:t>Fair Value Changes in Business Acquisition Contingencie</w:t>
      </w:r>
      <w:r>
        <w:rPr>
          <w:b/>
          <w:bCs/>
          <w:i/>
          <w:iCs/>
          <w:sz w:val="20"/>
          <w:szCs w:val="20"/>
        </w:rPr>
        <w:t>s</w:t>
      </w:r>
    </w:p>
    <w:p w:rsidR="00000000" w:rsidRDefault="00A32496">
      <w:pPr>
        <w:pStyle w:val="a3"/>
        <w:spacing w:before="120" w:beforeAutospacing="0" w:after="0" w:afterAutospacing="0"/>
        <w:ind w:firstLine="555"/>
        <w:rPr>
          <w:sz w:val="20"/>
          <w:szCs w:val="20"/>
        </w:rPr>
      </w:pPr>
      <w:r>
        <w:rPr>
          <w:sz w:val="20"/>
          <w:szCs w:val="20"/>
        </w:rPr>
        <w:t>For the nine months ended September 30, 2022, fair value changes in business acquisition contingencies resulted in a gain of $3.5 million versus an expens</w:t>
      </w:r>
      <w:r>
        <w:rPr>
          <w:sz w:val="20"/>
          <w:szCs w:val="20"/>
        </w:rPr>
        <w:t>e</w:t>
      </w:r>
      <w:r>
        <w:rPr>
          <w:sz w:val="20"/>
          <w:szCs w:val="20"/>
        </w:rPr>
        <w:t xml:space="preserve"> of $24.0 million f</w:t>
      </w:r>
      <w:r>
        <w:rPr>
          <w:sz w:val="20"/>
          <w:szCs w:val="20"/>
        </w:rPr>
        <w:t>o</w:t>
      </w:r>
      <w:r>
        <w:rPr>
          <w:sz w:val="20"/>
          <w:szCs w:val="20"/>
        </w:rPr>
        <w:t>r the nine months ended September 30, 2021. The majority of the change in value i</w:t>
      </w:r>
      <w:r>
        <w:rPr>
          <w:sz w:val="20"/>
          <w:szCs w:val="20"/>
        </w:rPr>
        <w:t>n the nine months ended September 30, 2022, was attributable to a $3.4 million gain related to acquisitions' 338(h)(10) elections make-whole tax accruals. The majority of the change in value in the nine months ended September 30, 2021 period was attributab</w:t>
      </w:r>
      <w:r>
        <w:rPr>
          <w:sz w:val="20"/>
          <w:szCs w:val="20"/>
        </w:rPr>
        <w:t>le to th</w:t>
      </w:r>
      <w:r>
        <w:rPr>
          <w:sz w:val="20"/>
          <w:szCs w:val="20"/>
        </w:rPr>
        <w:t>e</w:t>
      </w:r>
      <w:r>
        <w:rPr>
          <w:sz w:val="20"/>
          <w:szCs w:val="20"/>
        </w:rPr>
        <w:t xml:space="preserve"> </w:t>
      </w:r>
    </w:p>
    <w:p w:rsidR="00000000" w:rsidRDefault="00A32496">
      <w:pPr>
        <w:pStyle w:val="a3"/>
        <w:spacing w:before="240" w:beforeAutospacing="0" w:after="0" w:afterAutospacing="0"/>
        <w:jc w:val="center"/>
        <w:rPr>
          <w:sz w:val="20"/>
          <w:szCs w:val="20"/>
        </w:rPr>
      </w:pPr>
      <w:r>
        <w:rPr>
          <w:sz w:val="20"/>
          <w:szCs w:val="20"/>
        </w:rPr>
        <w:t>4</w:t>
      </w:r>
      <w:r>
        <w:rPr>
          <w:sz w:val="20"/>
          <w:szCs w:val="20"/>
        </w:rPr>
        <w:t>0</w:t>
      </w:r>
    </w:p>
    <w:p w:rsidR="00000000" w:rsidRDefault="00A32496">
      <w:pPr>
        <w:rPr>
          <w:rFonts w:eastAsia="Times New Roman"/>
        </w:rPr>
      </w:pPr>
      <w:r>
        <w:rPr>
          <w:rFonts w:eastAsia="Times New Roman"/>
        </w:rPr>
        <w:pict>
          <v:rect id="_x0000_i1066" style="width:0;height:1.5pt" o:hralign="center" o:hrstd="t" o:hr="t" fillcolor="#a0a0a0" stroked="f"/>
        </w:pict>
      </w:r>
    </w:p>
    <w:p w:rsidR="00000000" w:rsidRDefault="00A32496">
      <w:pPr>
        <w:pStyle w:val="a3"/>
        <w:spacing w:before="0" w:beforeAutospacing="0" w:after="0" w:afterAutospacing="0"/>
        <w:rPr>
          <w:sz w:val="20"/>
          <w:szCs w:val="20"/>
        </w:rPr>
      </w:pPr>
      <w:r>
        <w:rPr>
          <w:sz w:val="20"/>
          <w:szCs w:val="20"/>
        </w:rPr>
        <w:t> </w:t>
      </w:r>
    </w:p>
    <w:p w:rsidR="00000000" w:rsidRDefault="00A32496">
      <w:pPr>
        <w:pStyle w:val="a3"/>
        <w:spacing w:before="120" w:beforeAutospacing="0" w:after="0" w:afterAutospacing="0"/>
        <w:rPr>
          <w:sz w:val="20"/>
          <w:szCs w:val="20"/>
        </w:rPr>
      </w:pPr>
      <w:r>
        <w:rPr>
          <w:sz w:val="20"/>
          <w:szCs w:val="20"/>
        </w:rPr>
        <w:t>CTEH earn-outs. See “—Key Factors that Affect Our Business and Our Results —Acquisitions” and Notes 7 and 13 to our unaudited condensed consolidated financial statements included in Part I, Item 1. “Finan</w:t>
      </w:r>
      <w:r>
        <w:rPr>
          <w:sz w:val="20"/>
          <w:szCs w:val="20"/>
        </w:rPr>
        <w:t>cial Statements.</w:t>
      </w:r>
      <w:r>
        <w:rPr>
          <w:sz w:val="20"/>
          <w:szCs w:val="20"/>
        </w:rPr>
        <w:t>”</w:t>
      </w:r>
    </w:p>
    <w:p w:rsidR="00000000" w:rsidRDefault="00A32496">
      <w:pPr>
        <w:pStyle w:val="a3"/>
        <w:spacing w:before="360" w:beforeAutospacing="0" w:after="0" w:afterAutospacing="0"/>
        <w:ind w:left="476"/>
        <w:rPr>
          <w:sz w:val="20"/>
          <w:szCs w:val="20"/>
        </w:rPr>
      </w:pPr>
      <w:r>
        <w:rPr>
          <w:b/>
          <w:bCs/>
          <w:i/>
          <w:iCs/>
          <w:sz w:val="20"/>
          <w:szCs w:val="20"/>
        </w:rPr>
        <w:t>Depreciation and Amortizatio</w:t>
      </w:r>
      <w:r>
        <w:rPr>
          <w:b/>
          <w:bCs/>
          <w:i/>
          <w:iCs/>
          <w:sz w:val="20"/>
          <w:szCs w:val="20"/>
        </w:rPr>
        <w:t>n</w:t>
      </w:r>
    </w:p>
    <w:p w:rsidR="00000000" w:rsidRDefault="00A32496">
      <w:pPr>
        <w:pStyle w:val="a3"/>
        <w:spacing w:before="120" w:beforeAutospacing="0" w:after="0" w:afterAutospacing="0"/>
        <w:ind w:firstLine="555"/>
        <w:rPr>
          <w:sz w:val="20"/>
          <w:szCs w:val="20"/>
        </w:rPr>
      </w:pPr>
      <w:r>
        <w:rPr>
          <w:sz w:val="20"/>
          <w:szCs w:val="20"/>
        </w:rPr>
        <w:t>Depreciation and amortization expense for the nine months ended September 30, 2022, was $35.9 million and was comprised of amortization of finite lived intangibles of $27.6 million, arising as a result of our</w:t>
      </w:r>
      <w:r>
        <w:rPr>
          <w:sz w:val="20"/>
          <w:szCs w:val="20"/>
        </w:rPr>
        <w:t xml:space="preserve"> acquisition activity, depreciation of property and equipment of $5.3 million and finance leases right-of-use asset amortization of $3.0 million</w:t>
      </w:r>
      <w:r>
        <w:rPr>
          <w:sz w:val="20"/>
          <w:szCs w:val="20"/>
        </w:rPr>
        <w:t>.</w:t>
      </w:r>
    </w:p>
    <w:p w:rsidR="00000000" w:rsidRDefault="00A32496">
      <w:pPr>
        <w:pStyle w:val="a3"/>
        <w:spacing w:before="240" w:beforeAutospacing="0" w:after="0" w:afterAutospacing="0"/>
        <w:ind w:firstLine="555"/>
        <w:rPr>
          <w:sz w:val="20"/>
          <w:szCs w:val="20"/>
        </w:rPr>
      </w:pPr>
      <w:r>
        <w:rPr>
          <w:sz w:val="20"/>
          <w:szCs w:val="20"/>
        </w:rPr>
        <w:t xml:space="preserve">Depreciation and amortization expense for the nine months ended September 30, 2021, was $33.1 million and was </w:t>
      </w:r>
      <w:r>
        <w:rPr>
          <w:sz w:val="20"/>
          <w:szCs w:val="20"/>
        </w:rPr>
        <w:t>comprised of amortization of finite lived intangibles of $25.9 million, arising as a result of our acquisition activity, depreciation of property and equipment of $4.8 million and finance leases right-of-use asset amortization of $2.4 million</w:t>
      </w:r>
      <w:r>
        <w:rPr>
          <w:sz w:val="20"/>
          <w:szCs w:val="20"/>
        </w:rPr>
        <w:t>.</w:t>
      </w:r>
    </w:p>
    <w:p w:rsidR="00000000" w:rsidRDefault="00A32496">
      <w:pPr>
        <w:pStyle w:val="a3"/>
        <w:spacing w:before="240" w:beforeAutospacing="0" w:after="0" w:afterAutospacing="0"/>
        <w:ind w:firstLine="555"/>
        <w:rPr>
          <w:sz w:val="20"/>
          <w:szCs w:val="20"/>
        </w:rPr>
      </w:pPr>
      <w:r>
        <w:rPr>
          <w:sz w:val="20"/>
          <w:szCs w:val="20"/>
        </w:rPr>
        <w:t>The increase</w:t>
      </w:r>
      <w:r>
        <w:rPr>
          <w:sz w:val="20"/>
          <w:szCs w:val="20"/>
        </w:rPr>
        <w:t xml:space="preserve"> in amortization, depreciation of property and equipment and the amortization of finance leases right-of-use asset for the nine months ended September 30, 2022 versus the nine months ended September 30, 2021, was primarily a result of acquisitions. See Not</w:t>
      </w:r>
      <w:r>
        <w:rPr>
          <w:sz w:val="20"/>
          <w:szCs w:val="20"/>
        </w:rPr>
        <w:t>es 5 and 6 to our unaudited condensed consolidated financial statements included in Part 1, Item 1. “Financial Statements.</w:t>
      </w:r>
      <w:r>
        <w:rPr>
          <w:sz w:val="20"/>
          <w:szCs w:val="20"/>
        </w:rPr>
        <w:t>”</w:t>
      </w:r>
    </w:p>
    <w:p w:rsidR="00000000" w:rsidRDefault="00A32496">
      <w:pPr>
        <w:pStyle w:val="a3"/>
        <w:spacing w:before="360" w:beforeAutospacing="0" w:after="0" w:afterAutospacing="0"/>
        <w:ind w:left="476"/>
        <w:rPr>
          <w:sz w:val="20"/>
          <w:szCs w:val="20"/>
        </w:rPr>
      </w:pPr>
      <w:r>
        <w:rPr>
          <w:b/>
          <w:bCs/>
          <w:i/>
          <w:iCs/>
          <w:sz w:val="20"/>
          <w:szCs w:val="20"/>
        </w:rPr>
        <w:t>Other Income (Expense</w:t>
      </w:r>
      <w:r>
        <w:rPr>
          <w:b/>
          <w:bCs/>
          <w:i/>
          <w:iCs/>
          <w:sz w:val="20"/>
          <w:szCs w:val="20"/>
        </w:rPr>
        <w:t>)</w:t>
      </w:r>
    </w:p>
    <w:p w:rsidR="00000000" w:rsidRDefault="00A32496">
      <w:pPr>
        <w:pStyle w:val="a3"/>
        <w:spacing w:before="120" w:beforeAutospacing="0" w:after="0" w:afterAutospacing="0"/>
        <w:ind w:firstLine="555"/>
        <w:rPr>
          <w:sz w:val="20"/>
          <w:szCs w:val="20"/>
        </w:rPr>
      </w:pPr>
      <w:r>
        <w:rPr>
          <w:sz w:val="20"/>
          <w:szCs w:val="20"/>
        </w:rPr>
        <w:t>Other income for the nine months ended September 30, 2022 of $4.6 million was driven by a gain related to the</w:t>
      </w:r>
      <w:r>
        <w:rPr>
          <w:sz w:val="20"/>
          <w:szCs w:val="20"/>
        </w:rPr>
        <w:t xml:space="preserve"> fair value adjustment on our interest rate swap of $6.3 million which was partially offset by an expense of $1.6 million related to the fair value adjustment of the Series A-2 preferred stock conversion option. Other expense of $(1.9) million for the nine</w:t>
      </w:r>
      <w:r>
        <w:rPr>
          <w:sz w:val="20"/>
          <w:szCs w:val="20"/>
        </w:rPr>
        <w:t xml:space="preserve"> months ended September 30, 2021 was driven by fair value adjustments related to the Series A-2 preferred stock conversion option. See Notes 12 and 15 to our unaudited condensed consolidated financial statements included in Part 1, Item 1. “Financial State</w:t>
      </w:r>
      <w:r>
        <w:rPr>
          <w:sz w:val="20"/>
          <w:szCs w:val="20"/>
        </w:rPr>
        <w:t>ments.</w:t>
      </w:r>
      <w:r>
        <w:rPr>
          <w:sz w:val="20"/>
          <w:szCs w:val="20"/>
        </w:rPr>
        <w:t>”</w:t>
      </w:r>
    </w:p>
    <w:p w:rsidR="00000000" w:rsidRDefault="00A32496">
      <w:pPr>
        <w:pStyle w:val="a3"/>
        <w:spacing w:before="360" w:beforeAutospacing="0" w:after="0" w:afterAutospacing="0"/>
        <w:ind w:left="476"/>
        <w:rPr>
          <w:sz w:val="20"/>
          <w:szCs w:val="20"/>
        </w:rPr>
      </w:pPr>
      <w:r>
        <w:rPr>
          <w:b/>
          <w:bCs/>
          <w:i/>
          <w:iCs/>
          <w:sz w:val="20"/>
          <w:szCs w:val="20"/>
        </w:rPr>
        <w:t>Interest Expense, Ne</w:t>
      </w:r>
      <w:r>
        <w:rPr>
          <w:b/>
          <w:bCs/>
          <w:i/>
          <w:iCs/>
          <w:sz w:val="20"/>
          <w:szCs w:val="20"/>
        </w:rPr>
        <w:t>t</w:t>
      </w:r>
    </w:p>
    <w:p w:rsidR="00000000" w:rsidRDefault="00A32496">
      <w:pPr>
        <w:pStyle w:val="a3"/>
        <w:spacing w:before="120" w:beforeAutospacing="0" w:after="0" w:afterAutospacing="0"/>
        <w:ind w:firstLine="555"/>
        <w:rPr>
          <w:sz w:val="20"/>
          <w:szCs w:val="20"/>
        </w:rPr>
      </w:pPr>
      <w:r>
        <w:rPr>
          <w:sz w:val="20"/>
          <w:szCs w:val="20"/>
        </w:rPr>
        <w:t>Interest expense, net incurred in the nine months ended September 30, 2022, was $4.0 million, compared to $11.2 million for the nine months ended September 30, 2021. The decrease in interest expense was driven by lower outstan</w:t>
      </w:r>
      <w:r>
        <w:rPr>
          <w:sz w:val="20"/>
          <w:szCs w:val="20"/>
        </w:rPr>
        <w:t>ding debt balances during the nine months ended September 30, 2022 when compared to the nine months ended September 30, 2021, as well as the $4.1 million loss on extinguishment of debt realized in the nine months ended September 30, 2021 in connection with</w:t>
      </w:r>
      <w:r>
        <w:rPr>
          <w:sz w:val="20"/>
          <w:szCs w:val="20"/>
        </w:rPr>
        <w:t xml:space="preserve"> the repayment in full of the 2020 credit facility. See “—Key Factors that Affect Our Business and Our Results—Financing Costs” and Note 12 to our unaudited condensed consolidated financial statements included in Part I, Item 1. “Financial Statements.</w:t>
      </w:r>
      <w:r>
        <w:rPr>
          <w:sz w:val="20"/>
          <w:szCs w:val="20"/>
        </w:rPr>
        <w:t>”</w:t>
      </w:r>
    </w:p>
    <w:p w:rsidR="00000000" w:rsidRDefault="00A32496">
      <w:pPr>
        <w:pStyle w:val="a3"/>
        <w:spacing w:before="360" w:beforeAutospacing="0" w:after="0" w:afterAutospacing="0"/>
        <w:ind w:left="476"/>
        <w:rPr>
          <w:sz w:val="20"/>
          <w:szCs w:val="20"/>
        </w:rPr>
      </w:pPr>
      <w:r>
        <w:rPr>
          <w:b/>
          <w:bCs/>
          <w:i/>
          <w:iCs/>
          <w:sz w:val="20"/>
          <w:szCs w:val="20"/>
        </w:rPr>
        <w:t>Inc</w:t>
      </w:r>
      <w:r>
        <w:rPr>
          <w:b/>
          <w:bCs/>
          <w:i/>
          <w:iCs/>
          <w:sz w:val="20"/>
          <w:szCs w:val="20"/>
        </w:rPr>
        <w:t>ome Tax Expens</w:t>
      </w:r>
      <w:r>
        <w:rPr>
          <w:b/>
          <w:bCs/>
          <w:i/>
          <w:iCs/>
          <w:sz w:val="20"/>
          <w:szCs w:val="20"/>
        </w:rPr>
        <w:t>e</w:t>
      </w:r>
    </w:p>
    <w:p w:rsidR="00000000" w:rsidRDefault="00A32496">
      <w:pPr>
        <w:pStyle w:val="a3"/>
        <w:spacing w:before="120" w:beforeAutospacing="0" w:after="0" w:afterAutospacing="0"/>
        <w:ind w:right="476" w:firstLine="581"/>
        <w:rPr>
          <w:sz w:val="20"/>
          <w:szCs w:val="20"/>
        </w:rPr>
      </w:pPr>
      <w:r>
        <w:rPr>
          <w:sz w:val="20"/>
          <w:szCs w:val="20"/>
        </w:rPr>
        <w:t>Income tax expense was $1.9 million and $0.6 million during the nine months ended September 30, 2022 and nine months ended September 30, 2021, respectively</w:t>
      </w:r>
      <w:r>
        <w:rPr>
          <w:sz w:val="20"/>
          <w:szCs w:val="20"/>
        </w:rPr>
        <w:t>.</w:t>
      </w:r>
    </w:p>
    <w:p w:rsidR="00000000" w:rsidRDefault="00A32496">
      <w:pPr>
        <w:pStyle w:val="a3"/>
        <w:spacing w:before="360" w:beforeAutospacing="0" w:after="0" w:afterAutospacing="0"/>
        <w:rPr>
          <w:sz w:val="20"/>
          <w:szCs w:val="20"/>
        </w:rPr>
      </w:pPr>
      <w:r>
        <w:rPr>
          <w:b/>
          <w:bCs/>
          <w:i/>
          <w:iCs/>
          <w:sz w:val="20"/>
          <w:szCs w:val="20"/>
        </w:rPr>
        <w:t>Segment Results of Operation</w:t>
      </w:r>
      <w:r>
        <w:rPr>
          <w:b/>
          <w:bCs/>
          <w:i/>
          <w:iCs/>
          <w:sz w:val="20"/>
          <w:szCs w:val="20"/>
        </w:rPr>
        <w:t>s</w:t>
      </w:r>
      <w:r>
        <w:rPr>
          <w:b/>
          <w:bCs/>
          <w:i/>
          <w:iCs/>
          <w:sz w:val="20"/>
          <w:szCs w:val="20"/>
        </w:rPr>
        <w:t xml:space="preserve"> </w:t>
      </w:r>
    </w:p>
    <w:p w:rsidR="00000000" w:rsidRDefault="00A32496">
      <w:pPr>
        <w:pStyle w:val="a3"/>
        <w:spacing w:before="120" w:beforeAutospacing="0" w:after="0" w:afterAutospacing="0"/>
        <w:rPr>
          <w:sz w:val="20"/>
          <w:szCs w:val="20"/>
        </w:rPr>
      </w:pPr>
      <w:r>
        <w:rPr>
          <w:b/>
          <w:bCs/>
          <w:i/>
          <w:iCs/>
          <w:sz w:val="20"/>
          <w:szCs w:val="20"/>
        </w:rPr>
        <w:t>Three Months Ended September 30, 2022 Compared to th</w:t>
      </w:r>
      <w:r>
        <w:rPr>
          <w:b/>
          <w:bCs/>
          <w:i/>
          <w:iCs/>
          <w:sz w:val="20"/>
          <w:szCs w:val="20"/>
        </w:rPr>
        <w:t>e Three Months Ended September 30, 202</w:t>
      </w:r>
      <w:r>
        <w:rPr>
          <w:b/>
          <w:bCs/>
          <w:i/>
          <w:iCs/>
          <w:sz w:val="20"/>
          <w:szCs w:val="20"/>
        </w:rPr>
        <w:t>1</w:t>
      </w:r>
    </w:p>
    <w:p w:rsidR="00000000" w:rsidRDefault="00A32496">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33"/>
        <w:gridCol w:w="105"/>
        <w:gridCol w:w="150"/>
        <w:gridCol w:w="645"/>
        <w:gridCol w:w="105"/>
        <w:gridCol w:w="105"/>
        <w:gridCol w:w="151"/>
        <w:gridCol w:w="671"/>
        <w:gridCol w:w="120"/>
        <w:gridCol w:w="105"/>
        <w:gridCol w:w="134"/>
        <w:gridCol w:w="646"/>
        <w:gridCol w:w="105"/>
        <w:gridCol w:w="240"/>
        <w:gridCol w:w="105"/>
        <w:gridCol w:w="150"/>
        <w:gridCol w:w="645"/>
        <w:gridCol w:w="105"/>
        <w:gridCol w:w="105"/>
        <w:gridCol w:w="151"/>
        <w:gridCol w:w="765"/>
        <w:gridCol w:w="120"/>
        <w:gridCol w:w="105"/>
        <w:gridCol w:w="124"/>
        <w:gridCol w:w="656"/>
        <w:gridCol w:w="105"/>
        <w:gridCol w:w="255"/>
      </w:tblGrid>
      <w:tr w:rsidR="00000000">
        <w:trPr>
          <w:tblCellSpacing w:w="15" w:type="dxa"/>
        </w:trPr>
        <w:tc>
          <w:tcPr>
            <w:tcW w:w="1844" w:type="pct"/>
            <w:vAlign w:val="center"/>
            <w:hideMark/>
          </w:tcPr>
          <w:p w:rsidR="00000000" w:rsidRDefault="00A32496">
            <w:pPr>
              <w:rPr>
                <w:sz w:val="20"/>
                <w:szCs w:val="20"/>
              </w:rPr>
            </w:pPr>
          </w:p>
        </w:tc>
        <w:tc>
          <w:tcPr>
            <w:tcW w:w="50"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261"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44"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299"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83"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261"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387"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333"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83" w:type="pct"/>
            <w:vAlign w:val="center"/>
            <w:hideMark/>
          </w:tcPr>
          <w:p w:rsidR="00000000" w:rsidRDefault="00A32496">
            <w:pPr>
              <w:rPr>
                <w:rFonts w:eastAsia="Times New Roman"/>
                <w:sz w:val="20"/>
                <w:szCs w:val="20"/>
              </w:rPr>
            </w:pPr>
          </w:p>
        </w:tc>
      </w:tr>
      <w:tr w:rsidR="00000000">
        <w:trPr>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3"/>
            <w:vAlign w:val="bottom"/>
            <w:hideMark/>
          </w:tcPr>
          <w:p w:rsidR="00000000" w:rsidRDefault="00A32496">
            <w:pPr>
              <w:pStyle w:val="a3"/>
              <w:spacing w:before="0" w:beforeAutospacing="0" w:after="0" w:afterAutospacing="0"/>
              <w:jc w:val="center"/>
              <w:rPr>
                <w:sz w:val="18"/>
                <w:szCs w:val="18"/>
              </w:rPr>
            </w:pPr>
            <w:r>
              <w:rPr>
                <w:b/>
                <w:bCs/>
                <w:sz w:val="18"/>
                <w:szCs w:val="18"/>
              </w:rPr>
              <w:t>Three Months Ended September 30</w:t>
            </w:r>
            <w:r>
              <w:rPr>
                <w:b/>
                <w:bCs/>
                <w:sz w:val="18"/>
                <w:szCs w:val="18"/>
              </w:rPr>
              <w: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10"/>
            <w:vAlign w:val="bottom"/>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10"/>
            <w:vAlign w:val="bottom"/>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A32496">
            <w:pPr>
              <w:pStyle w:val="a3"/>
              <w:spacing w:before="0" w:beforeAutospacing="0" w:after="0" w:afterAutospacing="0"/>
              <w:rPr>
                <w:sz w:val="18"/>
                <w:szCs w:val="18"/>
              </w:rPr>
            </w:pPr>
            <w:r>
              <w:rPr>
                <w:b/>
                <w:bCs/>
                <w:sz w:val="18"/>
                <w:szCs w:val="18"/>
              </w:rPr>
              <w:t>(in thousands</w:t>
            </w:r>
            <w:r>
              <w:rPr>
                <w:b/>
                <w:bCs/>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Segment Revenue</w:t>
            </w:r>
            <w:r>
              <w:rPr>
                <w:b/>
                <w:bCs/>
                <w:sz w:val="18"/>
                <w:szCs w:val="18"/>
              </w:rPr>
              <w:t>s</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 xml:space="preserve">Segment </w:t>
            </w:r>
            <w:r>
              <w:rPr>
                <w:b/>
                <w:bCs/>
                <w:sz w:val="18"/>
                <w:szCs w:val="18"/>
              </w:rPr>
              <w:br/>
              <w:t>Adjusted</w:t>
            </w:r>
            <w:r>
              <w:rPr>
                <w:b/>
                <w:bCs/>
                <w:sz w:val="18"/>
                <w:szCs w:val="18"/>
              </w:rPr>
              <w:br/>
              <w:t>EBITDA</w:t>
            </w:r>
            <w:r>
              <w:rPr>
                <w:b/>
                <w:bCs/>
                <w:sz w:val="18"/>
                <w:szCs w:val="18"/>
              </w:rPr>
              <w:t xml:space="preserve"> </w:t>
            </w:r>
            <w:r>
              <w:rPr>
                <w:b/>
                <w:bCs/>
                <w:sz w:val="12"/>
                <w:szCs w:val="12"/>
              </w:rPr>
              <w:t>(1</w:t>
            </w:r>
            <w:r>
              <w:rPr>
                <w:b/>
                <w:bCs/>
                <w:sz w:val="12"/>
                <w:szCs w:val="12"/>
              </w:rPr>
              <w: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 xml:space="preserve">Segment </w:t>
            </w:r>
            <w:r>
              <w:rPr>
                <w:b/>
                <w:bCs/>
                <w:sz w:val="18"/>
                <w:szCs w:val="18"/>
              </w:rPr>
              <w:br/>
              <w:t>Adjusted</w:t>
            </w:r>
            <w:r>
              <w:rPr>
                <w:b/>
                <w:bCs/>
                <w:sz w:val="18"/>
                <w:szCs w:val="18"/>
              </w:rPr>
              <w:br/>
              <w:t>EBITDA</w:t>
            </w:r>
            <w:r>
              <w:rPr>
                <w:b/>
                <w:bCs/>
                <w:sz w:val="18"/>
                <w:szCs w:val="18"/>
              </w:rPr>
              <w:br/>
              <w:t>Margi</w:t>
            </w:r>
            <w:r>
              <w:rPr>
                <w:b/>
                <w:bCs/>
                <w:sz w:val="18"/>
                <w:szCs w:val="18"/>
              </w:rPr>
              <w:t>n</w:t>
            </w:r>
            <w:r>
              <w:rPr>
                <w:b/>
                <w:bCs/>
                <w:sz w:val="12"/>
                <w:szCs w:val="12"/>
              </w:rPr>
              <w:t>(2</w:t>
            </w:r>
            <w:r>
              <w:rPr>
                <w:b/>
                <w:bCs/>
                <w:sz w:val="12"/>
                <w:szCs w:val="12"/>
              </w:rPr>
              <w: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Segment Revenue</w:t>
            </w:r>
            <w:r>
              <w:rPr>
                <w:b/>
                <w:bCs/>
                <w:sz w:val="18"/>
                <w:szCs w:val="18"/>
              </w:rPr>
              <w:t>s</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Segment</w:t>
            </w:r>
            <w:r>
              <w:rPr>
                <w:b/>
                <w:bCs/>
                <w:sz w:val="18"/>
                <w:szCs w:val="18"/>
              </w:rPr>
              <w:br/>
              <w:t>Adjusted</w:t>
            </w:r>
            <w:r>
              <w:rPr>
                <w:b/>
                <w:bCs/>
                <w:sz w:val="18"/>
                <w:szCs w:val="18"/>
              </w:rPr>
              <w:br/>
              <w:t>EBITD</w:t>
            </w:r>
            <w:r>
              <w:rPr>
                <w:b/>
                <w:bCs/>
                <w:sz w:val="18"/>
                <w:szCs w:val="18"/>
              </w:rPr>
              <w:t>A</w:t>
            </w:r>
            <w:r>
              <w:rPr>
                <w:b/>
                <w:bCs/>
                <w:sz w:val="12"/>
                <w:szCs w:val="12"/>
              </w:rPr>
              <w:t>(1</w:t>
            </w:r>
            <w:r>
              <w:rPr>
                <w:b/>
                <w:bCs/>
                <w:sz w:val="12"/>
                <w:szCs w:val="12"/>
              </w:rPr>
              <w: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 xml:space="preserve">Segment </w:t>
            </w:r>
            <w:r>
              <w:rPr>
                <w:b/>
                <w:bCs/>
                <w:sz w:val="18"/>
                <w:szCs w:val="18"/>
              </w:rPr>
              <w:br/>
              <w:t>Adjusted</w:t>
            </w:r>
            <w:r>
              <w:rPr>
                <w:b/>
                <w:bCs/>
                <w:sz w:val="18"/>
                <w:szCs w:val="18"/>
              </w:rPr>
              <w:br/>
              <w:t>EBITDA</w:t>
            </w:r>
            <w:r>
              <w:rPr>
                <w:b/>
                <w:bCs/>
                <w:sz w:val="18"/>
                <w:szCs w:val="18"/>
              </w:rPr>
              <w:br/>
              <w:t>Margi</w:t>
            </w:r>
            <w:r>
              <w:rPr>
                <w:b/>
                <w:bCs/>
                <w:sz w:val="18"/>
                <w:szCs w:val="18"/>
              </w:rPr>
              <w:t>n</w:t>
            </w:r>
            <w:r>
              <w:rPr>
                <w:b/>
                <w:bCs/>
                <w:sz w:val="12"/>
                <w:szCs w:val="12"/>
              </w:rPr>
              <w:t>(2</w:t>
            </w:r>
            <w:r>
              <w:rPr>
                <w:b/>
                <w:bCs/>
                <w:sz w:val="12"/>
                <w:szCs w:val="12"/>
              </w:rPr>
              <w: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Assessment, Permitting and Respons</w:t>
            </w:r>
            <w:r>
              <w:rPr>
                <w:sz w:val="18"/>
                <w:szCs w:val="18"/>
              </w:rPr>
              <w:t>e</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46,41</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9,82</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21.</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63,41</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15,71</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24.</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Measurement and Analysi</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43,75</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8,48</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19.</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38,75</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8,28</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21.</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Remediation and Reus</w:t>
            </w:r>
            <w:r>
              <w:rPr>
                <w:sz w:val="18"/>
                <w:szCs w:val="18"/>
              </w:rPr>
              <w:t>e</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40,14</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7,01</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17.</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30,41</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5,47</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18.</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rPr>
                <w:sz w:val="18"/>
                <w:szCs w:val="18"/>
              </w:rPr>
            </w:pPr>
            <w:r>
              <w:rPr>
                <w:b/>
                <w:bCs/>
                <w:sz w:val="18"/>
                <w:szCs w:val="18"/>
              </w:rPr>
              <w:t>Total Operating Segment</w:t>
            </w:r>
            <w:r>
              <w:rPr>
                <w:b/>
                <w:bCs/>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b/>
                <w:bCs/>
                <w:sz w:val="18"/>
                <w:szCs w:val="18"/>
              </w:rPr>
              <w:t>130,31</w:t>
            </w:r>
            <w:r>
              <w:rPr>
                <w:b/>
                <w:bCs/>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b/>
                <w:bCs/>
                <w:sz w:val="18"/>
                <w:szCs w:val="18"/>
              </w:rPr>
              <w:t>25,31</w:t>
            </w:r>
            <w:r>
              <w:rPr>
                <w:b/>
                <w:bCs/>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b/>
                <w:bCs/>
                <w:sz w:val="18"/>
                <w:szCs w:val="18"/>
              </w:rPr>
              <w:t>19.</w:t>
            </w:r>
            <w:r>
              <w:rPr>
                <w:b/>
                <w:bCs/>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b/>
                <w:bCs/>
                <w:sz w:val="18"/>
                <w:szCs w:val="18"/>
              </w:rPr>
              <w:t>132,57</w:t>
            </w:r>
            <w:r>
              <w:rPr>
                <w:b/>
                <w:bCs/>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b/>
                <w:bCs/>
                <w:sz w:val="18"/>
                <w:szCs w:val="18"/>
              </w:rPr>
              <w:t>29,47</w:t>
            </w:r>
            <w:r>
              <w:rPr>
                <w:b/>
                <w:bCs/>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b/>
                <w:bCs/>
                <w:sz w:val="18"/>
                <w:szCs w:val="18"/>
              </w:rPr>
              <w:t>22.</w:t>
            </w:r>
            <w:r>
              <w:rPr>
                <w:b/>
                <w:bCs/>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b/>
                <w:bCs/>
                <w:sz w:val="18"/>
                <w:szCs w:val="18"/>
              </w:rPr>
              <w:t>%</w:t>
            </w:r>
          </w:p>
        </w:tc>
      </w:tr>
      <w:tr w:rsidR="00000000">
        <w:trPr>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Corporate and Othe</w:t>
            </w:r>
            <w:r>
              <w:rPr>
                <w:sz w:val="18"/>
                <w:szCs w:val="18"/>
              </w:rPr>
              <w:t>r</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(6,94</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n/</w:t>
            </w:r>
            <w:r>
              <w:rPr>
                <w:sz w:val="18"/>
                <w:szCs w:val="18"/>
              </w:rPr>
              <w:t>a</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(7,98</w:t>
            </w:r>
            <w:r>
              <w:rPr>
                <w:sz w:val="18"/>
                <w:szCs w:val="18"/>
              </w:rPr>
              <w:t>7</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n/</w:t>
            </w:r>
            <w:r>
              <w:rPr>
                <w:sz w:val="18"/>
                <w:szCs w:val="18"/>
              </w:rPr>
              <w:t>a</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r>
    </w:tbl>
    <w:p w:rsidR="00000000" w:rsidRDefault="00A32496">
      <w:pPr>
        <w:pStyle w:val="a3"/>
        <w:pBdr>
          <w:bottom w:val="single" w:sz="4" w:space="1" w:color="auto"/>
        </w:pBdr>
        <w:spacing w:before="0" w:beforeAutospacing="0" w:after="0" w:afterAutospacing="0"/>
        <w:ind w:right="9167"/>
        <w:rPr>
          <w:sz w:val="20"/>
          <w:szCs w:val="20"/>
        </w:rPr>
      </w:pPr>
      <w:r>
        <w:rPr>
          <w:sz w:val="20"/>
          <w:szCs w:val="20"/>
        </w:rPr>
        <w:t> </w:t>
      </w:r>
    </w:p>
    <w:p w:rsidR="00000000" w:rsidRDefault="00A32496">
      <w:pPr>
        <w:rPr>
          <w:rFonts w:eastAsia="Times New Roman"/>
        </w:rPr>
      </w:pPr>
      <w:r>
        <w:rPr>
          <w:rFonts w:eastAsia="Times New Roman"/>
          <w:sz w:val="16"/>
          <w:szCs w:val="16"/>
        </w:rPr>
        <w:t>(1</w:t>
      </w:r>
      <w:r>
        <w:rPr>
          <w:rFonts w:eastAsia="Times New Roman"/>
          <w:sz w:val="16"/>
          <w:szCs w:val="16"/>
        </w:rPr>
        <w:t>)</w:t>
      </w:r>
    </w:p>
    <w:p w:rsidR="00000000" w:rsidRDefault="00A32496">
      <w:pPr>
        <w:divId w:val="331567186"/>
        <w:rPr>
          <w:rFonts w:eastAsia="Times New Roman"/>
        </w:rPr>
      </w:pPr>
      <w:r>
        <w:rPr>
          <w:rFonts w:eastAsia="Times New Roman"/>
          <w:sz w:val="16"/>
          <w:szCs w:val="16"/>
        </w:rPr>
        <w:t>For purposes of evaluating segment profit, the Company’</w:t>
      </w:r>
      <w:r>
        <w:rPr>
          <w:rFonts w:eastAsia="Times New Roman"/>
          <w:sz w:val="16"/>
          <w:szCs w:val="16"/>
        </w:rPr>
        <w:t>s chief operating decision maker reviews Segment Adjusted EBITDA as a basis for making the decisions to allocate resources and assess performance. See Note 18 to our unaudited condensed consolidated financial statements included in Part I, Item 1. “Financi</w:t>
      </w:r>
      <w:r>
        <w:rPr>
          <w:rFonts w:eastAsia="Times New Roman"/>
          <w:sz w:val="16"/>
          <w:szCs w:val="16"/>
        </w:rPr>
        <w:t>al Statements.</w:t>
      </w:r>
      <w:r>
        <w:rPr>
          <w:rFonts w:eastAsia="Times New Roman"/>
          <w:sz w:val="16"/>
          <w:szCs w:val="16"/>
        </w:rPr>
        <w:t>”</w:t>
      </w:r>
    </w:p>
    <w:p w:rsidR="00000000" w:rsidRDefault="00A32496">
      <w:pPr>
        <w:rPr>
          <w:rFonts w:eastAsia="Times New Roman"/>
        </w:rPr>
      </w:pPr>
      <w:r>
        <w:rPr>
          <w:rFonts w:eastAsia="Times New Roman"/>
          <w:sz w:val="16"/>
          <w:szCs w:val="16"/>
        </w:rPr>
        <w:t>(2</w:t>
      </w:r>
      <w:r>
        <w:rPr>
          <w:rFonts w:eastAsia="Times New Roman"/>
          <w:sz w:val="16"/>
          <w:szCs w:val="16"/>
        </w:rPr>
        <w:t>)</w:t>
      </w:r>
    </w:p>
    <w:p w:rsidR="00000000" w:rsidRDefault="00A32496">
      <w:pPr>
        <w:divId w:val="1867712130"/>
        <w:rPr>
          <w:rFonts w:eastAsia="Times New Roman"/>
        </w:rPr>
      </w:pPr>
      <w:r>
        <w:rPr>
          <w:rFonts w:eastAsia="Times New Roman"/>
          <w:sz w:val="16"/>
          <w:szCs w:val="16"/>
        </w:rPr>
        <w:t>Represents Segment Adjusted EBITDA as a percentage of segment revenues</w:t>
      </w:r>
      <w:r>
        <w:rPr>
          <w:rFonts w:eastAsia="Times New Roman"/>
          <w:sz w:val="16"/>
          <w:szCs w:val="16"/>
        </w:rPr>
        <w:t>.</w:t>
      </w:r>
    </w:p>
    <w:p w:rsidR="00000000" w:rsidRDefault="00A32496">
      <w:pPr>
        <w:pStyle w:val="a3"/>
        <w:spacing w:before="240" w:beforeAutospacing="0" w:after="0" w:afterAutospacing="0"/>
        <w:jc w:val="center"/>
        <w:rPr>
          <w:sz w:val="20"/>
          <w:szCs w:val="20"/>
        </w:rPr>
      </w:pPr>
      <w:r>
        <w:rPr>
          <w:sz w:val="20"/>
          <w:szCs w:val="20"/>
        </w:rPr>
        <w:t>4</w:t>
      </w:r>
      <w:r>
        <w:rPr>
          <w:sz w:val="20"/>
          <w:szCs w:val="20"/>
        </w:rPr>
        <w:t>1</w:t>
      </w:r>
    </w:p>
    <w:p w:rsidR="00000000" w:rsidRDefault="00A32496">
      <w:pPr>
        <w:rPr>
          <w:rFonts w:eastAsia="Times New Roman"/>
        </w:rPr>
      </w:pPr>
      <w:r>
        <w:rPr>
          <w:rFonts w:eastAsia="Times New Roman"/>
        </w:rPr>
        <w:pict>
          <v:rect id="_x0000_i1067" style="width:0;height:1.5pt" o:hralign="center" o:hrstd="t" o:hr="t" fillcolor="#a0a0a0" stroked="f"/>
        </w:pict>
      </w:r>
    </w:p>
    <w:p w:rsidR="00000000" w:rsidRDefault="00A32496">
      <w:pPr>
        <w:pStyle w:val="a3"/>
        <w:spacing w:before="0" w:beforeAutospacing="0" w:after="0" w:afterAutospacing="0"/>
        <w:rPr>
          <w:sz w:val="20"/>
          <w:szCs w:val="20"/>
        </w:rPr>
      </w:pPr>
      <w:r>
        <w:rPr>
          <w:sz w:val="20"/>
          <w:szCs w:val="20"/>
        </w:rPr>
        <w:t> </w:t>
      </w:r>
    </w:p>
    <w:p w:rsidR="00000000" w:rsidRDefault="00A32496">
      <w:pPr>
        <w:pStyle w:val="a3"/>
        <w:spacing w:before="360" w:beforeAutospacing="0" w:after="0" w:afterAutospacing="0"/>
        <w:ind w:firstLine="555"/>
        <w:rPr>
          <w:sz w:val="20"/>
          <w:szCs w:val="20"/>
        </w:rPr>
      </w:pPr>
      <w:r>
        <w:rPr>
          <w:b/>
          <w:bCs/>
          <w:i/>
          <w:iCs/>
          <w:sz w:val="20"/>
          <w:szCs w:val="20"/>
        </w:rPr>
        <w:t>Revenue</w:t>
      </w:r>
      <w:r>
        <w:rPr>
          <w:b/>
          <w:bCs/>
          <w:i/>
          <w:iCs/>
          <w:sz w:val="20"/>
          <w:szCs w:val="20"/>
        </w:rPr>
        <w:t>s</w:t>
      </w:r>
    </w:p>
    <w:p w:rsidR="00000000" w:rsidRDefault="00A32496">
      <w:pPr>
        <w:pStyle w:val="a3"/>
        <w:spacing w:before="120" w:beforeAutospacing="0" w:after="0" w:afterAutospacing="0"/>
        <w:ind w:firstLine="555"/>
        <w:rPr>
          <w:sz w:val="20"/>
          <w:szCs w:val="20"/>
        </w:rPr>
      </w:pPr>
      <w:r>
        <w:rPr>
          <w:sz w:val="20"/>
          <w:szCs w:val="20"/>
        </w:rPr>
        <w:t>Assessment, Permitting and Response segment revenues for the three months ended September 30, 2022 were $46.4 million, compared to $63.4 million for the three months ended September 30, 2021. The decrease was driven by expected significantly lower CTEH rev</w:t>
      </w:r>
      <w:r>
        <w:rPr>
          <w:sz w:val="20"/>
          <w:szCs w:val="20"/>
        </w:rPr>
        <w:t>enues in the three months ended September 30, 2022 when compared to the three months ended September 30, 2021, as a result of lower revenue from COVID-19 related services, partially offset by organic growth, excluding CTEH, and revenues of $6.4 million fro</w:t>
      </w:r>
      <w:r>
        <w:rPr>
          <w:sz w:val="20"/>
          <w:szCs w:val="20"/>
        </w:rPr>
        <w:t>m acquisitions completed subsequent to the quarter ended September 30, 2021. CTEH revenues were $26.2 million in the three months ended September 30, 2022 compared to $53.1 million in the three months ended September 30, 2021. Total revenue from COVID-19 r</w:t>
      </w:r>
      <w:r>
        <w:rPr>
          <w:sz w:val="20"/>
          <w:szCs w:val="20"/>
        </w:rPr>
        <w:t>elated services was $13.8 million and $44.9 million in the three months ended September 30, 2022 and September 30, 2021, respectively</w:t>
      </w:r>
      <w:r>
        <w:rPr>
          <w:sz w:val="20"/>
          <w:szCs w:val="20"/>
        </w:rPr>
        <w:t>.</w:t>
      </w:r>
      <w:r>
        <w:rPr>
          <w:sz w:val="20"/>
          <w:szCs w:val="20"/>
        </w:rPr>
        <w:t xml:space="preserve"> </w:t>
      </w:r>
    </w:p>
    <w:p w:rsidR="00000000" w:rsidRDefault="00A32496">
      <w:pPr>
        <w:pStyle w:val="a3"/>
        <w:spacing w:before="240" w:beforeAutospacing="0" w:after="0" w:afterAutospacing="0"/>
        <w:ind w:firstLine="555"/>
        <w:rPr>
          <w:sz w:val="20"/>
          <w:szCs w:val="20"/>
        </w:rPr>
      </w:pPr>
      <w:r>
        <w:rPr>
          <w:sz w:val="20"/>
          <w:szCs w:val="20"/>
        </w:rPr>
        <w:t xml:space="preserve">Measurement and Analysis segment revenues for the three months ended September 30, 2022 were $43.8 million, an increase </w:t>
      </w:r>
      <w:r>
        <w:rPr>
          <w:sz w:val="20"/>
          <w:szCs w:val="20"/>
        </w:rPr>
        <w:t xml:space="preserve">of $5.0 million or 12.9% compared to revenues for the three months ended September 30, 2021 of $38.8 million. The increase was driven primarily by organic growth, as well as by revenues of $0.6 million from acquisitions completed subsequent to the quarter </w:t>
      </w:r>
      <w:r>
        <w:rPr>
          <w:sz w:val="20"/>
          <w:szCs w:val="20"/>
        </w:rPr>
        <w:t>ended September 30, 2021</w:t>
      </w:r>
      <w:r>
        <w:rPr>
          <w:sz w:val="20"/>
          <w:szCs w:val="20"/>
        </w:rPr>
        <w:t>.</w:t>
      </w:r>
    </w:p>
    <w:p w:rsidR="00000000" w:rsidRDefault="00A32496">
      <w:pPr>
        <w:pStyle w:val="a3"/>
        <w:spacing w:before="240" w:beforeAutospacing="0" w:after="0" w:afterAutospacing="0"/>
        <w:ind w:firstLine="555"/>
        <w:rPr>
          <w:sz w:val="20"/>
          <w:szCs w:val="20"/>
        </w:rPr>
      </w:pPr>
      <w:r>
        <w:rPr>
          <w:sz w:val="20"/>
          <w:szCs w:val="20"/>
        </w:rPr>
        <w:t>Remediation and Reuse segment revenues for the three months ended September 30, 2022 were $40.1 million, an increase of $9.7 million or 32.0% compared to revenues for the three months ended September 30, 2021 of $30.4 million. The</w:t>
      </w:r>
      <w:r>
        <w:rPr>
          <w:sz w:val="20"/>
          <w:szCs w:val="20"/>
        </w:rPr>
        <w:t xml:space="preserve"> increase was driven by organic growth, driven by increases in demand for our water treatment technology (PFAS removal) and waste-to-resources (agricultural waste to biogas) services, partially offset by the exiting of Discontinued O&amp;M Contracts, which gen</w:t>
      </w:r>
      <w:r>
        <w:rPr>
          <w:sz w:val="20"/>
          <w:szCs w:val="20"/>
        </w:rPr>
        <w:t>erated revenues of $0.7 million and $2.9 million in the three months ended September 30, 2022 and September 30, 2021, respectively</w:t>
      </w:r>
      <w:r>
        <w:rPr>
          <w:sz w:val="20"/>
          <w:szCs w:val="20"/>
        </w:rPr>
        <w:t>.</w:t>
      </w:r>
      <w:r>
        <w:rPr>
          <w:sz w:val="20"/>
          <w:szCs w:val="20"/>
        </w:rPr>
        <w:t xml:space="preserve"> </w:t>
      </w:r>
    </w:p>
    <w:p w:rsidR="00000000" w:rsidRDefault="00A32496">
      <w:pPr>
        <w:pStyle w:val="a3"/>
        <w:spacing w:before="360" w:beforeAutospacing="0" w:after="0" w:afterAutospacing="0"/>
        <w:ind w:firstLine="555"/>
        <w:rPr>
          <w:sz w:val="20"/>
          <w:szCs w:val="20"/>
        </w:rPr>
      </w:pPr>
      <w:r>
        <w:rPr>
          <w:b/>
          <w:bCs/>
          <w:i/>
          <w:iCs/>
          <w:sz w:val="20"/>
          <w:szCs w:val="20"/>
        </w:rPr>
        <w:t>Segment Adjusted EBITD</w:t>
      </w:r>
      <w:r>
        <w:rPr>
          <w:b/>
          <w:bCs/>
          <w:i/>
          <w:iCs/>
          <w:sz w:val="20"/>
          <w:szCs w:val="20"/>
        </w:rPr>
        <w:t>A</w:t>
      </w:r>
    </w:p>
    <w:p w:rsidR="00000000" w:rsidRDefault="00A32496">
      <w:pPr>
        <w:pStyle w:val="a3"/>
        <w:spacing w:before="120" w:beforeAutospacing="0" w:after="0" w:afterAutospacing="0"/>
        <w:ind w:firstLine="555"/>
        <w:rPr>
          <w:sz w:val="20"/>
          <w:szCs w:val="20"/>
        </w:rPr>
      </w:pPr>
      <w:r>
        <w:rPr>
          <w:sz w:val="20"/>
          <w:szCs w:val="20"/>
        </w:rPr>
        <w:t>Assessment, Permitting and Response Segment Adjusted EBITDA was $9.8 million for the three months e</w:t>
      </w:r>
      <w:r>
        <w:rPr>
          <w:sz w:val="20"/>
          <w:szCs w:val="20"/>
        </w:rPr>
        <w:t>nded September 30, 2022, compared to $15.7 million for the three months ended September 30, 2021. For the three months ended September 30, 2022 and September 30, 2021, Segment Adjusted EBITDA margin was 21.2% and 24.8%, respectively. The decrease in Segmen</w:t>
      </w:r>
      <w:r>
        <w:rPr>
          <w:sz w:val="20"/>
          <w:szCs w:val="20"/>
        </w:rPr>
        <w:t>t Adjusted EBITDA was a result of a decrease in CTEH COVID-19 related revenues during the three months ended September 30, 2022 when compared to the three months ended September 30, 2021. The decrease in Segment Adjusted EBITDA margin was primarily as a re</w:t>
      </w:r>
      <w:r>
        <w:rPr>
          <w:sz w:val="20"/>
          <w:szCs w:val="20"/>
        </w:rPr>
        <w:t>sult of the acquisitions of Environmental Intelligence, Horizon and Environmental Standards, which typically operate at lower margins</w:t>
      </w:r>
      <w:r>
        <w:rPr>
          <w:sz w:val="20"/>
          <w:szCs w:val="20"/>
        </w:rPr>
        <w:t>.</w:t>
      </w:r>
    </w:p>
    <w:p w:rsidR="00000000" w:rsidRDefault="00A32496">
      <w:pPr>
        <w:pStyle w:val="a3"/>
        <w:spacing w:before="240" w:beforeAutospacing="0" w:after="0" w:afterAutospacing="0"/>
        <w:ind w:firstLine="555"/>
        <w:rPr>
          <w:sz w:val="20"/>
          <w:szCs w:val="20"/>
        </w:rPr>
      </w:pPr>
      <w:r>
        <w:rPr>
          <w:sz w:val="20"/>
          <w:szCs w:val="20"/>
        </w:rPr>
        <w:t>Measurement and Analysis Segment Adjusted EBITDA for the three months ended September 30, 2022 was $8.5 million, an incre</w:t>
      </w:r>
      <w:r>
        <w:rPr>
          <w:sz w:val="20"/>
          <w:szCs w:val="20"/>
        </w:rPr>
        <w:t>ase of $0.2 million compared to Segment Adjusted EBITDA for the three months ended September 30, 2021 of $8.3 million. For the three months ended September 30, 2022 and September 30, 2021 Segment Adjusted EBITDA margin was 19.4% and 21.4%, respectively. Th</w:t>
      </w:r>
      <w:r>
        <w:rPr>
          <w:sz w:val="20"/>
          <w:szCs w:val="20"/>
        </w:rPr>
        <w:t>e increase in Segment Adjusted EBITDA was due to higher revenues, whereas the decrease in Segment Adjusted EBITDA margin was a result of the timing of projects in some of our specialty labs, and to a lesser degree, the impact of the cyber-attack in June 20</w:t>
      </w:r>
      <w:r>
        <w:rPr>
          <w:sz w:val="20"/>
          <w:szCs w:val="20"/>
        </w:rPr>
        <w:t>22, which temporarily disrupted certain of our labs’ ability to operate in July 2022, partially offset by favorable business mix</w:t>
      </w:r>
      <w:r>
        <w:rPr>
          <w:sz w:val="20"/>
          <w:szCs w:val="20"/>
        </w:rPr>
        <w:t>.</w:t>
      </w:r>
    </w:p>
    <w:p w:rsidR="00000000" w:rsidRDefault="00A32496">
      <w:pPr>
        <w:pStyle w:val="a3"/>
        <w:spacing w:before="240" w:beforeAutospacing="0" w:after="0" w:afterAutospacing="0"/>
        <w:ind w:firstLine="555"/>
        <w:rPr>
          <w:sz w:val="20"/>
          <w:szCs w:val="20"/>
        </w:rPr>
      </w:pPr>
      <w:r>
        <w:rPr>
          <w:sz w:val="20"/>
          <w:szCs w:val="20"/>
        </w:rPr>
        <w:t>Remediation and Reuse Segment Adjusted EBITDA for the three months ended September 30, 2022 was $7.0 million, an increase of $</w:t>
      </w:r>
      <w:r>
        <w:rPr>
          <w:sz w:val="20"/>
          <w:szCs w:val="20"/>
        </w:rPr>
        <w:t>1.5 million compared to Segment Adjusted EBITDA for the three months ended September 30, 2021 of $5.5 million. For the three months ended September 30, 2022 and September 30, 2021 Segment Adjusted EBITDA margin was 17.5% and 18.0%, respectively. The increa</w:t>
      </w:r>
      <w:r>
        <w:rPr>
          <w:sz w:val="20"/>
          <w:szCs w:val="20"/>
        </w:rPr>
        <w:t>se in Segment Adjusted EBITDA was a result of significantly higher revenues. The slight decrease in Segment Adjusted EBITDA margin was primarily a result of business mix and our continued investments in operating infrastructure in our biogas and water trea</w:t>
      </w:r>
      <w:r>
        <w:rPr>
          <w:sz w:val="20"/>
          <w:szCs w:val="20"/>
        </w:rPr>
        <w:t>tment technology businesses, which temporarily impact margins</w:t>
      </w:r>
      <w:r>
        <w:rPr>
          <w:sz w:val="20"/>
          <w:szCs w:val="20"/>
        </w:rPr>
        <w:t>.</w:t>
      </w:r>
      <w:r>
        <w:rPr>
          <w:sz w:val="20"/>
          <w:szCs w:val="20"/>
        </w:rPr>
        <w:t xml:space="preserve"> </w:t>
      </w:r>
    </w:p>
    <w:p w:rsidR="00000000" w:rsidRDefault="00A32496">
      <w:pPr>
        <w:pStyle w:val="a3"/>
        <w:spacing w:before="240" w:beforeAutospacing="0" w:after="0" w:afterAutospacing="0"/>
        <w:ind w:firstLine="555"/>
        <w:rPr>
          <w:sz w:val="20"/>
          <w:szCs w:val="20"/>
        </w:rPr>
      </w:pPr>
      <w:r>
        <w:rPr>
          <w:sz w:val="20"/>
          <w:szCs w:val="20"/>
        </w:rPr>
        <w:t>Corporate and other costs were $6.9 million for the three months ended September 30, 2022 compared to $8.0 million for the three months ended September 30, 2021. The cost decrease was primaril</w:t>
      </w:r>
      <w:r>
        <w:rPr>
          <w:sz w:val="20"/>
          <w:szCs w:val="20"/>
        </w:rPr>
        <w:t>y driven by a bad debt credit of $0.6 million in the three months ended September 30, 2022. Corporate and other costs were 5.3% and 6.0% of revenues for the three months ended September 30, 2022 and September 30, 2021, respectively</w:t>
      </w:r>
      <w:r>
        <w:rPr>
          <w:sz w:val="20"/>
          <w:szCs w:val="20"/>
        </w:rPr>
        <w:t>.</w:t>
      </w:r>
    </w:p>
    <w:p w:rsidR="00000000" w:rsidRDefault="00A32496">
      <w:pPr>
        <w:pStyle w:val="a3"/>
        <w:spacing w:before="240" w:beforeAutospacing="0" w:after="0" w:afterAutospacing="0"/>
        <w:jc w:val="center"/>
        <w:rPr>
          <w:sz w:val="20"/>
          <w:szCs w:val="20"/>
        </w:rPr>
      </w:pPr>
      <w:r>
        <w:rPr>
          <w:sz w:val="20"/>
          <w:szCs w:val="20"/>
        </w:rPr>
        <w:t>4</w:t>
      </w:r>
      <w:r>
        <w:rPr>
          <w:sz w:val="20"/>
          <w:szCs w:val="20"/>
        </w:rPr>
        <w:t>2</w:t>
      </w:r>
    </w:p>
    <w:p w:rsidR="00000000" w:rsidRDefault="00A32496">
      <w:pPr>
        <w:rPr>
          <w:rFonts w:eastAsia="Times New Roman"/>
        </w:rPr>
      </w:pPr>
      <w:r>
        <w:rPr>
          <w:rFonts w:eastAsia="Times New Roman"/>
        </w:rPr>
        <w:pict>
          <v:rect id="_x0000_i1068" style="width:0;height:1.5pt" o:hralign="center" o:hrstd="t" o:hr="t" fillcolor="#a0a0a0" stroked="f"/>
        </w:pict>
      </w:r>
    </w:p>
    <w:p w:rsidR="00000000" w:rsidRDefault="00A32496">
      <w:pPr>
        <w:pStyle w:val="a3"/>
        <w:spacing w:before="0" w:beforeAutospacing="0" w:after="0" w:afterAutospacing="0"/>
        <w:rPr>
          <w:sz w:val="20"/>
          <w:szCs w:val="20"/>
        </w:rPr>
      </w:pPr>
      <w:r>
        <w:rPr>
          <w:sz w:val="20"/>
          <w:szCs w:val="20"/>
        </w:rPr>
        <w:t> </w:t>
      </w:r>
    </w:p>
    <w:p w:rsidR="00000000" w:rsidRDefault="00A32496">
      <w:pPr>
        <w:pStyle w:val="a3"/>
        <w:spacing w:before="240" w:beforeAutospacing="0" w:after="0" w:afterAutospacing="0"/>
        <w:rPr>
          <w:sz w:val="20"/>
          <w:szCs w:val="20"/>
        </w:rPr>
      </w:pPr>
      <w:r>
        <w:rPr>
          <w:b/>
          <w:bCs/>
          <w:i/>
          <w:iCs/>
          <w:sz w:val="20"/>
          <w:szCs w:val="20"/>
        </w:rPr>
        <w:t>Nine Months Ended September 30, 2022 Compared to the Nine Months Ended September 30, 202</w:t>
      </w:r>
      <w:r>
        <w:rPr>
          <w:b/>
          <w:bCs/>
          <w:i/>
          <w:iCs/>
          <w:sz w:val="20"/>
          <w:szCs w:val="20"/>
        </w:rPr>
        <w:t>1</w:t>
      </w:r>
    </w:p>
    <w:p w:rsidR="00000000" w:rsidRDefault="00A32496">
      <w:pPr>
        <w:pStyle w:val="a3"/>
        <w:spacing w:before="12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81"/>
        <w:gridCol w:w="105"/>
        <w:gridCol w:w="150"/>
        <w:gridCol w:w="645"/>
        <w:gridCol w:w="105"/>
        <w:gridCol w:w="105"/>
        <w:gridCol w:w="151"/>
        <w:gridCol w:w="744"/>
        <w:gridCol w:w="120"/>
        <w:gridCol w:w="105"/>
        <w:gridCol w:w="124"/>
        <w:gridCol w:w="656"/>
        <w:gridCol w:w="105"/>
        <w:gridCol w:w="240"/>
        <w:gridCol w:w="105"/>
        <w:gridCol w:w="150"/>
        <w:gridCol w:w="645"/>
        <w:gridCol w:w="105"/>
        <w:gridCol w:w="105"/>
        <w:gridCol w:w="151"/>
        <w:gridCol w:w="744"/>
        <w:gridCol w:w="120"/>
        <w:gridCol w:w="105"/>
        <w:gridCol w:w="117"/>
        <w:gridCol w:w="663"/>
        <w:gridCol w:w="105"/>
        <w:gridCol w:w="255"/>
      </w:tblGrid>
      <w:tr w:rsidR="00000000">
        <w:trPr>
          <w:tblCellSpacing w:w="15" w:type="dxa"/>
        </w:trPr>
        <w:tc>
          <w:tcPr>
            <w:tcW w:w="1973" w:type="pct"/>
            <w:vAlign w:val="center"/>
            <w:hideMark/>
          </w:tcPr>
          <w:p w:rsidR="00000000" w:rsidRDefault="00A32496">
            <w:pPr>
              <w:rPr>
                <w:sz w:val="20"/>
                <w:szCs w:val="20"/>
              </w:rPr>
            </w:pPr>
          </w:p>
        </w:tc>
        <w:tc>
          <w:tcPr>
            <w:tcW w:w="50"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321"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306"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337"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83"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321"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306"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365"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83" w:type="pct"/>
            <w:vAlign w:val="center"/>
            <w:hideMark/>
          </w:tcPr>
          <w:p w:rsidR="00000000" w:rsidRDefault="00A32496">
            <w:pPr>
              <w:rPr>
                <w:rFonts w:eastAsia="Times New Roman"/>
                <w:sz w:val="20"/>
                <w:szCs w:val="20"/>
              </w:rPr>
            </w:pPr>
          </w:p>
        </w:tc>
      </w:tr>
      <w:tr w:rsidR="00000000">
        <w:trPr>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3"/>
            <w:vAlign w:val="bottom"/>
            <w:hideMark/>
          </w:tcPr>
          <w:p w:rsidR="00000000" w:rsidRDefault="00A32496">
            <w:pPr>
              <w:pStyle w:val="a3"/>
              <w:spacing w:before="0" w:beforeAutospacing="0" w:after="0" w:afterAutospacing="0"/>
              <w:jc w:val="center"/>
              <w:rPr>
                <w:sz w:val="18"/>
                <w:szCs w:val="18"/>
              </w:rPr>
            </w:pPr>
            <w:r>
              <w:rPr>
                <w:b/>
                <w:bCs/>
                <w:sz w:val="18"/>
                <w:szCs w:val="18"/>
              </w:rPr>
              <w:t>Nine Months Ended September 30</w:t>
            </w:r>
            <w:r>
              <w:rPr>
                <w:b/>
                <w:bCs/>
                <w:sz w:val="18"/>
                <w:szCs w:val="18"/>
              </w:rPr>
              <w: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10"/>
            <w:vAlign w:val="bottom"/>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10"/>
            <w:vAlign w:val="bottom"/>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A32496">
            <w:pPr>
              <w:pStyle w:val="a3"/>
              <w:spacing w:before="0" w:beforeAutospacing="0" w:after="0" w:afterAutospacing="0"/>
              <w:rPr>
                <w:sz w:val="18"/>
                <w:szCs w:val="18"/>
              </w:rPr>
            </w:pPr>
            <w:r>
              <w:rPr>
                <w:b/>
                <w:bCs/>
                <w:sz w:val="18"/>
                <w:szCs w:val="18"/>
              </w:rPr>
              <w:t>(in thousands</w:t>
            </w:r>
            <w:r>
              <w:rPr>
                <w:b/>
                <w:bCs/>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Segment Revenue</w:t>
            </w:r>
            <w:r>
              <w:rPr>
                <w:b/>
                <w:bCs/>
                <w:sz w:val="18"/>
                <w:szCs w:val="18"/>
              </w:rPr>
              <w:t>s</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Segment</w:t>
            </w:r>
            <w:r>
              <w:rPr>
                <w:b/>
                <w:bCs/>
                <w:sz w:val="18"/>
                <w:szCs w:val="18"/>
              </w:rPr>
              <w:br/>
              <w:t>Adjusted</w:t>
            </w:r>
            <w:r>
              <w:rPr>
                <w:b/>
                <w:bCs/>
                <w:sz w:val="18"/>
                <w:szCs w:val="18"/>
              </w:rPr>
              <w:br/>
              <w:t>EBITD</w:t>
            </w:r>
            <w:r>
              <w:rPr>
                <w:b/>
                <w:bCs/>
                <w:sz w:val="18"/>
                <w:szCs w:val="18"/>
              </w:rPr>
              <w:t>A</w:t>
            </w:r>
            <w:r>
              <w:rPr>
                <w:b/>
                <w:bCs/>
                <w:sz w:val="12"/>
                <w:szCs w:val="12"/>
              </w:rPr>
              <w:t>(1</w:t>
            </w:r>
            <w:r>
              <w:rPr>
                <w:b/>
                <w:bCs/>
                <w:sz w:val="12"/>
                <w:szCs w:val="12"/>
              </w:rPr>
              <w: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 xml:space="preserve">Segment </w:t>
            </w:r>
            <w:r>
              <w:rPr>
                <w:b/>
                <w:bCs/>
                <w:sz w:val="18"/>
                <w:szCs w:val="18"/>
              </w:rPr>
              <w:br/>
              <w:t>Adjusted</w:t>
            </w:r>
            <w:r>
              <w:rPr>
                <w:b/>
                <w:bCs/>
                <w:sz w:val="18"/>
                <w:szCs w:val="18"/>
              </w:rPr>
              <w:br/>
              <w:t>EBITDA</w:t>
            </w:r>
            <w:r>
              <w:rPr>
                <w:b/>
                <w:bCs/>
                <w:sz w:val="18"/>
                <w:szCs w:val="18"/>
              </w:rPr>
              <w:br/>
              <w:t>Margi</w:t>
            </w:r>
            <w:r>
              <w:rPr>
                <w:b/>
                <w:bCs/>
                <w:sz w:val="18"/>
                <w:szCs w:val="18"/>
              </w:rPr>
              <w:t>n</w:t>
            </w:r>
            <w:r>
              <w:rPr>
                <w:b/>
                <w:bCs/>
                <w:sz w:val="12"/>
                <w:szCs w:val="12"/>
              </w:rPr>
              <w:t>(2</w:t>
            </w:r>
            <w:r>
              <w:rPr>
                <w:b/>
                <w:bCs/>
                <w:sz w:val="12"/>
                <w:szCs w:val="12"/>
              </w:rPr>
              <w: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Segment Revenue</w:t>
            </w:r>
            <w:r>
              <w:rPr>
                <w:b/>
                <w:bCs/>
                <w:sz w:val="18"/>
                <w:szCs w:val="18"/>
              </w:rPr>
              <w:t>s</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Segment</w:t>
            </w:r>
            <w:r>
              <w:rPr>
                <w:b/>
                <w:bCs/>
                <w:sz w:val="18"/>
                <w:szCs w:val="18"/>
              </w:rPr>
              <w:br/>
              <w:t>Adjusted</w:t>
            </w:r>
            <w:r>
              <w:rPr>
                <w:b/>
                <w:bCs/>
                <w:sz w:val="18"/>
                <w:szCs w:val="18"/>
              </w:rPr>
              <w:br/>
              <w:t>EBITD</w:t>
            </w:r>
            <w:r>
              <w:rPr>
                <w:b/>
                <w:bCs/>
                <w:sz w:val="18"/>
                <w:szCs w:val="18"/>
              </w:rPr>
              <w:t>A</w:t>
            </w:r>
            <w:r>
              <w:rPr>
                <w:b/>
                <w:bCs/>
                <w:sz w:val="12"/>
                <w:szCs w:val="12"/>
              </w:rPr>
              <w:t>(1</w:t>
            </w:r>
            <w:r>
              <w:rPr>
                <w:b/>
                <w:bCs/>
                <w:sz w:val="12"/>
                <w:szCs w:val="12"/>
              </w:rPr>
              <w: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 xml:space="preserve">Segment </w:t>
            </w:r>
            <w:r>
              <w:rPr>
                <w:b/>
                <w:bCs/>
                <w:sz w:val="18"/>
                <w:szCs w:val="18"/>
              </w:rPr>
              <w:br/>
              <w:t>Adjusted</w:t>
            </w:r>
            <w:r>
              <w:rPr>
                <w:b/>
                <w:bCs/>
                <w:sz w:val="18"/>
                <w:szCs w:val="18"/>
              </w:rPr>
              <w:br/>
              <w:t>EBITDA</w:t>
            </w:r>
            <w:r>
              <w:rPr>
                <w:b/>
                <w:bCs/>
                <w:sz w:val="18"/>
                <w:szCs w:val="18"/>
              </w:rPr>
              <w:br/>
              <w:t>Margi</w:t>
            </w:r>
            <w:r>
              <w:rPr>
                <w:b/>
                <w:bCs/>
                <w:sz w:val="18"/>
                <w:szCs w:val="18"/>
              </w:rPr>
              <w:t>n</w:t>
            </w:r>
            <w:r>
              <w:rPr>
                <w:b/>
                <w:bCs/>
                <w:sz w:val="12"/>
                <w:szCs w:val="12"/>
              </w:rPr>
              <w:t>(2</w:t>
            </w:r>
            <w:r>
              <w:rPr>
                <w:b/>
                <w:bCs/>
                <w:sz w:val="12"/>
                <w:szCs w:val="12"/>
              </w:rPr>
              <w: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Assessment, Permitting and Respons</w:t>
            </w:r>
            <w:r>
              <w:rPr>
                <w:sz w:val="18"/>
                <w:szCs w:val="18"/>
              </w:rPr>
              <w:t>e</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142,05</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30,25</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21.</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209,37</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46,37</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22.</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Measurement and Analysi</w:t>
            </w:r>
            <w:r>
              <w:rPr>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125,73</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21,85</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17.</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111,30</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22,63</w:t>
            </w:r>
            <w:r>
              <w:rPr>
                <w:sz w:val="18"/>
                <w:szCs w:val="18"/>
              </w:rPr>
              <w:t>4</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20.</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Remediation and Reus</w:t>
            </w:r>
            <w:r>
              <w:rPr>
                <w:sz w:val="18"/>
                <w:szCs w:val="18"/>
              </w:rPr>
              <w:t>e</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137,11</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22,05</w:t>
            </w:r>
            <w:r>
              <w:rPr>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16.</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81,93</w:t>
            </w:r>
            <w:r>
              <w:rPr>
                <w:sz w:val="18"/>
                <w:szCs w:val="18"/>
              </w:rPr>
              <w:t>1</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12,26</w:t>
            </w:r>
            <w:r>
              <w:rPr>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15.</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rPr>
                <w:sz w:val="18"/>
                <w:szCs w:val="18"/>
              </w:rPr>
            </w:pPr>
            <w:r>
              <w:rPr>
                <w:b/>
                <w:bCs/>
                <w:sz w:val="18"/>
                <w:szCs w:val="18"/>
              </w:rPr>
              <w:t>Total Operating Segment</w:t>
            </w:r>
            <w:r>
              <w:rPr>
                <w:b/>
                <w:bCs/>
                <w:sz w:val="18"/>
                <w:szCs w:val="18"/>
              </w:rPr>
              <w:t>s</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b/>
                <w:bCs/>
                <w:sz w:val="18"/>
                <w:szCs w:val="18"/>
              </w:rPr>
              <w:t>404,90</w:t>
            </w:r>
            <w:r>
              <w:rPr>
                <w:b/>
                <w:bCs/>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b/>
                <w:bCs/>
                <w:sz w:val="18"/>
                <w:szCs w:val="18"/>
              </w:rPr>
              <w:t>74,16</w:t>
            </w:r>
            <w:r>
              <w:rPr>
                <w:b/>
                <w:bCs/>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b/>
                <w:bCs/>
                <w:sz w:val="18"/>
                <w:szCs w:val="18"/>
              </w:rPr>
              <w:t>18.</w:t>
            </w:r>
            <w:r>
              <w:rPr>
                <w:b/>
                <w:bCs/>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b/>
                <w:bCs/>
                <w:sz w:val="18"/>
                <w:szCs w:val="18"/>
              </w:rPr>
              <w:t>402,61</w:t>
            </w:r>
            <w:r>
              <w:rPr>
                <w:b/>
                <w:bCs/>
                <w:sz w:val="18"/>
                <w:szCs w:val="18"/>
              </w:rPr>
              <w:t>9</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b/>
                <w:bCs/>
                <w:sz w:val="18"/>
                <w:szCs w:val="18"/>
              </w:rPr>
              <w:t>81,27</w:t>
            </w:r>
            <w:r>
              <w:rPr>
                <w:b/>
                <w:bCs/>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b/>
                <w:bCs/>
                <w:sz w:val="18"/>
                <w:szCs w:val="18"/>
              </w:rPr>
              <w:t>20.</w:t>
            </w:r>
            <w:r>
              <w:rPr>
                <w:b/>
                <w:bCs/>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b/>
                <w:bCs/>
                <w:sz w:val="18"/>
                <w:szCs w:val="18"/>
              </w:rPr>
              <w:t>%</w:t>
            </w:r>
          </w:p>
        </w:tc>
      </w:tr>
      <w:tr w:rsidR="00000000">
        <w:trPr>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Corporate and Othe</w:t>
            </w:r>
            <w:r>
              <w:rPr>
                <w:sz w:val="18"/>
                <w:szCs w:val="18"/>
              </w:rPr>
              <w:t>r</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(22,82</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n/</w:t>
            </w:r>
            <w:r>
              <w:rPr>
                <w:sz w:val="18"/>
                <w:szCs w:val="18"/>
              </w:rPr>
              <w:t>a</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(22,02</w:t>
            </w:r>
            <w:r>
              <w:rPr>
                <w:sz w:val="18"/>
                <w:szCs w:val="18"/>
              </w:rPr>
              <w:t>6</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n/</w:t>
            </w:r>
            <w:r>
              <w:rPr>
                <w:sz w:val="18"/>
                <w:szCs w:val="18"/>
              </w:rPr>
              <w:t>a</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r>
    </w:tbl>
    <w:p w:rsidR="00000000" w:rsidRDefault="00A32496">
      <w:pPr>
        <w:pStyle w:val="a3"/>
        <w:spacing w:before="0" w:beforeAutospacing="0" w:after="0" w:afterAutospacing="0"/>
        <w:rPr>
          <w:sz w:val="20"/>
          <w:szCs w:val="20"/>
        </w:rPr>
      </w:pPr>
      <w:r>
        <w:rPr>
          <w:sz w:val="16"/>
          <w:szCs w:val="16"/>
        </w:rPr>
        <w:t>______________________________</w:t>
      </w:r>
      <w:r>
        <w:rPr>
          <w:sz w:val="16"/>
          <w:szCs w:val="16"/>
        </w:rPr>
        <w:t>_</w:t>
      </w:r>
    </w:p>
    <w:p w:rsidR="00000000" w:rsidRDefault="00A32496">
      <w:pPr>
        <w:rPr>
          <w:rFonts w:eastAsia="Times New Roman"/>
        </w:rPr>
      </w:pPr>
      <w:r>
        <w:rPr>
          <w:rFonts w:eastAsia="Times New Roman"/>
          <w:sz w:val="16"/>
          <w:szCs w:val="16"/>
        </w:rPr>
        <w:t>(1</w:t>
      </w:r>
      <w:r>
        <w:rPr>
          <w:rFonts w:eastAsia="Times New Roman"/>
          <w:sz w:val="16"/>
          <w:szCs w:val="16"/>
        </w:rPr>
        <w:t>)</w:t>
      </w:r>
    </w:p>
    <w:p w:rsidR="00000000" w:rsidRDefault="00A32496">
      <w:pPr>
        <w:divId w:val="1722903185"/>
        <w:rPr>
          <w:rFonts w:eastAsia="Times New Roman"/>
        </w:rPr>
      </w:pPr>
      <w:r>
        <w:rPr>
          <w:rFonts w:eastAsia="Times New Roman"/>
          <w:sz w:val="16"/>
          <w:szCs w:val="16"/>
        </w:rPr>
        <w:t>For purposes of evaluating segment profit, the Company’</w:t>
      </w:r>
      <w:r>
        <w:rPr>
          <w:rFonts w:eastAsia="Times New Roman"/>
          <w:sz w:val="16"/>
          <w:szCs w:val="16"/>
        </w:rPr>
        <w:t>s chief operating decision maker reviews Segment Adjusted EBITDA as a basis for making the decisions to allocate resources and assess performance. See Note 18 to our unaudited condensed consolidated financial statements included in Part I, Item 1. “Financi</w:t>
      </w:r>
      <w:r>
        <w:rPr>
          <w:rFonts w:eastAsia="Times New Roman"/>
          <w:sz w:val="16"/>
          <w:szCs w:val="16"/>
        </w:rPr>
        <w:t>al Statements.</w:t>
      </w:r>
      <w:r>
        <w:rPr>
          <w:rFonts w:eastAsia="Times New Roman"/>
          <w:sz w:val="16"/>
          <w:szCs w:val="16"/>
        </w:rPr>
        <w:t>”</w:t>
      </w:r>
    </w:p>
    <w:p w:rsidR="00000000" w:rsidRDefault="00A32496">
      <w:pPr>
        <w:rPr>
          <w:rFonts w:eastAsia="Times New Roman"/>
        </w:rPr>
      </w:pPr>
      <w:r>
        <w:rPr>
          <w:rFonts w:eastAsia="Times New Roman"/>
          <w:sz w:val="16"/>
          <w:szCs w:val="16"/>
        </w:rPr>
        <w:t>(2</w:t>
      </w:r>
      <w:r>
        <w:rPr>
          <w:rFonts w:eastAsia="Times New Roman"/>
          <w:sz w:val="16"/>
          <w:szCs w:val="16"/>
        </w:rPr>
        <w:t>)</w:t>
      </w:r>
    </w:p>
    <w:p w:rsidR="00000000" w:rsidRDefault="00A32496">
      <w:pPr>
        <w:divId w:val="1898079760"/>
        <w:rPr>
          <w:rFonts w:eastAsia="Times New Roman"/>
        </w:rPr>
      </w:pPr>
      <w:r>
        <w:rPr>
          <w:rFonts w:eastAsia="Times New Roman"/>
          <w:sz w:val="16"/>
          <w:szCs w:val="16"/>
        </w:rPr>
        <w:t>Represents Segment Adjusted EBITDA as a percentage of segment revenues</w:t>
      </w:r>
      <w:r>
        <w:rPr>
          <w:rFonts w:eastAsia="Times New Roman"/>
          <w:sz w:val="16"/>
          <w:szCs w:val="16"/>
        </w:rPr>
        <w:t>.</w:t>
      </w:r>
    </w:p>
    <w:p w:rsidR="00000000" w:rsidRDefault="00A32496">
      <w:pPr>
        <w:pStyle w:val="a3"/>
        <w:spacing w:before="360" w:beforeAutospacing="0" w:after="0" w:afterAutospacing="0"/>
        <w:ind w:firstLine="555"/>
        <w:rPr>
          <w:sz w:val="20"/>
          <w:szCs w:val="20"/>
        </w:rPr>
      </w:pPr>
      <w:r>
        <w:rPr>
          <w:b/>
          <w:bCs/>
          <w:i/>
          <w:iCs/>
          <w:sz w:val="20"/>
          <w:szCs w:val="20"/>
        </w:rPr>
        <w:t>Revenue</w:t>
      </w:r>
      <w:r>
        <w:rPr>
          <w:b/>
          <w:bCs/>
          <w:i/>
          <w:iCs/>
          <w:sz w:val="20"/>
          <w:szCs w:val="20"/>
        </w:rPr>
        <w:t>s</w:t>
      </w:r>
    </w:p>
    <w:p w:rsidR="00000000" w:rsidRDefault="00A32496">
      <w:pPr>
        <w:pStyle w:val="a3"/>
        <w:spacing w:before="120" w:beforeAutospacing="0" w:after="0" w:afterAutospacing="0"/>
        <w:ind w:firstLine="555"/>
        <w:rPr>
          <w:sz w:val="20"/>
          <w:szCs w:val="20"/>
        </w:rPr>
      </w:pPr>
      <w:r>
        <w:rPr>
          <w:sz w:val="20"/>
          <w:szCs w:val="20"/>
        </w:rPr>
        <w:t>Assessment, Permitting and Response segment revenues for the nine months ended September 30, 2022 were $142.1 million, compared to $209.4 million for the nine months ended September 30, 2021. The decrease was driven by expected significantly lower CTEH rev</w:t>
      </w:r>
      <w:r>
        <w:rPr>
          <w:sz w:val="20"/>
          <w:szCs w:val="20"/>
        </w:rPr>
        <w:t>enues in the first nine months of 2022 when compared to the first nine months of 2021, as a result of lower revenue from COVID-19 related services, partially offset by revenues of $17.4 million from acquisitions completed subsequent to the quarter ended Se</w:t>
      </w:r>
      <w:r>
        <w:rPr>
          <w:sz w:val="20"/>
          <w:szCs w:val="20"/>
        </w:rPr>
        <w:t xml:space="preserve">ptember 30, 2021. CTEH revenues were $88.2 million in the nine months ended September 30, 2022 compared to $189.6 million in the nine months ended September 30, 2021. Total revenue from COVID-19 related services was $55.4 million and $158.8 million in the </w:t>
      </w:r>
      <w:r>
        <w:rPr>
          <w:sz w:val="20"/>
          <w:szCs w:val="20"/>
        </w:rPr>
        <w:t>nine months ended September 30, 2022 and September 30, 2021, respectively</w:t>
      </w:r>
      <w:r>
        <w:rPr>
          <w:sz w:val="20"/>
          <w:szCs w:val="20"/>
        </w:rPr>
        <w:t>.</w:t>
      </w:r>
      <w:r>
        <w:rPr>
          <w:sz w:val="20"/>
          <w:szCs w:val="20"/>
        </w:rPr>
        <w:t xml:space="preserve"> </w:t>
      </w:r>
    </w:p>
    <w:p w:rsidR="00000000" w:rsidRDefault="00A32496">
      <w:pPr>
        <w:pStyle w:val="a3"/>
        <w:spacing w:before="240" w:beforeAutospacing="0" w:after="0" w:afterAutospacing="0"/>
        <w:ind w:firstLine="555"/>
        <w:rPr>
          <w:sz w:val="20"/>
          <w:szCs w:val="20"/>
        </w:rPr>
      </w:pPr>
      <w:r>
        <w:rPr>
          <w:sz w:val="20"/>
          <w:szCs w:val="20"/>
        </w:rPr>
        <w:t xml:space="preserve">Measurement and Analysis segment revenues for the nine months ended September 30, 2022 were $125.7 million, an increase of $14.4 million or 13.0% compared to revenues for the nine </w:t>
      </w:r>
      <w:r>
        <w:rPr>
          <w:sz w:val="20"/>
          <w:szCs w:val="20"/>
        </w:rPr>
        <w:t>months ended September 30, 2021 of $111.3 million. The increase was driven primarily by organic growth, as well as by revenues of $2.0 million from acquisitions completed subsequent to the quarter ended September 30, 2021</w:t>
      </w:r>
      <w:r>
        <w:rPr>
          <w:sz w:val="20"/>
          <w:szCs w:val="20"/>
        </w:rPr>
        <w:t>.</w:t>
      </w:r>
    </w:p>
    <w:p w:rsidR="00000000" w:rsidRDefault="00A32496">
      <w:pPr>
        <w:pStyle w:val="a3"/>
        <w:spacing w:before="240" w:beforeAutospacing="0" w:after="0" w:afterAutospacing="0"/>
        <w:ind w:firstLine="555"/>
        <w:rPr>
          <w:sz w:val="20"/>
          <w:szCs w:val="20"/>
        </w:rPr>
      </w:pPr>
      <w:r>
        <w:rPr>
          <w:sz w:val="20"/>
          <w:szCs w:val="20"/>
        </w:rPr>
        <w:t>Remediation and Reuse segment rev</w:t>
      </w:r>
      <w:r>
        <w:rPr>
          <w:sz w:val="20"/>
          <w:szCs w:val="20"/>
        </w:rPr>
        <w:t>enues for the nine months ended September 30, 2022 were $137.1 million, an increase of $55.2 million or 67.4% compared to revenues for the nine months ended September 30, 2021 of $81.9 million. The increase was driven primarily by organic growth related to</w:t>
      </w:r>
      <w:r>
        <w:rPr>
          <w:sz w:val="20"/>
          <w:szCs w:val="20"/>
        </w:rPr>
        <w:t xml:space="preserve"> increases in demand for our water treatment technology (PFAS removal) and waste-to-resources (agricultural waste to biogas) services</w:t>
      </w:r>
      <w:r>
        <w:rPr>
          <w:sz w:val="20"/>
          <w:szCs w:val="20"/>
        </w:rPr>
        <w:t>.</w:t>
      </w:r>
    </w:p>
    <w:p w:rsidR="00000000" w:rsidRDefault="00A32496">
      <w:pPr>
        <w:pStyle w:val="a3"/>
        <w:spacing w:before="360" w:beforeAutospacing="0" w:after="0" w:afterAutospacing="0"/>
        <w:ind w:firstLine="555"/>
        <w:rPr>
          <w:sz w:val="20"/>
          <w:szCs w:val="20"/>
        </w:rPr>
      </w:pPr>
      <w:r>
        <w:rPr>
          <w:b/>
          <w:bCs/>
          <w:i/>
          <w:iCs/>
          <w:sz w:val="20"/>
          <w:szCs w:val="20"/>
        </w:rPr>
        <w:t>Segment Adjusted EBITD</w:t>
      </w:r>
      <w:r>
        <w:rPr>
          <w:b/>
          <w:bCs/>
          <w:i/>
          <w:iCs/>
          <w:sz w:val="20"/>
          <w:szCs w:val="20"/>
        </w:rPr>
        <w:t>A</w:t>
      </w:r>
    </w:p>
    <w:p w:rsidR="00000000" w:rsidRDefault="00A32496">
      <w:pPr>
        <w:pStyle w:val="a3"/>
        <w:spacing w:before="120" w:beforeAutospacing="0" w:after="0" w:afterAutospacing="0"/>
        <w:ind w:firstLine="555"/>
        <w:rPr>
          <w:sz w:val="20"/>
          <w:szCs w:val="20"/>
        </w:rPr>
      </w:pPr>
      <w:r>
        <w:rPr>
          <w:sz w:val="20"/>
          <w:szCs w:val="20"/>
        </w:rPr>
        <w:t>Assessment, Permitting and Response Segment Adjusted EBITDA was $30.3 million for the nine months</w:t>
      </w:r>
      <w:r>
        <w:rPr>
          <w:sz w:val="20"/>
          <w:szCs w:val="20"/>
        </w:rPr>
        <w:t xml:space="preserve"> ended September 30, 2022, compared to $46.4 million for the nine months ended September 30, 2021. For the nine months ended September 30, 2022 and September 30, 2021, Segment Adjusted EBITDA margin was 21.3% and 22.2%, respectively. The decrease in Segmen</w:t>
      </w:r>
      <w:r>
        <w:rPr>
          <w:sz w:val="20"/>
          <w:szCs w:val="20"/>
        </w:rPr>
        <w:t xml:space="preserve">t Adjusted EBITDA was a result of an expected decrease in CTEH COVID-19 related revenues during the nine months ended September 30, 2022 when compared to the nine months ended September 30, 2021. The decrease in Segment Adjusted EBITDA margin was a result </w:t>
      </w:r>
      <w:r>
        <w:rPr>
          <w:sz w:val="20"/>
          <w:szCs w:val="20"/>
        </w:rPr>
        <w:t>of business mix and the acquisitions of Environmental Intelligence, Horizon and Environmental Standards, which operate at lower margins, partially offset by higher CTEH margins, as a result of lower COVID-related work as a percentage of CTEH revenues in th</w:t>
      </w:r>
      <w:r>
        <w:rPr>
          <w:sz w:val="20"/>
          <w:szCs w:val="20"/>
        </w:rPr>
        <w:t>e current year versus the prior year</w:t>
      </w:r>
      <w:r>
        <w:rPr>
          <w:sz w:val="20"/>
          <w:szCs w:val="20"/>
        </w:rPr>
        <w:t>.</w:t>
      </w:r>
    </w:p>
    <w:p w:rsidR="00000000" w:rsidRDefault="00A32496">
      <w:pPr>
        <w:pStyle w:val="a3"/>
        <w:spacing w:before="240" w:beforeAutospacing="0" w:after="0" w:afterAutospacing="0"/>
        <w:ind w:firstLine="555"/>
        <w:rPr>
          <w:sz w:val="20"/>
          <w:szCs w:val="20"/>
        </w:rPr>
      </w:pPr>
      <w:r>
        <w:rPr>
          <w:sz w:val="20"/>
          <w:szCs w:val="20"/>
        </w:rPr>
        <w:t>Measurement and Analysis Segment Adjusted EBITDA for the nine months ended September 30, 2022 was $21.9 million, a decrease of $0.7 million compared to Segment Adjusted EBITDA for the nine months ended September 30, 20</w:t>
      </w:r>
      <w:r>
        <w:rPr>
          <w:sz w:val="20"/>
          <w:szCs w:val="20"/>
        </w:rPr>
        <w:t>21 of $22.6 million. For the nine months ended September 30, 2022 and September 30, 2021, Segment Adjusted EBITDA margin was 17.4% and 20.3%, respectively. The decrease in both Segment Adjusted EBITDA and Segment Adjusted EBITDA margin was a result of busi</w:t>
      </w:r>
      <w:r>
        <w:rPr>
          <w:sz w:val="20"/>
          <w:szCs w:val="20"/>
        </w:rPr>
        <w:t>ness mix, the timing of projects in some of our specialty labs, the impact of the cyber-attack in June 2022, which temporarily disrupted certain of our labs’ ability to operate and higher variable cost increases (including travel, laboratory and field supp</w:t>
      </w:r>
      <w:r>
        <w:rPr>
          <w:sz w:val="20"/>
          <w:szCs w:val="20"/>
        </w:rPr>
        <w:t>lies)</w:t>
      </w:r>
      <w:r>
        <w:rPr>
          <w:sz w:val="20"/>
          <w:szCs w:val="20"/>
        </w:rPr>
        <w:t>.</w:t>
      </w:r>
    </w:p>
    <w:p w:rsidR="00000000" w:rsidRDefault="00A32496">
      <w:pPr>
        <w:pStyle w:val="a3"/>
        <w:spacing w:before="240" w:beforeAutospacing="0" w:after="0" w:afterAutospacing="0"/>
        <w:ind w:firstLine="555"/>
        <w:rPr>
          <w:sz w:val="20"/>
          <w:szCs w:val="20"/>
        </w:rPr>
      </w:pPr>
      <w:r>
        <w:rPr>
          <w:sz w:val="20"/>
          <w:szCs w:val="20"/>
        </w:rPr>
        <w:t>Remediation and Reuse Segment Adjusted EBITDA for the nine months ended September 30, 2022 was $22.1 million, an increase of $9.8 million compared to Segment Adjusted EBITDA for the nine months ended September 30, 2021 of $12.3 million. For the nine months</w:t>
      </w:r>
      <w:r>
        <w:rPr>
          <w:sz w:val="20"/>
          <w:szCs w:val="20"/>
        </w:rPr>
        <w:t xml:space="preserve"> ended September 30, 2022 and September 30, 2021, Segment Adjusted EBITDA margin was 16.1% and 15.0%</w:t>
      </w:r>
      <w:r>
        <w:rPr>
          <w:sz w:val="20"/>
          <w:szCs w:val="20"/>
        </w:rPr>
        <w:t>,</w:t>
      </w:r>
      <w:r>
        <w:rPr>
          <w:sz w:val="20"/>
          <w:szCs w:val="20"/>
        </w:rPr>
        <w:t xml:space="preserve"> </w:t>
      </w:r>
    </w:p>
    <w:p w:rsidR="00000000" w:rsidRDefault="00A32496">
      <w:pPr>
        <w:pStyle w:val="a3"/>
        <w:spacing w:before="240" w:beforeAutospacing="0" w:after="0" w:afterAutospacing="0"/>
        <w:jc w:val="center"/>
        <w:rPr>
          <w:sz w:val="20"/>
          <w:szCs w:val="20"/>
        </w:rPr>
      </w:pPr>
      <w:r>
        <w:rPr>
          <w:sz w:val="20"/>
          <w:szCs w:val="20"/>
        </w:rPr>
        <w:t>4</w:t>
      </w:r>
      <w:r>
        <w:rPr>
          <w:sz w:val="20"/>
          <w:szCs w:val="20"/>
        </w:rPr>
        <w:t>3</w:t>
      </w:r>
    </w:p>
    <w:p w:rsidR="00000000" w:rsidRDefault="00A32496">
      <w:pPr>
        <w:rPr>
          <w:rFonts w:eastAsia="Times New Roman"/>
        </w:rPr>
      </w:pPr>
      <w:r>
        <w:rPr>
          <w:rFonts w:eastAsia="Times New Roman"/>
        </w:rPr>
        <w:pict>
          <v:rect id="_x0000_i1069" style="width:0;height:1.5pt" o:hralign="center" o:hrstd="t" o:hr="t" fillcolor="#a0a0a0" stroked="f"/>
        </w:pict>
      </w:r>
    </w:p>
    <w:p w:rsidR="00000000" w:rsidRDefault="00A32496">
      <w:pPr>
        <w:pStyle w:val="a3"/>
        <w:spacing w:before="0" w:beforeAutospacing="0" w:after="0" w:afterAutospacing="0"/>
        <w:rPr>
          <w:sz w:val="20"/>
          <w:szCs w:val="20"/>
        </w:rPr>
      </w:pPr>
      <w:r>
        <w:rPr>
          <w:sz w:val="20"/>
          <w:szCs w:val="20"/>
        </w:rPr>
        <w:t> </w:t>
      </w:r>
    </w:p>
    <w:p w:rsidR="00000000" w:rsidRDefault="00A32496">
      <w:pPr>
        <w:pStyle w:val="a3"/>
        <w:spacing w:before="240" w:beforeAutospacing="0" w:after="0" w:afterAutospacing="0"/>
        <w:rPr>
          <w:sz w:val="20"/>
          <w:szCs w:val="20"/>
        </w:rPr>
      </w:pPr>
      <w:r>
        <w:rPr>
          <w:sz w:val="20"/>
          <w:szCs w:val="20"/>
        </w:rPr>
        <w:t>respectively. The increase in both Segment Adjusted EBITDA and Segment Adjusted EBITDA margin was a result of si</w:t>
      </w:r>
      <w:r>
        <w:rPr>
          <w:sz w:val="20"/>
          <w:szCs w:val="20"/>
        </w:rPr>
        <w:t>gnificantly higher revenues and business mix, partially offset by our continued investments in operating infrastructure in this segment that temporarily impact margins</w:t>
      </w:r>
      <w:r>
        <w:rPr>
          <w:sz w:val="20"/>
          <w:szCs w:val="20"/>
        </w:rPr>
        <w:t>.</w:t>
      </w:r>
    </w:p>
    <w:p w:rsidR="00000000" w:rsidRDefault="00A32496">
      <w:pPr>
        <w:pStyle w:val="a3"/>
        <w:spacing w:before="240" w:beforeAutospacing="0" w:after="0" w:afterAutospacing="0"/>
        <w:ind w:firstLine="555"/>
        <w:rPr>
          <w:sz w:val="20"/>
          <w:szCs w:val="20"/>
        </w:rPr>
      </w:pPr>
      <w:r>
        <w:rPr>
          <w:sz w:val="20"/>
          <w:szCs w:val="20"/>
        </w:rPr>
        <w:t>Corporate and other costs were $22.8 million for the nine months ended September 30, 20</w:t>
      </w:r>
      <w:r>
        <w:rPr>
          <w:sz w:val="20"/>
          <w:szCs w:val="20"/>
        </w:rPr>
        <w:t>22 compared to $22.0 million for the nine months ended September 30, 2021. Corporate and other costs were 5.6% and 5.5% of revenues for the nine months ended September 30, 2022 and September 30, 2021, respectively</w:t>
      </w:r>
      <w:r>
        <w:rPr>
          <w:sz w:val="20"/>
          <w:szCs w:val="20"/>
        </w:rPr>
        <w:t>.</w:t>
      </w:r>
    </w:p>
    <w:p w:rsidR="00000000" w:rsidRDefault="00A32496">
      <w:pPr>
        <w:pStyle w:val="a3"/>
        <w:spacing w:before="360" w:beforeAutospacing="0" w:after="0" w:afterAutospacing="0"/>
        <w:ind w:left="476"/>
        <w:rPr>
          <w:sz w:val="20"/>
          <w:szCs w:val="20"/>
        </w:rPr>
      </w:pPr>
      <w:r>
        <w:rPr>
          <w:b/>
          <w:bCs/>
          <w:sz w:val="20"/>
          <w:szCs w:val="20"/>
        </w:rPr>
        <w:t>Liquidity and Capital Resource</w:t>
      </w:r>
      <w:r>
        <w:rPr>
          <w:b/>
          <w:bCs/>
          <w:sz w:val="20"/>
          <w:szCs w:val="20"/>
        </w:rPr>
        <w:t>s</w:t>
      </w:r>
    </w:p>
    <w:p w:rsidR="00000000" w:rsidRDefault="00A32496">
      <w:pPr>
        <w:pStyle w:val="a3"/>
        <w:spacing w:before="120" w:beforeAutospacing="0" w:after="0" w:afterAutospacing="0"/>
        <w:ind w:firstLine="555"/>
        <w:rPr>
          <w:sz w:val="20"/>
          <w:szCs w:val="20"/>
        </w:rPr>
      </w:pPr>
      <w:r>
        <w:rPr>
          <w:sz w:val="20"/>
          <w:szCs w:val="20"/>
        </w:rPr>
        <w:t>Liquidity</w:t>
      </w:r>
      <w:r>
        <w:rPr>
          <w:sz w:val="20"/>
          <w:szCs w:val="20"/>
        </w:rPr>
        <w:t xml:space="preserve"> describes the ability of a company to generate sufficient cash flows to meet the cash requirements of its business operations, including working capital needs, debt service, acquisitions, other commitments and contractual obligations. We consider liquidit</w:t>
      </w:r>
      <w:r>
        <w:rPr>
          <w:sz w:val="20"/>
          <w:szCs w:val="20"/>
        </w:rPr>
        <w:t>y in terms of cash flows from operations and other sources, including availability under our credit facility, and their sufficiency to fund our operating and investing activities</w:t>
      </w:r>
      <w:r>
        <w:rPr>
          <w:sz w:val="20"/>
          <w:szCs w:val="20"/>
        </w:rPr>
        <w:t>.</w:t>
      </w:r>
    </w:p>
    <w:p w:rsidR="00000000" w:rsidRDefault="00A32496">
      <w:pPr>
        <w:pStyle w:val="a3"/>
        <w:spacing w:before="240" w:beforeAutospacing="0" w:after="0" w:afterAutospacing="0"/>
        <w:ind w:firstLine="555"/>
        <w:rPr>
          <w:sz w:val="20"/>
          <w:szCs w:val="20"/>
        </w:rPr>
      </w:pPr>
      <w:r>
        <w:rPr>
          <w:sz w:val="20"/>
          <w:szCs w:val="20"/>
        </w:rPr>
        <w:t>Our principal sources of liquidity have been cash generated by operating act</w:t>
      </w:r>
      <w:r>
        <w:rPr>
          <w:sz w:val="20"/>
          <w:szCs w:val="20"/>
        </w:rPr>
        <w:t>ivities, borrowings under our credit facilities, other borrowing arrangements, and proceeds from the issuance of common and preferred stock. Historically, we have financed our operations and acquisitions from a combination of cash generated from operations</w:t>
      </w:r>
      <w:r>
        <w:rPr>
          <w:sz w:val="20"/>
          <w:szCs w:val="20"/>
        </w:rPr>
        <w:t>, periodic borrowings under senior secured credit facilities, other prior secured and unsecured borrowings and proceeds from the issuance of common and preferred stock. Our primary cash needs are for day to day operations, to fund working capital requireme</w:t>
      </w:r>
      <w:r>
        <w:rPr>
          <w:sz w:val="20"/>
          <w:szCs w:val="20"/>
        </w:rPr>
        <w:t>nts, to fund our acquisition strategy, to pay interest and principal on our indebtedness and dividends on our Series A-2 preferred stock, and to make capital expenditures. Additionally, in connection with certain acquisitions, we agree to earn-out provisio</w:t>
      </w:r>
      <w:r>
        <w:rPr>
          <w:sz w:val="20"/>
          <w:szCs w:val="20"/>
        </w:rPr>
        <w:t>ns and other purchase price adjustments that may require future payments. For example, the CTEH acquisition agreement included an earn-out provision that provided for the payment of contingent consideration based on CTEH’s 2021 results in an aggregate amou</w:t>
      </w:r>
      <w:r>
        <w:rPr>
          <w:sz w:val="20"/>
          <w:szCs w:val="20"/>
        </w:rPr>
        <w:t>nt not to exceed $30.0 million, with the earn-out payment equal to a specified multiple of CTEH’s EBITDA for 2021 in excess of a specified target. CTEH fully achieved the target in 2021 and the $30.0 million payment was paid in cash in the first quarter of</w:t>
      </w:r>
      <w:r>
        <w:rPr>
          <w:sz w:val="20"/>
          <w:szCs w:val="20"/>
        </w:rPr>
        <w:t xml:space="preserve"> 2022. We may also be required to make up to $3.0 million in aggregate earn-out payments during the year 2023 in connection with certain of our business acquisitions. See Note 7 to our unaudited condensed consolidated financial statements included in Part </w:t>
      </w:r>
      <w:r>
        <w:rPr>
          <w:sz w:val="20"/>
          <w:szCs w:val="20"/>
        </w:rPr>
        <w:t>1, Item 1. “Financial Statements.</w:t>
      </w:r>
      <w:r>
        <w:rPr>
          <w:sz w:val="20"/>
          <w:szCs w:val="20"/>
        </w:rPr>
        <w:t>”</w:t>
      </w:r>
      <w:r>
        <w:rPr>
          <w:sz w:val="20"/>
          <w:szCs w:val="20"/>
        </w:rPr>
        <w:t xml:space="preserve"> </w:t>
      </w:r>
    </w:p>
    <w:p w:rsidR="00000000" w:rsidRDefault="00A32496">
      <w:pPr>
        <w:pStyle w:val="a3"/>
        <w:spacing w:before="240" w:beforeAutospacing="0" w:after="0" w:afterAutospacing="0"/>
        <w:ind w:firstLine="555"/>
        <w:rPr>
          <w:sz w:val="20"/>
          <w:szCs w:val="20"/>
        </w:rPr>
      </w:pPr>
      <w:r>
        <w:rPr>
          <w:sz w:val="20"/>
          <w:szCs w:val="20"/>
        </w:rPr>
        <w:t xml:space="preserve">We expect to continue to fund our liquidity requirements, including any cash earn-out payments that may be required in connection with acquisitions, through cash generated from operations and borrowings under our credit </w:t>
      </w:r>
      <w:r>
        <w:rPr>
          <w:sz w:val="20"/>
          <w:szCs w:val="20"/>
        </w:rPr>
        <w:t>facility. We believe these sources will be sufficient to fund our cash needs for the short- and long-term. See “—COVID-19” above for a discussion of the impact of the pandemic on our liquidity</w:t>
      </w:r>
      <w:r>
        <w:rPr>
          <w:sz w:val="20"/>
          <w:szCs w:val="20"/>
        </w:rPr>
        <w:t>.</w:t>
      </w:r>
      <w:r>
        <w:rPr>
          <w:sz w:val="20"/>
          <w:szCs w:val="20"/>
        </w:rPr>
        <w:t xml:space="preserve"> </w:t>
      </w:r>
    </w:p>
    <w:p w:rsidR="00000000" w:rsidRDefault="00A32496">
      <w:pPr>
        <w:pStyle w:val="a3"/>
        <w:spacing w:before="360" w:beforeAutospacing="0" w:after="0" w:afterAutospacing="0"/>
        <w:ind w:left="476"/>
        <w:rPr>
          <w:sz w:val="20"/>
          <w:szCs w:val="20"/>
        </w:rPr>
      </w:pPr>
      <w:r>
        <w:rPr>
          <w:b/>
          <w:bCs/>
          <w:i/>
          <w:iCs/>
          <w:sz w:val="20"/>
          <w:szCs w:val="20"/>
        </w:rPr>
        <w:t>Cash Flow</w:t>
      </w:r>
      <w:r>
        <w:rPr>
          <w:b/>
          <w:bCs/>
          <w:i/>
          <w:iCs/>
          <w:sz w:val="20"/>
          <w:szCs w:val="20"/>
        </w:rPr>
        <w:t>s</w:t>
      </w:r>
    </w:p>
    <w:p w:rsidR="00000000" w:rsidRDefault="00A32496">
      <w:pPr>
        <w:pStyle w:val="a3"/>
        <w:spacing w:before="120" w:beforeAutospacing="0" w:after="0" w:afterAutospacing="0"/>
        <w:ind w:firstLine="555"/>
        <w:rPr>
          <w:sz w:val="20"/>
          <w:szCs w:val="20"/>
        </w:rPr>
      </w:pPr>
      <w:r>
        <w:rPr>
          <w:sz w:val="20"/>
          <w:szCs w:val="20"/>
        </w:rPr>
        <w:t xml:space="preserve">The following table summarizes our cash flows for </w:t>
      </w:r>
      <w:r>
        <w:rPr>
          <w:sz w:val="20"/>
          <w:szCs w:val="20"/>
        </w:rPr>
        <w:t>the periods presented</w:t>
      </w:r>
      <w:r>
        <w:rPr>
          <w:sz w:val="20"/>
          <w:szCs w:val="20"/>
        </w:rPr>
        <w:t>:</w:t>
      </w:r>
    </w:p>
    <w:p w:rsidR="00000000" w:rsidRDefault="00A32496">
      <w:pPr>
        <w:pStyle w:val="a3"/>
        <w:spacing w:before="0" w:beforeAutospacing="0" w:after="0" w:afterAutospacing="0"/>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697"/>
        <w:gridCol w:w="105"/>
        <w:gridCol w:w="150"/>
        <w:gridCol w:w="679"/>
        <w:gridCol w:w="120"/>
        <w:gridCol w:w="105"/>
        <w:gridCol w:w="150"/>
        <w:gridCol w:w="673"/>
        <w:gridCol w:w="135"/>
      </w:tblGrid>
      <w:tr w:rsidR="00000000">
        <w:trPr>
          <w:tblCellSpacing w:w="15" w:type="dxa"/>
        </w:trPr>
        <w:tc>
          <w:tcPr>
            <w:tcW w:w="3347" w:type="pct"/>
            <w:vAlign w:val="center"/>
            <w:hideMark/>
          </w:tcPr>
          <w:p w:rsidR="00000000" w:rsidRDefault="00A32496">
            <w:pPr>
              <w:rPr>
                <w:sz w:val="20"/>
                <w:szCs w:val="20"/>
              </w:rPr>
            </w:pPr>
          </w:p>
        </w:tc>
        <w:tc>
          <w:tcPr>
            <w:tcW w:w="71"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658"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71"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651"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r>
      <w:tr w:rsidR="00000000">
        <w:trPr>
          <w:trHeight w:val="180"/>
          <w:tblCellSpacing w:w="15" w:type="dxa"/>
        </w:trPr>
        <w:tc>
          <w:tcPr>
            <w:tcW w:w="0" w:type="auto"/>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gridSpan w:val="6"/>
            <w:vAlign w:val="bottom"/>
            <w:hideMark/>
          </w:tcPr>
          <w:p w:rsidR="00000000" w:rsidRDefault="00A32496">
            <w:pPr>
              <w:pStyle w:val="a3"/>
              <w:spacing w:before="0" w:beforeAutospacing="0" w:after="0" w:afterAutospacing="0"/>
              <w:jc w:val="center"/>
              <w:rPr>
                <w:sz w:val="18"/>
                <w:szCs w:val="18"/>
              </w:rPr>
            </w:pPr>
            <w:r>
              <w:rPr>
                <w:b/>
                <w:bCs/>
                <w:sz w:val="18"/>
                <w:szCs w:val="18"/>
              </w:rPr>
              <w:t>Nine Months Ended September 30</w:t>
            </w:r>
            <w:r>
              <w:rPr>
                <w:b/>
                <w:bCs/>
                <w:sz w:val="18"/>
                <w:szCs w:val="18"/>
              </w:rPr>
              <w: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A32496">
            <w:pPr>
              <w:pStyle w:val="a3"/>
              <w:spacing w:before="0" w:beforeAutospacing="0" w:after="0" w:afterAutospacing="0"/>
              <w:rPr>
                <w:sz w:val="18"/>
                <w:szCs w:val="18"/>
              </w:rPr>
            </w:pPr>
            <w:r>
              <w:rPr>
                <w:b/>
                <w:bCs/>
                <w:sz w:val="18"/>
                <w:szCs w:val="18"/>
              </w:rPr>
              <w:t>(in thousands</w:t>
            </w:r>
            <w:r>
              <w:rPr>
                <w:b/>
                <w:bCs/>
                <w:sz w:val="18"/>
                <w:szCs w:val="18"/>
              </w:rPr>
              <w:t>)</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rPr>
                <w:sz w:val="18"/>
                <w:szCs w:val="18"/>
              </w:rPr>
            </w:pPr>
            <w:r>
              <w:rPr>
                <w:b/>
                <w:bCs/>
                <w:sz w:val="18"/>
                <w:szCs w:val="18"/>
              </w:rPr>
              <w:t>Consolidated Statement of Cash Flows Data</w:t>
            </w:r>
            <w:r>
              <w:rPr>
                <w:b/>
                <w:bCs/>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Net cash provided by operating activitie</w:t>
            </w:r>
            <w:r>
              <w:rPr>
                <w:sz w:val="18"/>
                <w:szCs w:val="18"/>
              </w:rPr>
              <w:t>s</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8,16</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13,70</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Net cash used in investing activitie</w:t>
            </w:r>
            <w:r>
              <w:rPr>
                <w:sz w:val="18"/>
                <w:szCs w:val="18"/>
              </w:rPr>
              <w:t>s</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(27,31</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(50,68</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A32496">
            <w:pPr>
              <w:pStyle w:val="a3"/>
              <w:spacing w:before="0" w:beforeAutospacing="0" w:after="0" w:afterAutospacing="0"/>
              <w:rPr>
                <w:sz w:val="18"/>
                <w:szCs w:val="18"/>
              </w:rPr>
            </w:pPr>
            <w:r>
              <w:rPr>
                <w:sz w:val="18"/>
                <w:szCs w:val="18"/>
              </w:rPr>
              <w:t>Net cash (used in) provided by financing activitie</w:t>
            </w:r>
            <w:r>
              <w:rPr>
                <w:sz w:val="18"/>
                <w:szCs w:val="18"/>
              </w:rPr>
              <w:t>s</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(34,05</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17,74</w:t>
            </w:r>
            <w:r>
              <w:rPr>
                <w:sz w:val="18"/>
                <w:szCs w:val="18"/>
              </w:rPr>
              <w:t>8</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rPr>
                <w:sz w:val="18"/>
                <w:szCs w:val="18"/>
              </w:rPr>
            </w:pPr>
            <w:r>
              <w:rPr>
                <w:b/>
                <w:bCs/>
                <w:sz w:val="18"/>
                <w:szCs w:val="18"/>
              </w:rPr>
              <w:t>Change in cash, cash equivalents and restricted cas</w:t>
            </w:r>
            <w:r>
              <w:rPr>
                <w:b/>
                <w:bCs/>
                <w:sz w:val="18"/>
                <w:szCs w:val="18"/>
              </w:rPr>
              <w:t>h</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b/>
                <w:bCs/>
                <w:sz w:val="18"/>
                <w:szCs w:val="18"/>
              </w:rPr>
              <w:t>(53,20</w:t>
            </w:r>
            <w:r>
              <w:rPr>
                <w:b/>
                <w:bCs/>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A32496">
            <w:pPr>
              <w:pStyle w:val="a3"/>
              <w:spacing w:before="0" w:beforeAutospacing="0" w:after="0" w:afterAutospacing="0"/>
              <w:jc w:val="right"/>
              <w:rPr>
                <w:sz w:val="18"/>
                <w:szCs w:val="18"/>
              </w:rPr>
            </w:pPr>
            <w:r>
              <w:rPr>
                <w:b/>
                <w:bCs/>
                <w:sz w:val="18"/>
                <w:szCs w:val="18"/>
              </w:rPr>
              <w:t>(19,23</w:t>
            </w:r>
            <w:r>
              <w:rPr>
                <w:b/>
                <w:bCs/>
                <w:sz w:val="18"/>
                <w:szCs w:val="18"/>
              </w:rPr>
              <w:t>2</w:t>
            </w:r>
          </w:p>
        </w:tc>
        <w:tc>
          <w:tcPr>
            <w:tcW w:w="0" w:type="auto"/>
            <w:noWrap/>
            <w:vAlign w:val="bottom"/>
            <w:hideMark/>
          </w:tcPr>
          <w:p w:rsidR="00000000" w:rsidRDefault="00A32496">
            <w:pPr>
              <w:pStyle w:val="a3"/>
              <w:spacing w:before="0" w:beforeAutospacing="0" w:after="0" w:afterAutospacing="0"/>
              <w:rPr>
                <w:sz w:val="18"/>
                <w:szCs w:val="18"/>
              </w:rPr>
            </w:pPr>
            <w:r>
              <w:rPr>
                <w:b/>
                <w:bCs/>
                <w:sz w:val="18"/>
                <w:szCs w:val="18"/>
              </w:rPr>
              <w:t>)</w:t>
            </w:r>
          </w:p>
        </w:tc>
      </w:tr>
    </w:tbl>
    <w:p w:rsidR="00000000" w:rsidRDefault="00A32496">
      <w:pPr>
        <w:pStyle w:val="a3"/>
        <w:spacing w:before="360" w:beforeAutospacing="0" w:after="0" w:afterAutospacing="0"/>
        <w:ind w:left="476"/>
        <w:rPr>
          <w:sz w:val="20"/>
          <w:szCs w:val="20"/>
        </w:rPr>
      </w:pPr>
      <w:r>
        <w:rPr>
          <w:b/>
          <w:bCs/>
          <w:i/>
          <w:iCs/>
          <w:sz w:val="20"/>
          <w:szCs w:val="20"/>
        </w:rPr>
        <w:t>Operating Activitie</w:t>
      </w:r>
      <w:r>
        <w:rPr>
          <w:b/>
          <w:bCs/>
          <w:i/>
          <w:iCs/>
          <w:sz w:val="20"/>
          <w:szCs w:val="20"/>
        </w:rPr>
        <w:t>s</w:t>
      </w:r>
    </w:p>
    <w:p w:rsidR="00000000" w:rsidRDefault="00A32496">
      <w:pPr>
        <w:pStyle w:val="a3"/>
        <w:spacing w:before="120" w:beforeAutospacing="0" w:after="0" w:afterAutospacing="0"/>
        <w:ind w:firstLine="555"/>
        <w:rPr>
          <w:sz w:val="20"/>
          <w:szCs w:val="20"/>
        </w:rPr>
      </w:pPr>
      <w:r>
        <w:rPr>
          <w:sz w:val="20"/>
          <w:szCs w:val="20"/>
        </w:rPr>
        <w:t>Cash flows from operating activities can fluctuate from period-to-period as earnings, working capital needs and the timing of payments for contingent consideration, taxes, bonus payments and other operating items impact reported cash f</w:t>
      </w:r>
      <w:r>
        <w:rPr>
          <w:sz w:val="20"/>
          <w:szCs w:val="20"/>
        </w:rPr>
        <w:t>lows</w:t>
      </w:r>
      <w:r>
        <w:rPr>
          <w:sz w:val="20"/>
          <w:szCs w:val="20"/>
        </w:rPr>
        <w:t>.</w:t>
      </w:r>
      <w:r>
        <w:rPr>
          <w:sz w:val="20"/>
          <w:szCs w:val="20"/>
        </w:rPr>
        <w:t xml:space="preserve"> </w:t>
      </w:r>
    </w:p>
    <w:p w:rsidR="00000000" w:rsidRDefault="00A32496">
      <w:pPr>
        <w:pStyle w:val="a3"/>
        <w:spacing w:before="240" w:beforeAutospacing="0" w:after="0" w:afterAutospacing="0"/>
        <w:ind w:firstLine="555"/>
        <w:rPr>
          <w:sz w:val="20"/>
          <w:szCs w:val="20"/>
        </w:rPr>
      </w:pPr>
      <w:r>
        <w:rPr>
          <w:sz w:val="20"/>
          <w:szCs w:val="20"/>
        </w:rPr>
        <w:t>For the nine months ended September 30, 2022, net cash provided by operating activities was $8.2 million compared to net cash provided by operating activities of $13.7 million for the nine months ended September 30, 2021. Cash provided by operations</w:t>
      </w:r>
      <w:r>
        <w:rPr>
          <w:sz w:val="20"/>
          <w:szCs w:val="20"/>
        </w:rPr>
        <w:t xml:space="preserve"> includes payment of contingent consideration of $19.5 million and $15.5 million in the nine months ended September 30, 2022 and September 30, 2021, respectively. Excluding payment of contingent consideration, cash provided by operating activities was $27.</w:t>
      </w:r>
      <w:r>
        <w:rPr>
          <w:sz w:val="20"/>
          <w:szCs w:val="20"/>
        </w:rPr>
        <w:t>7 million for the nine months ended September 30, 2022, compared to cash provided by operating activities of $29.2 million in the prior year, a decrease of $1.5 million. The period-over-period decrease, excluding the impact of contingent consideration, was</w:t>
      </w:r>
      <w:r>
        <w:rPr>
          <w:sz w:val="20"/>
          <w:szCs w:val="20"/>
        </w:rPr>
        <w:t xml:space="preserve"> primarily du</w:t>
      </w:r>
      <w:r>
        <w:rPr>
          <w:sz w:val="20"/>
          <w:szCs w:val="20"/>
        </w:rPr>
        <w:t>e</w:t>
      </w:r>
      <w:r>
        <w:rPr>
          <w:sz w:val="20"/>
          <w:szCs w:val="20"/>
        </w:rPr>
        <w:t xml:space="preserve"> </w:t>
      </w:r>
    </w:p>
    <w:p w:rsidR="00000000" w:rsidRDefault="00A32496">
      <w:pPr>
        <w:pStyle w:val="a3"/>
        <w:spacing w:before="240" w:beforeAutospacing="0" w:after="0" w:afterAutospacing="0"/>
        <w:jc w:val="center"/>
        <w:rPr>
          <w:sz w:val="20"/>
          <w:szCs w:val="20"/>
        </w:rPr>
      </w:pPr>
      <w:r>
        <w:rPr>
          <w:sz w:val="20"/>
          <w:szCs w:val="20"/>
        </w:rPr>
        <w:t>4</w:t>
      </w:r>
      <w:r>
        <w:rPr>
          <w:sz w:val="20"/>
          <w:szCs w:val="20"/>
        </w:rPr>
        <w:t>4</w:t>
      </w:r>
    </w:p>
    <w:p w:rsidR="00000000" w:rsidRDefault="00A32496">
      <w:pPr>
        <w:rPr>
          <w:rFonts w:eastAsia="Times New Roman"/>
        </w:rPr>
      </w:pPr>
      <w:r>
        <w:rPr>
          <w:rFonts w:eastAsia="Times New Roman"/>
        </w:rPr>
        <w:pict>
          <v:rect id="_x0000_i1070" style="width:0;height:1.5pt" o:hralign="center" o:hrstd="t" o:hr="t" fillcolor="#a0a0a0" stroked="f"/>
        </w:pict>
      </w:r>
    </w:p>
    <w:p w:rsidR="00000000" w:rsidRDefault="00A32496">
      <w:pPr>
        <w:pStyle w:val="a3"/>
        <w:spacing w:before="0" w:beforeAutospacing="0" w:after="0" w:afterAutospacing="0"/>
        <w:rPr>
          <w:sz w:val="20"/>
          <w:szCs w:val="20"/>
        </w:rPr>
      </w:pPr>
      <w:r>
        <w:rPr>
          <w:sz w:val="20"/>
          <w:szCs w:val="20"/>
        </w:rPr>
        <w:t> </w:t>
      </w:r>
    </w:p>
    <w:p w:rsidR="00000000" w:rsidRDefault="00A32496">
      <w:pPr>
        <w:pStyle w:val="a3"/>
        <w:spacing w:before="240" w:beforeAutospacing="0" w:after="0" w:afterAutospacing="0"/>
        <w:rPr>
          <w:sz w:val="20"/>
          <w:szCs w:val="20"/>
        </w:rPr>
      </w:pPr>
      <w:r>
        <w:rPr>
          <w:sz w:val="20"/>
          <w:szCs w:val="20"/>
        </w:rPr>
        <w:t>to lower earnings before non-cash items of $6.0 million, partially offset by an increase in working capital in the current year of $13.4 million versus an increase in working capital in the prior year of $17.6 million</w:t>
      </w:r>
      <w:r>
        <w:rPr>
          <w:sz w:val="20"/>
          <w:szCs w:val="20"/>
        </w:rPr>
        <w:t>.</w:t>
      </w:r>
    </w:p>
    <w:p w:rsidR="00000000" w:rsidRDefault="00A32496">
      <w:pPr>
        <w:pStyle w:val="a3"/>
        <w:spacing w:before="240" w:beforeAutospacing="0" w:after="0" w:afterAutospacing="0"/>
        <w:ind w:firstLine="555"/>
        <w:rPr>
          <w:sz w:val="20"/>
          <w:szCs w:val="20"/>
        </w:rPr>
      </w:pPr>
      <w:r>
        <w:rPr>
          <w:sz w:val="20"/>
          <w:szCs w:val="20"/>
        </w:rPr>
        <w:t>Working capital increased by $13.4 mi</w:t>
      </w:r>
      <w:r>
        <w:rPr>
          <w:sz w:val="20"/>
          <w:szCs w:val="20"/>
        </w:rPr>
        <w:t>llion in the nine months ended September 30, 2022, primarily due to a decrease in accounts payable and other accrued liabilities of $12.9 million, (as a result of the timing of vendor payments and lower contract liabilities due to the timing of project com</w:t>
      </w:r>
      <w:r>
        <w:rPr>
          <w:sz w:val="20"/>
          <w:szCs w:val="20"/>
        </w:rPr>
        <w:t>pletion), a decrease in accrued payroll and benefits of $6.4 million, and an increase in prepaid expenses and other current assets of $1.4 million, partially offset by a decrease in accounts receivable and contract assets of $7.3 million. The increase in w</w:t>
      </w:r>
      <w:r>
        <w:rPr>
          <w:sz w:val="20"/>
          <w:szCs w:val="20"/>
        </w:rPr>
        <w:t>orking capital of $17.6 million in the nine months ended September 30, 2021, was driven by an increase in accounts receivable and contract assets of $12.5 million (as a result of significantly higher revenues in the three months ended September 30, 2021 wh</w:t>
      </w:r>
      <w:r>
        <w:rPr>
          <w:sz w:val="20"/>
          <w:szCs w:val="20"/>
        </w:rPr>
        <w:t>en compared to the three months ended December 31, 2020), a decrease in accounts payable and other accrued liabilities of $3.4 million and an increase in prepaid expenses and other current assets of $1.8 million</w:t>
      </w:r>
      <w:r>
        <w:rPr>
          <w:sz w:val="20"/>
          <w:szCs w:val="20"/>
        </w:rPr>
        <w:t>.</w:t>
      </w:r>
    </w:p>
    <w:p w:rsidR="00000000" w:rsidRDefault="00A32496">
      <w:pPr>
        <w:pStyle w:val="a3"/>
        <w:spacing w:before="360" w:beforeAutospacing="0" w:after="0" w:afterAutospacing="0"/>
        <w:ind w:firstLine="555"/>
        <w:rPr>
          <w:sz w:val="20"/>
          <w:szCs w:val="20"/>
        </w:rPr>
      </w:pPr>
      <w:r>
        <w:rPr>
          <w:b/>
          <w:bCs/>
          <w:i/>
          <w:iCs/>
          <w:sz w:val="20"/>
          <w:szCs w:val="20"/>
        </w:rPr>
        <w:t>Investing Activitie</w:t>
      </w:r>
      <w:r>
        <w:rPr>
          <w:b/>
          <w:bCs/>
          <w:i/>
          <w:iCs/>
          <w:sz w:val="20"/>
          <w:szCs w:val="20"/>
        </w:rPr>
        <w:t>s</w:t>
      </w:r>
    </w:p>
    <w:p w:rsidR="00000000" w:rsidRDefault="00A32496">
      <w:pPr>
        <w:pStyle w:val="a3"/>
        <w:spacing w:before="120" w:beforeAutospacing="0" w:after="0" w:afterAutospacing="0"/>
        <w:ind w:firstLine="555"/>
        <w:rPr>
          <w:sz w:val="20"/>
          <w:szCs w:val="20"/>
        </w:rPr>
      </w:pPr>
      <w:r>
        <w:rPr>
          <w:sz w:val="20"/>
          <w:szCs w:val="20"/>
        </w:rPr>
        <w:t>For the nine months en</w:t>
      </w:r>
      <w:r>
        <w:rPr>
          <w:sz w:val="20"/>
          <w:szCs w:val="20"/>
        </w:rPr>
        <w:t>ded September 30, 2022, net cash used in investing activities was $27.3 million, primarily driven by cash paid for the acquisitions of EnvStd, IAG, Triad and AirKinetics net of cash acquired, of $21.3 million, as well as purchases of property and equipment</w:t>
      </w:r>
      <w:r>
        <w:rPr>
          <w:sz w:val="20"/>
          <w:szCs w:val="20"/>
        </w:rPr>
        <w:t xml:space="preserve"> for cash consideration of $5.4 million and payment of assumed purchase price obligations of $0.4 million</w:t>
      </w:r>
      <w:r>
        <w:rPr>
          <w:sz w:val="20"/>
          <w:szCs w:val="20"/>
        </w:rPr>
        <w:t>.</w:t>
      </w:r>
    </w:p>
    <w:p w:rsidR="00000000" w:rsidRDefault="00A32496">
      <w:pPr>
        <w:pStyle w:val="a3"/>
        <w:spacing w:before="240" w:beforeAutospacing="0" w:after="0" w:afterAutospacing="0"/>
        <w:ind w:firstLine="555"/>
        <w:rPr>
          <w:sz w:val="20"/>
          <w:szCs w:val="20"/>
        </w:rPr>
      </w:pPr>
      <w:r>
        <w:rPr>
          <w:sz w:val="20"/>
          <w:szCs w:val="20"/>
        </w:rPr>
        <w:t>For the nine months ended September 30, 2021, net cash used in investing activities was $50.7 million, primarily driven by cash paid for the acquisit</w:t>
      </w:r>
      <w:r>
        <w:rPr>
          <w:sz w:val="20"/>
          <w:szCs w:val="20"/>
        </w:rPr>
        <w:t>ions of MSE, Vista, EI and Sensible, net of cash acquired, of $36.5 million, as well as payment of assumed purchase price obligations of $8.6 million, and purchases of property and equipment for cash consideration of $5.4 million</w:t>
      </w:r>
      <w:r>
        <w:rPr>
          <w:sz w:val="20"/>
          <w:szCs w:val="20"/>
        </w:rPr>
        <w:t>.</w:t>
      </w:r>
    </w:p>
    <w:p w:rsidR="00000000" w:rsidRDefault="00A32496">
      <w:pPr>
        <w:pStyle w:val="a3"/>
        <w:spacing w:before="360" w:beforeAutospacing="0" w:after="0" w:afterAutospacing="0"/>
        <w:ind w:left="476"/>
        <w:rPr>
          <w:sz w:val="20"/>
          <w:szCs w:val="20"/>
        </w:rPr>
      </w:pPr>
      <w:r>
        <w:rPr>
          <w:b/>
          <w:bCs/>
          <w:i/>
          <w:iCs/>
          <w:sz w:val="20"/>
          <w:szCs w:val="20"/>
        </w:rPr>
        <w:t>Financing Activitie</w:t>
      </w:r>
      <w:r>
        <w:rPr>
          <w:b/>
          <w:bCs/>
          <w:i/>
          <w:iCs/>
          <w:sz w:val="20"/>
          <w:szCs w:val="20"/>
        </w:rPr>
        <w:t>s</w:t>
      </w:r>
    </w:p>
    <w:p w:rsidR="00000000" w:rsidRDefault="00A32496">
      <w:pPr>
        <w:pStyle w:val="a3"/>
        <w:spacing w:before="120" w:beforeAutospacing="0" w:after="0" w:afterAutospacing="0"/>
        <w:ind w:firstLine="555"/>
        <w:rPr>
          <w:sz w:val="20"/>
          <w:szCs w:val="20"/>
        </w:rPr>
      </w:pPr>
      <w:r>
        <w:rPr>
          <w:sz w:val="20"/>
          <w:szCs w:val="20"/>
        </w:rPr>
        <w:t xml:space="preserve">For </w:t>
      </w:r>
      <w:r>
        <w:rPr>
          <w:sz w:val="20"/>
          <w:szCs w:val="20"/>
        </w:rPr>
        <w:t>the nine months ended September 30, 2022, net cash used in financing activities was $34.1 million. Cash used in financing activities was driven by the payment of the quarterly dividends on the Series A-2 preferred stock of $12.3 million, the payment of acq</w:t>
      </w:r>
      <w:r>
        <w:rPr>
          <w:sz w:val="20"/>
          <w:szCs w:val="20"/>
        </w:rPr>
        <w:t>uisition-related contingent consideration of $10.7 million, term loan amortization payments of $8.8 million related to our 2021 Credit Facility, and the repayment of finance leases of $2.9 million, partially offset by proceeds received from the exercise of</w:t>
      </w:r>
      <w:r>
        <w:rPr>
          <w:sz w:val="20"/>
          <w:szCs w:val="20"/>
        </w:rPr>
        <w:t xml:space="preserve"> stock options of $0.8 million</w:t>
      </w:r>
      <w:r>
        <w:rPr>
          <w:sz w:val="20"/>
          <w:szCs w:val="20"/>
        </w:rPr>
        <w:t>.</w:t>
      </w:r>
    </w:p>
    <w:p w:rsidR="00000000" w:rsidRDefault="00A32496">
      <w:pPr>
        <w:pStyle w:val="a3"/>
        <w:spacing w:before="240" w:beforeAutospacing="0" w:after="0" w:afterAutospacing="0"/>
        <w:ind w:firstLine="555"/>
        <w:rPr>
          <w:sz w:val="20"/>
          <w:szCs w:val="20"/>
        </w:rPr>
      </w:pPr>
      <w:r>
        <w:rPr>
          <w:sz w:val="20"/>
          <w:szCs w:val="20"/>
        </w:rPr>
        <w:t>For the nine months ended September 30, 2021, net cash provided in financing activities was $17.7 million. Cash provided by financing activities was driven by borrowings under the 2021 Credit Facility, consisting of $175.0 m</w:t>
      </w:r>
      <w:r>
        <w:rPr>
          <w:sz w:val="20"/>
          <w:szCs w:val="20"/>
        </w:rPr>
        <w:t>illion under the term loan and $37.0 million under the revolver, and proceeds received from the exercise of stock options of $6.0 million, partially offset by the use of proceeds from the 2021 Credit Facility to repay the $213.4 million outstanding under t</w:t>
      </w:r>
      <w:r>
        <w:rPr>
          <w:sz w:val="20"/>
          <w:szCs w:val="20"/>
        </w:rPr>
        <w:t>he 2020 Credit Facility, the payment of the quarterly dividend on the Series A-2 preferred stock of $12.3 million, the payment of acquisition-related contingent consideration of $9.6 million, and the repayment of finance leases of $1.9 million</w:t>
      </w:r>
      <w:r>
        <w:rPr>
          <w:sz w:val="20"/>
          <w:szCs w:val="20"/>
        </w:rPr>
        <w:t>.</w:t>
      </w:r>
    </w:p>
    <w:p w:rsidR="00000000" w:rsidRDefault="00A32496">
      <w:pPr>
        <w:pStyle w:val="a3"/>
        <w:spacing w:before="360" w:beforeAutospacing="0" w:after="0" w:afterAutospacing="0"/>
        <w:ind w:left="476"/>
        <w:rPr>
          <w:sz w:val="20"/>
          <w:szCs w:val="20"/>
        </w:rPr>
      </w:pPr>
      <w:r>
        <w:rPr>
          <w:b/>
          <w:bCs/>
          <w:i/>
          <w:iCs/>
          <w:sz w:val="20"/>
          <w:szCs w:val="20"/>
        </w:rPr>
        <w:t>Credit Faci</w:t>
      </w:r>
      <w:r>
        <w:rPr>
          <w:b/>
          <w:bCs/>
          <w:i/>
          <w:iCs/>
          <w:sz w:val="20"/>
          <w:szCs w:val="20"/>
        </w:rPr>
        <w:t>litie</w:t>
      </w:r>
      <w:r>
        <w:rPr>
          <w:b/>
          <w:bCs/>
          <w:i/>
          <w:iCs/>
          <w:sz w:val="20"/>
          <w:szCs w:val="20"/>
        </w:rPr>
        <w:t>s</w:t>
      </w:r>
    </w:p>
    <w:p w:rsidR="00000000" w:rsidRDefault="00A32496">
      <w:pPr>
        <w:pStyle w:val="a3"/>
        <w:spacing w:before="120" w:beforeAutospacing="0" w:after="0" w:afterAutospacing="0"/>
        <w:ind w:firstLine="555"/>
        <w:rPr>
          <w:sz w:val="20"/>
          <w:szCs w:val="20"/>
        </w:rPr>
      </w:pPr>
      <w:r>
        <w:rPr>
          <w:b/>
          <w:bCs/>
          <w:i/>
          <w:iCs/>
          <w:sz w:val="20"/>
          <w:szCs w:val="20"/>
        </w:rPr>
        <w:t>2021 Credit Facilit</w:t>
      </w:r>
      <w:r>
        <w:rPr>
          <w:b/>
          <w:bCs/>
          <w:i/>
          <w:iCs/>
          <w:sz w:val="20"/>
          <w:szCs w:val="20"/>
        </w:rPr>
        <w:t>y</w:t>
      </w:r>
    </w:p>
    <w:p w:rsidR="00000000" w:rsidRDefault="00A32496">
      <w:pPr>
        <w:pStyle w:val="a3"/>
        <w:spacing w:before="120" w:beforeAutospacing="0" w:after="0" w:afterAutospacing="0"/>
        <w:ind w:firstLine="555"/>
        <w:rPr>
          <w:sz w:val="20"/>
          <w:szCs w:val="20"/>
        </w:rPr>
      </w:pPr>
      <w:r>
        <w:rPr>
          <w:sz w:val="20"/>
          <w:szCs w:val="20"/>
        </w:rPr>
        <w:t>On April 27, 2021, we entered into a Senior Secured Credit Agreement, or the 2021 Credit Facility, providing for a $300.0 million credit facility comprised of a $175.0 million term loan and a $125.0 million revolving credit faci</w:t>
      </w:r>
      <w:r>
        <w:rPr>
          <w:sz w:val="20"/>
          <w:szCs w:val="20"/>
        </w:rPr>
        <w:t>lity, and used a portion of the proceeds to repay all amounts outstanding under the 2020 Credit Facility. The 2021 revolving credit facility includes a $20.0 million sublimit for the issuance of letters of credit. Subject to certain exceptions, all amounts</w:t>
      </w:r>
      <w:r>
        <w:rPr>
          <w:sz w:val="20"/>
          <w:szCs w:val="20"/>
        </w:rPr>
        <w:t xml:space="preserve"> under the 2021 Credit Facility will become due on April 27, 2026. We have the option to borrow incremental term loans or request an increase in the aggregate commitments under the revolving credit facility up to an aggregate amount of $150.0 million subje</w:t>
      </w:r>
      <w:r>
        <w:rPr>
          <w:sz w:val="20"/>
          <w:szCs w:val="20"/>
        </w:rPr>
        <w:t>ct to the satisfaction of certain conditions</w:t>
      </w:r>
      <w:r>
        <w:rPr>
          <w:sz w:val="20"/>
          <w:szCs w:val="20"/>
        </w:rPr>
        <w:t>.</w:t>
      </w:r>
      <w:r>
        <w:rPr>
          <w:sz w:val="20"/>
          <w:szCs w:val="20"/>
        </w:rPr>
        <w:t xml:space="preserve"> </w:t>
      </w:r>
    </w:p>
    <w:p w:rsidR="00000000" w:rsidRDefault="00A32496">
      <w:pPr>
        <w:pStyle w:val="a3"/>
        <w:spacing w:before="240" w:beforeAutospacing="0" w:after="0" w:afterAutospacing="0"/>
        <w:ind w:firstLine="555"/>
        <w:rPr>
          <w:sz w:val="20"/>
          <w:szCs w:val="20"/>
        </w:rPr>
      </w:pPr>
      <w:r>
        <w:rPr>
          <w:sz w:val="20"/>
          <w:szCs w:val="20"/>
        </w:rPr>
        <w:t>The 2021 Credit Facility term loan must be repaid in quarterly installments. See Note 12 to our unaudited condensed consolidated financial statements included in Part I, Item 1. “Financial Statements.</w:t>
      </w:r>
      <w:r>
        <w:rPr>
          <w:sz w:val="20"/>
          <w:szCs w:val="20"/>
        </w:rPr>
        <w:t>”</w:t>
      </w:r>
    </w:p>
    <w:p w:rsidR="00000000" w:rsidRDefault="00A32496">
      <w:pPr>
        <w:pStyle w:val="a3"/>
        <w:spacing w:before="240" w:beforeAutospacing="0" w:after="0" w:afterAutospacing="0"/>
        <w:ind w:firstLine="555"/>
        <w:rPr>
          <w:sz w:val="20"/>
          <w:szCs w:val="20"/>
        </w:rPr>
      </w:pPr>
      <w:r>
        <w:rPr>
          <w:sz w:val="20"/>
          <w:szCs w:val="20"/>
        </w:rPr>
        <w:t>The 202</w:t>
      </w:r>
      <w:r>
        <w:rPr>
          <w:sz w:val="20"/>
          <w:szCs w:val="20"/>
        </w:rPr>
        <w:t>1 Credit Facility term loan and the revolver bear interest subject to the Company’s leverage ratio and LIBOR as follows</w:t>
      </w:r>
      <w:r>
        <w:rPr>
          <w:sz w:val="20"/>
          <w:szCs w:val="20"/>
        </w:rPr>
        <w:t>:</w:t>
      </w:r>
    </w:p>
    <w:p w:rsidR="00000000" w:rsidRDefault="00A32496">
      <w:pPr>
        <w:pStyle w:val="a3"/>
        <w:spacing w:before="0" w:beforeAutospacing="0" w:after="0" w:afterAutospacing="0"/>
        <w:ind w:firstLine="555"/>
        <w:rPr>
          <w:sz w:val="20"/>
          <w:szCs w:val="20"/>
        </w:rPr>
      </w:pPr>
      <w:r>
        <w:rPr>
          <w:sz w:val="20"/>
          <w:szCs w:val="20"/>
        </w:rPr>
        <w:t> </w:t>
      </w:r>
    </w:p>
    <w:p w:rsidR="00000000" w:rsidRDefault="00A32496">
      <w:pPr>
        <w:pStyle w:val="a3"/>
        <w:spacing w:before="240" w:beforeAutospacing="0" w:after="0" w:afterAutospacing="0"/>
        <w:jc w:val="center"/>
        <w:rPr>
          <w:sz w:val="20"/>
          <w:szCs w:val="20"/>
        </w:rPr>
      </w:pPr>
      <w:r>
        <w:rPr>
          <w:sz w:val="20"/>
          <w:szCs w:val="20"/>
        </w:rPr>
        <w:t>4</w:t>
      </w:r>
      <w:r>
        <w:rPr>
          <w:sz w:val="20"/>
          <w:szCs w:val="20"/>
        </w:rPr>
        <w:t>5</w:t>
      </w:r>
    </w:p>
    <w:p w:rsidR="00000000" w:rsidRDefault="00A32496">
      <w:pPr>
        <w:rPr>
          <w:rFonts w:eastAsia="Times New Roman"/>
        </w:rPr>
      </w:pPr>
      <w:r>
        <w:rPr>
          <w:rFonts w:eastAsia="Times New Roman"/>
        </w:rPr>
        <w:pict>
          <v:rect id="_x0000_i1071" style="width:0;height:1.5pt" o:hralign="center" o:hrstd="t" o:hr="t" fillcolor="#a0a0a0" stroked="f"/>
        </w:pict>
      </w:r>
    </w:p>
    <w:p w:rsidR="00000000" w:rsidRDefault="00A32496">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62"/>
        <w:gridCol w:w="105"/>
        <w:gridCol w:w="1739"/>
        <w:gridCol w:w="105"/>
        <w:gridCol w:w="106"/>
        <w:gridCol w:w="651"/>
        <w:gridCol w:w="105"/>
        <w:gridCol w:w="210"/>
        <w:gridCol w:w="106"/>
        <w:gridCol w:w="651"/>
        <w:gridCol w:w="105"/>
        <w:gridCol w:w="210"/>
        <w:gridCol w:w="126"/>
        <w:gridCol w:w="954"/>
        <w:gridCol w:w="105"/>
        <w:gridCol w:w="210"/>
        <w:gridCol w:w="106"/>
        <w:gridCol w:w="520"/>
        <w:gridCol w:w="105"/>
        <w:gridCol w:w="225"/>
      </w:tblGrid>
      <w:tr w:rsidR="00000000">
        <w:trPr>
          <w:tblCellSpacing w:w="15" w:type="dxa"/>
        </w:trPr>
        <w:tc>
          <w:tcPr>
            <w:tcW w:w="1213" w:type="pct"/>
            <w:vAlign w:val="center"/>
            <w:hideMark/>
          </w:tcPr>
          <w:p w:rsidR="00000000" w:rsidRDefault="00A32496">
            <w:pPr>
              <w:rPr>
                <w:sz w:val="20"/>
                <w:szCs w:val="20"/>
              </w:rPr>
            </w:pPr>
          </w:p>
        </w:tc>
        <w:tc>
          <w:tcPr>
            <w:tcW w:w="58" w:type="pct"/>
            <w:vAlign w:val="center"/>
            <w:hideMark/>
          </w:tcPr>
          <w:p w:rsidR="00000000" w:rsidRDefault="00A32496">
            <w:pPr>
              <w:rPr>
                <w:rFonts w:eastAsia="Times New Roman"/>
                <w:sz w:val="20"/>
                <w:szCs w:val="20"/>
              </w:rPr>
            </w:pPr>
          </w:p>
        </w:tc>
        <w:tc>
          <w:tcPr>
            <w:tcW w:w="1159" w:type="pct"/>
            <w:vAlign w:val="center"/>
            <w:hideMark/>
          </w:tcPr>
          <w:p w:rsidR="00000000" w:rsidRDefault="00A32496">
            <w:pPr>
              <w:rPr>
                <w:rFonts w:eastAsia="Times New Roman"/>
                <w:sz w:val="20"/>
                <w:szCs w:val="20"/>
              </w:rPr>
            </w:pPr>
          </w:p>
        </w:tc>
        <w:tc>
          <w:tcPr>
            <w:tcW w:w="48"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454"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69"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454"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69"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482"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69"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449" w:type="pct"/>
            <w:vAlign w:val="center"/>
            <w:hideMark/>
          </w:tcPr>
          <w:p w:rsidR="00000000" w:rsidRDefault="00A32496">
            <w:pPr>
              <w:rPr>
                <w:rFonts w:eastAsia="Times New Roman"/>
                <w:sz w:val="20"/>
                <w:szCs w:val="20"/>
              </w:rPr>
            </w:pPr>
          </w:p>
        </w:tc>
        <w:tc>
          <w:tcPr>
            <w:tcW w:w="50" w:type="pct"/>
            <w:vAlign w:val="center"/>
            <w:hideMark/>
          </w:tcPr>
          <w:p w:rsidR="00000000" w:rsidRDefault="00A32496">
            <w:pPr>
              <w:rPr>
                <w:rFonts w:eastAsia="Times New Roman"/>
                <w:sz w:val="20"/>
                <w:szCs w:val="20"/>
              </w:rPr>
            </w:pPr>
          </w:p>
        </w:tc>
        <w:tc>
          <w:tcPr>
            <w:tcW w:w="69" w:type="pct"/>
            <w:vAlign w:val="center"/>
            <w:hideMark/>
          </w:tcPr>
          <w:p w:rsidR="00000000" w:rsidRDefault="00A32496">
            <w:pPr>
              <w:rPr>
                <w:rFonts w:eastAsia="Times New Roman"/>
                <w:sz w:val="20"/>
                <w:szCs w:val="20"/>
              </w:rPr>
            </w:pPr>
          </w:p>
        </w:tc>
      </w:tr>
      <w:tr w:rsidR="00000000">
        <w:trPr>
          <w:trHeight w:val="180"/>
          <w:tblCellSpacing w:w="15" w:type="dxa"/>
        </w:trPr>
        <w:tc>
          <w:tcPr>
            <w:tcW w:w="0" w:type="auto"/>
            <w:vAlign w:val="bottom"/>
            <w:hideMark/>
          </w:tcPr>
          <w:p w:rsidR="00000000" w:rsidRDefault="00A32496">
            <w:pPr>
              <w:pStyle w:val="a3"/>
              <w:spacing w:before="0" w:beforeAutospacing="0" w:after="0" w:afterAutospacing="0"/>
              <w:jc w:val="center"/>
              <w:rPr>
                <w:sz w:val="18"/>
                <w:szCs w:val="18"/>
              </w:rPr>
            </w:pPr>
            <w:r>
              <w:rPr>
                <w:b/>
                <w:bCs/>
                <w:sz w:val="18"/>
                <w:szCs w:val="18"/>
              </w:rPr>
              <w:t>Pricing Tie</w:t>
            </w:r>
            <w:r>
              <w:rPr>
                <w:b/>
                <w:bCs/>
                <w:sz w:val="18"/>
                <w:szCs w:val="18"/>
              </w:rPr>
              <w:t>r</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18"/>
                <w:szCs w:val="18"/>
              </w:rPr>
            </w:pPr>
            <w:r>
              <w:rPr>
                <w:b/>
                <w:bCs/>
                <w:sz w:val="18"/>
                <w:szCs w:val="18"/>
              </w:rPr>
              <w:t>Consolidated</w:t>
            </w:r>
            <w:r>
              <w:rPr>
                <w:b/>
                <w:bCs/>
                <w:sz w:val="18"/>
                <w:szCs w:val="18"/>
              </w:rPr>
              <w:br/>
              <w:t>Leverage Rati</w:t>
            </w:r>
            <w:r>
              <w:rPr>
                <w:b/>
                <w:bCs/>
                <w:sz w:val="18"/>
                <w:szCs w:val="18"/>
              </w:rPr>
              <w:t>o</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 xml:space="preserve">Senior Credit Facilities </w:t>
            </w:r>
            <w:r>
              <w:rPr>
                <w:b/>
                <w:bCs/>
                <w:sz w:val="18"/>
                <w:szCs w:val="18"/>
              </w:rPr>
              <w:br/>
              <w:t>LIBO</w:t>
            </w:r>
            <w:r>
              <w:rPr>
                <w:b/>
                <w:bCs/>
                <w:sz w:val="18"/>
                <w:szCs w:val="18"/>
              </w:rPr>
              <w:t>R</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 xml:space="preserve">Senior Credit Facilities </w:t>
            </w:r>
            <w:r>
              <w:rPr>
                <w:b/>
                <w:bCs/>
                <w:sz w:val="18"/>
                <w:szCs w:val="18"/>
              </w:rPr>
              <w:br/>
              <w:t>Base Rat</w:t>
            </w:r>
            <w:r>
              <w:rPr>
                <w:b/>
                <w:bCs/>
                <w:sz w:val="18"/>
                <w:szCs w:val="18"/>
              </w:rPr>
              <w:t>e</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Commitment</w:t>
            </w:r>
            <w:r>
              <w:rPr>
                <w:b/>
                <w:bCs/>
                <w:sz w:val="18"/>
                <w:szCs w:val="18"/>
              </w:rPr>
              <w:br/>
              <w:t>Fe</w:t>
            </w:r>
            <w:r>
              <w:rPr>
                <w:b/>
                <w:bCs/>
                <w:sz w:val="18"/>
                <w:szCs w:val="18"/>
              </w:rPr>
              <w:t>e</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center"/>
              <w:rPr>
                <w:sz w:val="18"/>
                <w:szCs w:val="18"/>
              </w:rPr>
            </w:pPr>
            <w:r>
              <w:rPr>
                <w:b/>
                <w:bCs/>
                <w:sz w:val="18"/>
                <w:szCs w:val="18"/>
              </w:rPr>
              <w:t>Letter of Credit Fe</w:t>
            </w:r>
            <w:r>
              <w:rPr>
                <w:b/>
                <w:bCs/>
                <w:sz w:val="18"/>
                <w:szCs w:val="18"/>
              </w:rPr>
              <w:t>e</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jc w:val="center"/>
              <w:rPr>
                <w:sz w:val="18"/>
                <w:szCs w:val="18"/>
              </w:rPr>
            </w:pPr>
            <w:r>
              <w:rPr>
                <w:sz w:val="18"/>
                <w:szCs w:val="18"/>
              </w:rPr>
              <w:t>1</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w:t>
            </w:r>
            <w:r>
              <w:rPr>
                <w:sz w:val="18"/>
                <w:szCs w:val="18"/>
              </w:rPr>
              <w:t xml:space="preserve"> 3.75x to 1.</w:t>
            </w:r>
            <w:r>
              <w:rPr>
                <w:sz w:val="18"/>
                <w:szCs w:val="18"/>
              </w:rPr>
              <w:t>0</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2.5</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1.5</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0.2</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2.5</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w:t>
            </w:r>
          </w:p>
        </w:tc>
      </w:tr>
      <w:tr w:rsidR="00000000">
        <w:trPr>
          <w:trHeight w:val="180"/>
          <w:tblCellSpacing w:w="15" w:type="dxa"/>
        </w:trPr>
        <w:tc>
          <w:tcPr>
            <w:tcW w:w="0" w:type="auto"/>
            <w:hideMark/>
          </w:tcPr>
          <w:p w:rsidR="00000000" w:rsidRDefault="00A32496">
            <w:pPr>
              <w:pStyle w:val="a3"/>
              <w:spacing w:before="0" w:beforeAutospacing="0" w:after="0" w:afterAutospacing="0"/>
              <w:jc w:val="center"/>
              <w:rPr>
                <w:sz w:val="18"/>
                <w:szCs w:val="18"/>
              </w:rPr>
            </w:pPr>
            <w:r>
              <w:rPr>
                <w:sz w:val="18"/>
                <w:szCs w:val="18"/>
              </w:rPr>
              <w:t>2</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xml:space="preserve">&lt; 3.75x to 1.0 but </w:t>
            </w:r>
            <w:r>
              <w:rPr>
                <w:sz w:val="18"/>
                <w:szCs w:val="18"/>
              </w:rPr>
              <w:t>≥</w:t>
            </w:r>
            <w:r>
              <w:rPr>
                <w:sz w:val="18"/>
                <w:szCs w:val="18"/>
              </w:rPr>
              <w:t xml:space="preserve"> 3.25 to 1.</w:t>
            </w:r>
            <w:r>
              <w:rPr>
                <w:sz w:val="18"/>
                <w:szCs w:val="18"/>
              </w:rPr>
              <w:t>0</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2.2</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1.2</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0.2</w:t>
            </w:r>
            <w:r>
              <w:rPr>
                <w:sz w:val="18"/>
                <w:szCs w:val="18"/>
              </w:rPr>
              <w:t>3</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2.2</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jc w:val="center"/>
              <w:rPr>
                <w:sz w:val="18"/>
                <w:szCs w:val="18"/>
              </w:rPr>
            </w:pPr>
            <w:r>
              <w:rPr>
                <w:sz w:val="18"/>
                <w:szCs w:val="18"/>
              </w:rPr>
              <w:t>3</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xml:space="preserve">&lt;3.25x to 1.0 but </w:t>
            </w:r>
            <w:r>
              <w:rPr>
                <w:sz w:val="18"/>
                <w:szCs w:val="18"/>
              </w:rPr>
              <w:t>≥</w:t>
            </w:r>
            <w:r>
              <w:rPr>
                <w:sz w:val="18"/>
                <w:szCs w:val="18"/>
              </w:rPr>
              <w:t xml:space="preserve"> 2.50 to 1.</w:t>
            </w:r>
            <w:r>
              <w:rPr>
                <w:sz w:val="18"/>
                <w:szCs w:val="18"/>
              </w:rPr>
              <w:t>0</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2.0</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1.0</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0.2</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2.0</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jc w:val="center"/>
              <w:rPr>
                <w:sz w:val="18"/>
                <w:szCs w:val="18"/>
              </w:rPr>
            </w:pPr>
            <w:r>
              <w:rPr>
                <w:sz w:val="18"/>
                <w:szCs w:val="18"/>
              </w:rPr>
              <w:t>4</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 xml:space="preserve">&lt;2.50x to 1.0 but </w:t>
            </w:r>
            <w:r>
              <w:rPr>
                <w:sz w:val="18"/>
                <w:szCs w:val="18"/>
              </w:rPr>
              <w:t>≥</w:t>
            </w:r>
            <w:r>
              <w:rPr>
                <w:sz w:val="18"/>
                <w:szCs w:val="18"/>
              </w:rPr>
              <w:t xml:space="preserve"> 1.75 to 1.</w:t>
            </w:r>
            <w:r>
              <w:rPr>
                <w:sz w:val="18"/>
                <w:szCs w:val="18"/>
              </w:rPr>
              <w:t>0</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1.7</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0.7</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0.1</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1.7</w:t>
            </w:r>
            <w:r>
              <w:rPr>
                <w:sz w:val="18"/>
                <w:szCs w:val="18"/>
              </w:rPr>
              <w:t>5</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A32496">
            <w:pPr>
              <w:pStyle w:val="a3"/>
              <w:spacing w:before="0" w:beforeAutospacing="0" w:after="0" w:afterAutospacing="0"/>
              <w:jc w:val="center"/>
              <w:rPr>
                <w:sz w:val="18"/>
                <w:szCs w:val="18"/>
              </w:rPr>
            </w:pPr>
            <w:r>
              <w:rPr>
                <w:sz w:val="18"/>
                <w:szCs w:val="18"/>
              </w:rPr>
              <w:t>5</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center"/>
              <w:rPr>
                <w:sz w:val="18"/>
                <w:szCs w:val="18"/>
              </w:rPr>
            </w:pPr>
            <w:r>
              <w:rPr>
                <w:sz w:val="18"/>
                <w:szCs w:val="18"/>
              </w:rPr>
              <w:t>&lt;1.75x to 1.</w:t>
            </w:r>
            <w:r>
              <w:rPr>
                <w:sz w:val="18"/>
                <w:szCs w:val="18"/>
              </w:rPr>
              <w:t>0</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1.5</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0.5</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A32496">
            <w:pPr>
              <w:pStyle w:val="a3"/>
              <w:spacing w:before="0" w:beforeAutospacing="0" w:after="0" w:afterAutospacing="0"/>
              <w:jc w:val="right"/>
              <w:rPr>
                <w:sz w:val="18"/>
                <w:szCs w:val="18"/>
              </w:rPr>
            </w:pPr>
            <w:r>
              <w:rPr>
                <w:sz w:val="18"/>
                <w:szCs w:val="18"/>
              </w:rPr>
              <w:t>0.1</w:t>
            </w:r>
            <w:r>
              <w:rPr>
                <w:sz w:val="18"/>
                <w:szCs w:val="18"/>
              </w:rPr>
              <w:t>5</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1.5</w:t>
            </w:r>
            <w:r>
              <w:rPr>
                <w:sz w:val="18"/>
                <w:szCs w:val="18"/>
              </w:rPr>
              <w:t>0</w:t>
            </w:r>
          </w:p>
        </w:tc>
        <w:tc>
          <w:tcPr>
            <w:tcW w:w="0" w:type="auto"/>
            <w:noWrap/>
            <w:vAlign w:val="bottom"/>
            <w:hideMark/>
          </w:tcPr>
          <w:p w:rsidR="00000000" w:rsidRDefault="00A32496">
            <w:pPr>
              <w:pStyle w:val="a3"/>
              <w:spacing w:before="0" w:beforeAutospacing="0" w:after="0" w:afterAutospacing="0"/>
              <w:rPr>
                <w:sz w:val="18"/>
                <w:szCs w:val="18"/>
              </w:rPr>
            </w:pPr>
            <w:r>
              <w:rPr>
                <w:sz w:val="18"/>
                <w:szCs w:val="18"/>
              </w:rPr>
              <w:t> </w:t>
            </w:r>
          </w:p>
        </w:tc>
        <w:tc>
          <w:tcPr>
            <w:tcW w:w="0" w:type="auto"/>
            <w:vAlign w:val="bottom"/>
            <w:hideMark/>
          </w:tcPr>
          <w:p w:rsidR="00000000" w:rsidRDefault="00A32496">
            <w:pPr>
              <w:pStyle w:val="a3"/>
              <w:spacing w:before="0" w:beforeAutospacing="0" w:after="0" w:afterAutospacing="0"/>
              <w:jc w:val="right"/>
              <w:rPr>
                <w:sz w:val="18"/>
                <w:szCs w:val="18"/>
              </w:rPr>
            </w:pPr>
            <w:r>
              <w:rPr>
                <w:sz w:val="18"/>
                <w:szCs w:val="18"/>
              </w:rPr>
              <w:t> </w:t>
            </w:r>
          </w:p>
        </w:tc>
      </w:tr>
    </w:tbl>
    <w:p w:rsidR="00000000" w:rsidRDefault="00A32496">
      <w:pPr>
        <w:pStyle w:val="a3"/>
        <w:spacing w:before="240" w:beforeAutospacing="0" w:after="0" w:afterAutospacing="0"/>
        <w:ind w:firstLine="555"/>
        <w:rPr>
          <w:sz w:val="20"/>
          <w:szCs w:val="20"/>
        </w:rPr>
      </w:pPr>
      <w:r>
        <w:rPr>
          <w:sz w:val="20"/>
          <w:szCs w:val="20"/>
        </w:rPr>
        <w:t>On January 27, 2022, the Company entered into an interest rate swap transaction fixing the floating component of the interest rate on $100.0 million of borrowings to 1.39% until January 27, 2025. Additionally, effective September 1, 2022, the Company recei</w:t>
      </w:r>
      <w:r>
        <w:rPr>
          <w:sz w:val="20"/>
          <w:szCs w:val="20"/>
        </w:rPr>
        <w:t>ved an interest rate reduction of 0.05% under the 2021 Credit Facility based on the Company’s achievement of certain sustainability and environmental, social and governance related objectives as provided for in the 2021 Credit Facility</w:t>
      </w:r>
      <w:r>
        <w:rPr>
          <w:sz w:val="20"/>
          <w:szCs w:val="20"/>
        </w:rPr>
        <w:t>.</w:t>
      </w:r>
      <w:r>
        <w:rPr>
          <w:sz w:val="20"/>
          <w:szCs w:val="20"/>
        </w:rPr>
        <w:t xml:space="preserve"> </w:t>
      </w:r>
    </w:p>
    <w:p w:rsidR="00000000" w:rsidRDefault="00A32496">
      <w:pPr>
        <w:pStyle w:val="a3"/>
        <w:spacing w:before="240" w:beforeAutospacing="0" w:after="0" w:afterAutospacing="0"/>
        <w:ind w:firstLine="555"/>
        <w:rPr>
          <w:sz w:val="20"/>
          <w:szCs w:val="20"/>
        </w:rPr>
      </w:pPr>
      <w:r>
        <w:rPr>
          <w:sz w:val="20"/>
          <w:szCs w:val="20"/>
        </w:rPr>
        <w:t>Our obligations un</w:t>
      </w:r>
      <w:r>
        <w:rPr>
          <w:sz w:val="20"/>
          <w:szCs w:val="20"/>
        </w:rPr>
        <w:t>der the 2021 Credit Facility are guaranteed by certain of our existing and future direct and indirect subsidiaries, and such obligations are secured by substantially all of our assets. The 2021 Credit Facility includes a number of covenants imposing certai</w:t>
      </w:r>
      <w:r>
        <w:rPr>
          <w:sz w:val="20"/>
          <w:szCs w:val="20"/>
        </w:rPr>
        <w:t>n restrictions on our business, including, among other things, restrictions on our ability to incur indebtedness, prepay or amend other indebtedness, create liens, make certain fundamental changes including mergers or dissolutions, pay dividends and repurc</w:t>
      </w:r>
      <w:r>
        <w:rPr>
          <w:sz w:val="20"/>
          <w:szCs w:val="20"/>
        </w:rPr>
        <w:t>hase or make other payments in respect of capital stock, make certain investments, sell assets, change our lines of business, enter into transactions with affiliates and other corporate actions. The 2021 Credit Facility also includes financial covenants re</w:t>
      </w:r>
      <w:r>
        <w:rPr>
          <w:sz w:val="20"/>
          <w:szCs w:val="20"/>
        </w:rPr>
        <w:t>quiring us to remain below a maximum total net leverage ratio of 4.25 times, which steps down to 4.00 times beginning with the quarter ending December 31, 2022 through and including the quarter ending September 30, 2023 and then to 3.75 times beginning wit</w:t>
      </w:r>
      <w:r>
        <w:rPr>
          <w:sz w:val="20"/>
          <w:szCs w:val="20"/>
        </w:rPr>
        <w:t>h the quarter ending December 31, 2023 (provided that, subject to certain requirements, the maximum net leverage ratio may be increased by 0.50:1.00, not to exceed 4.25:1.00, for a period of four consecutive fiscal quarters in connection with certain permi</w:t>
      </w:r>
      <w:r>
        <w:rPr>
          <w:sz w:val="20"/>
          <w:szCs w:val="20"/>
        </w:rPr>
        <w:t>tted acquisitions), and a minimum fixed charge coverage ratio of 1.25 times. As of September 30, 2022, the Company’s consolidated total leverage ratio (as defined in the 2021 Credit Facility) was 1.2 times. The calculation of the Company’s consolidated tot</w:t>
      </w:r>
      <w:r>
        <w:rPr>
          <w:sz w:val="20"/>
          <w:szCs w:val="20"/>
        </w:rPr>
        <w:t>al leverage ratio under the 2021 Credit Facility is consistent with the calculation of the consolidated total leverage ratio under the 2020 Credit Facility</w:t>
      </w:r>
      <w:r>
        <w:rPr>
          <w:sz w:val="20"/>
          <w:szCs w:val="20"/>
        </w:rPr>
        <w:t>.</w:t>
      </w:r>
      <w:r>
        <w:rPr>
          <w:sz w:val="20"/>
          <w:szCs w:val="20"/>
        </w:rPr>
        <w:t xml:space="preserve"> </w:t>
      </w:r>
    </w:p>
    <w:p w:rsidR="00000000" w:rsidRDefault="00A32496">
      <w:pPr>
        <w:pStyle w:val="a3"/>
        <w:spacing w:before="240" w:beforeAutospacing="0" w:after="0" w:afterAutospacing="0"/>
        <w:ind w:firstLine="555"/>
        <w:rPr>
          <w:sz w:val="20"/>
          <w:szCs w:val="20"/>
        </w:rPr>
      </w:pPr>
      <w:r>
        <w:rPr>
          <w:sz w:val="20"/>
          <w:szCs w:val="20"/>
        </w:rPr>
        <w:t>The weighted average interest rate on the 2021 Credit Facility for the nine months ended September</w:t>
      </w:r>
      <w:r>
        <w:rPr>
          <w:sz w:val="20"/>
          <w:szCs w:val="20"/>
        </w:rPr>
        <w:t xml:space="preserve"> 30, 2022 was 2.9%. We were in compliance with all applicable covenants under the 2021 Credit Facility for the nine months ended September 30, 2022</w:t>
      </w:r>
      <w:r>
        <w:rPr>
          <w:sz w:val="20"/>
          <w:szCs w:val="20"/>
        </w:rPr>
        <w:t>.</w:t>
      </w:r>
    </w:p>
    <w:p w:rsidR="00000000" w:rsidRDefault="00A32496">
      <w:pPr>
        <w:pStyle w:val="a3"/>
        <w:spacing w:before="240" w:beforeAutospacing="0" w:after="0" w:afterAutospacing="0"/>
        <w:ind w:firstLine="555"/>
        <w:rPr>
          <w:sz w:val="20"/>
          <w:szCs w:val="20"/>
        </w:rPr>
      </w:pPr>
      <w:r>
        <w:rPr>
          <w:sz w:val="20"/>
          <w:szCs w:val="20"/>
        </w:rPr>
        <w:t>The 2021 Credit Facility contains a mandatory prepayment feature upon a number of events, including with th</w:t>
      </w:r>
      <w:r>
        <w:rPr>
          <w:sz w:val="20"/>
          <w:szCs w:val="20"/>
        </w:rPr>
        <w:t>e proceeds of certain asset sales and proceeds from the issuance of any debt</w:t>
      </w:r>
      <w:r>
        <w:rPr>
          <w:sz w:val="20"/>
          <w:szCs w:val="20"/>
        </w:rPr>
        <w:t>.</w:t>
      </w:r>
      <w:r>
        <w:rPr>
          <w:sz w:val="20"/>
          <w:szCs w:val="20"/>
        </w:rPr>
        <w:t xml:space="preserve"> </w:t>
      </w:r>
    </w:p>
    <w:p w:rsidR="00000000" w:rsidRDefault="00A32496">
      <w:pPr>
        <w:pStyle w:val="a3"/>
        <w:spacing w:before="240" w:beforeAutospacing="0" w:after="0" w:afterAutospacing="0"/>
        <w:ind w:firstLine="555"/>
        <w:rPr>
          <w:sz w:val="20"/>
          <w:szCs w:val="20"/>
        </w:rPr>
      </w:pPr>
      <w:r>
        <w:rPr>
          <w:sz w:val="20"/>
          <w:szCs w:val="20"/>
        </w:rPr>
        <w:t>See Note 12 to our unaudited condensed consolidated financial statements included in Part I, Item 1. “Financial Statements.</w:t>
      </w:r>
      <w:r>
        <w:rPr>
          <w:sz w:val="20"/>
          <w:szCs w:val="20"/>
        </w:rPr>
        <w:t>”</w:t>
      </w:r>
    </w:p>
    <w:p w:rsidR="00000000" w:rsidRDefault="00A32496">
      <w:pPr>
        <w:pStyle w:val="a3"/>
        <w:spacing w:before="360" w:beforeAutospacing="0" w:after="0" w:afterAutospacing="0"/>
        <w:ind w:firstLine="555"/>
        <w:rPr>
          <w:sz w:val="20"/>
          <w:szCs w:val="20"/>
        </w:rPr>
      </w:pPr>
      <w:r>
        <w:rPr>
          <w:b/>
          <w:bCs/>
          <w:i/>
          <w:iCs/>
          <w:sz w:val="20"/>
          <w:szCs w:val="20"/>
        </w:rPr>
        <w:t>2020 Credit Facilit</w:t>
      </w:r>
      <w:r>
        <w:rPr>
          <w:b/>
          <w:bCs/>
          <w:i/>
          <w:iCs/>
          <w:sz w:val="20"/>
          <w:szCs w:val="20"/>
        </w:rPr>
        <w:t>y</w:t>
      </w:r>
    </w:p>
    <w:p w:rsidR="00000000" w:rsidRDefault="00A32496">
      <w:pPr>
        <w:pStyle w:val="a3"/>
        <w:spacing w:before="120" w:beforeAutospacing="0" w:after="0" w:afterAutospacing="0"/>
        <w:ind w:firstLine="555"/>
        <w:rPr>
          <w:sz w:val="20"/>
          <w:szCs w:val="20"/>
        </w:rPr>
      </w:pPr>
      <w:r>
        <w:rPr>
          <w:sz w:val="20"/>
          <w:szCs w:val="20"/>
        </w:rPr>
        <w:t>On April 13, 2020, we entered into a Unitranche Credit Agreement, or the 2020 Credit Facility, providing for a $225.0 million credit facility comprised of a $175.0 million term loan and a $50.0 million revolving credit facility. The 2020 Credit facility wa</w:t>
      </w:r>
      <w:r>
        <w:rPr>
          <w:sz w:val="20"/>
          <w:szCs w:val="20"/>
        </w:rPr>
        <w:t>s repaid in full in April 2021. The resulting loss on extinguishment upon repayment of the 2020 Credit Facility in April 2021, amounted to $4.1 million, of which $1.0 million was related to fees paid and $3.1 related to unamortized debt issuance costs. Tot</w:t>
      </w:r>
      <w:r>
        <w:rPr>
          <w:sz w:val="20"/>
          <w:szCs w:val="20"/>
        </w:rPr>
        <w:t>al loss on extinguishment is recorded in interest expense-net within the unaudited condensed consolidated statement of operations for the nine months ended September 30, 2021</w:t>
      </w:r>
      <w:r>
        <w:rPr>
          <w:sz w:val="20"/>
          <w:szCs w:val="20"/>
        </w:rPr>
        <w:t>.</w:t>
      </w:r>
    </w:p>
    <w:p w:rsidR="00000000" w:rsidRDefault="00A32496">
      <w:pPr>
        <w:pStyle w:val="a3"/>
        <w:spacing w:before="240" w:beforeAutospacing="0" w:after="0" w:afterAutospacing="0"/>
        <w:ind w:firstLine="555"/>
        <w:rPr>
          <w:sz w:val="20"/>
          <w:szCs w:val="20"/>
        </w:rPr>
      </w:pPr>
      <w:r>
        <w:rPr>
          <w:sz w:val="20"/>
          <w:szCs w:val="20"/>
        </w:rPr>
        <w:t>See Note 12 to our unaudited condensed consolidated financial statements include</w:t>
      </w:r>
      <w:r>
        <w:rPr>
          <w:sz w:val="20"/>
          <w:szCs w:val="20"/>
        </w:rPr>
        <w:t>d in Part I, Item 1. “Financial Statements.</w:t>
      </w:r>
      <w:r>
        <w:rPr>
          <w:sz w:val="20"/>
          <w:szCs w:val="20"/>
        </w:rPr>
        <w:t>”</w:t>
      </w:r>
      <w:r>
        <w:rPr>
          <w:sz w:val="20"/>
          <w:szCs w:val="20"/>
        </w:rPr>
        <w:t xml:space="preserve"> </w:t>
      </w:r>
    </w:p>
    <w:p w:rsidR="00000000" w:rsidRDefault="00A32496">
      <w:pPr>
        <w:pStyle w:val="a3"/>
        <w:spacing w:before="360" w:beforeAutospacing="0" w:after="0" w:afterAutospacing="0"/>
        <w:ind w:left="476"/>
        <w:rPr>
          <w:sz w:val="20"/>
          <w:szCs w:val="20"/>
        </w:rPr>
      </w:pPr>
      <w:r>
        <w:rPr>
          <w:b/>
          <w:bCs/>
          <w:i/>
          <w:iCs/>
          <w:sz w:val="20"/>
          <w:szCs w:val="20"/>
        </w:rPr>
        <w:t>Series A-2 Preferred Stoc</w:t>
      </w:r>
      <w:r>
        <w:rPr>
          <w:b/>
          <w:bCs/>
          <w:i/>
          <w:iCs/>
          <w:sz w:val="20"/>
          <w:szCs w:val="20"/>
        </w:rPr>
        <w:t>k</w:t>
      </w:r>
    </w:p>
    <w:p w:rsidR="00000000" w:rsidRDefault="00A32496">
      <w:pPr>
        <w:pStyle w:val="a3"/>
        <w:spacing w:before="120" w:beforeAutospacing="0" w:after="0" w:afterAutospacing="0"/>
        <w:ind w:firstLine="555"/>
        <w:rPr>
          <w:sz w:val="20"/>
          <w:szCs w:val="20"/>
        </w:rPr>
      </w:pPr>
      <w:r>
        <w:rPr>
          <w:sz w:val="20"/>
          <w:szCs w:val="20"/>
        </w:rPr>
        <w:t>On April 13, 2020, we issued 17,500 shares of the Series A-2 preferred stock with a par value of $0.0001 per share and a warrant to purchase common stock, in exchange for $175.0 milli</w:t>
      </w:r>
      <w:r>
        <w:rPr>
          <w:sz w:val="20"/>
          <w:szCs w:val="20"/>
        </w:rPr>
        <w:t xml:space="preserve">on. Prior to the completion of the IPO, each share of Series A-2 preferred stock accrued dividends at the rate of 15.0% per annum with respect to dividends that were paid in cash, and 14.2% per annum, with respect to dividends that accrued and compounded, </w:t>
      </w:r>
      <w:r>
        <w:rPr>
          <w:sz w:val="20"/>
          <w:szCs w:val="20"/>
        </w:rPr>
        <w:t>resulting in an annual dividend rate of 15.0%. Following the completion of the IPO, the Series A-2 preferred stock does not mature or have a cash repayment obligation; however, it is redeemable at our option. The Series A-2 preferred stock becomes converti</w:t>
      </w:r>
      <w:r>
        <w:rPr>
          <w:sz w:val="20"/>
          <w:szCs w:val="20"/>
        </w:rPr>
        <w:t>ble into our common stock beginning on the four-year anniversary of the Series A-2 preferred stock issuance. Upon the four-year anniversary of the issuance, holders of Series A-2 preferred stock may convert up to $60.0 million of such shares into our commo</w:t>
      </w:r>
      <w:r>
        <w:rPr>
          <w:sz w:val="20"/>
          <w:szCs w:val="20"/>
        </w:rPr>
        <w:t>n stock at a conversion rate discounted to 85.0% of the volume weighted average trading value, with the permitted amount of Series A-2 preferred stock to be converted increasing at each subsequen</w:t>
      </w:r>
      <w:r>
        <w:rPr>
          <w:sz w:val="20"/>
          <w:szCs w:val="20"/>
        </w:rPr>
        <w:t>t</w:t>
      </w:r>
      <w:r>
        <w:rPr>
          <w:sz w:val="20"/>
          <w:szCs w:val="20"/>
        </w:rPr>
        <w:t xml:space="preserve"> </w:t>
      </w:r>
    </w:p>
    <w:p w:rsidR="00000000" w:rsidRDefault="00A32496">
      <w:pPr>
        <w:pStyle w:val="a3"/>
        <w:spacing w:before="240" w:beforeAutospacing="0" w:after="0" w:afterAutospacing="0"/>
        <w:jc w:val="center"/>
        <w:rPr>
          <w:sz w:val="20"/>
          <w:szCs w:val="20"/>
        </w:rPr>
      </w:pPr>
      <w:r>
        <w:rPr>
          <w:sz w:val="20"/>
          <w:szCs w:val="20"/>
        </w:rPr>
        <w:t>4</w:t>
      </w:r>
      <w:r>
        <w:rPr>
          <w:sz w:val="20"/>
          <w:szCs w:val="20"/>
        </w:rPr>
        <w:t>6</w:t>
      </w:r>
    </w:p>
    <w:p w:rsidR="00000000" w:rsidRDefault="00A32496">
      <w:pPr>
        <w:rPr>
          <w:rFonts w:eastAsia="Times New Roman"/>
        </w:rPr>
      </w:pPr>
      <w:r>
        <w:rPr>
          <w:rFonts w:eastAsia="Times New Roman"/>
        </w:rPr>
        <w:pict>
          <v:rect id="_x0000_i1072" style="width:0;height:1.5pt" o:hralign="center" o:hrstd="t" o:hr="t" fillcolor="#a0a0a0" stroked="f"/>
        </w:pict>
      </w:r>
    </w:p>
    <w:p w:rsidR="00000000" w:rsidRDefault="00A32496">
      <w:pPr>
        <w:pStyle w:val="a3"/>
        <w:spacing w:before="0" w:beforeAutospacing="0" w:after="0" w:afterAutospacing="0"/>
        <w:rPr>
          <w:sz w:val="20"/>
          <w:szCs w:val="20"/>
        </w:rPr>
      </w:pPr>
      <w:r>
        <w:rPr>
          <w:sz w:val="20"/>
          <w:szCs w:val="20"/>
        </w:rPr>
        <w:t> </w:t>
      </w:r>
    </w:p>
    <w:p w:rsidR="00000000" w:rsidRDefault="00A32496">
      <w:pPr>
        <w:pStyle w:val="a3"/>
        <w:spacing w:before="120" w:beforeAutospacing="0" w:after="0" w:afterAutospacing="0"/>
        <w:rPr>
          <w:sz w:val="20"/>
          <w:szCs w:val="20"/>
        </w:rPr>
      </w:pPr>
      <w:r>
        <w:rPr>
          <w:sz w:val="20"/>
          <w:szCs w:val="20"/>
        </w:rPr>
        <w:t>anniversary of t</w:t>
      </w:r>
      <w:r>
        <w:rPr>
          <w:sz w:val="20"/>
          <w:szCs w:val="20"/>
        </w:rPr>
        <w:t>he issuance until the sixth anniversary, after which all of the Series A-2 preferred stock may be converted at the holder’s option. Following the completion of the IPO on July 27, 2020, the Series A-2 preferred stock dividend rate changed to 9.0% per annum</w:t>
      </w:r>
      <w:r>
        <w:rPr>
          <w:sz w:val="20"/>
          <w:szCs w:val="20"/>
        </w:rPr>
        <w:t xml:space="preserve"> with required quarterly cash payments. If permitted under our existing debt facilities, we must pay the Series A-2 preferred stock dividend in cash each quarter</w:t>
      </w:r>
      <w:r>
        <w:rPr>
          <w:sz w:val="20"/>
          <w:szCs w:val="20"/>
        </w:rPr>
        <w:t>.</w:t>
      </w:r>
    </w:p>
    <w:p w:rsidR="00000000" w:rsidRDefault="00A32496">
      <w:pPr>
        <w:pStyle w:val="a3"/>
        <w:spacing w:before="240" w:beforeAutospacing="0" w:after="0" w:afterAutospacing="0"/>
        <w:ind w:firstLine="555"/>
        <w:rPr>
          <w:sz w:val="20"/>
          <w:szCs w:val="20"/>
        </w:rPr>
      </w:pPr>
      <w:r>
        <w:rPr>
          <w:sz w:val="20"/>
          <w:szCs w:val="20"/>
        </w:rPr>
        <w:t xml:space="preserve">With respect to any redemption of any share of the Series A-2 preferred stock prior to April </w:t>
      </w:r>
      <w:r>
        <w:rPr>
          <w:sz w:val="20"/>
          <w:szCs w:val="20"/>
        </w:rPr>
        <w:t>13, 2023, we are subject to a make whole penalty in which the holder is guaranteed at least three years of dividend payments on the redeemed amount</w:t>
      </w:r>
      <w:r>
        <w:rPr>
          <w:sz w:val="20"/>
          <w:szCs w:val="20"/>
        </w:rPr>
        <w:t>.</w:t>
      </w:r>
    </w:p>
    <w:p w:rsidR="00000000" w:rsidRDefault="00A32496">
      <w:pPr>
        <w:pStyle w:val="a3"/>
        <w:spacing w:before="240" w:beforeAutospacing="0" w:after="0" w:afterAutospacing="0"/>
        <w:ind w:firstLine="555"/>
        <w:rPr>
          <w:sz w:val="20"/>
          <w:szCs w:val="20"/>
        </w:rPr>
      </w:pPr>
      <w:r>
        <w:rPr>
          <w:sz w:val="20"/>
          <w:szCs w:val="20"/>
        </w:rPr>
        <w:t>See Note 15 to our unaudited condensed consolidated financial statements included in Part I, Item 1. “Finan</w:t>
      </w:r>
      <w:r>
        <w:rPr>
          <w:sz w:val="20"/>
          <w:szCs w:val="20"/>
        </w:rPr>
        <w:t>cial Statements.</w:t>
      </w:r>
      <w:r>
        <w:rPr>
          <w:sz w:val="20"/>
          <w:szCs w:val="20"/>
        </w:rPr>
        <w:t>”</w:t>
      </w:r>
    </w:p>
    <w:p w:rsidR="00000000" w:rsidRDefault="00A32496">
      <w:pPr>
        <w:pStyle w:val="a3"/>
        <w:spacing w:before="360" w:beforeAutospacing="0" w:after="0" w:afterAutospacing="0"/>
        <w:ind w:left="476"/>
        <w:rPr>
          <w:sz w:val="20"/>
          <w:szCs w:val="20"/>
        </w:rPr>
      </w:pPr>
      <w:r>
        <w:rPr>
          <w:b/>
          <w:bCs/>
          <w:sz w:val="20"/>
          <w:szCs w:val="20"/>
        </w:rPr>
        <w:t>Critical Accounting Policies and Estimate</w:t>
      </w:r>
      <w:r>
        <w:rPr>
          <w:b/>
          <w:bCs/>
          <w:sz w:val="20"/>
          <w:szCs w:val="20"/>
        </w:rPr>
        <w:t>s</w:t>
      </w:r>
    </w:p>
    <w:p w:rsidR="00000000" w:rsidRDefault="00A32496">
      <w:pPr>
        <w:pStyle w:val="a3"/>
        <w:spacing w:before="120" w:beforeAutospacing="0" w:after="0" w:afterAutospacing="0"/>
        <w:ind w:firstLine="555"/>
        <w:rPr>
          <w:sz w:val="20"/>
          <w:szCs w:val="20"/>
        </w:rPr>
      </w:pPr>
      <w:r>
        <w:rPr>
          <w:sz w:val="20"/>
          <w:szCs w:val="20"/>
        </w:rPr>
        <w:t>Our 2021 Form 10-K includes a summary of the critical accounting policies and estimates we believe are the most important to aid in understanding our financial results. There have been no materia</w:t>
      </w:r>
      <w:r>
        <w:rPr>
          <w:sz w:val="20"/>
          <w:szCs w:val="20"/>
        </w:rPr>
        <w:t>l changes to those critical accounting policies and estimates as disclosed therein, other than as described in Note 2 to our unaudited condensed consolidated financial statements included in Part I, Item 1. “Financial Statements.</w:t>
      </w:r>
      <w:r>
        <w:rPr>
          <w:sz w:val="20"/>
          <w:szCs w:val="20"/>
        </w:rPr>
        <w:t>”</w:t>
      </w:r>
      <w:r>
        <w:rPr>
          <w:sz w:val="20"/>
          <w:szCs w:val="20"/>
        </w:rPr>
        <w:t xml:space="preserve"> </w:t>
      </w:r>
    </w:p>
    <w:p w:rsidR="00000000" w:rsidRDefault="00A32496">
      <w:pPr>
        <w:pStyle w:val="a3"/>
        <w:spacing w:before="360" w:beforeAutospacing="0" w:after="0" w:afterAutospacing="0"/>
        <w:rPr>
          <w:sz w:val="20"/>
          <w:szCs w:val="20"/>
        </w:rPr>
      </w:pPr>
      <w:r>
        <w:rPr>
          <w:b/>
          <w:bCs/>
          <w:sz w:val="20"/>
          <w:szCs w:val="20"/>
        </w:rPr>
        <w:t>Item 3. Quantitative and</w:t>
      </w:r>
      <w:r>
        <w:rPr>
          <w:b/>
          <w:bCs/>
          <w:sz w:val="20"/>
          <w:szCs w:val="20"/>
        </w:rPr>
        <w:t xml:space="preserve"> Qualitat</w:t>
      </w:r>
      <w:r>
        <w:rPr>
          <w:b/>
          <w:bCs/>
          <w:sz w:val="20"/>
          <w:szCs w:val="20"/>
        </w:rPr>
        <w:t>i</w:t>
      </w:r>
      <w:r>
        <w:rPr>
          <w:b/>
          <w:bCs/>
          <w:sz w:val="20"/>
          <w:szCs w:val="20"/>
        </w:rPr>
        <w:t>ve Disclosures About Market Risk</w:t>
      </w:r>
      <w:r>
        <w:rPr>
          <w:b/>
          <w:bCs/>
          <w:sz w:val="20"/>
          <w:szCs w:val="20"/>
        </w:rPr>
        <w:t>.</w:t>
      </w:r>
    </w:p>
    <w:p w:rsidR="00000000" w:rsidRDefault="00A32496">
      <w:pPr>
        <w:pStyle w:val="a3"/>
        <w:spacing w:before="120" w:beforeAutospacing="0" w:after="0" w:afterAutospacing="0"/>
        <w:ind w:left="476"/>
        <w:rPr>
          <w:sz w:val="20"/>
          <w:szCs w:val="20"/>
        </w:rPr>
      </w:pPr>
      <w:r>
        <w:rPr>
          <w:b/>
          <w:bCs/>
          <w:i/>
          <w:iCs/>
          <w:sz w:val="20"/>
          <w:szCs w:val="20"/>
        </w:rPr>
        <w:t>Interest Rate Ris</w:t>
      </w:r>
      <w:r>
        <w:rPr>
          <w:b/>
          <w:bCs/>
          <w:i/>
          <w:iCs/>
          <w:sz w:val="20"/>
          <w:szCs w:val="20"/>
        </w:rPr>
        <w:t>k</w:t>
      </w:r>
    </w:p>
    <w:p w:rsidR="00000000" w:rsidRDefault="00A32496">
      <w:pPr>
        <w:pStyle w:val="a3"/>
        <w:spacing w:before="120" w:beforeAutospacing="0" w:after="0" w:afterAutospacing="0"/>
        <w:ind w:firstLine="555"/>
        <w:rPr>
          <w:sz w:val="20"/>
          <w:szCs w:val="20"/>
        </w:rPr>
      </w:pPr>
      <w:r>
        <w:rPr>
          <w:sz w:val="20"/>
          <w:szCs w:val="20"/>
        </w:rPr>
        <w:t>We have market risk exposure arising from changes in interest rates on our credit facility, which bears interest at rates that are benchmarked subject to the Company’s leverage ratio and LIBOR.</w:t>
      </w:r>
      <w:r>
        <w:rPr>
          <w:sz w:val="20"/>
          <w:szCs w:val="20"/>
        </w:rPr>
        <w:t xml:space="preserve"> Based on our overall interest rate exposure to variable rate debt outstanding as of September 30, 2022, which factors in our interest rate swap on $100.0 million of debt, a 1.0% increase or decrease in interest rates on the term loan and revolver would in</w:t>
      </w:r>
      <w:r>
        <w:rPr>
          <w:sz w:val="20"/>
          <w:szCs w:val="20"/>
        </w:rPr>
        <w:t>crease annual income (loss) before income taxes by approximately $0.7 million</w:t>
      </w:r>
      <w:r>
        <w:rPr>
          <w:sz w:val="20"/>
          <w:szCs w:val="20"/>
        </w:rPr>
        <w:t>.</w:t>
      </w:r>
      <w:r>
        <w:rPr>
          <w:sz w:val="20"/>
          <w:szCs w:val="20"/>
        </w:rPr>
        <w:t xml:space="preserve"> </w:t>
      </w:r>
    </w:p>
    <w:p w:rsidR="00000000" w:rsidRDefault="00A32496">
      <w:pPr>
        <w:pStyle w:val="a3"/>
        <w:spacing w:before="120" w:beforeAutospacing="0" w:after="0" w:afterAutospacing="0"/>
        <w:ind w:left="476"/>
        <w:rPr>
          <w:sz w:val="20"/>
          <w:szCs w:val="20"/>
        </w:rPr>
      </w:pPr>
      <w:r>
        <w:rPr>
          <w:b/>
          <w:bCs/>
          <w:i/>
          <w:iCs/>
          <w:sz w:val="20"/>
          <w:szCs w:val="20"/>
        </w:rPr>
        <w:t>Inflation Ris</w:t>
      </w:r>
      <w:r>
        <w:rPr>
          <w:b/>
          <w:bCs/>
          <w:i/>
          <w:iCs/>
          <w:sz w:val="20"/>
          <w:szCs w:val="20"/>
        </w:rPr>
        <w:t>k</w:t>
      </w:r>
    </w:p>
    <w:p w:rsidR="00000000" w:rsidRDefault="00A32496">
      <w:pPr>
        <w:pStyle w:val="a3"/>
        <w:spacing w:before="120" w:beforeAutospacing="0" w:after="0" w:afterAutospacing="0"/>
        <w:ind w:firstLine="555"/>
        <w:rPr>
          <w:sz w:val="20"/>
          <w:szCs w:val="20"/>
        </w:rPr>
      </w:pPr>
      <w:r>
        <w:rPr>
          <w:sz w:val="20"/>
          <w:szCs w:val="20"/>
        </w:rPr>
        <w:t>We have experienced higher labor and significantly higher travel and other direct costs in the current year as a result of inflation, particularly in our Measurement and Analysis and Remediation and Reuse segments. We believe we have successfully raised pr</w:t>
      </w:r>
      <w:r>
        <w:rPr>
          <w:sz w:val="20"/>
          <w:szCs w:val="20"/>
        </w:rPr>
        <w:t>ices in businesses with short term contracts to offset these inflationary effects. We also have and are continuing to raise prices on medium term (one to four quarter) contracts as these contracts are renewed or new contracts are won, but the timing of the</w:t>
      </w:r>
      <w:r>
        <w:rPr>
          <w:sz w:val="20"/>
          <w:szCs w:val="20"/>
        </w:rPr>
        <w:t>se price increases has lagged behind our cost increases due to the longer term nature of these contracts. We expect to continue to raise prices if direct costs continue to increase in the last quarter of 2022 and beyond. Although inflation has increased ou</w:t>
      </w:r>
      <w:r>
        <w:rPr>
          <w:sz w:val="20"/>
          <w:szCs w:val="20"/>
        </w:rPr>
        <w:t>r Selling, general and administrative expense, impacting margins and segment Adjusted EBITDA, in the year-to-date period, we do not believe over a longer period of time that inflation will have a material effect on our business, financial condition or resu</w:t>
      </w:r>
      <w:r>
        <w:rPr>
          <w:sz w:val="20"/>
          <w:szCs w:val="20"/>
        </w:rPr>
        <w:t>lts of operations. If our costs were to become subject to additional and unanticipated significant sustained inflationary pressures, we may not be able to fully offset such higher costs through price increases. Our inability or failure to do so could adver</w:t>
      </w:r>
      <w:r>
        <w:rPr>
          <w:sz w:val="20"/>
          <w:szCs w:val="20"/>
        </w:rPr>
        <w:t>sely affect our business, financial condition and results of operations</w:t>
      </w:r>
      <w:r>
        <w:rPr>
          <w:sz w:val="20"/>
          <w:szCs w:val="20"/>
        </w:rPr>
        <w:t>.</w:t>
      </w:r>
    </w:p>
    <w:p w:rsidR="00000000" w:rsidRDefault="00A32496">
      <w:pPr>
        <w:pStyle w:val="a3"/>
        <w:spacing w:before="360" w:beforeAutospacing="0" w:after="0" w:afterAutospacing="0"/>
        <w:rPr>
          <w:sz w:val="20"/>
          <w:szCs w:val="20"/>
        </w:rPr>
      </w:pPr>
      <w:r>
        <w:rPr>
          <w:b/>
          <w:bCs/>
          <w:sz w:val="20"/>
          <w:szCs w:val="20"/>
        </w:rPr>
        <w:t>Item 4. Control</w:t>
      </w:r>
      <w:r>
        <w:rPr>
          <w:b/>
          <w:bCs/>
          <w:sz w:val="20"/>
          <w:szCs w:val="20"/>
        </w:rPr>
        <w:t>s</w:t>
      </w:r>
      <w:r>
        <w:rPr>
          <w:b/>
          <w:bCs/>
          <w:sz w:val="20"/>
          <w:szCs w:val="20"/>
        </w:rPr>
        <w:t xml:space="preserve"> and Procedures</w:t>
      </w:r>
      <w:r>
        <w:rPr>
          <w:b/>
          <w:bCs/>
          <w:sz w:val="20"/>
          <w:szCs w:val="20"/>
        </w:rPr>
        <w:t>.</w:t>
      </w:r>
    </w:p>
    <w:p w:rsidR="00000000" w:rsidRDefault="00A32496">
      <w:pPr>
        <w:pStyle w:val="a3"/>
        <w:spacing w:before="120" w:beforeAutospacing="0" w:after="0" w:afterAutospacing="0"/>
        <w:ind w:left="476"/>
        <w:rPr>
          <w:sz w:val="20"/>
          <w:szCs w:val="20"/>
        </w:rPr>
      </w:pPr>
      <w:r>
        <w:rPr>
          <w:b/>
          <w:bCs/>
          <w:sz w:val="20"/>
          <w:szCs w:val="20"/>
        </w:rPr>
        <w:t>Evaluation of Disclosure Controls and Procedure</w:t>
      </w:r>
      <w:r>
        <w:rPr>
          <w:b/>
          <w:bCs/>
          <w:sz w:val="20"/>
          <w:szCs w:val="20"/>
        </w:rPr>
        <w:t>s</w:t>
      </w:r>
    </w:p>
    <w:p w:rsidR="00000000" w:rsidRDefault="00A32496">
      <w:pPr>
        <w:pStyle w:val="a3"/>
        <w:spacing w:before="120" w:beforeAutospacing="0" w:after="0" w:afterAutospacing="0"/>
        <w:ind w:firstLine="555"/>
        <w:rPr>
          <w:sz w:val="20"/>
          <w:szCs w:val="20"/>
        </w:rPr>
      </w:pPr>
      <w:r>
        <w:rPr>
          <w:sz w:val="20"/>
          <w:szCs w:val="20"/>
        </w:rPr>
        <w:t>As required by Rule 13a-15(b) under the Exchange Act, our management, including our Chief Executive O</w:t>
      </w:r>
      <w:r>
        <w:rPr>
          <w:sz w:val="20"/>
          <w:szCs w:val="20"/>
        </w:rPr>
        <w:t xml:space="preserve">fficer and Chief Financial Officer, carried out an evaluation of the effectiveness of the design and operation of our disclosure controls and procedures (as defined in Rule 13a-15(e) under the Exchange Act), as of September 30, 2022, the end of the period </w:t>
      </w:r>
      <w:r>
        <w:rPr>
          <w:sz w:val="20"/>
          <w:szCs w:val="20"/>
        </w:rPr>
        <w:t>covered by this Quarterly Report on Form 10-Q. Based on the foregoing, our Chief Executive Officer and Chief Financial Officer concluded that, as of September 30, 2022, the end of the period covered by this Quarterly Report on Form 10-Q, our disclosure con</w:t>
      </w:r>
      <w:r>
        <w:rPr>
          <w:sz w:val="20"/>
          <w:szCs w:val="20"/>
        </w:rPr>
        <w:t>trols and procedures were effective at the reasonable assurance level</w:t>
      </w:r>
      <w:r>
        <w:rPr>
          <w:sz w:val="20"/>
          <w:szCs w:val="20"/>
        </w:rPr>
        <w:t>.</w:t>
      </w:r>
    </w:p>
    <w:p w:rsidR="00000000" w:rsidRDefault="00A32496">
      <w:pPr>
        <w:pStyle w:val="a3"/>
        <w:spacing w:before="360" w:beforeAutospacing="0" w:after="0" w:afterAutospacing="0"/>
        <w:ind w:left="476"/>
        <w:rPr>
          <w:sz w:val="20"/>
          <w:szCs w:val="20"/>
        </w:rPr>
      </w:pPr>
      <w:r>
        <w:rPr>
          <w:b/>
          <w:bCs/>
          <w:sz w:val="20"/>
          <w:szCs w:val="20"/>
        </w:rPr>
        <w:t>Internal Control Over Financial Reportin</w:t>
      </w:r>
      <w:r>
        <w:rPr>
          <w:b/>
          <w:bCs/>
          <w:sz w:val="20"/>
          <w:szCs w:val="20"/>
        </w:rPr>
        <w:t>g</w:t>
      </w:r>
    </w:p>
    <w:p w:rsidR="00000000" w:rsidRDefault="00A32496">
      <w:pPr>
        <w:pStyle w:val="a3"/>
        <w:spacing w:before="120" w:beforeAutospacing="0" w:after="0" w:afterAutospacing="0"/>
        <w:ind w:firstLine="555"/>
        <w:rPr>
          <w:sz w:val="20"/>
          <w:szCs w:val="20"/>
        </w:rPr>
      </w:pPr>
      <w:r>
        <w:rPr>
          <w:sz w:val="20"/>
          <w:szCs w:val="20"/>
        </w:rPr>
        <w:t>There were no changes in our internal control over financial reporting (as defined in Rule 13a-15(f) under the Exchange Act) that occurred duri</w:t>
      </w:r>
      <w:r>
        <w:rPr>
          <w:sz w:val="20"/>
          <w:szCs w:val="20"/>
        </w:rPr>
        <w:t>ng the quarter ended September 30, 2022, that have materially affected, or are reasonably likely to materially affect, our internal control over financial reporting</w:t>
      </w:r>
      <w:r>
        <w:rPr>
          <w:sz w:val="20"/>
          <w:szCs w:val="20"/>
        </w:rPr>
        <w:t>.</w:t>
      </w:r>
    </w:p>
    <w:p w:rsidR="00000000" w:rsidRDefault="00A32496">
      <w:pPr>
        <w:pStyle w:val="a3"/>
        <w:spacing w:before="240" w:beforeAutospacing="0" w:after="0" w:afterAutospacing="0"/>
        <w:jc w:val="center"/>
        <w:rPr>
          <w:sz w:val="20"/>
          <w:szCs w:val="20"/>
        </w:rPr>
      </w:pPr>
      <w:r>
        <w:rPr>
          <w:sz w:val="20"/>
          <w:szCs w:val="20"/>
        </w:rPr>
        <w:t>4</w:t>
      </w:r>
      <w:r>
        <w:rPr>
          <w:sz w:val="20"/>
          <w:szCs w:val="20"/>
        </w:rPr>
        <w:t>7</w:t>
      </w:r>
    </w:p>
    <w:p w:rsidR="00000000" w:rsidRDefault="00A32496">
      <w:pPr>
        <w:rPr>
          <w:rFonts w:eastAsia="Times New Roman"/>
        </w:rPr>
      </w:pPr>
      <w:r>
        <w:rPr>
          <w:rFonts w:eastAsia="Times New Roman"/>
        </w:rPr>
        <w:pict>
          <v:rect id="_x0000_i1073" style="width:0;height:1.5pt" o:hralign="center" o:hrstd="t" o:hr="t" fillcolor="#a0a0a0" stroked="f"/>
        </w:pict>
      </w:r>
    </w:p>
    <w:p w:rsidR="00000000" w:rsidRDefault="00A32496">
      <w:pPr>
        <w:pStyle w:val="a3"/>
        <w:spacing w:before="0" w:beforeAutospacing="0" w:after="0" w:afterAutospacing="0"/>
        <w:rPr>
          <w:sz w:val="20"/>
          <w:szCs w:val="20"/>
        </w:rPr>
      </w:pPr>
      <w:r>
        <w:rPr>
          <w:sz w:val="20"/>
          <w:szCs w:val="20"/>
        </w:rPr>
        <w:t> </w:t>
      </w:r>
    </w:p>
    <w:p w:rsidR="00000000" w:rsidRDefault="00A32496">
      <w:pPr>
        <w:pStyle w:val="a3"/>
        <w:spacing w:before="360" w:beforeAutospacing="0" w:after="0" w:afterAutospacing="0"/>
        <w:ind w:left="476"/>
        <w:rPr>
          <w:sz w:val="20"/>
          <w:szCs w:val="20"/>
        </w:rPr>
      </w:pPr>
      <w:r>
        <w:rPr>
          <w:b/>
          <w:bCs/>
          <w:sz w:val="20"/>
          <w:szCs w:val="20"/>
        </w:rPr>
        <w:t>Limitations on Effectiveness of Control</w:t>
      </w:r>
      <w:r>
        <w:rPr>
          <w:b/>
          <w:bCs/>
          <w:sz w:val="20"/>
          <w:szCs w:val="20"/>
        </w:rPr>
        <w:t>s</w:t>
      </w:r>
    </w:p>
    <w:p w:rsidR="00000000" w:rsidRDefault="00A32496">
      <w:pPr>
        <w:pStyle w:val="a3"/>
        <w:spacing w:before="120" w:beforeAutospacing="0" w:after="0" w:afterAutospacing="0"/>
        <w:ind w:firstLine="555"/>
        <w:rPr>
          <w:sz w:val="20"/>
          <w:szCs w:val="20"/>
        </w:rPr>
      </w:pPr>
      <w:r>
        <w:rPr>
          <w:sz w:val="20"/>
          <w:szCs w:val="20"/>
        </w:rPr>
        <w:t>Our man</w:t>
      </w:r>
      <w:r>
        <w:rPr>
          <w:sz w:val="20"/>
          <w:szCs w:val="20"/>
        </w:rPr>
        <w:t>agement, including our Chief Executive Officer and Chief Financial Officer, does not expect that our disclosure controls and procedures or our system of internal control over financial reporting will prevent or detect all errors and all fraud. A control sy</w:t>
      </w:r>
      <w:r>
        <w:rPr>
          <w:sz w:val="20"/>
          <w:szCs w:val="20"/>
        </w:rPr>
        <w:t>stem, no matter how well designed or operated, can provide only reasonable, but not absolute, assurance that the objectives of the system of internal control are met. The design of our control system reflects the fact that there are resource constraints, a</w:t>
      </w:r>
      <w:r>
        <w:rPr>
          <w:sz w:val="20"/>
          <w:szCs w:val="20"/>
        </w:rPr>
        <w:t>nd that the benefits of such control system must be considered relative to their costs. Further, because of the inherent limitations in all control systems, no evaluation of controls can provide absolute assurance that all control failures and instances of</w:t>
      </w:r>
      <w:r>
        <w:rPr>
          <w:sz w:val="20"/>
          <w:szCs w:val="20"/>
        </w:rPr>
        <w:t xml:space="preserve"> fraud, if any, within the Company have been detected. These inherent limitations include the realities that judgments in decision-making can be faulty and that breakdowns can occur because of simple error or mistake. Additionally, controls can be circumve</w:t>
      </w:r>
      <w:r>
        <w:rPr>
          <w:sz w:val="20"/>
          <w:szCs w:val="20"/>
        </w:rPr>
        <w:t>nted by the intentional acts of individuals, by collusion of two or more people, or by management override of the controls. The design of any system of controls is also based in part on certain assumptions about the likelihood of future events, and there c</w:t>
      </w:r>
      <w:r>
        <w:rPr>
          <w:sz w:val="20"/>
          <w:szCs w:val="20"/>
        </w:rPr>
        <w:t>an be no assurance that the design of any particular control will always succeed in achieving its objective under all potential future conditions</w:t>
      </w:r>
      <w:r>
        <w:rPr>
          <w:sz w:val="20"/>
          <w:szCs w:val="20"/>
        </w:rPr>
        <w:t>.</w:t>
      </w:r>
    </w:p>
    <w:p w:rsidR="00000000" w:rsidRDefault="00A32496">
      <w:pPr>
        <w:pStyle w:val="a3"/>
        <w:spacing w:before="240" w:beforeAutospacing="0" w:after="0" w:afterAutospacing="0"/>
        <w:jc w:val="center"/>
        <w:rPr>
          <w:sz w:val="20"/>
          <w:szCs w:val="20"/>
        </w:rPr>
      </w:pPr>
      <w:r>
        <w:rPr>
          <w:sz w:val="20"/>
          <w:szCs w:val="20"/>
        </w:rPr>
        <w:t>4</w:t>
      </w:r>
      <w:r>
        <w:rPr>
          <w:sz w:val="20"/>
          <w:szCs w:val="20"/>
        </w:rPr>
        <w:t>8</w:t>
      </w:r>
    </w:p>
    <w:p w:rsidR="00000000" w:rsidRDefault="00A32496">
      <w:pPr>
        <w:rPr>
          <w:rFonts w:eastAsia="Times New Roman"/>
        </w:rPr>
      </w:pPr>
      <w:r>
        <w:rPr>
          <w:rFonts w:eastAsia="Times New Roman"/>
        </w:rPr>
        <w:pict>
          <v:rect id="_x0000_i1074" style="width:0;height:1.5pt" o:hralign="center" o:hrstd="t" o:hr="t" fillcolor="#a0a0a0" stroked="f"/>
        </w:pict>
      </w:r>
    </w:p>
    <w:p w:rsidR="00000000" w:rsidRDefault="00A32496">
      <w:pPr>
        <w:pStyle w:val="a3"/>
        <w:spacing w:before="0" w:beforeAutospacing="0" w:after="0" w:afterAutospacing="0"/>
        <w:rPr>
          <w:sz w:val="20"/>
          <w:szCs w:val="20"/>
        </w:rPr>
      </w:pPr>
      <w:r>
        <w:rPr>
          <w:sz w:val="20"/>
          <w:szCs w:val="20"/>
        </w:rPr>
        <w:t> </w:t>
      </w:r>
    </w:p>
    <w:p w:rsidR="00000000" w:rsidRDefault="00A32496">
      <w:pPr>
        <w:pStyle w:val="a3"/>
        <w:spacing w:before="0" w:beforeAutospacing="0" w:after="0" w:afterAutospacing="0"/>
        <w:jc w:val="center"/>
        <w:rPr>
          <w:sz w:val="20"/>
          <w:szCs w:val="20"/>
        </w:rPr>
      </w:pPr>
      <w:r>
        <w:rPr>
          <w:b/>
          <w:bCs/>
          <w:sz w:val="20"/>
          <w:szCs w:val="20"/>
        </w:rPr>
        <w:t>PART II—OTH</w:t>
      </w:r>
      <w:r>
        <w:rPr>
          <w:b/>
          <w:bCs/>
          <w:sz w:val="20"/>
          <w:szCs w:val="20"/>
        </w:rPr>
        <w:t>E</w:t>
      </w:r>
      <w:r>
        <w:rPr>
          <w:b/>
          <w:bCs/>
          <w:sz w:val="20"/>
          <w:szCs w:val="20"/>
        </w:rPr>
        <w:t>R INFORMATIO</w:t>
      </w:r>
      <w:r>
        <w:rPr>
          <w:b/>
          <w:bCs/>
          <w:sz w:val="20"/>
          <w:szCs w:val="20"/>
        </w:rPr>
        <w:t>N</w:t>
      </w:r>
    </w:p>
    <w:p w:rsidR="00000000" w:rsidRDefault="00A32496">
      <w:pPr>
        <w:pStyle w:val="a3"/>
        <w:spacing w:before="240" w:beforeAutospacing="0" w:after="0" w:afterAutospacing="0"/>
        <w:rPr>
          <w:sz w:val="20"/>
          <w:szCs w:val="20"/>
        </w:rPr>
      </w:pPr>
      <w:r>
        <w:rPr>
          <w:b/>
          <w:bCs/>
          <w:sz w:val="20"/>
          <w:szCs w:val="20"/>
        </w:rPr>
        <w:t>Item 1. Legal</w:t>
      </w:r>
      <w:r>
        <w:rPr>
          <w:b/>
          <w:bCs/>
          <w:sz w:val="20"/>
          <w:szCs w:val="20"/>
        </w:rPr>
        <w:t xml:space="preserve"> </w:t>
      </w:r>
      <w:r>
        <w:rPr>
          <w:b/>
          <w:bCs/>
          <w:sz w:val="20"/>
          <w:szCs w:val="20"/>
        </w:rPr>
        <w:t>Proceedings</w:t>
      </w:r>
      <w:r>
        <w:rPr>
          <w:b/>
          <w:bCs/>
          <w:sz w:val="20"/>
          <w:szCs w:val="20"/>
        </w:rPr>
        <w:t>.</w:t>
      </w:r>
    </w:p>
    <w:p w:rsidR="00000000" w:rsidRDefault="00A32496">
      <w:pPr>
        <w:pStyle w:val="a3"/>
        <w:spacing w:before="120" w:beforeAutospacing="0" w:after="0" w:afterAutospacing="0"/>
        <w:ind w:firstLine="555"/>
        <w:rPr>
          <w:sz w:val="20"/>
          <w:szCs w:val="20"/>
        </w:rPr>
      </w:pPr>
      <w:r>
        <w:rPr>
          <w:sz w:val="20"/>
          <w:szCs w:val="20"/>
        </w:rPr>
        <w:t>From time to ti</w:t>
      </w:r>
      <w:r>
        <w:rPr>
          <w:sz w:val="20"/>
          <w:szCs w:val="20"/>
        </w:rPr>
        <w:t>me, we are subject to various legal proceedings that arise in the normal course of our business activities, including those involving labor and employment, anti-discrimination, commercial disputes and other matters. We are not a party to any litigation the</w:t>
      </w:r>
      <w:r>
        <w:rPr>
          <w:sz w:val="20"/>
          <w:szCs w:val="20"/>
        </w:rPr>
        <w:t xml:space="preserve"> outcome of which, if determined adversely to us, would individually or in the aggregate be reasonably expected to have a material adverse effect on our results of operations or financial position. Regardless of outcome, litigation can have an adverse impa</w:t>
      </w:r>
      <w:r>
        <w:rPr>
          <w:sz w:val="20"/>
          <w:szCs w:val="20"/>
        </w:rPr>
        <w:t>ct on us because of defense and settlement costs, diversion of management resources and other factors</w:t>
      </w:r>
      <w:r>
        <w:rPr>
          <w:sz w:val="20"/>
          <w:szCs w:val="20"/>
        </w:rPr>
        <w:t>.</w:t>
      </w:r>
      <w:r>
        <w:rPr>
          <w:sz w:val="20"/>
          <w:szCs w:val="20"/>
        </w:rPr>
        <w:t xml:space="preserve"> </w:t>
      </w:r>
    </w:p>
    <w:p w:rsidR="00000000" w:rsidRDefault="00A32496">
      <w:pPr>
        <w:pStyle w:val="a3"/>
        <w:spacing w:before="360" w:beforeAutospacing="0" w:after="0" w:afterAutospacing="0"/>
        <w:rPr>
          <w:sz w:val="20"/>
          <w:szCs w:val="20"/>
        </w:rPr>
      </w:pPr>
      <w:r>
        <w:rPr>
          <w:b/>
          <w:bCs/>
          <w:sz w:val="20"/>
          <w:szCs w:val="20"/>
        </w:rPr>
        <w:t>Item 1A. R</w:t>
      </w:r>
      <w:r>
        <w:rPr>
          <w:b/>
          <w:bCs/>
          <w:sz w:val="20"/>
          <w:szCs w:val="20"/>
        </w:rPr>
        <w:t>i</w:t>
      </w:r>
      <w:r>
        <w:rPr>
          <w:b/>
          <w:bCs/>
          <w:sz w:val="20"/>
          <w:szCs w:val="20"/>
        </w:rPr>
        <w:t>sk Factors</w:t>
      </w:r>
      <w:r>
        <w:rPr>
          <w:b/>
          <w:bCs/>
          <w:sz w:val="20"/>
          <w:szCs w:val="20"/>
        </w:rPr>
        <w:t>.</w:t>
      </w:r>
    </w:p>
    <w:p w:rsidR="00000000" w:rsidRDefault="00A32496">
      <w:pPr>
        <w:pStyle w:val="a3"/>
        <w:spacing w:before="120" w:beforeAutospacing="0" w:after="0" w:afterAutospacing="0"/>
        <w:ind w:firstLine="555"/>
        <w:rPr>
          <w:sz w:val="20"/>
          <w:szCs w:val="20"/>
        </w:rPr>
      </w:pPr>
      <w:r>
        <w:rPr>
          <w:sz w:val="20"/>
          <w:szCs w:val="20"/>
        </w:rPr>
        <w:t>There have been no material changes to our risk factors from the risk factors disclosed in our 2021 Form 10-K. The risks described in our 2021 Form 10-K, in addition to the other information set forth in this Quarterly Report on Form 10-Q, are not the only</w:t>
      </w:r>
      <w:r>
        <w:rPr>
          <w:sz w:val="20"/>
          <w:szCs w:val="20"/>
        </w:rPr>
        <w:t xml:space="preserve"> risks facing we face. Additional risks and uncertainties not currently known to us or that we currently deem to be immaterial also may materially adversely affect our business, financial condition and/or operating results</w:t>
      </w:r>
      <w:r>
        <w:rPr>
          <w:sz w:val="20"/>
          <w:szCs w:val="20"/>
        </w:rPr>
        <w:t>.</w:t>
      </w:r>
    </w:p>
    <w:p w:rsidR="00000000" w:rsidRDefault="00A32496">
      <w:pPr>
        <w:pStyle w:val="a3"/>
        <w:spacing w:before="360" w:beforeAutospacing="0" w:after="0" w:afterAutospacing="0"/>
        <w:rPr>
          <w:sz w:val="20"/>
          <w:szCs w:val="20"/>
        </w:rPr>
      </w:pPr>
      <w:r>
        <w:rPr>
          <w:b/>
          <w:bCs/>
          <w:sz w:val="20"/>
          <w:szCs w:val="20"/>
        </w:rPr>
        <w:t>Item 2. Unregistered Sales of Eq</w:t>
      </w:r>
      <w:r>
        <w:rPr>
          <w:b/>
          <w:bCs/>
          <w:sz w:val="20"/>
          <w:szCs w:val="20"/>
        </w:rPr>
        <w:t>u</w:t>
      </w:r>
      <w:r>
        <w:rPr>
          <w:b/>
          <w:bCs/>
          <w:sz w:val="20"/>
          <w:szCs w:val="20"/>
        </w:rPr>
        <w:t>i</w:t>
      </w:r>
      <w:r>
        <w:rPr>
          <w:b/>
          <w:bCs/>
          <w:sz w:val="20"/>
          <w:szCs w:val="20"/>
        </w:rPr>
        <w:t>ty Securities and Use of Proceeds</w:t>
      </w:r>
      <w:r>
        <w:rPr>
          <w:b/>
          <w:bCs/>
          <w:sz w:val="20"/>
          <w:szCs w:val="20"/>
        </w:rPr>
        <w:t>.</w:t>
      </w:r>
    </w:p>
    <w:p w:rsidR="00000000" w:rsidRDefault="00A32496">
      <w:pPr>
        <w:pStyle w:val="a3"/>
        <w:spacing w:before="120" w:beforeAutospacing="0" w:after="0" w:afterAutospacing="0"/>
        <w:ind w:firstLine="555"/>
        <w:rPr>
          <w:sz w:val="20"/>
          <w:szCs w:val="20"/>
        </w:rPr>
      </w:pPr>
      <w:r>
        <w:rPr>
          <w:sz w:val="20"/>
          <w:szCs w:val="20"/>
        </w:rPr>
        <w:t>None</w:t>
      </w:r>
      <w:r>
        <w:rPr>
          <w:sz w:val="20"/>
          <w:szCs w:val="20"/>
        </w:rPr>
        <w:t>.</w:t>
      </w:r>
    </w:p>
    <w:p w:rsidR="00000000" w:rsidRDefault="00A32496">
      <w:pPr>
        <w:pStyle w:val="a3"/>
        <w:spacing w:before="360" w:beforeAutospacing="0" w:after="0" w:afterAutospacing="0"/>
        <w:rPr>
          <w:sz w:val="20"/>
          <w:szCs w:val="20"/>
        </w:rPr>
      </w:pPr>
      <w:r>
        <w:rPr>
          <w:b/>
          <w:bCs/>
          <w:sz w:val="20"/>
          <w:szCs w:val="20"/>
        </w:rPr>
        <w:t>Item 3. Defaults Up</w:t>
      </w:r>
      <w:r>
        <w:rPr>
          <w:b/>
          <w:bCs/>
          <w:sz w:val="20"/>
          <w:szCs w:val="20"/>
        </w:rPr>
        <w:t>o</w:t>
      </w:r>
      <w:r>
        <w:rPr>
          <w:b/>
          <w:bCs/>
          <w:sz w:val="20"/>
          <w:szCs w:val="20"/>
        </w:rPr>
        <w:t>n Senior Securities</w:t>
      </w:r>
      <w:r>
        <w:rPr>
          <w:b/>
          <w:bCs/>
          <w:sz w:val="20"/>
          <w:szCs w:val="20"/>
        </w:rPr>
        <w:t>.</w:t>
      </w:r>
    </w:p>
    <w:p w:rsidR="00000000" w:rsidRDefault="00A32496">
      <w:pPr>
        <w:pStyle w:val="a3"/>
        <w:spacing w:before="120" w:beforeAutospacing="0" w:after="0" w:afterAutospacing="0"/>
        <w:ind w:firstLine="555"/>
        <w:rPr>
          <w:sz w:val="20"/>
          <w:szCs w:val="20"/>
        </w:rPr>
      </w:pPr>
      <w:r>
        <w:rPr>
          <w:sz w:val="20"/>
          <w:szCs w:val="20"/>
        </w:rPr>
        <w:t>None</w:t>
      </w:r>
      <w:r>
        <w:rPr>
          <w:sz w:val="20"/>
          <w:szCs w:val="20"/>
        </w:rPr>
        <w:t>.</w:t>
      </w:r>
    </w:p>
    <w:p w:rsidR="00000000" w:rsidRDefault="00A32496">
      <w:pPr>
        <w:pStyle w:val="a3"/>
        <w:spacing w:before="360" w:beforeAutospacing="0" w:after="0" w:afterAutospacing="0"/>
        <w:rPr>
          <w:sz w:val="20"/>
          <w:szCs w:val="20"/>
        </w:rPr>
      </w:pPr>
      <w:r>
        <w:rPr>
          <w:b/>
          <w:bCs/>
          <w:sz w:val="20"/>
          <w:szCs w:val="20"/>
        </w:rPr>
        <w:t>Item 4. Mine Saf</w:t>
      </w:r>
      <w:r>
        <w:rPr>
          <w:b/>
          <w:bCs/>
          <w:sz w:val="20"/>
          <w:szCs w:val="20"/>
        </w:rPr>
        <w:t>e</w:t>
      </w:r>
      <w:r>
        <w:rPr>
          <w:b/>
          <w:bCs/>
          <w:sz w:val="20"/>
          <w:szCs w:val="20"/>
        </w:rPr>
        <w:t>ty Disclosures</w:t>
      </w:r>
      <w:r>
        <w:rPr>
          <w:b/>
          <w:bCs/>
          <w:sz w:val="20"/>
          <w:szCs w:val="20"/>
        </w:rPr>
        <w:t>.</w:t>
      </w:r>
    </w:p>
    <w:p w:rsidR="00000000" w:rsidRDefault="00A32496">
      <w:pPr>
        <w:pStyle w:val="a3"/>
        <w:spacing w:before="120" w:beforeAutospacing="0" w:after="0" w:afterAutospacing="0"/>
        <w:ind w:firstLine="555"/>
        <w:rPr>
          <w:sz w:val="20"/>
          <w:szCs w:val="20"/>
        </w:rPr>
      </w:pPr>
      <w:r>
        <w:rPr>
          <w:sz w:val="20"/>
          <w:szCs w:val="20"/>
        </w:rPr>
        <w:t>Not applicable</w:t>
      </w:r>
      <w:r>
        <w:rPr>
          <w:sz w:val="20"/>
          <w:szCs w:val="20"/>
        </w:rPr>
        <w:t>.</w:t>
      </w:r>
    </w:p>
    <w:p w:rsidR="00000000" w:rsidRDefault="00A32496">
      <w:pPr>
        <w:pStyle w:val="a3"/>
        <w:spacing w:before="360" w:beforeAutospacing="0" w:after="0" w:afterAutospacing="0"/>
        <w:rPr>
          <w:sz w:val="20"/>
          <w:szCs w:val="20"/>
        </w:rPr>
      </w:pPr>
      <w:r>
        <w:rPr>
          <w:b/>
          <w:bCs/>
          <w:sz w:val="20"/>
          <w:szCs w:val="20"/>
        </w:rPr>
        <w:t>Item 5. Other</w:t>
      </w:r>
      <w:r>
        <w:rPr>
          <w:b/>
          <w:bCs/>
          <w:sz w:val="20"/>
          <w:szCs w:val="20"/>
        </w:rPr>
        <w:t xml:space="preserve"> </w:t>
      </w:r>
      <w:r>
        <w:rPr>
          <w:b/>
          <w:bCs/>
          <w:sz w:val="20"/>
          <w:szCs w:val="20"/>
        </w:rPr>
        <w:t>Information</w:t>
      </w:r>
      <w:r>
        <w:rPr>
          <w:b/>
          <w:bCs/>
          <w:sz w:val="20"/>
          <w:szCs w:val="20"/>
        </w:rPr>
        <w:t>.</w:t>
      </w:r>
    </w:p>
    <w:p w:rsidR="00000000" w:rsidRDefault="00A32496">
      <w:pPr>
        <w:pStyle w:val="a3"/>
        <w:spacing w:before="120" w:beforeAutospacing="0" w:after="0" w:afterAutospacing="0"/>
        <w:ind w:firstLine="555"/>
        <w:rPr>
          <w:sz w:val="20"/>
          <w:szCs w:val="20"/>
        </w:rPr>
      </w:pPr>
      <w:r>
        <w:rPr>
          <w:sz w:val="20"/>
          <w:szCs w:val="20"/>
        </w:rPr>
        <w:t>None</w:t>
      </w:r>
      <w:r>
        <w:rPr>
          <w:sz w:val="20"/>
          <w:szCs w:val="20"/>
        </w:rPr>
        <w:t>.</w:t>
      </w:r>
    </w:p>
    <w:p w:rsidR="00000000" w:rsidRDefault="00A32496">
      <w:pPr>
        <w:pStyle w:val="a3"/>
        <w:spacing w:before="240" w:beforeAutospacing="0" w:after="0" w:afterAutospacing="0"/>
        <w:jc w:val="center"/>
        <w:rPr>
          <w:sz w:val="20"/>
          <w:szCs w:val="20"/>
        </w:rPr>
      </w:pPr>
      <w:r>
        <w:rPr>
          <w:sz w:val="20"/>
          <w:szCs w:val="20"/>
        </w:rPr>
        <w:t>4</w:t>
      </w:r>
      <w:r>
        <w:rPr>
          <w:sz w:val="20"/>
          <w:szCs w:val="20"/>
        </w:rPr>
        <w:t>9</w:t>
      </w:r>
    </w:p>
    <w:p w:rsidR="00000000" w:rsidRDefault="00A32496">
      <w:pPr>
        <w:rPr>
          <w:rFonts w:eastAsia="Times New Roman"/>
        </w:rPr>
      </w:pPr>
      <w:r>
        <w:rPr>
          <w:rFonts w:eastAsia="Times New Roman"/>
        </w:rPr>
        <w:pict>
          <v:rect id="_x0000_i1075" style="width:0;height:1.5pt" o:hralign="center" o:hrstd="t" o:hr="t" fillcolor="#a0a0a0" stroked="f"/>
        </w:pict>
      </w:r>
    </w:p>
    <w:p w:rsidR="00000000" w:rsidRDefault="00A32496">
      <w:pPr>
        <w:pStyle w:val="a3"/>
        <w:spacing w:before="0" w:beforeAutospacing="0" w:after="0" w:afterAutospacing="0"/>
        <w:rPr>
          <w:sz w:val="20"/>
          <w:szCs w:val="20"/>
        </w:rPr>
      </w:pPr>
      <w:r>
        <w:rPr>
          <w:sz w:val="20"/>
          <w:szCs w:val="20"/>
        </w:rPr>
        <w:t> </w:t>
      </w:r>
    </w:p>
    <w:p w:rsidR="00000000" w:rsidRDefault="00A32496">
      <w:pPr>
        <w:pStyle w:val="a3"/>
        <w:spacing w:before="360" w:beforeAutospacing="0" w:after="0" w:afterAutospacing="0"/>
        <w:rPr>
          <w:sz w:val="20"/>
          <w:szCs w:val="20"/>
        </w:rPr>
      </w:pPr>
      <w:r>
        <w:rPr>
          <w:b/>
          <w:bCs/>
          <w:sz w:val="20"/>
          <w:szCs w:val="20"/>
        </w:rPr>
        <w:t xml:space="preserve">Item 6. </w:t>
      </w:r>
      <w:r>
        <w:rPr>
          <w:b/>
          <w:bCs/>
          <w:sz w:val="20"/>
          <w:szCs w:val="20"/>
        </w:rPr>
        <w:t>E</w:t>
      </w:r>
      <w:r>
        <w:rPr>
          <w:b/>
          <w:bCs/>
          <w:sz w:val="20"/>
          <w:szCs w:val="20"/>
        </w:rPr>
        <w:t>xhibits</w:t>
      </w:r>
      <w:r>
        <w:rPr>
          <w:b/>
          <w:bCs/>
          <w:sz w:val="20"/>
          <w:szCs w:val="20"/>
        </w:rPr>
        <w:t>.</w:t>
      </w:r>
    </w:p>
    <w:p w:rsidR="00000000" w:rsidRDefault="00A32496">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24"/>
        <w:gridCol w:w="109"/>
        <w:gridCol w:w="7273"/>
      </w:tblGrid>
      <w:tr w:rsidR="00000000">
        <w:trPr>
          <w:tblCellSpacing w:w="15" w:type="dxa"/>
        </w:trPr>
        <w:tc>
          <w:tcPr>
            <w:tcW w:w="449" w:type="pct"/>
            <w:vAlign w:val="center"/>
            <w:hideMark/>
          </w:tcPr>
          <w:p w:rsidR="00000000" w:rsidRDefault="00A32496">
            <w:pPr>
              <w:rPr>
                <w:sz w:val="20"/>
                <w:szCs w:val="20"/>
              </w:rPr>
            </w:pPr>
          </w:p>
        </w:tc>
        <w:tc>
          <w:tcPr>
            <w:tcW w:w="50" w:type="pct"/>
            <w:vAlign w:val="center"/>
            <w:hideMark/>
          </w:tcPr>
          <w:p w:rsidR="00000000" w:rsidRDefault="00A32496">
            <w:pPr>
              <w:rPr>
                <w:rFonts w:eastAsia="Times New Roman"/>
                <w:sz w:val="20"/>
                <w:szCs w:val="20"/>
              </w:rPr>
            </w:pPr>
          </w:p>
        </w:tc>
        <w:tc>
          <w:tcPr>
            <w:tcW w:w="4500" w:type="pct"/>
            <w:vAlign w:val="center"/>
            <w:hideMark/>
          </w:tcPr>
          <w:p w:rsidR="00000000" w:rsidRDefault="00A32496">
            <w:pPr>
              <w:rPr>
                <w:rFonts w:eastAsia="Times New Roman"/>
                <w:sz w:val="20"/>
                <w:szCs w:val="20"/>
              </w:rPr>
            </w:pPr>
          </w:p>
        </w:tc>
      </w:tr>
      <w:tr w:rsidR="00000000">
        <w:trPr>
          <w:trHeight w:val="160"/>
          <w:tblCellSpacing w:w="15" w:type="dxa"/>
        </w:trPr>
        <w:tc>
          <w:tcPr>
            <w:tcW w:w="0" w:type="auto"/>
            <w:tcMar>
              <w:top w:w="14" w:type="dxa"/>
              <w:left w:w="15" w:type="dxa"/>
              <w:bottom w:w="15" w:type="dxa"/>
              <w:right w:w="14" w:type="dxa"/>
            </w:tcMar>
            <w:vAlign w:val="bottom"/>
            <w:hideMark/>
          </w:tcPr>
          <w:p w:rsidR="00000000" w:rsidRDefault="00A32496">
            <w:pPr>
              <w:pStyle w:val="a3"/>
              <w:spacing w:before="0" w:beforeAutospacing="0" w:after="0" w:afterAutospacing="0"/>
              <w:jc w:val="center"/>
              <w:rPr>
                <w:sz w:val="16"/>
                <w:szCs w:val="16"/>
              </w:rPr>
            </w:pPr>
            <w:r>
              <w:rPr>
                <w:b/>
                <w:bCs/>
                <w:sz w:val="16"/>
                <w:szCs w:val="16"/>
              </w:rPr>
              <w:t>Exhibi</w:t>
            </w:r>
            <w:r>
              <w:rPr>
                <w:b/>
                <w:bCs/>
                <w:sz w:val="16"/>
                <w:szCs w:val="16"/>
              </w:rPr>
              <w:t>t</w:t>
            </w:r>
          </w:p>
          <w:p w:rsidR="00000000" w:rsidRDefault="00A32496">
            <w:pPr>
              <w:pStyle w:val="a3"/>
              <w:spacing w:before="0" w:beforeAutospacing="0" w:after="0" w:afterAutospacing="0"/>
              <w:jc w:val="center"/>
              <w:rPr>
                <w:sz w:val="16"/>
                <w:szCs w:val="16"/>
              </w:rPr>
            </w:pPr>
            <w:r>
              <w:rPr>
                <w:b/>
                <w:bCs/>
                <w:sz w:val="16"/>
                <w:szCs w:val="16"/>
              </w:rPr>
              <w:t>Numbe</w:t>
            </w:r>
            <w:r>
              <w:rPr>
                <w:b/>
                <w:bCs/>
                <w:sz w:val="16"/>
                <w:szCs w:val="16"/>
              </w:rPr>
              <w:t>r</w:t>
            </w:r>
          </w:p>
        </w:tc>
        <w:tc>
          <w:tcPr>
            <w:tcW w:w="0" w:type="auto"/>
            <w:tcMar>
              <w:top w:w="14" w:type="dxa"/>
              <w:left w:w="15" w:type="dxa"/>
              <w:bottom w:w="15" w:type="dxa"/>
              <w:right w:w="14" w:type="dxa"/>
            </w:tcMar>
            <w:vAlign w:val="bottom"/>
            <w:hideMark/>
          </w:tcPr>
          <w:p w:rsidR="00000000" w:rsidRDefault="00A32496">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A32496">
            <w:pPr>
              <w:pStyle w:val="a3"/>
              <w:spacing w:before="0" w:beforeAutospacing="0" w:after="0" w:afterAutospacing="0"/>
              <w:jc w:val="center"/>
              <w:rPr>
                <w:sz w:val="16"/>
                <w:szCs w:val="16"/>
              </w:rPr>
            </w:pPr>
            <w:r>
              <w:rPr>
                <w:b/>
                <w:bCs/>
                <w:sz w:val="16"/>
                <w:szCs w:val="16"/>
              </w:rPr>
              <w:t>Descriptio</w:t>
            </w:r>
            <w:r>
              <w:rPr>
                <w:b/>
                <w:bCs/>
                <w:sz w:val="16"/>
                <w:szCs w:val="16"/>
              </w:rPr>
              <w:t>n</w:t>
            </w:r>
          </w:p>
        </w:tc>
      </w:tr>
      <w:tr w:rsidR="00000000">
        <w:trPr>
          <w:trHeight w:val="120"/>
          <w:tblCellSpacing w:w="15" w:type="dxa"/>
        </w:trPr>
        <w:tc>
          <w:tcPr>
            <w:tcW w:w="0" w:type="auto"/>
            <w:tcMar>
              <w:top w:w="14" w:type="dxa"/>
              <w:left w:w="15" w:type="dxa"/>
              <w:bottom w:w="15" w:type="dxa"/>
              <w:right w:w="14" w:type="dxa"/>
            </w:tcMar>
            <w:vAlign w:val="bottom"/>
            <w:hideMark/>
          </w:tcPr>
          <w:p w:rsidR="00000000" w:rsidRDefault="00A32496">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A32496">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A32496">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20"/>
                <w:szCs w:val="20"/>
              </w:rPr>
            </w:pPr>
            <w:r>
              <w:rPr>
                <w:sz w:val="20"/>
                <w:szCs w:val="20"/>
              </w:rPr>
              <w:t>31.1</w:t>
            </w:r>
            <w:r>
              <w:rPr>
                <w:sz w:val="20"/>
                <w:szCs w:val="20"/>
              </w:rPr>
              <w:t>*</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20"/>
                <w:szCs w:val="20"/>
              </w:rPr>
            </w:pPr>
            <w:hyperlink r:id="rId4" w:history="1">
              <w:r>
                <w:rPr>
                  <w:rStyle w:val="a4"/>
                  <w:sz w:val="20"/>
                  <w:szCs w:val="20"/>
                </w:rPr>
                <w:t>Certification of Principal Executive Officer Pursuant to Rules 13a-14(a) and 15d-14(a) under the Securities Exchange Act of 1934, as Adopted Pursuant to Section 302 of the Sarbanes-Oxley Act of 2002</w:t>
              </w:r>
              <w:r>
                <w:rPr>
                  <w:rStyle w:val="a4"/>
                  <w:sz w:val="20"/>
                  <w:szCs w:val="20"/>
                </w:rPr>
                <w:t>.</w:t>
              </w:r>
            </w:hyperlink>
          </w:p>
        </w:tc>
      </w:tr>
      <w:tr w:rsidR="00000000">
        <w:trPr>
          <w:tblCellSpacing w:w="15" w:type="dxa"/>
        </w:trPr>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20"/>
                <w:szCs w:val="20"/>
              </w:rPr>
            </w:pPr>
            <w:r>
              <w:rPr>
                <w:sz w:val="20"/>
                <w:szCs w:val="20"/>
              </w:rPr>
              <w:t>31.2</w:t>
            </w:r>
            <w:r>
              <w:rPr>
                <w:sz w:val="20"/>
                <w:szCs w:val="20"/>
              </w:rPr>
              <w:t>*</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20"/>
                <w:szCs w:val="20"/>
              </w:rPr>
            </w:pPr>
            <w:hyperlink r:id="rId5" w:history="1">
              <w:r>
                <w:rPr>
                  <w:rStyle w:val="a4"/>
                  <w:sz w:val="20"/>
                  <w:szCs w:val="20"/>
                </w:rPr>
                <w:t>Certifica</w:t>
              </w:r>
              <w:r>
                <w:rPr>
                  <w:rStyle w:val="a4"/>
                  <w:sz w:val="20"/>
                  <w:szCs w:val="20"/>
                </w:rPr>
                <w:t>tion of Principal Financial Officer Pursuant to Rules 13a-14(a) and 15d-14(a) under the Securities Exchange Act of 1934, as Adopted Pursuant to Section 302 of the Sarbanes-Oxley Act of 2002</w:t>
              </w:r>
              <w:r>
                <w:rPr>
                  <w:rStyle w:val="a4"/>
                  <w:sz w:val="20"/>
                  <w:szCs w:val="20"/>
                </w:rPr>
                <w:t>.</w:t>
              </w:r>
            </w:hyperlink>
          </w:p>
        </w:tc>
      </w:tr>
      <w:tr w:rsidR="00000000">
        <w:trPr>
          <w:tblCellSpacing w:w="15" w:type="dxa"/>
        </w:trPr>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20"/>
                <w:szCs w:val="20"/>
              </w:rPr>
            </w:pPr>
            <w:r>
              <w:rPr>
                <w:sz w:val="20"/>
                <w:szCs w:val="20"/>
              </w:rPr>
              <w:t>32.1*</w:t>
            </w:r>
            <w:r>
              <w:rPr>
                <w:sz w:val="20"/>
                <w:szCs w:val="20"/>
              </w:rPr>
              <w:t>*</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20"/>
                <w:szCs w:val="20"/>
              </w:rPr>
            </w:pPr>
            <w:hyperlink r:id="rId6" w:history="1">
              <w:r>
                <w:rPr>
                  <w:rStyle w:val="a4"/>
                  <w:sz w:val="20"/>
                  <w:szCs w:val="20"/>
                </w:rPr>
                <w:t>Certification of Principal Executive Officer Pursuant to 18 U.S.C. Section 1350, as Adopted Pursuant to Section 906 of the Sarbanes-Oxley Act of 2002</w:t>
              </w:r>
              <w:r>
                <w:rPr>
                  <w:rStyle w:val="a4"/>
                  <w:sz w:val="20"/>
                  <w:szCs w:val="20"/>
                </w:rPr>
                <w:t>.</w:t>
              </w:r>
            </w:hyperlink>
          </w:p>
        </w:tc>
      </w:tr>
      <w:tr w:rsidR="00000000">
        <w:trPr>
          <w:tblCellSpacing w:w="15" w:type="dxa"/>
        </w:trPr>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20"/>
                <w:szCs w:val="20"/>
              </w:rPr>
            </w:pPr>
            <w:r>
              <w:rPr>
                <w:sz w:val="20"/>
                <w:szCs w:val="20"/>
              </w:rPr>
              <w:t>32.2*</w:t>
            </w:r>
            <w:r>
              <w:rPr>
                <w:sz w:val="20"/>
                <w:szCs w:val="20"/>
              </w:rPr>
              <w:t>*</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20"/>
                <w:szCs w:val="20"/>
              </w:rPr>
            </w:pPr>
            <w:hyperlink r:id="rId7" w:history="1">
              <w:r>
                <w:rPr>
                  <w:rStyle w:val="a4"/>
                  <w:sz w:val="20"/>
                  <w:szCs w:val="20"/>
                </w:rPr>
                <w:t>Certification of Principal</w:t>
              </w:r>
              <w:r>
                <w:rPr>
                  <w:rStyle w:val="a4"/>
                  <w:sz w:val="20"/>
                  <w:szCs w:val="20"/>
                </w:rPr>
                <w:t xml:space="preserve"> Financial Officer Pursuant to 18 U.S.C. Section 1350, as Adopted Pursuant to Section 906 of the Sarbanes-Oxley Act of 2002</w:t>
              </w:r>
              <w:r>
                <w:rPr>
                  <w:rStyle w:val="a4"/>
                  <w:sz w:val="20"/>
                  <w:szCs w:val="20"/>
                </w:rPr>
                <w:t>.</w:t>
              </w:r>
            </w:hyperlink>
          </w:p>
        </w:tc>
      </w:tr>
      <w:tr w:rsidR="00000000">
        <w:trPr>
          <w:tblCellSpacing w:w="15" w:type="dxa"/>
        </w:trPr>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20"/>
                <w:szCs w:val="20"/>
              </w:rPr>
            </w:pPr>
            <w:r>
              <w:rPr>
                <w:sz w:val="20"/>
                <w:szCs w:val="20"/>
              </w:rPr>
              <w:t>101.INS</w:t>
            </w:r>
            <w:r>
              <w:rPr>
                <w:sz w:val="20"/>
                <w:szCs w:val="20"/>
              </w:rPr>
              <w:t>*</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20"/>
                <w:szCs w:val="20"/>
              </w:rPr>
            </w:pPr>
            <w:r>
              <w:rPr>
                <w:sz w:val="20"/>
                <w:szCs w:val="20"/>
              </w:rPr>
              <w:t>Inline XBRL Instance Documen</w:t>
            </w:r>
            <w:r>
              <w:rPr>
                <w:sz w:val="20"/>
                <w:szCs w:val="20"/>
              </w:rPr>
              <w:t>t</w:t>
            </w:r>
          </w:p>
        </w:tc>
      </w:tr>
      <w:tr w:rsidR="00000000">
        <w:trPr>
          <w:tblCellSpacing w:w="15" w:type="dxa"/>
        </w:trPr>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20"/>
                <w:szCs w:val="20"/>
              </w:rPr>
            </w:pPr>
            <w:r>
              <w:rPr>
                <w:sz w:val="20"/>
                <w:szCs w:val="20"/>
              </w:rPr>
              <w:t>101.SCH</w:t>
            </w:r>
            <w:r>
              <w:rPr>
                <w:sz w:val="20"/>
                <w:szCs w:val="20"/>
              </w:rPr>
              <w:t>*</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20"/>
                <w:szCs w:val="20"/>
              </w:rPr>
            </w:pPr>
            <w:r>
              <w:rPr>
                <w:sz w:val="20"/>
                <w:szCs w:val="20"/>
              </w:rPr>
              <w:t>Inline XBRL Taxonomy Extension Schema Documen</w:t>
            </w:r>
            <w:r>
              <w:rPr>
                <w:sz w:val="20"/>
                <w:szCs w:val="20"/>
              </w:rPr>
              <w:t>t</w:t>
            </w:r>
          </w:p>
        </w:tc>
      </w:tr>
      <w:tr w:rsidR="00000000">
        <w:trPr>
          <w:tblCellSpacing w:w="15" w:type="dxa"/>
        </w:trPr>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20"/>
                <w:szCs w:val="20"/>
              </w:rPr>
            </w:pPr>
            <w:r>
              <w:rPr>
                <w:sz w:val="20"/>
                <w:szCs w:val="20"/>
              </w:rPr>
              <w:t>101.CAL</w:t>
            </w:r>
            <w:r>
              <w:rPr>
                <w:sz w:val="20"/>
                <w:szCs w:val="20"/>
              </w:rPr>
              <w:t>*</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20"/>
                <w:szCs w:val="20"/>
              </w:rPr>
            </w:pPr>
            <w:r>
              <w:rPr>
                <w:sz w:val="20"/>
                <w:szCs w:val="20"/>
              </w:rPr>
              <w:t>Inline XBRL Taxonomy Extension Calculation Linkbase Documen</w:t>
            </w:r>
            <w:r>
              <w:rPr>
                <w:sz w:val="20"/>
                <w:szCs w:val="20"/>
              </w:rPr>
              <w:t>t</w:t>
            </w:r>
          </w:p>
        </w:tc>
      </w:tr>
      <w:tr w:rsidR="00000000">
        <w:trPr>
          <w:tblCellSpacing w:w="15" w:type="dxa"/>
        </w:trPr>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20"/>
                <w:szCs w:val="20"/>
              </w:rPr>
            </w:pPr>
            <w:r>
              <w:rPr>
                <w:sz w:val="20"/>
                <w:szCs w:val="20"/>
              </w:rPr>
              <w:t>101.DEF</w:t>
            </w:r>
            <w:r>
              <w:rPr>
                <w:sz w:val="20"/>
                <w:szCs w:val="20"/>
              </w:rPr>
              <w:t>*</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20"/>
                <w:szCs w:val="20"/>
              </w:rPr>
            </w:pPr>
            <w:r>
              <w:rPr>
                <w:sz w:val="20"/>
                <w:szCs w:val="20"/>
              </w:rPr>
              <w:t>Inline XBRL Taxonomy Extension Definition Linkbase Documen</w:t>
            </w:r>
            <w:r>
              <w:rPr>
                <w:sz w:val="20"/>
                <w:szCs w:val="20"/>
              </w:rPr>
              <w:t>t</w:t>
            </w:r>
          </w:p>
        </w:tc>
      </w:tr>
      <w:tr w:rsidR="00000000">
        <w:trPr>
          <w:tblCellSpacing w:w="15" w:type="dxa"/>
        </w:trPr>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20"/>
                <w:szCs w:val="20"/>
              </w:rPr>
            </w:pPr>
            <w:r>
              <w:rPr>
                <w:sz w:val="20"/>
                <w:szCs w:val="20"/>
              </w:rPr>
              <w:t>101.LAB</w:t>
            </w:r>
            <w:r>
              <w:rPr>
                <w:sz w:val="20"/>
                <w:szCs w:val="20"/>
              </w:rPr>
              <w:t>*</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20"/>
                <w:szCs w:val="20"/>
              </w:rPr>
            </w:pPr>
            <w:r>
              <w:rPr>
                <w:sz w:val="20"/>
                <w:szCs w:val="20"/>
              </w:rPr>
              <w:t>Inline XBRL Taxonomy Extension Label Linkbase Documen</w:t>
            </w:r>
            <w:r>
              <w:rPr>
                <w:sz w:val="20"/>
                <w:szCs w:val="20"/>
              </w:rPr>
              <w:t>t</w:t>
            </w:r>
          </w:p>
        </w:tc>
      </w:tr>
      <w:tr w:rsidR="00000000">
        <w:trPr>
          <w:tblCellSpacing w:w="15" w:type="dxa"/>
        </w:trPr>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20"/>
                <w:szCs w:val="20"/>
              </w:rPr>
            </w:pPr>
            <w:r>
              <w:rPr>
                <w:sz w:val="20"/>
                <w:szCs w:val="20"/>
              </w:rPr>
              <w:t>101.PRE</w:t>
            </w:r>
            <w:r>
              <w:rPr>
                <w:sz w:val="20"/>
                <w:szCs w:val="20"/>
              </w:rPr>
              <w:t>*</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20"/>
                <w:szCs w:val="20"/>
              </w:rPr>
            </w:pPr>
            <w:r>
              <w:rPr>
                <w:sz w:val="20"/>
                <w:szCs w:val="20"/>
              </w:rPr>
              <w:t>Inline XBRL Taxonomy Extension Presentation Linkbase Documen</w:t>
            </w:r>
            <w:r>
              <w:rPr>
                <w:sz w:val="20"/>
                <w:szCs w:val="20"/>
              </w:rPr>
              <w:t>t</w:t>
            </w:r>
          </w:p>
        </w:tc>
      </w:tr>
      <w:tr w:rsidR="00000000">
        <w:trPr>
          <w:tblCellSpacing w:w="15" w:type="dxa"/>
        </w:trPr>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20"/>
                <w:szCs w:val="20"/>
              </w:rPr>
            </w:pPr>
            <w:r>
              <w:rPr>
                <w:sz w:val="20"/>
                <w:szCs w:val="20"/>
              </w:rPr>
              <w:t>104</w:t>
            </w:r>
            <w:r>
              <w:rPr>
                <w:sz w:val="20"/>
                <w:szCs w:val="20"/>
              </w:rPr>
              <w:t>*</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20"/>
                <w:szCs w:val="20"/>
              </w:rPr>
            </w:pPr>
            <w:r>
              <w:rPr>
                <w:sz w:val="20"/>
                <w:szCs w:val="20"/>
              </w:rPr>
              <w:t>Cover Page Interactive Data File – The cover page from the Company’</w:t>
            </w:r>
            <w:r>
              <w:rPr>
                <w:sz w:val="20"/>
                <w:szCs w:val="20"/>
              </w:rPr>
              <w:t>s Quarterly Report on Form 10-Q for the quarter ended September 30, 2022 is formatted in Inline XBRL (included as Exhibit 101</w:t>
            </w:r>
            <w:r>
              <w:rPr>
                <w:sz w:val="20"/>
                <w:szCs w:val="20"/>
              </w:rPr>
              <w:t>)</w:t>
            </w:r>
          </w:p>
        </w:tc>
      </w:tr>
    </w:tbl>
    <w:p w:rsidR="00000000" w:rsidRDefault="00A32496">
      <w:pPr>
        <w:pStyle w:val="a3"/>
        <w:pBdr>
          <w:bottom w:val="single" w:sz="4" w:space="1" w:color="auto"/>
        </w:pBdr>
        <w:spacing w:before="0" w:beforeAutospacing="0" w:after="0" w:afterAutospacing="0"/>
        <w:ind w:right="9167"/>
        <w:rPr>
          <w:sz w:val="20"/>
          <w:szCs w:val="20"/>
        </w:rPr>
      </w:pPr>
      <w:r>
        <w:rPr>
          <w:sz w:val="20"/>
          <w:szCs w:val="20"/>
        </w:rPr>
        <w:t> </w:t>
      </w:r>
    </w:p>
    <w:p w:rsidR="00000000" w:rsidRDefault="00A32496">
      <w:pPr>
        <w:pStyle w:val="a3"/>
        <w:spacing w:before="40" w:beforeAutospacing="0" w:after="0" w:afterAutospacing="0"/>
        <w:rPr>
          <w:sz w:val="20"/>
          <w:szCs w:val="20"/>
        </w:rPr>
      </w:pPr>
      <w:r>
        <w:rPr>
          <w:sz w:val="16"/>
          <w:szCs w:val="16"/>
        </w:rPr>
        <w:t>* Filed herewith</w:t>
      </w:r>
      <w:r>
        <w:rPr>
          <w:sz w:val="16"/>
          <w:szCs w:val="16"/>
        </w:rPr>
        <w:t>.</w:t>
      </w:r>
    </w:p>
    <w:p w:rsidR="00000000" w:rsidRDefault="00A32496">
      <w:pPr>
        <w:pStyle w:val="a3"/>
        <w:spacing w:before="0" w:beforeAutospacing="0" w:after="0" w:afterAutospacing="0"/>
        <w:rPr>
          <w:sz w:val="20"/>
          <w:szCs w:val="20"/>
        </w:rPr>
      </w:pPr>
      <w:r>
        <w:rPr>
          <w:sz w:val="16"/>
          <w:szCs w:val="16"/>
        </w:rPr>
        <w:t xml:space="preserve">** Exhibit is furnished and shall not be deemed “filed” </w:t>
      </w:r>
      <w:r>
        <w:rPr>
          <w:sz w:val="16"/>
          <w:szCs w:val="16"/>
        </w:rPr>
        <w:t>for purposes of Section 18 of the Exchange Act, or otherwise subject to the liabilities of that section, nor shall it be deemed incorporated by reference in any filing under the Securities Act, or the Exchange Act, except as shall be expressly set forth by</w:t>
      </w:r>
      <w:r>
        <w:rPr>
          <w:sz w:val="16"/>
          <w:szCs w:val="16"/>
        </w:rPr>
        <w:t xml:space="preserve"> specific reference in such filing</w:t>
      </w:r>
      <w:r>
        <w:rPr>
          <w:sz w:val="16"/>
          <w:szCs w:val="16"/>
        </w:rPr>
        <w:t>.</w:t>
      </w:r>
    </w:p>
    <w:p w:rsidR="00000000" w:rsidRDefault="00A32496">
      <w:pPr>
        <w:pStyle w:val="a3"/>
        <w:spacing w:before="40" w:beforeAutospacing="0" w:after="0" w:afterAutospacing="0"/>
        <w:ind w:hanging="581"/>
        <w:rPr>
          <w:sz w:val="20"/>
          <w:szCs w:val="20"/>
        </w:rPr>
      </w:pPr>
      <w:r>
        <w:rPr>
          <w:sz w:val="20"/>
          <w:szCs w:val="20"/>
        </w:rPr>
        <w:t> </w:t>
      </w:r>
    </w:p>
    <w:p w:rsidR="00000000" w:rsidRDefault="00A32496">
      <w:pPr>
        <w:pStyle w:val="a3"/>
        <w:spacing w:before="240" w:beforeAutospacing="0" w:after="0" w:afterAutospacing="0"/>
        <w:jc w:val="center"/>
        <w:rPr>
          <w:sz w:val="20"/>
          <w:szCs w:val="20"/>
        </w:rPr>
      </w:pPr>
      <w:r>
        <w:rPr>
          <w:sz w:val="20"/>
          <w:szCs w:val="20"/>
        </w:rPr>
        <w:t>5</w:t>
      </w:r>
      <w:r>
        <w:rPr>
          <w:sz w:val="20"/>
          <w:szCs w:val="20"/>
        </w:rPr>
        <w:t>0</w:t>
      </w:r>
    </w:p>
    <w:p w:rsidR="00000000" w:rsidRDefault="00A32496">
      <w:pPr>
        <w:rPr>
          <w:rFonts w:eastAsia="Times New Roman"/>
        </w:rPr>
      </w:pPr>
      <w:r>
        <w:rPr>
          <w:rFonts w:eastAsia="Times New Roman"/>
        </w:rPr>
        <w:pict>
          <v:rect id="_x0000_i1076" style="width:0;height:1.5pt" o:hralign="center" o:hrstd="t" o:hr="t" fillcolor="#a0a0a0" stroked="f"/>
        </w:pict>
      </w:r>
    </w:p>
    <w:p w:rsidR="00000000" w:rsidRDefault="00A32496">
      <w:pPr>
        <w:pStyle w:val="a3"/>
        <w:spacing w:before="0" w:beforeAutospacing="0" w:after="0" w:afterAutospacing="0"/>
        <w:rPr>
          <w:sz w:val="20"/>
          <w:szCs w:val="20"/>
        </w:rPr>
      </w:pPr>
      <w:r>
        <w:rPr>
          <w:sz w:val="20"/>
          <w:szCs w:val="20"/>
        </w:rPr>
        <w:t> </w:t>
      </w:r>
    </w:p>
    <w:p w:rsidR="00000000" w:rsidRDefault="00A32496">
      <w:pPr>
        <w:pStyle w:val="a3"/>
        <w:spacing w:before="0" w:beforeAutospacing="0" w:after="0" w:afterAutospacing="0"/>
        <w:jc w:val="center"/>
        <w:rPr>
          <w:sz w:val="20"/>
          <w:szCs w:val="20"/>
        </w:rPr>
      </w:pPr>
      <w:r>
        <w:rPr>
          <w:b/>
          <w:bCs/>
          <w:sz w:val="20"/>
          <w:szCs w:val="20"/>
        </w:rPr>
        <w:t>SIGN</w:t>
      </w:r>
      <w:r>
        <w:rPr>
          <w:b/>
          <w:bCs/>
          <w:sz w:val="20"/>
          <w:szCs w:val="20"/>
        </w:rPr>
        <w:t>A</w:t>
      </w:r>
      <w:r>
        <w:rPr>
          <w:b/>
          <w:bCs/>
          <w:sz w:val="20"/>
          <w:szCs w:val="20"/>
        </w:rPr>
        <w:t>TURE</w:t>
      </w:r>
      <w:r>
        <w:rPr>
          <w:b/>
          <w:bCs/>
          <w:sz w:val="20"/>
          <w:szCs w:val="20"/>
        </w:rPr>
        <w:t>S</w:t>
      </w:r>
    </w:p>
    <w:p w:rsidR="00000000" w:rsidRDefault="00A32496">
      <w:pPr>
        <w:pStyle w:val="a3"/>
        <w:spacing w:before="240" w:beforeAutospacing="0" w:after="0" w:afterAutospacing="0"/>
        <w:ind w:firstLine="555"/>
        <w:rPr>
          <w:sz w:val="20"/>
          <w:szCs w:val="20"/>
        </w:rPr>
      </w:pPr>
      <w:r>
        <w:rPr>
          <w:sz w:val="20"/>
          <w:szCs w:val="20"/>
        </w:rPr>
        <w:t>Pursuant to the requirements of the Securities Exchange Act of 1934, the registrant has duly caused this report to be signed on its behalf by the undersigned thereun</w:t>
      </w:r>
      <w:r>
        <w:rPr>
          <w:sz w:val="20"/>
          <w:szCs w:val="20"/>
        </w:rPr>
        <w:t>to duly authorized</w:t>
      </w:r>
      <w:r>
        <w:rPr>
          <w:sz w:val="20"/>
          <w:szCs w:val="20"/>
        </w:rPr>
        <w:t>.</w:t>
      </w:r>
    </w:p>
    <w:p w:rsidR="00000000" w:rsidRDefault="00A32496">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14"/>
        <w:gridCol w:w="112"/>
        <w:gridCol w:w="355"/>
        <w:gridCol w:w="4125"/>
      </w:tblGrid>
      <w:tr w:rsidR="00000000">
        <w:trPr>
          <w:tblCellSpacing w:w="15" w:type="dxa"/>
        </w:trPr>
        <w:tc>
          <w:tcPr>
            <w:tcW w:w="2250" w:type="pct"/>
            <w:vAlign w:val="center"/>
            <w:hideMark/>
          </w:tcPr>
          <w:p w:rsidR="00000000" w:rsidRDefault="00A32496">
            <w:pPr>
              <w:rPr>
                <w:sz w:val="20"/>
                <w:szCs w:val="20"/>
              </w:rPr>
            </w:pPr>
          </w:p>
        </w:tc>
        <w:tc>
          <w:tcPr>
            <w:tcW w:w="50" w:type="pct"/>
            <w:vAlign w:val="center"/>
            <w:hideMark/>
          </w:tcPr>
          <w:p w:rsidR="00000000" w:rsidRDefault="00A32496">
            <w:pPr>
              <w:rPr>
                <w:rFonts w:eastAsia="Times New Roman"/>
                <w:sz w:val="20"/>
                <w:szCs w:val="20"/>
              </w:rPr>
            </w:pPr>
          </w:p>
        </w:tc>
        <w:tc>
          <w:tcPr>
            <w:tcW w:w="199" w:type="pct"/>
            <w:vAlign w:val="center"/>
            <w:hideMark/>
          </w:tcPr>
          <w:p w:rsidR="00000000" w:rsidRDefault="00A32496">
            <w:pPr>
              <w:rPr>
                <w:rFonts w:eastAsia="Times New Roman"/>
                <w:sz w:val="20"/>
                <w:szCs w:val="20"/>
              </w:rPr>
            </w:pPr>
          </w:p>
        </w:tc>
        <w:tc>
          <w:tcPr>
            <w:tcW w:w="2500" w:type="pct"/>
            <w:vAlign w:val="center"/>
            <w:hideMark/>
          </w:tcPr>
          <w:p w:rsidR="00000000" w:rsidRDefault="00A32496">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gridSpan w:val="2"/>
            <w:tcMar>
              <w:top w:w="14" w:type="dxa"/>
              <w:left w:w="15" w:type="dxa"/>
              <w:bottom w:w="15" w:type="dxa"/>
              <w:right w:w="14" w:type="dxa"/>
            </w:tcMar>
            <w:vAlign w:val="bottom"/>
            <w:hideMark/>
          </w:tcPr>
          <w:p w:rsidR="00000000" w:rsidRDefault="00A32496">
            <w:pPr>
              <w:pStyle w:val="a3"/>
              <w:spacing w:before="0" w:beforeAutospacing="0" w:after="0" w:afterAutospacing="0"/>
              <w:rPr>
                <w:sz w:val="20"/>
                <w:szCs w:val="20"/>
              </w:rPr>
            </w:pPr>
            <w:r>
              <w:rPr>
                <w:sz w:val="20"/>
                <w:szCs w:val="20"/>
              </w:rPr>
              <w:t>Montrose Environmental Group, Inc</w:t>
            </w:r>
            <w:r>
              <w:rPr>
                <w:sz w:val="20"/>
                <w:szCs w:val="20"/>
              </w:rPr>
              <w:t>.</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A3249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A32496">
            <w:pPr>
              <w:pStyle w:val="a3"/>
              <w:spacing w:before="0" w:beforeAutospacing="0" w:after="0" w:afterAutospacing="0"/>
              <w:rPr>
                <w:sz w:val="20"/>
                <w:szCs w:val="20"/>
              </w:rPr>
            </w:pPr>
            <w:r>
              <w:rPr>
                <w:sz w:val="20"/>
                <w:szCs w:val="20"/>
              </w:rPr>
              <w:t>Date: November 9, 202</w:t>
            </w:r>
            <w:r>
              <w:rPr>
                <w:sz w:val="20"/>
                <w:szCs w:val="20"/>
              </w:rPr>
              <w:t>2</w:t>
            </w:r>
          </w:p>
        </w:tc>
        <w:tc>
          <w:tcPr>
            <w:tcW w:w="0" w:type="auto"/>
            <w:tcMar>
              <w:top w:w="14" w:type="dxa"/>
              <w:left w:w="15" w:type="dxa"/>
              <w:bottom w:w="15" w:type="dxa"/>
              <w:right w:w="14" w:type="dxa"/>
            </w:tcMar>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A32496">
            <w:pPr>
              <w:pStyle w:val="a3"/>
              <w:spacing w:before="0" w:beforeAutospacing="0" w:after="0" w:afterAutospacing="0"/>
              <w:rPr>
                <w:sz w:val="20"/>
                <w:szCs w:val="20"/>
              </w:rPr>
            </w:pPr>
            <w:r>
              <w:rPr>
                <w:sz w:val="20"/>
                <w:szCs w:val="20"/>
              </w:rPr>
              <w:t>By</w:t>
            </w:r>
            <w:r>
              <w:rPr>
                <w:sz w:val="20"/>
                <w:szCs w:val="20"/>
              </w:rPr>
              <w:t>:</w:t>
            </w:r>
          </w:p>
        </w:tc>
        <w:tc>
          <w:tcPr>
            <w:tcW w:w="0" w:type="auto"/>
            <w:tcMar>
              <w:top w:w="14" w:type="dxa"/>
              <w:left w:w="15" w:type="dxa"/>
              <w:bottom w:w="15" w:type="dxa"/>
              <w:right w:w="14" w:type="dxa"/>
            </w:tcMar>
            <w:vAlign w:val="bottom"/>
            <w:hideMark/>
          </w:tcPr>
          <w:p w:rsidR="00000000" w:rsidRDefault="00A32496">
            <w:pPr>
              <w:pStyle w:val="a3"/>
              <w:spacing w:before="0" w:beforeAutospacing="0" w:after="0" w:afterAutospacing="0"/>
              <w:jc w:val="center"/>
              <w:rPr>
                <w:sz w:val="20"/>
                <w:szCs w:val="20"/>
              </w:rPr>
            </w:pPr>
            <w:r>
              <w:rPr>
                <w:sz w:val="20"/>
                <w:szCs w:val="20"/>
              </w:rPr>
              <w:t>/s/ Allan Dick</w:t>
            </w:r>
            <w:r>
              <w:rPr>
                <w:sz w:val="20"/>
                <w:szCs w:val="20"/>
              </w:rPr>
              <w:t>s</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A3249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A32496">
            <w:pPr>
              <w:pStyle w:val="a3"/>
              <w:spacing w:before="0" w:beforeAutospacing="0" w:after="0" w:afterAutospacing="0"/>
              <w:jc w:val="center"/>
              <w:rPr>
                <w:sz w:val="20"/>
                <w:szCs w:val="20"/>
              </w:rPr>
            </w:pPr>
            <w:r>
              <w:rPr>
                <w:sz w:val="20"/>
                <w:szCs w:val="20"/>
              </w:rPr>
              <w:t>Allan Dick</w:t>
            </w:r>
            <w:r>
              <w:rPr>
                <w:sz w:val="20"/>
                <w:szCs w:val="20"/>
              </w:rPr>
              <w:t>s</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A3249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A32496">
            <w:pPr>
              <w:pStyle w:val="a3"/>
              <w:spacing w:before="0" w:beforeAutospacing="0" w:after="0" w:afterAutospacing="0"/>
              <w:jc w:val="center"/>
              <w:rPr>
                <w:sz w:val="20"/>
                <w:szCs w:val="20"/>
              </w:rPr>
            </w:pPr>
            <w:r>
              <w:rPr>
                <w:sz w:val="20"/>
                <w:szCs w:val="20"/>
              </w:rPr>
              <w:t>Chief Financial Office</w:t>
            </w:r>
            <w:r>
              <w:rPr>
                <w:sz w:val="20"/>
                <w:szCs w:val="20"/>
              </w:rPr>
              <w:t>r</w:t>
            </w:r>
          </w:p>
        </w:tc>
      </w:tr>
    </w:tbl>
    <w:p w:rsidR="00000000" w:rsidRDefault="00A32496">
      <w:pPr>
        <w:pStyle w:val="a3"/>
        <w:spacing w:before="0" w:beforeAutospacing="0" w:after="0" w:afterAutospacing="0"/>
        <w:rPr>
          <w:sz w:val="20"/>
          <w:szCs w:val="20"/>
        </w:rPr>
      </w:pPr>
      <w:r>
        <w:rPr>
          <w:sz w:val="20"/>
          <w:szCs w:val="20"/>
        </w:rPr>
        <w:t> </w:t>
      </w:r>
    </w:p>
    <w:p w:rsidR="00000000" w:rsidRDefault="00A32496">
      <w:pPr>
        <w:pStyle w:val="a3"/>
        <w:spacing w:before="240" w:beforeAutospacing="0" w:after="0" w:afterAutospacing="0"/>
        <w:jc w:val="center"/>
        <w:rPr>
          <w:sz w:val="20"/>
          <w:szCs w:val="20"/>
        </w:rPr>
      </w:pPr>
      <w:r>
        <w:rPr>
          <w:sz w:val="20"/>
          <w:szCs w:val="20"/>
        </w:rPr>
        <w:t>5</w:t>
      </w:r>
      <w:r>
        <w:rPr>
          <w:sz w:val="20"/>
          <w:szCs w:val="20"/>
        </w:rPr>
        <w:t>1</w:t>
      </w:r>
    </w:p>
    <w:p w:rsidR="00A32496" w:rsidRDefault="00A32496">
      <w:pPr>
        <w:rPr>
          <w:rFonts w:eastAsia="Times New Roman"/>
        </w:rPr>
      </w:pPr>
      <w:r>
        <w:rPr>
          <w:rFonts w:eastAsia="Times New Roman"/>
        </w:rPr>
        <w:pict>
          <v:rect id="_x0000_i1077" style="width:0;height:1.5pt" o:hralign="center" o:hrstd="t" o:hr="t" fillcolor="#a0a0a0" stroked="f"/>
        </w:pict>
      </w:r>
    </w:p>
    <w:sectPr w:rsidR="00A32496">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32496"/>
    <w:rsid w:val="00A32496"/>
  </w:rsids>
  <m:mathPr>
    <m:mathFont m:val="Cambria Math"/>
    <m:brkBin m:val="before"/>
    <m:brkBinSub m:val="--"/>
    <m:smallFrac m:val="0"/>
    <m:dispDef/>
    <m:lMargin m:val="0"/>
    <m:rMargin m:val="0"/>
    <m:defJc m:val="centerGroup"/>
    <m:wrapIndent m:val="1440"/>
    <m:intLim m:val="subSup"/>
    <m:naryLim m:val="undOvr"/>
  </m:mathPr>
  <w:attachedSchema w:val="http://xbrl.org/2006/xbrldi"/>
  <w:attachedSchema w:val="http://xbrl.org/2005/xbrldt"/>
  <w:attachedSchema w:val="http://www.xbrl.org/2003/instance"/>
  <w:attachedSchema w:val="http://www.xbrl.org/2003/linkbase"/>
  <w:attachedSchema w:val="http://www.w3.org/1999/xlink"/>
  <w:attachedSchema w:val="http://www.xbrl.org/2013/inlineXBRL"/>
  <w:attachedSchema w:val="http://www.xbrl.org/dtr/type/non-numeric"/>
  <w:attachedSchema w:val="http://www.xbrl.org/inlineXBRL/transformation/2015-02-26"/>
  <w:attachedSchema w:val="http://www.sec.gov/inlineXBRL/transformation/2015-08-31"/>
  <w:attachedSchema w:val="http://xbrl.sec.gov/dei/2022"/>
  <w:attachedSchema w:val="http://fasb.org/us-gaap/2022"/>
  <w:attachedSchema w:val="http://www.xbrl.org/2003/iso4217"/>
  <w:attachedSchema w:val="http://xbrl.org/2020/extensible-enumerations-2.0"/>
  <w:attachedSchema w:val="http://www.xbrl.org/dtr/type/2020-01-21"/>
  <w:attachedSchema w:val="http://montrose-env.com/20220930"/>
  <w:attachedSchema w:val="http://fasb.org/srt/2022"/>
  <w:attachedSchema w:val="http://www.xbrl.org/2009/ut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51650">
      <w:marLeft w:val="4"/>
      <w:marRight w:val="0"/>
      <w:marTop w:val="120"/>
      <w:marBottom w:val="0"/>
      <w:divBdr>
        <w:top w:val="none" w:sz="0" w:space="0" w:color="auto"/>
        <w:left w:val="none" w:sz="0" w:space="0" w:color="auto"/>
        <w:bottom w:val="none" w:sz="0" w:space="0" w:color="auto"/>
        <w:right w:val="none" w:sz="0" w:space="0" w:color="auto"/>
      </w:divBdr>
      <w:divsChild>
        <w:div w:id="156045867">
          <w:marLeft w:val="0"/>
          <w:marRight w:val="0"/>
          <w:marTop w:val="0"/>
          <w:marBottom w:val="0"/>
          <w:divBdr>
            <w:top w:val="none" w:sz="0" w:space="0" w:color="auto"/>
            <w:left w:val="none" w:sz="0" w:space="0" w:color="auto"/>
            <w:bottom w:val="none" w:sz="0" w:space="0" w:color="auto"/>
            <w:right w:val="none" w:sz="0" w:space="0" w:color="auto"/>
          </w:divBdr>
        </w:div>
      </w:divsChild>
    </w:div>
    <w:div w:id="151604387">
      <w:marLeft w:val="4"/>
      <w:marRight w:val="0"/>
      <w:marTop w:val="120"/>
      <w:marBottom w:val="0"/>
      <w:divBdr>
        <w:top w:val="none" w:sz="0" w:space="0" w:color="auto"/>
        <w:left w:val="none" w:sz="0" w:space="0" w:color="auto"/>
        <w:bottom w:val="none" w:sz="0" w:space="0" w:color="auto"/>
        <w:right w:val="none" w:sz="0" w:space="0" w:color="auto"/>
      </w:divBdr>
      <w:divsChild>
        <w:div w:id="62217990">
          <w:marLeft w:val="0"/>
          <w:marRight w:val="0"/>
          <w:marTop w:val="0"/>
          <w:marBottom w:val="0"/>
          <w:divBdr>
            <w:top w:val="none" w:sz="0" w:space="0" w:color="auto"/>
            <w:left w:val="none" w:sz="0" w:space="0" w:color="auto"/>
            <w:bottom w:val="none" w:sz="0" w:space="0" w:color="auto"/>
            <w:right w:val="none" w:sz="0" w:space="0" w:color="auto"/>
          </w:divBdr>
        </w:div>
      </w:divsChild>
    </w:div>
    <w:div w:id="230385810">
      <w:marLeft w:val="4"/>
      <w:marRight w:val="0"/>
      <w:marTop w:val="120"/>
      <w:marBottom w:val="0"/>
      <w:divBdr>
        <w:top w:val="none" w:sz="0" w:space="0" w:color="auto"/>
        <w:left w:val="none" w:sz="0" w:space="0" w:color="auto"/>
        <w:bottom w:val="none" w:sz="0" w:space="0" w:color="auto"/>
        <w:right w:val="none" w:sz="0" w:space="0" w:color="auto"/>
      </w:divBdr>
      <w:divsChild>
        <w:div w:id="407384338">
          <w:marLeft w:val="0"/>
          <w:marRight w:val="0"/>
          <w:marTop w:val="0"/>
          <w:marBottom w:val="0"/>
          <w:divBdr>
            <w:top w:val="none" w:sz="0" w:space="0" w:color="auto"/>
            <w:left w:val="none" w:sz="0" w:space="0" w:color="auto"/>
            <w:bottom w:val="none" w:sz="0" w:space="0" w:color="auto"/>
            <w:right w:val="none" w:sz="0" w:space="0" w:color="auto"/>
          </w:divBdr>
        </w:div>
      </w:divsChild>
    </w:div>
    <w:div w:id="331567186">
      <w:marLeft w:val="0"/>
      <w:marRight w:val="0"/>
      <w:marTop w:val="0"/>
      <w:marBottom w:val="0"/>
      <w:divBdr>
        <w:top w:val="none" w:sz="0" w:space="0" w:color="auto"/>
        <w:left w:val="none" w:sz="0" w:space="0" w:color="auto"/>
        <w:bottom w:val="none" w:sz="0" w:space="0" w:color="auto"/>
        <w:right w:val="none" w:sz="0" w:space="0" w:color="auto"/>
      </w:divBdr>
    </w:div>
    <w:div w:id="380907005">
      <w:marLeft w:val="0"/>
      <w:marRight w:val="0"/>
      <w:marTop w:val="0"/>
      <w:marBottom w:val="0"/>
      <w:divBdr>
        <w:top w:val="none" w:sz="0" w:space="0" w:color="auto"/>
        <w:left w:val="none" w:sz="0" w:space="0" w:color="auto"/>
        <w:bottom w:val="none" w:sz="0" w:space="0" w:color="auto"/>
        <w:right w:val="none" w:sz="0" w:space="0" w:color="auto"/>
      </w:divBdr>
      <w:divsChild>
        <w:div w:id="339744119">
          <w:marLeft w:val="0"/>
          <w:marRight w:val="0"/>
          <w:marTop w:val="0"/>
          <w:marBottom w:val="0"/>
          <w:divBdr>
            <w:top w:val="none" w:sz="0" w:space="0" w:color="auto"/>
            <w:left w:val="none" w:sz="0" w:space="0" w:color="auto"/>
            <w:bottom w:val="none" w:sz="0" w:space="0" w:color="auto"/>
            <w:right w:val="none" w:sz="0" w:space="0" w:color="auto"/>
          </w:divBdr>
        </w:div>
      </w:divsChild>
    </w:div>
    <w:div w:id="474686627">
      <w:marLeft w:val="4"/>
      <w:marRight w:val="0"/>
      <w:marTop w:val="120"/>
      <w:marBottom w:val="0"/>
      <w:divBdr>
        <w:top w:val="none" w:sz="0" w:space="0" w:color="auto"/>
        <w:left w:val="none" w:sz="0" w:space="0" w:color="auto"/>
        <w:bottom w:val="none" w:sz="0" w:space="0" w:color="auto"/>
        <w:right w:val="none" w:sz="0" w:space="0" w:color="auto"/>
      </w:divBdr>
      <w:divsChild>
        <w:div w:id="1099302339">
          <w:marLeft w:val="0"/>
          <w:marRight w:val="0"/>
          <w:marTop w:val="0"/>
          <w:marBottom w:val="0"/>
          <w:divBdr>
            <w:top w:val="none" w:sz="0" w:space="0" w:color="auto"/>
            <w:left w:val="none" w:sz="0" w:space="0" w:color="auto"/>
            <w:bottom w:val="none" w:sz="0" w:space="0" w:color="auto"/>
            <w:right w:val="none" w:sz="0" w:space="0" w:color="auto"/>
          </w:divBdr>
        </w:div>
      </w:divsChild>
    </w:div>
    <w:div w:id="503863072">
      <w:marLeft w:val="0"/>
      <w:marRight w:val="0"/>
      <w:marTop w:val="0"/>
      <w:marBottom w:val="0"/>
      <w:divBdr>
        <w:top w:val="none" w:sz="0" w:space="0" w:color="auto"/>
        <w:left w:val="none" w:sz="0" w:space="0" w:color="auto"/>
        <w:bottom w:val="none" w:sz="0" w:space="0" w:color="auto"/>
        <w:right w:val="none" w:sz="0" w:space="0" w:color="auto"/>
      </w:divBdr>
      <w:divsChild>
        <w:div w:id="203909216">
          <w:marLeft w:val="0"/>
          <w:marRight w:val="0"/>
          <w:marTop w:val="0"/>
          <w:marBottom w:val="0"/>
          <w:divBdr>
            <w:top w:val="none" w:sz="0" w:space="0" w:color="auto"/>
            <w:left w:val="none" w:sz="0" w:space="0" w:color="auto"/>
            <w:bottom w:val="none" w:sz="0" w:space="0" w:color="auto"/>
            <w:right w:val="none" w:sz="0" w:space="0" w:color="auto"/>
          </w:divBdr>
        </w:div>
        <w:div w:id="915021029">
          <w:marLeft w:val="0"/>
          <w:marRight w:val="0"/>
          <w:marTop w:val="0"/>
          <w:marBottom w:val="0"/>
          <w:divBdr>
            <w:top w:val="none" w:sz="0" w:space="0" w:color="auto"/>
            <w:left w:val="none" w:sz="0" w:space="0" w:color="auto"/>
            <w:bottom w:val="none" w:sz="0" w:space="0" w:color="auto"/>
            <w:right w:val="none" w:sz="0" w:space="0" w:color="auto"/>
          </w:divBdr>
        </w:div>
      </w:divsChild>
    </w:div>
    <w:div w:id="519272656">
      <w:marLeft w:val="4"/>
      <w:marRight w:val="0"/>
      <w:marTop w:val="120"/>
      <w:marBottom w:val="0"/>
      <w:divBdr>
        <w:top w:val="none" w:sz="0" w:space="0" w:color="auto"/>
        <w:left w:val="none" w:sz="0" w:space="0" w:color="auto"/>
        <w:bottom w:val="none" w:sz="0" w:space="0" w:color="auto"/>
        <w:right w:val="none" w:sz="0" w:space="0" w:color="auto"/>
      </w:divBdr>
      <w:divsChild>
        <w:div w:id="2059083645">
          <w:marLeft w:val="0"/>
          <w:marRight w:val="0"/>
          <w:marTop w:val="0"/>
          <w:marBottom w:val="0"/>
          <w:divBdr>
            <w:top w:val="none" w:sz="0" w:space="0" w:color="auto"/>
            <w:left w:val="none" w:sz="0" w:space="0" w:color="auto"/>
            <w:bottom w:val="none" w:sz="0" w:space="0" w:color="auto"/>
            <w:right w:val="none" w:sz="0" w:space="0" w:color="auto"/>
          </w:divBdr>
        </w:div>
      </w:divsChild>
    </w:div>
    <w:div w:id="585458979">
      <w:marLeft w:val="4"/>
      <w:marRight w:val="0"/>
      <w:marTop w:val="120"/>
      <w:marBottom w:val="0"/>
      <w:divBdr>
        <w:top w:val="none" w:sz="0" w:space="0" w:color="auto"/>
        <w:left w:val="none" w:sz="0" w:space="0" w:color="auto"/>
        <w:bottom w:val="none" w:sz="0" w:space="0" w:color="auto"/>
        <w:right w:val="none" w:sz="0" w:space="0" w:color="auto"/>
      </w:divBdr>
      <w:divsChild>
        <w:div w:id="310255419">
          <w:marLeft w:val="0"/>
          <w:marRight w:val="0"/>
          <w:marTop w:val="0"/>
          <w:marBottom w:val="0"/>
          <w:divBdr>
            <w:top w:val="none" w:sz="0" w:space="0" w:color="auto"/>
            <w:left w:val="none" w:sz="0" w:space="0" w:color="auto"/>
            <w:bottom w:val="none" w:sz="0" w:space="0" w:color="auto"/>
            <w:right w:val="none" w:sz="0" w:space="0" w:color="auto"/>
          </w:divBdr>
        </w:div>
      </w:divsChild>
    </w:div>
    <w:div w:id="590551075">
      <w:marLeft w:val="4"/>
      <w:marRight w:val="0"/>
      <w:marTop w:val="120"/>
      <w:marBottom w:val="0"/>
      <w:divBdr>
        <w:top w:val="none" w:sz="0" w:space="0" w:color="auto"/>
        <w:left w:val="none" w:sz="0" w:space="0" w:color="auto"/>
        <w:bottom w:val="none" w:sz="0" w:space="0" w:color="auto"/>
        <w:right w:val="none" w:sz="0" w:space="0" w:color="auto"/>
      </w:divBdr>
      <w:divsChild>
        <w:div w:id="1972901246">
          <w:marLeft w:val="0"/>
          <w:marRight w:val="0"/>
          <w:marTop w:val="0"/>
          <w:marBottom w:val="0"/>
          <w:divBdr>
            <w:top w:val="none" w:sz="0" w:space="0" w:color="auto"/>
            <w:left w:val="none" w:sz="0" w:space="0" w:color="auto"/>
            <w:bottom w:val="none" w:sz="0" w:space="0" w:color="auto"/>
            <w:right w:val="none" w:sz="0" w:space="0" w:color="auto"/>
          </w:divBdr>
        </w:div>
      </w:divsChild>
    </w:div>
    <w:div w:id="594290046">
      <w:marLeft w:val="0"/>
      <w:marRight w:val="0"/>
      <w:marTop w:val="0"/>
      <w:marBottom w:val="0"/>
      <w:divBdr>
        <w:top w:val="none" w:sz="0" w:space="0" w:color="auto"/>
        <w:left w:val="none" w:sz="0" w:space="0" w:color="auto"/>
        <w:bottom w:val="none" w:sz="0" w:space="0" w:color="auto"/>
        <w:right w:val="none" w:sz="0" w:space="0" w:color="auto"/>
      </w:divBdr>
      <w:divsChild>
        <w:div w:id="32075271">
          <w:marLeft w:val="0"/>
          <w:marRight w:val="0"/>
          <w:marTop w:val="0"/>
          <w:marBottom w:val="0"/>
          <w:divBdr>
            <w:top w:val="none" w:sz="0" w:space="0" w:color="auto"/>
            <w:left w:val="none" w:sz="0" w:space="0" w:color="auto"/>
            <w:bottom w:val="none" w:sz="0" w:space="0" w:color="auto"/>
            <w:right w:val="none" w:sz="0" w:space="0" w:color="auto"/>
          </w:divBdr>
        </w:div>
        <w:div w:id="1987542692">
          <w:marLeft w:val="0"/>
          <w:marRight w:val="0"/>
          <w:marTop w:val="0"/>
          <w:marBottom w:val="0"/>
          <w:divBdr>
            <w:top w:val="none" w:sz="0" w:space="0" w:color="auto"/>
            <w:left w:val="none" w:sz="0" w:space="0" w:color="auto"/>
            <w:bottom w:val="none" w:sz="0" w:space="0" w:color="auto"/>
            <w:right w:val="none" w:sz="0" w:space="0" w:color="auto"/>
          </w:divBdr>
        </w:div>
        <w:div w:id="1781073424">
          <w:marLeft w:val="0"/>
          <w:marRight w:val="0"/>
          <w:marTop w:val="0"/>
          <w:marBottom w:val="0"/>
          <w:divBdr>
            <w:top w:val="none" w:sz="0" w:space="0" w:color="auto"/>
            <w:left w:val="none" w:sz="0" w:space="0" w:color="auto"/>
            <w:bottom w:val="none" w:sz="0" w:space="0" w:color="auto"/>
            <w:right w:val="none" w:sz="0" w:space="0" w:color="auto"/>
          </w:divBdr>
        </w:div>
        <w:div w:id="2043096184">
          <w:marLeft w:val="0"/>
          <w:marRight w:val="0"/>
          <w:marTop w:val="0"/>
          <w:marBottom w:val="0"/>
          <w:divBdr>
            <w:top w:val="none" w:sz="0" w:space="0" w:color="auto"/>
            <w:left w:val="none" w:sz="0" w:space="0" w:color="auto"/>
            <w:bottom w:val="none" w:sz="0" w:space="0" w:color="auto"/>
            <w:right w:val="none" w:sz="0" w:space="0" w:color="auto"/>
          </w:divBdr>
        </w:div>
        <w:div w:id="82725292">
          <w:marLeft w:val="0"/>
          <w:marRight w:val="0"/>
          <w:marTop w:val="0"/>
          <w:marBottom w:val="0"/>
          <w:divBdr>
            <w:top w:val="none" w:sz="0" w:space="0" w:color="auto"/>
            <w:left w:val="none" w:sz="0" w:space="0" w:color="auto"/>
            <w:bottom w:val="none" w:sz="0" w:space="0" w:color="auto"/>
            <w:right w:val="none" w:sz="0" w:space="0" w:color="auto"/>
          </w:divBdr>
        </w:div>
        <w:div w:id="1071734639">
          <w:marLeft w:val="0"/>
          <w:marRight w:val="0"/>
          <w:marTop w:val="0"/>
          <w:marBottom w:val="0"/>
          <w:divBdr>
            <w:top w:val="none" w:sz="0" w:space="0" w:color="auto"/>
            <w:left w:val="none" w:sz="0" w:space="0" w:color="auto"/>
            <w:bottom w:val="none" w:sz="0" w:space="0" w:color="auto"/>
            <w:right w:val="none" w:sz="0" w:space="0" w:color="auto"/>
          </w:divBdr>
        </w:div>
        <w:div w:id="1873498268">
          <w:marLeft w:val="0"/>
          <w:marRight w:val="0"/>
          <w:marTop w:val="0"/>
          <w:marBottom w:val="0"/>
          <w:divBdr>
            <w:top w:val="none" w:sz="0" w:space="0" w:color="auto"/>
            <w:left w:val="none" w:sz="0" w:space="0" w:color="auto"/>
            <w:bottom w:val="none" w:sz="0" w:space="0" w:color="auto"/>
            <w:right w:val="none" w:sz="0" w:space="0" w:color="auto"/>
          </w:divBdr>
        </w:div>
      </w:divsChild>
    </w:div>
    <w:div w:id="664477361">
      <w:marLeft w:val="4"/>
      <w:marRight w:val="0"/>
      <w:marTop w:val="120"/>
      <w:marBottom w:val="0"/>
      <w:divBdr>
        <w:top w:val="none" w:sz="0" w:space="0" w:color="auto"/>
        <w:left w:val="none" w:sz="0" w:space="0" w:color="auto"/>
        <w:bottom w:val="none" w:sz="0" w:space="0" w:color="auto"/>
        <w:right w:val="none" w:sz="0" w:space="0" w:color="auto"/>
      </w:divBdr>
      <w:divsChild>
        <w:div w:id="2033337009">
          <w:marLeft w:val="0"/>
          <w:marRight w:val="0"/>
          <w:marTop w:val="0"/>
          <w:marBottom w:val="0"/>
          <w:divBdr>
            <w:top w:val="none" w:sz="0" w:space="0" w:color="auto"/>
            <w:left w:val="none" w:sz="0" w:space="0" w:color="auto"/>
            <w:bottom w:val="none" w:sz="0" w:space="0" w:color="auto"/>
            <w:right w:val="none" w:sz="0" w:space="0" w:color="auto"/>
          </w:divBdr>
        </w:div>
      </w:divsChild>
    </w:div>
    <w:div w:id="714810811">
      <w:marLeft w:val="4"/>
      <w:marRight w:val="0"/>
      <w:marTop w:val="120"/>
      <w:marBottom w:val="0"/>
      <w:divBdr>
        <w:top w:val="none" w:sz="0" w:space="0" w:color="auto"/>
        <w:left w:val="none" w:sz="0" w:space="0" w:color="auto"/>
        <w:bottom w:val="none" w:sz="0" w:space="0" w:color="auto"/>
        <w:right w:val="none" w:sz="0" w:space="0" w:color="auto"/>
      </w:divBdr>
      <w:divsChild>
        <w:div w:id="2058819183">
          <w:marLeft w:val="0"/>
          <w:marRight w:val="0"/>
          <w:marTop w:val="0"/>
          <w:marBottom w:val="0"/>
          <w:divBdr>
            <w:top w:val="none" w:sz="0" w:space="0" w:color="auto"/>
            <w:left w:val="none" w:sz="0" w:space="0" w:color="auto"/>
            <w:bottom w:val="none" w:sz="0" w:space="0" w:color="auto"/>
            <w:right w:val="none" w:sz="0" w:space="0" w:color="auto"/>
          </w:divBdr>
        </w:div>
      </w:divsChild>
    </w:div>
    <w:div w:id="802427603">
      <w:marLeft w:val="4"/>
      <w:marRight w:val="0"/>
      <w:marTop w:val="120"/>
      <w:marBottom w:val="0"/>
      <w:divBdr>
        <w:top w:val="none" w:sz="0" w:space="0" w:color="auto"/>
        <w:left w:val="none" w:sz="0" w:space="0" w:color="auto"/>
        <w:bottom w:val="none" w:sz="0" w:space="0" w:color="auto"/>
        <w:right w:val="none" w:sz="0" w:space="0" w:color="auto"/>
      </w:divBdr>
      <w:divsChild>
        <w:div w:id="1162309911">
          <w:marLeft w:val="0"/>
          <w:marRight w:val="0"/>
          <w:marTop w:val="0"/>
          <w:marBottom w:val="0"/>
          <w:divBdr>
            <w:top w:val="none" w:sz="0" w:space="0" w:color="auto"/>
            <w:left w:val="none" w:sz="0" w:space="0" w:color="auto"/>
            <w:bottom w:val="none" w:sz="0" w:space="0" w:color="auto"/>
            <w:right w:val="none" w:sz="0" w:space="0" w:color="auto"/>
          </w:divBdr>
        </w:div>
      </w:divsChild>
    </w:div>
    <w:div w:id="804396621">
      <w:marLeft w:val="4"/>
      <w:marRight w:val="0"/>
      <w:marTop w:val="120"/>
      <w:marBottom w:val="0"/>
      <w:divBdr>
        <w:top w:val="none" w:sz="0" w:space="0" w:color="auto"/>
        <w:left w:val="none" w:sz="0" w:space="0" w:color="auto"/>
        <w:bottom w:val="none" w:sz="0" w:space="0" w:color="auto"/>
        <w:right w:val="none" w:sz="0" w:space="0" w:color="auto"/>
      </w:divBdr>
      <w:divsChild>
        <w:div w:id="482895630">
          <w:marLeft w:val="0"/>
          <w:marRight w:val="0"/>
          <w:marTop w:val="0"/>
          <w:marBottom w:val="0"/>
          <w:divBdr>
            <w:top w:val="none" w:sz="0" w:space="0" w:color="auto"/>
            <w:left w:val="none" w:sz="0" w:space="0" w:color="auto"/>
            <w:bottom w:val="none" w:sz="0" w:space="0" w:color="auto"/>
            <w:right w:val="none" w:sz="0" w:space="0" w:color="auto"/>
          </w:divBdr>
        </w:div>
      </w:divsChild>
    </w:div>
    <w:div w:id="865215866">
      <w:marLeft w:val="4"/>
      <w:marRight w:val="0"/>
      <w:marTop w:val="120"/>
      <w:marBottom w:val="0"/>
      <w:divBdr>
        <w:top w:val="none" w:sz="0" w:space="0" w:color="auto"/>
        <w:left w:val="none" w:sz="0" w:space="0" w:color="auto"/>
        <w:bottom w:val="none" w:sz="0" w:space="0" w:color="auto"/>
        <w:right w:val="none" w:sz="0" w:space="0" w:color="auto"/>
      </w:divBdr>
      <w:divsChild>
        <w:div w:id="1372338531">
          <w:marLeft w:val="0"/>
          <w:marRight w:val="0"/>
          <w:marTop w:val="0"/>
          <w:marBottom w:val="0"/>
          <w:divBdr>
            <w:top w:val="none" w:sz="0" w:space="0" w:color="auto"/>
            <w:left w:val="none" w:sz="0" w:space="0" w:color="auto"/>
            <w:bottom w:val="none" w:sz="0" w:space="0" w:color="auto"/>
            <w:right w:val="none" w:sz="0" w:space="0" w:color="auto"/>
          </w:divBdr>
        </w:div>
      </w:divsChild>
    </w:div>
    <w:div w:id="934560821">
      <w:marLeft w:val="0"/>
      <w:marRight w:val="0"/>
      <w:marTop w:val="0"/>
      <w:marBottom w:val="0"/>
      <w:divBdr>
        <w:top w:val="none" w:sz="0" w:space="0" w:color="auto"/>
        <w:left w:val="none" w:sz="0" w:space="0" w:color="auto"/>
        <w:bottom w:val="none" w:sz="0" w:space="0" w:color="auto"/>
        <w:right w:val="none" w:sz="0" w:space="0" w:color="auto"/>
      </w:divBdr>
      <w:divsChild>
        <w:div w:id="1900969292">
          <w:marLeft w:val="0"/>
          <w:marRight w:val="0"/>
          <w:marTop w:val="0"/>
          <w:marBottom w:val="0"/>
          <w:divBdr>
            <w:top w:val="none" w:sz="0" w:space="0" w:color="auto"/>
            <w:left w:val="none" w:sz="0" w:space="0" w:color="auto"/>
            <w:bottom w:val="none" w:sz="0" w:space="0" w:color="auto"/>
            <w:right w:val="none" w:sz="0" w:space="0" w:color="auto"/>
          </w:divBdr>
        </w:div>
        <w:div w:id="1795827769">
          <w:marLeft w:val="0"/>
          <w:marRight w:val="0"/>
          <w:marTop w:val="0"/>
          <w:marBottom w:val="0"/>
          <w:divBdr>
            <w:top w:val="none" w:sz="0" w:space="0" w:color="auto"/>
            <w:left w:val="none" w:sz="0" w:space="0" w:color="auto"/>
            <w:bottom w:val="none" w:sz="0" w:space="0" w:color="auto"/>
            <w:right w:val="none" w:sz="0" w:space="0" w:color="auto"/>
          </w:divBdr>
        </w:div>
        <w:div w:id="439027925">
          <w:marLeft w:val="0"/>
          <w:marRight w:val="0"/>
          <w:marTop w:val="0"/>
          <w:marBottom w:val="0"/>
          <w:divBdr>
            <w:top w:val="none" w:sz="0" w:space="0" w:color="auto"/>
            <w:left w:val="none" w:sz="0" w:space="0" w:color="auto"/>
            <w:bottom w:val="none" w:sz="0" w:space="0" w:color="auto"/>
            <w:right w:val="none" w:sz="0" w:space="0" w:color="auto"/>
          </w:divBdr>
        </w:div>
        <w:div w:id="462499371">
          <w:marLeft w:val="0"/>
          <w:marRight w:val="0"/>
          <w:marTop w:val="0"/>
          <w:marBottom w:val="0"/>
          <w:divBdr>
            <w:top w:val="none" w:sz="0" w:space="0" w:color="auto"/>
            <w:left w:val="none" w:sz="0" w:space="0" w:color="auto"/>
            <w:bottom w:val="none" w:sz="0" w:space="0" w:color="auto"/>
            <w:right w:val="none" w:sz="0" w:space="0" w:color="auto"/>
          </w:divBdr>
        </w:div>
      </w:divsChild>
    </w:div>
    <w:div w:id="959382824">
      <w:marLeft w:val="4"/>
      <w:marRight w:val="0"/>
      <w:marTop w:val="120"/>
      <w:marBottom w:val="0"/>
      <w:divBdr>
        <w:top w:val="none" w:sz="0" w:space="0" w:color="auto"/>
        <w:left w:val="none" w:sz="0" w:space="0" w:color="auto"/>
        <w:bottom w:val="none" w:sz="0" w:space="0" w:color="auto"/>
        <w:right w:val="none" w:sz="0" w:space="0" w:color="auto"/>
      </w:divBdr>
      <w:divsChild>
        <w:div w:id="1054159947">
          <w:marLeft w:val="0"/>
          <w:marRight w:val="0"/>
          <w:marTop w:val="0"/>
          <w:marBottom w:val="0"/>
          <w:divBdr>
            <w:top w:val="none" w:sz="0" w:space="0" w:color="auto"/>
            <w:left w:val="none" w:sz="0" w:space="0" w:color="auto"/>
            <w:bottom w:val="none" w:sz="0" w:space="0" w:color="auto"/>
            <w:right w:val="none" w:sz="0" w:space="0" w:color="auto"/>
          </w:divBdr>
        </w:div>
      </w:divsChild>
    </w:div>
    <w:div w:id="981664285">
      <w:marLeft w:val="0"/>
      <w:marRight w:val="0"/>
      <w:marTop w:val="0"/>
      <w:marBottom w:val="0"/>
      <w:divBdr>
        <w:top w:val="none" w:sz="0" w:space="0" w:color="auto"/>
        <w:left w:val="none" w:sz="0" w:space="0" w:color="auto"/>
        <w:bottom w:val="none" w:sz="0" w:space="0" w:color="auto"/>
        <w:right w:val="none" w:sz="0" w:space="0" w:color="auto"/>
      </w:divBdr>
      <w:divsChild>
        <w:div w:id="32930859">
          <w:marLeft w:val="0"/>
          <w:marRight w:val="0"/>
          <w:marTop w:val="0"/>
          <w:marBottom w:val="0"/>
          <w:divBdr>
            <w:top w:val="none" w:sz="0" w:space="0" w:color="auto"/>
            <w:left w:val="none" w:sz="0" w:space="0" w:color="auto"/>
            <w:bottom w:val="none" w:sz="0" w:space="0" w:color="auto"/>
            <w:right w:val="none" w:sz="0" w:space="0" w:color="auto"/>
          </w:divBdr>
        </w:div>
      </w:divsChild>
    </w:div>
    <w:div w:id="989938934">
      <w:marLeft w:val="4"/>
      <w:marRight w:val="0"/>
      <w:marTop w:val="120"/>
      <w:marBottom w:val="0"/>
      <w:divBdr>
        <w:top w:val="none" w:sz="0" w:space="0" w:color="auto"/>
        <w:left w:val="none" w:sz="0" w:space="0" w:color="auto"/>
        <w:bottom w:val="none" w:sz="0" w:space="0" w:color="auto"/>
        <w:right w:val="none" w:sz="0" w:space="0" w:color="auto"/>
      </w:divBdr>
      <w:divsChild>
        <w:div w:id="460150331">
          <w:marLeft w:val="0"/>
          <w:marRight w:val="0"/>
          <w:marTop w:val="0"/>
          <w:marBottom w:val="0"/>
          <w:divBdr>
            <w:top w:val="none" w:sz="0" w:space="0" w:color="auto"/>
            <w:left w:val="none" w:sz="0" w:space="0" w:color="auto"/>
            <w:bottom w:val="none" w:sz="0" w:space="0" w:color="auto"/>
            <w:right w:val="none" w:sz="0" w:space="0" w:color="auto"/>
          </w:divBdr>
        </w:div>
      </w:divsChild>
    </w:div>
    <w:div w:id="995189053">
      <w:marLeft w:val="4"/>
      <w:marRight w:val="0"/>
      <w:marTop w:val="120"/>
      <w:marBottom w:val="0"/>
      <w:divBdr>
        <w:top w:val="none" w:sz="0" w:space="0" w:color="auto"/>
        <w:left w:val="none" w:sz="0" w:space="0" w:color="auto"/>
        <w:bottom w:val="none" w:sz="0" w:space="0" w:color="auto"/>
        <w:right w:val="none" w:sz="0" w:space="0" w:color="auto"/>
      </w:divBdr>
      <w:divsChild>
        <w:div w:id="1407144307">
          <w:marLeft w:val="0"/>
          <w:marRight w:val="0"/>
          <w:marTop w:val="0"/>
          <w:marBottom w:val="0"/>
          <w:divBdr>
            <w:top w:val="none" w:sz="0" w:space="0" w:color="auto"/>
            <w:left w:val="none" w:sz="0" w:space="0" w:color="auto"/>
            <w:bottom w:val="none" w:sz="0" w:space="0" w:color="auto"/>
            <w:right w:val="none" w:sz="0" w:space="0" w:color="auto"/>
          </w:divBdr>
        </w:div>
      </w:divsChild>
    </w:div>
    <w:div w:id="1059675013">
      <w:marLeft w:val="0"/>
      <w:marRight w:val="0"/>
      <w:marTop w:val="0"/>
      <w:marBottom w:val="0"/>
      <w:divBdr>
        <w:top w:val="none" w:sz="0" w:space="0" w:color="auto"/>
        <w:left w:val="none" w:sz="0" w:space="0" w:color="auto"/>
        <w:bottom w:val="none" w:sz="0" w:space="0" w:color="auto"/>
        <w:right w:val="none" w:sz="0" w:space="0" w:color="auto"/>
      </w:divBdr>
      <w:divsChild>
        <w:div w:id="1873570222">
          <w:marLeft w:val="0"/>
          <w:marRight w:val="0"/>
          <w:marTop w:val="0"/>
          <w:marBottom w:val="0"/>
          <w:divBdr>
            <w:top w:val="none" w:sz="0" w:space="0" w:color="auto"/>
            <w:left w:val="none" w:sz="0" w:space="0" w:color="auto"/>
            <w:bottom w:val="none" w:sz="0" w:space="0" w:color="auto"/>
            <w:right w:val="none" w:sz="0" w:space="0" w:color="auto"/>
          </w:divBdr>
        </w:div>
        <w:div w:id="651254021">
          <w:marLeft w:val="0"/>
          <w:marRight w:val="0"/>
          <w:marTop w:val="0"/>
          <w:marBottom w:val="0"/>
          <w:divBdr>
            <w:top w:val="none" w:sz="0" w:space="0" w:color="auto"/>
            <w:left w:val="none" w:sz="0" w:space="0" w:color="auto"/>
            <w:bottom w:val="none" w:sz="0" w:space="0" w:color="auto"/>
            <w:right w:val="none" w:sz="0" w:space="0" w:color="auto"/>
          </w:divBdr>
        </w:div>
        <w:div w:id="1528447149">
          <w:marLeft w:val="0"/>
          <w:marRight w:val="0"/>
          <w:marTop w:val="0"/>
          <w:marBottom w:val="0"/>
          <w:divBdr>
            <w:top w:val="none" w:sz="0" w:space="0" w:color="auto"/>
            <w:left w:val="none" w:sz="0" w:space="0" w:color="auto"/>
            <w:bottom w:val="none" w:sz="0" w:space="0" w:color="auto"/>
            <w:right w:val="none" w:sz="0" w:space="0" w:color="auto"/>
          </w:divBdr>
        </w:div>
      </w:divsChild>
    </w:div>
    <w:div w:id="1102339258">
      <w:marLeft w:val="0"/>
      <w:marRight w:val="0"/>
      <w:marTop w:val="0"/>
      <w:marBottom w:val="0"/>
      <w:divBdr>
        <w:top w:val="none" w:sz="0" w:space="0" w:color="auto"/>
        <w:left w:val="none" w:sz="0" w:space="0" w:color="auto"/>
        <w:bottom w:val="none" w:sz="0" w:space="0" w:color="auto"/>
        <w:right w:val="none" w:sz="0" w:space="0" w:color="auto"/>
      </w:divBdr>
      <w:divsChild>
        <w:div w:id="247736429">
          <w:marLeft w:val="0"/>
          <w:marRight w:val="0"/>
          <w:marTop w:val="0"/>
          <w:marBottom w:val="0"/>
          <w:divBdr>
            <w:top w:val="none" w:sz="0" w:space="0" w:color="auto"/>
            <w:left w:val="none" w:sz="0" w:space="0" w:color="auto"/>
            <w:bottom w:val="none" w:sz="0" w:space="0" w:color="auto"/>
            <w:right w:val="none" w:sz="0" w:space="0" w:color="auto"/>
          </w:divBdr>
        </w:div>
        <w:div w:id="1030569328">
          <w:marLeft w:val="0"/>
          <w:marRight w:val="0"/>
          <w:marTop w:val="0"/>
          <w:marBottom w:val="0"/>
          <w:divBdr>
            <w:top w:val="none" w:sz="0" w:space="0" w:color="auto"/>
            <w:left w:val="none" w:sz="0" w:space="0" w:color="auto"/>
            <w:bottom w:val="none" w:sz="0" w:space="0" w:color="auto"/>
            <w:right w:val="none" w:sz="0" w:space="0" w:color="auto"/>
          </w:divBdr>
        </w:div>
        <w:div w:id="1777554308">
          <w:marLeft w:val="0"/>
          <w:marRight w:val="0"/>
          <w:marTop w:val="0"/>
          <w:marBottom w:val="0"/>
          <w:divBdr>
            <w:top w:val="none" w:sz="0" w:space="0" w:color="auto"/>
            <w:left w:val="none" w:sz="0" w:space="0" w:color="auto"/>
            <w:bottom w:val="none" w:sz="0" w:space="0" w:color="auto"/>
            <w:right w:val="none" w:sz="0" w:space="0" w:color="auto"/>
          </w:divBdr>
        </w:div>
        <w:div w:id="1664580698">
          <w:marLeft w:val="0"/>
          <w:marRight w:val="0"/>
          <w:marTop w:val="0"/>
          <w:marBottom w:val="0"/>
          <w:divBdr>
            <w:top w:val="none" w:sz="0" w:space="0" w:color="auto"/>
            <w:left w:val="none" w:sz="0" w:space="0" w:color="auto"/>
            <w:bottom w:val="none" w:sz="0" w:space="0" w:color="auto"/>
            <w:right w:val="none" w:sz="0" w:space="0" w:color="auto"/>
          </w:divBdr>
        </w:div>
        <w:div w:id="1383408618">
          <w:marLeft w:val="0"/>
          <w:marRight w:val="0"/>
          <w:marTop w:val="0"/>
          <w:marBottom w:val="0"/>
          <w:divBdr>
            <w:top w:val="none" w:sz="0" w:space="0" w:color="auto"/>
            <w:left w:val="none" w:sz="0" w:space="0" w:color="auto"/>
            <w:bottom w:val="none" w:sz="0" w:space="0" w:color="auto"/>
            <w:right w:val="none" w:sz="0" w:space="0" w:color="auto"/>
          </w:divBdr>
        </w:div>
        <w:div w:id="1243295522">
          <w:marLeft w:val="0"/>
          <w:marRight w:val="0"/>
          <w:marTop w:val="0"/>
          <w:marBottom w:val="0"/>
          <w:divBdr>
            <w:top w:val="none" w:sz="0" w:space="0" w:color="auto"/>
            <w:left w:val="none" w:sz="0" w:space="0" w:color="auto"/>
            <w:bottom w:val="none" w:sz="0" w:space="0" w:color="auto"/>
            <w:right w:val="none" w:sz="0" w:space="0" w:color="auto"/>
          </w:divBdr>
        </w:div>
        <w:div w:id="1139035307">
          <w:marLeft w:val="0"/>
          <w:marRight w:val="0"/>
          <w:marTop w:val="0"/>
          <w:marBottom w:val="0"/>
          <w:divBdr>
            <w:top w:val="none" w:sz="0" w:space="0" w:color="auto"/>
            <w:left w:val="none" w:sz="0" w:space="0" w:color="auto"/>
            <w:bottom w:val="none" w:sz="0" w:space="0" w:color="auto"/>
            <w:right w:val="none" w:sz="0" w:space="0" w:color="auto"/>
          </w:divBdr>
        </w:div>
        <w:div w:id="747460217">
          <w:marLeft w:val="0"/>
          <w:marRight w:val="0"/>
          <w:marTop w:val="0"/>
          <w:marBottom w:val="0"/>
          <w:divBdr>
            <w:top w:val="none" w:sz="0" w:space="0" w:color="auto"/>
            <w:left w:val="none" w:sz="0" w:space="0" w:color="auto"/>
            <w:bottom w:val="none" w:sz="0" w:space="0" w:color="auto"/>
            <w:right w:val="none" w:sz="0" w:space="0" w:color="auto"/>
          </w:divBdr>
        </w:div>
        <w:div w:id="2089569150">
          <w:marLeft w:val="0"/>
          <w:marRight w:val="0"/>
          <w:marTop w:val="0"/>
          <w:marBottom w:val="0"/>
          <w:divBdr>
            <w:top w:val="none" w:sz="0" w:space="0" w:color="auto"/>
            <w:left w:val="none" w:sz="0" w:space="0" w:color="auto"/>
            <w:bottom w:val="none" w:sz="0" w:space="0" w:color="auto"/>
            <w:right w:val="none" w:sz="0" w:space="0" w:color="auto"/>
          </w:divBdr>
        </w:div>
      </w:divsChild>
    </w:div>
    <w:div w:id="1122312071">
      <w:marLeft w:val="0"/>
      <w:marRight w:val="0"/>
      <w:marTop w:val="0"/>
      <w:marBottom w:val="0"/>
      <w:divBdr>
        <w:top w:val="none" w:sz="0" w:space="0" w:color="auto"/>
        <w:left w:val="none" w:sz="0" w:space="0" w:color="auto"/>
        <w:bottom w:val="none" w:sz="0" w:space="0" w:color="auto"/>
        <w:right w:val="none" w:sz="0" w:space="0" w:color="auto"/>
      </w:divBdr>
    </w:div>
    <w:div w:id="1174953904">
      <w:marLeft w:val="4"/>
      <w:marRight w:val="0"/>
      <w:marTop w:val="120"/>
      <w:marBottom w:val="0"/>
      <w:divBdr>
        <w:top w:val="none" w:sz="0" w:space="0" w:color="auto"/>
        <w:left w:val="none" w:sz="0" w:space="0" w:color="auto"/>
        <w:bottom w:val="none" w:sz="0" w:space="0" w:color="auto"/>
        <w:right w:val="none" w:sz="0" w:space="0" w:color="auto"/>
      </w:divBdr>
      <w:divsChild>
        <w:div w:id="2016564722">
          <w:marLeft w:val="0"/>
          <w:marRight w:val="0"/>
          <w:marTop w:val="0"/>
          <w:marBottom w:val="0"/>
          <w:divBdr>
            <w:top w:val="none" w:sz="0" w:space="0" w:color="auto"/>
            <w:left w:val="none" w:sz="0" w:space="0" w:color="auto"/>
            <w:bottom w:val="none" w:sz="0" w:space="0" w:color="auto"/>
            <w:right w:val="none" w:sz="0" w:space="0" w:color="auto"/>
          </w:divBdr>
        </w:div>
      </w:divsChild>
    </w:div>
    <w:div w:id="1180853235">
      <w:marLeft w:val="4"/>
      <w:marRight w:val="0"/>
      <w:marTop w:val="120"/>
      <w:marBottom w:val="0"/>
      <w:divBdr>
        <w:top w:val="none" w:sz="0" w:space="0" w:color="auto"/>
        <w:left w:val="none" w:sz="0" w:space="0" w:color="auto"/>
        <w:bottom w:val="none" w:sz="0" w:space="0" w:color="auto"/>
        <w:right w:val="none" w:sz="0" w:space="0" w:color="auto"/>
      </w:divBdr>
      <w:divsChild>
        <w:div w:id="1524324250">
          <w:marLeft w:val="0"/>
          <w:marRight w:val="0"/>
          <w:marTop w:val="0"/>
          <w:marBottom w:val="0"/>
          <w:divBdr>
            <w:top w:val="none" w:sz="0" w:space="0" w:color="auto"/>
            <w:left w:val="none" w:sz="0" w:space="0" w:color="auto"/>
            <w:bottom w:val="none" w:sz="0" w:space="0" w:color="auto"/>
            <w:right w:val="none" w:sz="0" w:space="0" w:color="auto"/>
          </w:divBdr>
        </w:div>
      </w:divsChild>
    </w:div>
    <w:div w:id="1187019183">
      <w:marLeft w:val="0"/>
      <w:marRight w:val="0"/>
      <w:marTop w:val="0"/>
      <w:marBottom w:val="0"/>
      <w:divBdr>
        <w:top w:val="none" w:sz="0" w:space="0" w:color="auto"/>
        <w:left w:val="none" w:sz="0" w:space="0" w:color="auto"/>
        <w:bottom w:val="none" w:sz="0" w:space="0" w:color="auto"/>
        <w:right w:val="none" w:sz="0" w:space="0" w:color="auto"/>
      </w:divBdr>
      <w:divsChild>
        <w:div w:id="50740668">
          <w:marLeft w:val="0"/>
          <w:marRight w:val="0"/>
          <w:marTop w:val="0"/>
          <w:marBottom w:val="0"/>
          <w:divBdr>
            <w:top w:val="none" w:sz="0" w:space="0" w:color="auto"/>
            <w:left w:val="none" w:sz="0" w:space="0" w:color="auto"/>
            <w:bottom w:val="none" w:sz="0" w:space="0" w:color="auto"/>
            <w:right w:val="none" w:sz="0" w:space="0" w:color="auto"/>
          </w:divBdr>
        </w:div>
        <w:div w:id="253325524">
          <w:marLeft w:val="0"/>
          <w:marRight w:val="0"/>
          <w:marTop w:val="0"/>
          <w:marBottom w:val="0"/>
          <w:divBdr>
            <w:top w:val="none" w:sz="0" w:space="0" w:color="auto"/>
            <w:left w:val="none" w:sz="0" w:space="0" w:color="auto"/>
            <w:bottom w:val="none" w:sz="0" w:space="0" w:color="auto"/>
            <w:right w:val="none" w:sz="0" w:space="0" w:color="auto"/>
          </w:divBdr>
        </w:div>
        <w:div w:id="335810613">
          <w:marLeft w:val="0"/>
          <w:marRight w:val="0"/>
          <w:marTop w:val="0"/>
          <w:marBottom w:val="0"/>
          <w:divBdr>
            <w:top w:val="none" w:sz="0" w:space="0" w:color="auto"/>
            <w:left w:val="none" w:sz="0" w:space="0" w:color="auto"/>
            <w:bottom w:val="none" w:sz="0" w:space="0" w:color="auto"/>
            <w:right w:val="none" w:sz="0" w:space="0" w:color="auto"/>
          </w:divBdr>
          <w:divsChild>
            <w:div w:id="215435416">
              <w:marLeft w:val="0"/>
              <w:marRight w:val="0"/>
              <w:marTop w:val="40"/>
              <w:marBottom w:val="0"/>
              <w:divBdr>
                <w:top w:val="none" w:sz="0" w:space="0" w:color="auto"/>
                <w:left w:val="none" w:sz="0" w:space="0" w:color="auto"/>
                <w:bottom w:val="none" w:sz="0" w:space="0" w:color="auto"/>
                <w:right w:val="none" w:sz="0" w:space="0" w:color="auto"/>
              </w:divBdr>
              <w:divsChild>
                <w:div w:id="33450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516076">
      <w:marLeft w:val="0"/>
      <w:marRight w:val="0"/>
      <w:marTop w:val="0"/>
      <w:marBottom w:val="0"/>
      <w:divBdr>
        <w:top w:val="none" w:sz="0" w:space="0" w:color="auto"/>
        <w:left w:val="none" w:sz="0" w:space="0" w:color="auto"/>
        <w:bottom w:val="none" w:sz="0" w:space="0" w:color="auto"/>
        <w:right w:val="none" w:sz="0" w:space="0" w:color="auto"/>
      </w:divBdr>
      <w:divsChild>
        <w:div w:id="1525169543">
          <w:marLeft w:val="0"/>
          <w:marRight w:val="0"/>
          <w:marTop w:val="0"/>
          <w:marBottom w:val="0"/>
          <w:divBdr>
            <w:top w:val="none" w:sz="0" w:space="0" w:color="auto"/>
            <w:left w:val="none" w:sz="0" w:space="0" w:color="auto"/>
            <w:bottom w:val="none" w:sz="0" w:space="0" w:color="auto"/>
            <w:right w:val="none" w:sz="0" w:space="0" w:color="auto"/>
          </w:divBdr>
        </w:div>
        <w:div w:id="243957601">
          <w:marLeft w:val="0"/>
          <w:marRight w:val="0"/>
          <w:marTop w:val="0"/>
          <w:marBottom w:val="0"/>
          <w:divBdr>
            <w:top w:val="none" w:sz="0" w:space="0" w:color="auto"/>
            <w:left w:val="none" w:sz="0" w:space="0" w:color="auto"/>
            <w:bottom w:val="none" w:sz="0" w:space="0" w:color="auto"/>
            <w:right w:val="none" w:sz="0" w:space="0" w:color="auto"/>
          </w:divBdr>
        </w:div>
      </w:divsChild>
    </w:div>
    <w:div w:id="1278832301">
      <w:marLeft w:val="4"/>
      <w:marRight w:val="0"/>
      <w:marTop w:val="120"/>
      <w:marBottom w:val="0"/>
      <w:divBdr>
        <w:top w:val="none" w:sz="0" w:space="0" w:color="auto"/>
        <w:left w:val="none" w:sz="0" w:space="0" w:color="auto"/>
        <w:bottom w:val="none" w:sz="0" w:space="0" w:color="auto"/>
        <w:right w:val="none" w:sz="0" w:space="0" w:color="auto"/>
      </w:divBdr>
      <w:divsChild>
        <w:div w:id="2060469178">
          <w:marLeft w:val="0"/>
          <w:marRight w:val="0"/>
          <w:marTop w:val="0"/>
          <w:marBottom w:val="0"/>
          <w:divBdr>
            <w:top w:val="none" w:sz="0" w:space="0" w:color="auto"/>
            <w:left w:val="none" w:sz="0" w:space="0" w:color="auto"/>
            <w:bottom w:val="none" w:sz="0" w:space="0" w:color="auto"/>
            <w:right w:val="none" w:sz="0" w:space="0" w:color="auto"/>
          </w:divBdr>
        </w:div>
      </w:divsChild>
    </w:div>
    <w:div w:id="1302728831">
      <w:marLeft w:val="4"/>
      <w:marRight w:val="0"/>
      <w:marTop w:val="120"/>
      <w:marBottom w:val="0"/>
      <w:divBdr>
        <w:top w:val="none" w:sz="0" w:space="0" w:color="auto"/>
        <w:left w:val="none" w:sz="0" w:space="0" w:color="auto"/>
        <w:bottom w:val="none" w:sz="0" w:space="0" w:color="auto"/>
        <w:right w:val="none" w:sz="0" w:space="0" w:color="auto"/>
      </w:divBdr>
      <w:divsChild>
        <w:div w:id="1794444508">
          <w:marLeft w:val="0"/>
          <w:marRight w:val="0"/>
          <w:marTop w:val="0"/>
          <w:marBottom w:val="0"/>
          <w:divBdr>
            <w:top w:val="none" w:sz="0" w:space="0" w:color="auto"/>
            <w:left w:val="none" w:sz="0" w:space="0" w:color="auto"/>
            <w:bottom w:val="none" w:sz="0" w:space="0" w:color="auto"/>
            <w:right w:val="none" w:sz="0" w:space="0" w:color="auto"/>
          </w:divBdr>
        </w:div>
      </w:divsChild>
    </w:div>
    <w:div w:id="1347555031">
      <w:marLeft w:val="0"/>
      <w:marRight w:val="0"/>
      <w:marTop w:val="0"/>
      <w:marBottom w:val="0"/>
      <w:divBdr>
        <w:top w:val="none" w:sz="0" w:space="0" w:color="auto"/>
        <w:left w:val="none" w:sz="0" w:space="0" w:color="auto"/>
        <w:bottom w:val="none" w:sz="0" w:space="0" w:color="auto"/>
        <w:right w:val="none" w:sz="0" w:space="0" w:color="auto"/>
      </w:divBdr>
      <w:divsChild>
        <w:div w:id="1291786931">
          <w:marLeft w:val="0"/>
          <w:marRight w:val="0"/>
          <w:marTop w:val="0"/>
          <w:marBottom w:val="0"/>
          <w:divBdr>
            <w:top w:val="none" w:sz="0" w:space="0" w:color="auto"/>
            <w:left w:val="none" w:sz="0" w:space="0" w:color="auto"/>
            <w:bottom w:val="none" w:sz="0" w:space="0" w:color="auto"/>
            <w:right w:val="none" w:sz="0" w:space="0" w:color="auto"/>
          </w:divBdr>
        </w:div>
      </w:divsChild>
    </w:div>
    <w:div w:id="1577284770">
      <w:marLeft w:val="4"/>
      <w:marRight w:val="0"/>
      <w:marTop w:val="120"/>
      <w:marBottom w:val="0"/>
      <w:divBdr>
        <w:top w:val="none" w:sz="0" w:space="0" w:color="auto"/>
        <w:left w:val="none" w:sz="0" w:space="0" w:color="auto"/>
        <w:bottom w:val="none" w:sz="0" w:space="0" w:color="auto"/>
        <w:right w:val="none" w:sz="0" w:space="0" w:color="auto"/>
      </w:divBdr>
      <w:divsChild>
        <w:div w:id="1874615805">
          <w:marLeft w:val="0"/>
          <w:marRight w:val="0"/>
          <w:marTop w:val="0"/>
          <w:marBottom w:val="0"/>
          <w:divBdr>
            <w:top w:val="none" w:sz="0" w:space="0" w:color="auto"/>
            <w:left w:val="none" w:sz="0" w:space="0" w:color="auto"/>
            <w:bottom w:val="none" w:sz="0" w:space="0" w:color="auto"/>
            <w:right w:val="none" w:sz="0" w:space="0" w:color="auto"/>
          </w:divBdr>
        </w:div>
      </w:divsChild>
    </w:div>
    <w:div w:id="1592473022">
      <w:marLeft w:val="0"/>
      <w:marRight w:val="0"/>
      <w:marTop w:val="0"/>
      <w:marBottom w:val="0"/>
      <w:divBdr>
        <w:top w:val="none" w:sz="0" w:space="0" w:color="auto"/>
        <w:left w:val="none" w:sz="0" w:space="0" w:color="auto"/>
        <w:bottom w:val="none" w:sz="0" w:space="0" w:color="auto"/>
        <w:right w:val="none" w:sz="0" w:space="0" w:color="auto"/>
      </w:divBdr>
    </w:div>
    <w:div w:id="1615746138">
      <w:marLeft w:val="4"/>
      <w:marRight w:val="0"/>
      <w:marTop w:val="120"/>
      <w:marBottom w:val="0"/>
      <w:divBdr>
        <w:top w:val="none" w:sz="0" w:space="0" w:color="auto"/>
        <w:left w:val="none" w:sz="0" w:space="0" w:color="auto"/>
        <w:bottom w:val="none" w:sz="0" w:space="0" w:color="auto"/>
        <w:right w:val="none" w:sz="0" w:space="0" w:color="auto"/>
      </w:divBdr>
      <w:divsChild>
        <w:div w:id="798647028">
          <w:marLeft w:val="0"/>
          <w:marRight w:val="0"/>
          <w:marTop w:val="0"/>
          <w:marBottom w:val="0"/>
          <w:divBdr>
            <w:top w:val="none" w:sz="0" w:space="0" w:color="auto"/>
            <w:left w:val="none" w:sz="0" w:space="0" w:color="auto"/>
            <w:bottom w:val="none" w:sz="0" w:space="0" w:color="auto"/>
            <w:right w:val="none" w:sz="0" w:space="0" w:color="auto"/>
          </w:divBdr>
        </w:div>
      </w:divsChild>
    </w:div>
    <w:div w:id="1634209214">
      <w:marLeft w:val="0"/>
      <w:marRight w:val="0"/>
      <w:marTop w:val="0"/>
      <w:marBottom w:val="0"/>
      <w:divBdr>
        <w:top w:val="none" w:sz="0" w:space="0" w:color="auto"/>
        <w:left w:val="none" w:sz="0" w:space="0" w:color="auto"/>
        <w:bottom w:val="none" w:sz="0" w:space="0" w:color="auto"/>
        <w:right w:val="none" w:sz="0" w:space="0" w:color="auto"/>
      </w:divBdr>
      <w:divsChild>
        <w:div w:id="443378511">
          <w:marLeft w:val="0"/>
          <w:marRight w:val="0"/>
          <w:marTop w:val="0"/>
          <w:marBottom w:val="0"/>
          <w:divBdr>
            <w:top w:val="none" w:sz="0" w:space="0" w:color="auto"/>
            <w:left w:val="none" w:sz="0" w:space="0" w:color="auto"/>
            <w:bottom w:val="none" w:sz="0" w:space="0" w:color="auto"/>
            <w:right w:val="none" w:sz="0" w:space="0" w:color="auto"/>
          </w:divBdr>
        </w:div>
      </w:divsChild>
    </w:div>
    <w:div w:id="1640694140">
      <w:marLeft w:val="4"/>
      <w:marRight w:val="0"/>
      <w:marTop w:val="120"/>
      <w:marBottom w:val="0"/>
      <w:divBdr>
        <w:top w:val="none" w:sz="0" w:space="0" w:color="auto"/>
        <w:left w:val="none" w:sz="0" w:space="0" w:color="auto"/>
        <w:bottom w:val="none" w:sz="0" w:space="0" w:color="auto"/>
        <w:right w:val="none" w:sz="0" w:space="0" w:color="auto"/>
      </w:divBdr>
      <w:divsChild>
        <w:div w:id="1184782485">
          <w:marLeft w:val="0"/>
          <w:marRight w:val="0"/>
          <w:marTop w:val="0"/>
          <w:marBottom w:val="0"/>
          <w:divBdr>
            <w:top w:val="none" w:sz="0" w:space="0" w:color="auto"/>
            <w:left w:val="none" w:sz="0" w:space="0" w:color="auto"/>
            <w:bottom w:val="none" w:sz="0" w:space="0" w:color="auto"/>
            <w:right w:val="none" w:sz="0" w:space="0" w:color="auto"/>
          </w:divBdr>
        </w:div>
      </w:divsChild>
    </w:div>
    <w:div w:id="1722903185">
      <w:marLeft w:val="0"/>
      <w:marRight w:val="0"/>
      <w:marTop w:val="0"/>
      <w:marBottom w:val="0"/>
      <w:divBdr>
        <w:top w:val="none" w:sz="0" w:space="0" w:color="auto"/>
        <w:left w:val="none" w:sz="0" w:space="0" w:color="auto"/>
        <w:bottom w:val="none" w:sz="0" w:space="0" w:color="auto"/>
        <w:right w:val="none" w:sz="0" w:space="0" w:color="auto"/>
      </w:divBdr>
    </w:div>
    <w:div w:id="1784575294">
      <w:marLeft w:val="0"/>
      <w:marRight w:val="0"/>
      <w:marTop w:val="0"/>
      <w:marBottom w:val="0"/>
      <w:divBdr>
        <w:top w:val="none" w:sz="0" w:space="0" w:color="auto"/>
        <w:left w:val="none" w:sz="0" w:space="0" w:color="auto"/>
        <w:bottom w:val="none" w:sz="0" w:space="0" w:color="auto"/>
        <w:right w:val="none" w:sz="0" w:space="0" w:color="auto"/>
      </w:divBdr>
      <w:divsChild>
        <w:div w:id="795099824">
          <w:marLeft w:val="0"/>
          <w:marRight w:val="0"/>
          <w:marTop w:val="0"/>
          <w:marBottom w:val="0"/>
          <w:divBdr>
            <w:top w:val="none" w:sz="0" w:space="0" w:color="auto"/>
            <w:left w:val="none" w:sz="0" w:space="0" w:color="auto"/>
            <w:bottom w:val="none" w:sz="0" w:space="0" w:color="auto"/>
            <w:right w:val="none" w:sz="0" w:space="0" w:color="auto"/>
          </w:divBdr>
        </w:div>
      </w:divsChild>
    </w:div>
    <w:div w:id="1867712130">
      <w:marLeft w:val="0"/>
      <w:marRight w:val="0"/>
      <w:marTop w:val="0"/>
      <w:marBottom w:val="0"/>
      <w:divBdr>
        <w:top w:val="none" w:sz="0" w:space="0" w:color="auto"/>
        <w:left w:val="none" w:sz="0" w:space="0" w:color="auto"/>
        <w:bottom w:val="none" w:sz="0" w:space="0" w:color="auto"/>
        <w:right w:val="none" w:sz="0" w:space="0" w:color="auto"/>
      </w:divBdr>
    </w:div>
    <w:div w:id="1898079760">
      <w:marLeft w:val="0"/>
      <w:marRight w:val="0"/>
      <w:marTop w:val="0"/>
      <w:marBottom w:val="0"/>
      <w:divBdr>
        <w:top w:val="none" w:sz="0" w:space="0" w:color="auto"/>
        <w:left w:val="none" w:sz="0" w:space="0" w:color="auto"/>
        <w:bottom w:val="none" w:sz="0" w:space="0" w:color="auto"/>
        <w:right w:val="none" w:sz="0" w:space="0" w:color="auto"/>
      </w:divBdr>
    </w:div>
    <w:div w:id="1902978027">
      <w:marLeft w:val="0"/>
      <w:marRight w:val="0"/>
      <w:marTop w:val="0"/>
      <w:marBottom w:val="0"/>
      <w:divBdr>
        <w:top w:val="none" w:sz="0" w:space="0" w:color="auto"/>
        <w:left w:val="none" w:sz="0" w:space="0" w:color="auto"/>
        <w:bottom w:val="none" w:sz="0" w:space="0" w:color="auto"/>
        <w:right w:val="none" w:sz="0" w:space="0" w:color="auto"/>
      </w:divBdr>
    </w:div>
    <w:div w:id="1910339525">
      <w:marLeft w:val="0"/>
      <w:marRight w:val="0"/>
      <w:marTop w:val="0"/>
      <w:marBottom w:val="0"/>
      <w:divBdr>
        <w:top w:val="none" w:sz="0" w:space="0" w:color="auto"/>
        <w:left w:val="none" w:sz="0" w:space="0" w:color="auto"/>
        <w:bottom w:val="none" w:sz="0" w:space="0" w:color="auto"/>
        <w:right w:val="none" w:sz="0" w:space="0" w:color="auto"/>
      </w:divBdr>
      <w:divsChild>
        <w:div w:id="705108626">
          <w:marLeft w:val="0"/>
          <w:marRight w:val="0"/>
          <w:marTop w:val="0"/>
          <w:marBottom w:val="0"/>
          <w:divBdr>
            <w:top w:val="none" w:sz="0" w:space="0" w:color="auto"/>
            <w:left w:val="none" w:sz="0" w:space="0" w:color="auto"/>
            <w:bottom w:val="none" w:sz="0" w:space="0" w:color="auto"/>
            <w:right w:val="none" w:sz="0" w:space="0" w:color="auto"/>
          </w:divBdr>
        </w:div>
      </w:divsChild>
    </w:div>
    <w:div w:id="1916549217">
      <w:marLeft w:val="4"/>
      <w:marRight w:val="0"/>
      <w:marTop w:val="120"/>
      <w:marBottom w:val="0"/>
      <w:divBdr>
        <w:top w:val="none" w:sz="0" w:space="0" w:color="auto"/>
        <w:left w:val="none" w:sz="0" w:space="0" w:color="auto"/>
        <w:bottom w:val="none" w:sz="0" w:space="0" w:color="auto"/>
        <w:right w:val="none" w:sz="0" w:space="0" w:color="auto"/>
      </w:divBdr>
      <w:divsChild>
        <w:div w:id="653335704">
          <w:marLeft w:val="0"/>
          <w:marRight w:val="0"/>
          <w:marTop w:val="0"/>
          <w:marBottom w:val="0"/>
          <w:divBdr>
            <w:top w:val="none" w:sz="0" w:space="0" w:color="auto"/>
            <w:left w:val="none" w:sz="0" w:space="0" w:color="auto"/>
            <w:bottom w:val="none" w:sz="0" w:space="0" w:color="auto"/>
            <w:right w:val="none" w:sz="0" w:space="0" w:color="auto"/>
          </w:divBdr>
        </w:div>
      </w:divsChild>
    </w:div>
    <w:div w:id="1970815908">
      <w:marLeft w:val="4"/>
      <w:marRight w:val="0"/>
      <w:marTop w:val="120"/>
      <w:marBottom w:val="0"/>
      <w:divBdr>
        <w:top w:val="none" w:sz="0" w:space="0" w:color="auto"/>
        <w:left w:val="none" w:sz="0" w:space="0" w:color="auto"/>
        <w:bottom w:val="none" w:sz="0" w:space="0" w:color="auto"/>
        <w:right w:val="none" w:sz="0" w:space="0" w:color="auto"/>
      </w:divBdr>
      <w:divsChild>
        <w:div w:id="1989166361">
          <w:marLeft w:val="0"/>
          <w:marRight w:val="0"/>
          <w:marTop w:val="0"/>
          <w:marBottom w:val="0"/>
          <w:divBdr>
            <w:top w:val="none" w:sz="0" w:space="0" w:color="auto"/>
            <w:left w:val="none" w:sz="0" w:space="0" w:color="auto"/>
            <w:bottom w:val="none" w:sz="0" w:space="0" w:color="auto"/>
            <w:right w:val="none" w:sz="0" w:space="0" w:color="auto"/>
          </w:divBdr>
        </w:div>
      </w:divsChild>
    </w:div>
    <w:div w:id="1994485406">
      <w:marLeft w:val="4"/>
      <w:marRight w:val="0"/>
      <w:marTop w:val="120"/>
      <w:marBottom w:val="0"/>
      <w:divBdr>
        <w:top w:val="none" w:sz="0" w:space="0" w:color="auto"/>
        <w:left w:val="none" w:sz="0" w:space="0" w:color="auto"/>
        <w:bottom w:val="none" w:sz="0" w:space="0" w:color="auto"/>
        <w:right w:val="none" w:sz="0" w:space="0" w:color="auto"/>
      </w:divBdr>
      <w:divsChild>
        <w:div w:id="828250894">
          <w:marLeft w:val="0"/>
          <w:marRight w:val="0"/>
          <w:marTop w:val="0"/>
          <w:marBottom w:val="0"/>
          <w:divBdr>
            <w:top w:val="none" w:sz="0" w:space="0" w:color="auto"/>
            <w:left w:val="none" w:sz="0" w:space="0" w:color="auto"/>
            <w:bottom w:val="none" w:sz="0" w:space="0" w:color="auto"/>
            <w:right w:val="none" w:sz="0" w:space="0" w:color="auto"/>
          </w:divBdr>
        </w:div>
      </w:divsChild>
    </w:div>
    <w:div w:id="2002156083">
      <w:marLeft w:val="0"/>
      <w:marRight w:val="0"/>
      <w:marTop w:val="0"/>
      <w:marBottom w:val="0"/>
      <w:divBdr>
        <w:top w:val="none" w:sz="0" w:space="0" w:color="auto"/>
        <w:left w:val="none" w:sz="0" w:space="0" w:color="auto"/>
        <w:bottom w:val="none" w:sz="0" w:space="0" w:color="auto"/>
        <w:right w:val="none" w:sz="0" w:space="0" w:color="auto"/>
      </w:divBdr>
    </w:div>
    <w:div w:id="2018578228">
      <w:marLeft w:val="0"/>
      <w:marRight w:val="0"/>
      <w:marTop w:val="0"/>
      <w:marBottom w:val="0"/>
      <w:divBdr>
        <w:top w:val="none" w:sz="0" w:space="0" w:color="auto"/>
        <w:left w:val="none" w:sz="0" w:space="0" w:color="auto"/>
        <w:bottom w:val="none" w:sz="0" w:space="0" w:color="auto"/>
        <w:right w:val="none" w:sz="0" w:space="0" w:color="auto"/>
      </w:divBdr>
      <w:divsChild>
        <w:div w:id="1626623318">
          <w:marLeft w:val="0"/>
          <w:marRight w:val="0"/>
          <w:marTop w:val="0"/>
          <w:marBottom w:val="0"/>
          <w:divBdr>
            <w:top w:val="none" w:sz="0" w:space="0" w:color="auto"/>
            <w:left w:val="none" w:sz="0" w:space="0" w:color="auto"/>
            <w:bottom w:val="none" w:sz="0" w:space="0" w:color="auto"/>
            <w:right w:val="none" w:sz="0" w:space="0" w:color="auto"/>
          </w:divBdr>
        </w:div>
        <w:div w:id="664476491">
          <w:marLeft w:val="0"/>
          <w:marRight w:val="0"/>
          <w:marTop w:val="0"/>
          <w:marBottom w:val="0"/>
          <w:divBdr>
            <w:top w:val="none" w:sz="0" w:space="0" w:color="auto"/>
            <w:left w:val="none" w:sz="0" w:space="0" w:color="auto"/>
            <w:bottom w:val="none" w:sz="0" w:space="0" w:color="auto"/>
            <w:right w:val="none" w:sz="0" w:space="0" w:color="auto"/>
          </w:divBdr>
        </w:div>
        <w:div w:id="1403257628">
          <w:marLeft w:val="0"/>
          <w:marRight w:val="0"/>
          <w:marTop w:val="0"/>
          <w:marBottom w:val="0"/>
          <w:divBdr>
            <w:top w:val="none" w:sz="0" w:space="0" w:color="auto"/>
            <w:left w:val="none" w:sz="0" w:space="0" w:color="auto"/>
            <w:bottom w:val="none" w:sz="0" w:space="0" w:color="auto"/>
            <w:right w:val="none" w:sz="0" w:space="0" w:color="auto"/>
          </w:divBdr>
        </w:div>
        <w:div w:id="1090658700">
          <w:marLeft w:val="0"/>
          <w:marRight w:val="0"/>
          <w:marTop w:val="0"/>
          <w:marBottom w:val="0"/>
          <w:divBdr>
            <w:top w:val="none" w:sz="0" w:space="0" w:color="auto"/>
            <w:left w:val="none" w:sz="0" w:space="0" w:color="auto"/>
            <w:bottom w:val="none" w:sz="0" w:space="0" w:color="auto"/>
            <w:right w:val="none" w:sz="0" w:space="0" w:color="auto"/>
          </w:divBdr>
        </w:div>
      </w:divsChild>
    </w:div>
    <w:div w:id="2097895611">
      <w:marLeft w:val="0"/>
      <w:marRight w:val="0"/>
      <w:marTop w:val="0"/>
      <w:marBottom w:val="0"/>
      <w:divBdr>
        <w:top w:val="none" w:sz="0" w:space="0" w:color="auto"/>
        <w:left w:val="none" w:sz="0" w:space="0" w:color="auto"/>
        <w:bottom w:val="none" w:sz="0" w:space="0" w:color="auto"/>
        <w:right w:val="none" w:sz="0" w:space="0" w:color="auto"/>
      </w:divBdr>
      <w:divsChild>
        <w:div w:id="1254165391">
          <w:marLeft w:val="0"/>
          <w:marRight w:val="0"/>
          <w:marTop w:val="0"/>
          <w:marBottom w:val="0"/>
          <w:divBdr>
            <w:top w:val="none" w:sz="0" w:space="0" w:color="auto"/>
            <w:left w:val="none" w:sz="0" w:space="0" w:color="auto"/>
            <w:bottom w:val="none" w:sz="0" w:space="0" w:color="auto"/>
            <w:right w:val="none" w:sz="0" w:space="0" w:color="auto"/>
          </w:divBdr>
        </w:div>
      </w:divsChild>
    </w:div>
    <w:div w:id="2104917359">
      <w:marLeft w:val="0"/>
      <w:marRight w:val="0"/>
      <w:marTop w:val="0"/>
      <w:marBottom w:val="0"/>
      <w:divBdr>
        <w:top w:val="none" w:sz="0" w:space="0" w:color="auto"/>
        <w:left w:val="none" w:sz="0" w:space="0" w:color="auto"/>
        <w:bottom w:val="none" w:sz="0" w:space="0" w:color="auto"/>
        <w:right w:val="none" w:sz="0" w:space="0" w:color="auto"/>
      </w:divBdr>
      <w:divsChild>
        <w:div w:id="1688630753">
          <w:marLeft w:val="0"/>
          <w:marRight w:val="0"/>
          <w:marTop w:val="0"/>
          <w:marBottom w:val="0"/>
          <w:divBdr>
            <w:top w:val="none" w:sz="0" w:space="0" w:color="auto"/>
            <w:left w:val="none" w:sz="0" w:space="0" w:color="auto"/>
            <w:bottom w:val="none" w:sz="0" w:space="0" w:color="auto"/>
            <w:right w:val="none" w:sz="0" w:space="0" w:color="auto"/>
          </w:divBdr>
        </w:div>
        <w:div w:id="1755590973">
          <w:marLeft w:val="0"/>
          <w:marRight w:val="0"/>
          <w:marTop w:val="0"/>
          <w:marBottom w:val="0"/>
          <w:divBdr>
            <w:top w:val="none" w:sz="0" w:space="0" w:color="auto"/>
            <w:left w:val="none" w:sz="0" w:space="0" w:color="auto"/>
            <w:bottom w:val="none" w:sz="0" w:space="0" w:color="auto"/>
            <w:right w:val="none" w:sz="0" w:space="0" w:color="auto"/>
          </w:divBdr>
        </w:div>
      </w:divsChild>
    </w:div>
    <w:div w:id="211412795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eg-ex32_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eg-ex32_1.htm" TargetMode="External"/><Relationship Id="rId5" Type="http://schemas.openxmlformats.org/officeDocument/2006/relationships/hyperlink" Target="meg-ex31_2.htm" TargetMode="External"/><Relationship Id="rId4" Type="http://schemas.openxmlformats.org/officeDocument/2006/relationships/hyperlink" Target="meg-ex31_1.ht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33676</Words>
  <Characters>191958</Characters>
  <Application>Microsoft Office Word</Application>
  <DocSecurity>0</DocSecurity>
  <Lines>1599</Lines>
  <Paragraphs>450</Paragraphs>
  <ScaleCrop>false</ScaleCrop>
  <Company/>
  <LinksUpToDate>false</LinksUpToDate>
  <CharactersWithSpaces>225184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10-Q</dc:title>
  <dc:subject/>
  <dc:creator>Chongjian.Yue</dc:creator>
  <cp:keywords/>
  <dc:description/>
  <cp:lastModifiedBy>Yue Chongjian</cp:lastModifiedBy>
  <cp:revision>1</cp:revision>
  <dcterms:created xsi:type="dcterms:W3CDTF">2024-01-04T15:53:00Z</dcterms:created>
  <dcterms:modified xsi:type="dcterms:W3CDTF">2024-01-04T15:53:00Z</dcterms:modified>
</cp:coreProperties>
</file>