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E32AE">
      <w:pPr>
        <w:divId w:val="264727020"/>
        <w:rPr>
          <w:rFonts w:eastAsia="Times New Roman"/>
          <w:sz w:val="2"/>
          <w:szCs w:val="2"/>
        </w:rPr>
      </w:pPr>
      <w:r>
        <w:rPr>
          <w:rFonts w:eastAsia="Times New Roman"/>
          <w:sz w:val="2"/>
          <w:szCs w:val="2"/>
        </w:rPr>
        <w:t> </w:t>
      </w:r>
    </w:p>
    <w:p w:rsidR="00000000" w:rsidRDefault="00CE32AE">
      <w:pPr>
        <w:pStyle w:val="a3"/>
        <w:spacing w:before="0" w:beforeAutospacing="0" w:after="0" w:afterAutospacing="0"/>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UNITED STATES</w:t>
      </w:r>
    </w:p>
    <w:p w:rsidR="00000000" w:rsidRDefault="00CE32AE">
      <w:pPr>
        <w:pStyle w:val="a3"/>
        <w:spacing w:before="0" w:beforeAutospacing="0" w:after="0" w:afterAutospacing="0"/>
        <w:jc w:val="center"/>
        <w:rPr>
          <w:sz w:val="20"/>
          <w:szCs w:val="20"/>
        </w:rPr>
      </w:pPr>
      <w:r>
        <w:rPr>
          <w:b/>
          <w:bCs/>
          <w:sz w:val="20"/>
          <w:szCs w:val="20"/>
        </w:rPr>
        <w:t>SECURITIES AND EXCHANGE COMMISSION</w:t>
      </w:r>
    </w:p>
    <w:p w:rsidR="00000000" w:rsidRDefault="00CE32AE">
      <w:pPr>
        <w:pStyle w:val="a3"/>
        <w:spacing w:before="0" w:beforeAutospacing="0" w:after="0" w:afterAutospacing="0"/>
        <w:jc w:val="center"/>
        <w:rPr>
          <w:sz w:val="20"/>
          <w:szCs w:val="20"/>
        </w:rPr>
      </w:pPr>
      <w:r>
        <w:rPr>
          <w:b/>
          <w:bCs/>
          <w:sz w:val="20"/>
          <w:szCs w:val="20"/>
        </w:rPr>
        <w:t>Washington, D.C. 20549</w:t>
      </w:r>
    </w:p>
    <w:p w:rsidR="00000000" w:rsidRDefault="00CE32AE">
      <w:pPr>
        <w:pStyle w:val="a3"/>
        <w:spacing w:before="0" w:beforeAutospacing="0" w:after="0" w:afterAutospacing="0"/>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FORM 10-Q</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For the quarterly period ended March 31, 2021</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OR</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For the transition p</w:t>
      </w:r>
      <w:r>
        <w:rPr>
          <w:b/>
          <w:bCs/>
          <w:sz w:val="20"/>
          <w:szCs w:val="20"/>
        </w:rPr>
        <w:t>eriod from________ to________</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PATHFINDER ACQUISTION CORPORATION</w:t>
      </w:r>
    </w:p>
    <w:p w:rsidR="00000000" w:rsidRDefault="00CE32AE">
      <w:pPr>
        <w:pStyle w:val="a3"/>
        <w:spacing w:before="0" w:beforeAutospacing="0" w:after="0" w:afterAutospacing="0"/>
        <w:jc w:val="center"/>
        <w:rPr>
          <w:sz w:val="20"/>
          <w:szCs w:val="20"/>
        </w:rPr>
      </w:pPr>
      <w:r>
        <w:rPr>
          <w:b/>
          <w:bCs/>
          <w:sz w:val="20"/>
          <w:szCs w:val="20"/>
        </w:rPr>
        <w:t>(Exact name of registrant as specified in its charter)</w:t>
      </w:r>
    </w:p>
    <w:p w:rsidR="00000000" w:rsidRDefault="00CE32AE">
      <w:pPr>
        <w:pStyle w:val="a3"/>
        <w:spacing w:before="0" w:beforeAutospacing="0" w:after="0" w:afterAutospacing="0"/>
        <w:jc w:val="center"/>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c>
          <w:tcPr>
            <w:tcW w:w="1600" w:type="pct"/>
            <w:tcBorders>
              <w:bottom w:val="single" w:sz="12" w:space="0" w:color="000000"/>
            </w:tcBorders>
            <w:tcMar>
              <w:top w:w="5" w:type="dxa"/>
              <w:left w:w="5" w:type="dxa"/>
              <w:bottom w:w="0" w:type="dxa"/>
              <w:right w:w="5" w:type="dxa"/>
            </w:tcMar>
            <w:hideMark/>
          </w:tcPr>
          <w:p w:rsidR="00000000" w:rsidRDefault="00CE32AE">
            <w:pPr>
              <w:jc w:val="center"/>
              <w:rPr>
                <w:rFonts w:eastAsia="Times New Roman"/>
                <w:sz w:val="20"/>
                <w:szCs w:val="20"/>
              </w:rPr>
            </w:pPr>
            <w:r>
              <w:rPr>
                <w:rFonts w:eastAsia="Times New Roman"/>
                <w:b/>
                <w:bCs/>
                <w:sz w:val="20"/>
                <w:szCs w:val="20"/>
              </w:rPr>
              <w:t>Cayman Islands</w:t>
            </w:r>
          </w:p>
        </w:tc>
        <w:tc>
          <w:tcPr>
            <w:tcW w:w="100" w:type="pct"/>
            <w:tcMar>
              <w:top w:w="0" w:type="dxa"/>
              <w:left w:w="0" w:type="dxa"/>
              <w:bottom w:w="30" w:type="dxa"/>
              <w:right w:w="0" w:type="dxa"/>
            </w:tcMar>
            <w:hideMark/>
          </w:tcPr>
          <w:p w:rsidR="00000000" w:rsidRDefault="00CE32AE">
            <w:pPr>
              <w:rPr>
                <w:rFonts w:eastAsia="Times New Roman"/>
                <w:sz w:val="20"/>
                <w:szCs w:val="20"/>
              </w:rPr>
            </w:pPr>
            <w:r>
              <w:rPr>
                <w:rFonts w:eastAsia="Times New Roman"/>
                <w:sz w:val="20"/>
                <w:szCs w:val="20"/>
              </w:rPr>
              <w:t> </w:t>
            </w:r>
          </w:p>
        </w:tc>
        <w:tc>
          <w:tcPr>
            <w:tcW w:w="1600" w:type="pct"/>
            <w:tcBorders>
              <w:bottom w:val="single" w:sz="12" w:space="0" w:color="000000"/>
            </w:tcBorders>
            <w:tcMar>
              <w:top w:w="5" w:type="dxa"/>
              <w:left w:w="5" w:type="dxa"/>
              <w:bottom w:w="0" w:type="dxa"/>
              <w:right w:w="5" w:type="dxa"/>
            </w:tcMar>
            <w:hideMark/>
          </w:tcPr>
          <w:p w:rsidR="00000000" w:rsidRDefault="00CE32AE">
            <w:pPr>
              <w:jc w:val="center"/>
              <w:rPr>
                <w:rFonts w:eastAsia="Times New Roman"/>
                <w:sz w:val="20"/>
                <w:szCs w:val="20"/>
              </w:rPr>
            </w:pPr>
            <w:r>
              <w:rPr>
                <w:rFonts w:eastAsia="Times New Roman"/>
                <w:b/>
                <w:bCs/>
                <w:sz w:val="20"/>
                <w:szCs w:val="20"/>
              </w:rPr>
              <w:t>001-40074</w:t>
            </w:r>
          </w:p>
        </w:tc>
        <w:tc>
          <w:tcPr>
            <w:tcW w:w="100" w:type="pct"/>
            <w:tcMar>
              <w:top w:w="0" w:type="dxa"/>
              <w:left w:w="0" w:type="dxa"/>
              <w:bottom w:w="30" w:type="dxa"/>
              <w:right w:w="0" w:type="dxa"/>
            </w:tcMar>
            <w:hideMark/>
          </w:tcPr>
          <w:p w:rsidR="00000000" w:rsidRDefault="00CE32AE">
            <w:pPr>
              <w:rPr>
                <w:rFonts w:eastAsia="Times New Roman"/>
                <w:sz w:val="20"/>
                <w:szCs w:val="20"/>
              </w:rPr>
            </w:pPr>
            <w:r>
              <w:rPr>
                <w:rFonts w:eastAsia="Times New Roman"/>
                <w:sz w:val="20"/>
                <w:szCs w:val="20"/>
              </w:rPr>
              <w:t> </w:t>
            </w:r>
          </w:p>
        </w:tc>
        <w:tc>
          <w:tcPr>
            <w:tcW w:w="1600" w:type="pct"/>
            <w:tcBorders>
              <w:bottom w:val="single" w:sz="12" w:space="0" w:color="000000"/>
            </w:tcBorders>
            <w:tcMar>
              <w:top w:w="5" w:type="dxa"/>
              <w:left w:w="5" w:type="dxa"/>
              <w:bottom w:w="0" w:type="dxa"/>
              <w:right w:w="5" w:type="dxa"/>
            </w:tcMar>
            <w:hideMark/>
          </w:tcPr>
          <w:p w:rsidR="00000000" w:rsidRDefault="00CE32AE">
            <w:pPr>
              <w:jc w:val="center"/>
              <w:rPr>
                <w:rFonts w:eastAsia="Times New Roman"/>
                <w:sz w:val="20"/>
                <w:szCs w:val="20"/>
              </w:rPr>
            </w:pPr>
            <w:r>
              <w:rPr>
                <w:rFonts w:eastAsia="Times New Roman"/>
                <w:b/>
                <w:bCs/>
                <w:sz w:val="20"/>
                <w:szCs w:val="20"/>
              </w:rPr>
              <w:t>98-1575384</w:t>
            </w:r>
          </w:p>
        </w:tc>
      </w:tr>
      <w:tr w:rsidR="00000000">
        <w:tc>
          <w:tcPr>
            <w:tcW w:w="0" w:type="auto"/>
            <w:tcMar>
              <w:top w:w="5" w:type="dxa"/>
              <w:left w:w="5" w:type="dxa"/>
              <w:bottom w:w="5" w:type="dxa"/>
              <w:right w:w="5" w:type="dxa"/>
            </w:tcMar>
            <w:hideMark/>
          </w:tcPr>
          <w:p w:rsidR="00000000" w:rsidRDefault="00CE32AE">
            <w:pPr>
              <w:pStyle w:val="a3"/>
              <w:spacing w:before="0" w:beforeAutospacing="0" w:after="0" w:afterAutospacing="0"/>
              <w:jc w:val="center"/>
              <w:rPr>
                <w:sz w:val="20"/>
                <w:szCs w:val="20"/>
              </w:rPr>
            </w:pPr>
            <w:r>
              <w:rPr>
                <w:b/>
                <w:bCs/>
                <w:sz w:val="20"/>
                <w:szCs w:val="20"/>
              </w:rPr>
              <w:t>(State or other jurisdiction of</w:t>
            </w:r>
            <w:r>
              <w:rPr>
                <w:b/>
                <w:bCs/>
                <w:sz w:val="20"/>
                <w:szCs w:val="20"/>
              </w:rPr>
              <w:br/>
              <w:t>incorporation or organization)</w:t>
            </w:r>
          </w:p>
        </w:tc>
        <w:tc>
          <w:tcPr>
            <w:tcW w:w="0" w:type="auto"/>
            <w:hideMark/>
          </w:tcPr>
          <w:p w:rsidR="00000000" w:rsidRDefault="00CE32AE">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rsidR="00000000" w:rsidRDefault="00CE32AE">
            <w:pPr>
              <w:pStyle w:val="a3"/>
              <w:spacing w:before="0" w:beforeAutospacing="0" w:after="0" w:afterAutospacing="0"/>
              <w:jc w:val="center"/>
              <w:rPr>
                <w:sz w:val="20"/>
                <w:szCs w:val="20"/>
              </w:rPr>
            </w:pPr>
            <w:r>
              <w:rPr>
                <w:b/>
                <w:bCs/>
                <w:sz w:val="20"/>
                <w:szCs w:val="20"/>
              </w:rPr>
              <w:t xml:space="preserve">(Commission </w:t>
            </w:r>
            <w:r>
              <w:rPr>
                <w:b/>
                <w:bCs/>
                <w:sz w:val="20"/>
                <w:szCs w:val="20"/>
              </w:rPr>
              <w:t>File Number)</w:t>
            </w:r>
          </w:p>
        </w:tc>
        <w:tc>
          <w:tcPr>
            <w:tcW w:w="0" w:type="auto"/>
            <w:hideMark/>
          </w:tcPr>
          <w:p w:rsidR="00000000" w:rsidRDefault="00CE32AE">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rsidR="00000000" w:rsidRDefault="00CE32AE">
            <w:pPr>
              <w:pStyle w:val="a3"/>
              <w:spacing w:before="0" w:beforeAutospacing="0" w:after="0" w:afterAutospacing="0"/>
              <w:jc w:val="center"/>
              <w:rPr>
                <w:sz w:val="20"/>
                <w:szCs w:val="20"/>
              </w:rPr>
            </w:pPr>
            <w:r>
              <w:rPr>
                <w:b/>
                <w:bCs/>
                <w:sz w:val="20"/>
                <w:szCs w:val="20"/>
              </w:rPr>
              <w:t xml:space="preserve">(IRS Employer </w:t>
            </w:r>
          </w:p>
          <w:p w:rsidR="00000000" w:rsidRDefault="00CE32AE">
            <w:pPr>
              <w:pStyle w:val="a3"/>
              <w:spacing w:before="0" w:beforeAutospacing="0" w:after="0" w:afterAutospacing="0"/>
              <w:jc w:val="center"/>
              <w:rPr>
                <w:sz w:val="20"/>
                <w:szCs w:val="20"/>
              </w:rPr>
            </w:pPr>
            <w:r>
              <w:rPr>
                <w:b/>
                <w:bCs/>
                <w:sz w:val="20"/>
                <w:szCs w:val="20"/>
              </w:rPr>
              <w:t>Identification No.)</w:t>
            </w:r>
          </w:p>
        </w:tc>
      </w:tr>
    </w:tbl>
    <w:p w:rsidR="00000000" w:rsidRDefault="00CE32AE">
      <w:pPr>
        <w:pStyle w:val="a3"/>
        <w:spacing w:before="0" w:beforeAutospacing="0" w:after="0" w:afterAutospacing="0"/>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CE32AE">
            <w:pPr>
              <w:jc w:val="center"/>
              <w:rPr>
                <w:rFonts w:eastAsia="Times New Roman"/>
                <w:sz w:val="20"/>
                <w:szCs w:val="20"/>
              </w:rPr>
            </w:pPr>
            <w:r>
              <w:rPr>
                <w:rFonts w:eastAsia="Times New Roman"/>
                <w:b/>
                <w:bCs/>
                <w:sz w:val="20"/>
                <w:szCs w:val="20"/>
              </w:rPr>
              <w:t>1950 University Avenue, Suite 350</w:t>
            </w:r>
          </w:p>
        </w:tc>
        <w:tc>
          <w:tcPr>
            <w:tcW w:w="100" w:type="pct"/>
            <w:hideMark/>
          </w:tcPr>
          <w:p w:rsidR="00000000" w:rsidRDefault="00CE32AE">
            <w:pPr>
              <w:rPr>
                <w:rFonts w:eastAsia="Times New Roman"/>
                <w:sz w:val="20"/>
                <w:szCs w:val="20"/>
              </w:rPr>
            </w:pPr>
            <w:r>
              <w:rPr>
                <w:rFonts w:eastAsia="Times New Roman"/>
                <w:sz w:val="20"/>
                <w:szCs w:val="20"/>
              </w:rPr>
              <w:t> </w:t>
            </w:r>
          </w:p>
        </w:tc>
        <w:tc>
          <w:tcPr>
            <w:tcW w:w="2450" w:type="pct"/>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CE32AE">
            <w:pPr>
              <w:jc w:val="center"/>
              <w:rPr>
                <w:rFonts w:eastAsia="Times New Roman"/>
                <w:sz w:val="20"/>
                <w:szCs w:val="20"/>
              </w:rPr>
            </w:pPr>
            <w:r>
              <w:rPr>
                <w:rFonts w:eastAsia="Times New Roman"/>
                <w:b/>
                <w:bCs/>
                <w:sz w:val="20"/>
                <w:szCs w:val="20"/>
              </w:rPr>
              <w:t xml:space="preserve">Palo Alto, CA </w:t>
            </w:r>
          </w:p>
        </w:tc>
        <w:tc>
          <w:tcPr>
            <w:tcW w:w="0" w:type="auto"/>
            <w:tcMar>
              <w:top w:w="0" w:type="dxa"/>
              <w:left w:w="0" w:type="dxa"/>
              <w:bottom w:w="30" w:type="dxa"/>
              <w:right w:w="0" w:type="dxa"/>
            </w:tcMar>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CE32AE">
            <w:pPr>
              <w:jc w:val="center"/>
              <w:rPr>
                <w:rFonts w:eastAsia="Times New Roman"/>
                <w:sz w:val="20"/>
                <w:szCs w:val="20"/>
              </w:rPr>
            </w:pPr>
            <w:r>
              <w:rPr>
                <w:rFonts w:eastAsia="Times New Roman"/>
                <w:b/>
                <w:bCs/>
                <w:sz w:val="20"/>
                <w:szCs w:val="20"/>
              </w:rPr>
              <w:t>94303</w:t>
            </w:r>
          </w:p>
        </w:tc>
      </w:tr>
      <w:tr w:rsidR="00000000">
        <w:tc>
          <w:tcPr>
            <w:tcW w:w="0" w:type="auto"/>
            <w:hideMark/>
          </w:tcPr>
          <w:p w:rsidR="00000000" w:rsidRDefault="00CE32AE">
            <w:pPr>
              <w:jc w:val="center"/>
              <w:rPr>
                <w:rFonts w:eastAsia="Times New Roman"/>
                <w:sz w:val="20"/>
                <w:szCs w:val="20"/>
              </w:rPr>
            </w:pPr>
            <w:r>
              <w:rPr>
                <w:rFonts w:eastAsia="Times New Roman"/>
                <w:b/>
                <w:bCs/>
                <w:sz w:val="20"/>
                <w:szCs w:val="20"/>
              </w:rPr>
              <w:t>(Address Of Principal Executive Offices)</w:t>
            </w:r>
          </w:p>
        </w:tc>
        <w:tc>
          <w:tcPr>
            <w:tcW w:w="0" w:type="auto"/>
            <w:hideMark/>
          </w:tcPr>
          <w:p w:rsidR="00000000" w:rsidRDefault="00CE32AE">
            <w:pPr>
              <w:rPr>
                <w:rFonts w:eastAsia="Times New Roman"/>
                <w:sz w:val="20"/>
                <w:szCs w:val="20"/>
              </w:rPr>
            </w:pPr>
            <w:r>
              <w:rPr>
                <w:rFonts w:eastAsia="Times New Roman"/>
                <w:sz w:val="20"/>
                <w:szCs w:val="20"/>
              </w:rPr>
              <w:t> </w:t>
            </w:r>
          </w:p>
        </w:tc>
        <w:tc>
          <w:tcPr>
            <w:tcW w:w="0" w:type="auto"/>
            <w:hideMark/>
          </w:tcPr>
          <w:p w:rsidR="00000000" w:rsidRDefault="00CE32AE">
            <w:pPr>
              <w:jc w:val="center"/>
              <w:rPr>
                <w:rFonts w:eastAsia="Times New Roman"/>
                <w:sz w:val="20"/>
                <w:szCs w:val="20"/>
              </w:rPr>
            </w:pPr>
            <w:r>
              <w:rPr>
                <w:rFonts w:eastAsia="Times New Roman"/>
                <w:b/>
                <w:bCs/>
                <w:sz w:val="20"/>
                <w:szCs w:val="20"/>
              </w:rPr>
              <w:t> (Zip Code)</w:t>
            </w:r>
          </w:p>
        </w:tc>
      </w:tr>
    </w:tbl>
    <w:p w:rsidR="00000000" w:rsidRDefault="00CE32AE">
      <w:pPr>
        <w:pStyle w:val="a3"/>
        <w:spacing w:before="0" w:beforeAutospacing="0" w:after="0" w:afterAutospacing="0"/>
        <w:rPr>
          <w:sz w:val="20"/>
          <w:szCs w:val="20"/>
        </w:rPr>
      </w:pPr>
      <w:r>
        <w:rPr>
          <w:sz w:val="14"/>
          <w:szCs w:val="14"/>
        </w:rPr>
        <w:t> </w:t>
      </w:r>
    </w:p>
    <w:p w:rsidR="00000000" w:rsidRDefault="00CE32AE">
      <w:pPr>
        <w:pStyle w:val="a3"/>
        <w:spacing w:before="0" w:beforeAutospacing="0" w:after="0" w:afterAutospacing="0"/>
        <w:jc w:val="center"/>
        <w:rPr>
          <w:sz w:val="20"/>
          <w:szCs w:val="20"/>
        </w:rPr>
      </w:pPr>
      <w:r>
        <w:rPr>
          <w:sz w:val="20"/>
          <w:szCs w:val="20"/>
        </w:rPr>
        <w:t> </w:t>
      </w:r>
      <w:r>
        <w:rPr>
          <w:b/>
          <w:bCs/>
          <w:sz w:val="20"/>
          <w:szCs w:val="20"/>
        </w:rPr>
        <w:t>(650) 321-4910</w:t>
      </w:r>
    </w:p>
    <w:p w:rsidR="00000000" w:rsidRDefault="00CE32AE">
      <w:pPr>
        <w:pStyle w:val="a3"/>
        <w:spacing w:before="0" w:beforeAutospacing="0" w:after="0" w:afterAutospacing="0"/>
        <w:jc w:val="center"/>
        <w:rPr>
          <w:sz w:val="20"/>
          <w:szCs w:val="20"/>
        </w:rPr>
      </w:pPr>
      <w:r>
        <w:rPr>
          <w:b/>
          <w:bCs/>
          <w:sz w:val="20"/>
          <w:szCs w:val="20"/>
        </w:rPr>
        <w:t xml:space="preserve">Registrant’s </w:t>
      </w:r>
      <w:r>
        <w:rPr>
          <w:b/>
          <w:bCs/>
          <w:sz w:val="20"/>
          <w:szCs w:val="20"/>
        </w:rPr>
        <w:t>telephone number, including area code</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b/>
          <w:bCs/>
          <w:sz w:val="20"/>
          <w:szCs w:val="20"/>
        </w:rPr>
        <w:t>Not Applicable</w:t>
      </w:r>
    </w:p>
    <w:p w:rsidR="00000000" w:rsidRDefault="00CE32AE">
      <w:pPr>
        <w:pStyle w:val="a3"/>
        <w:spacing w:before="0" w:beforeAutospacing="0" w:after="0" w:afterAutospacing="0"/>
        <w:jc w:val="center"/>
        <w:rPr>
          <w:sz w:val="20"/>
          <w:szCs w:val="20"/>
        </w:rPr>
      </w:pPr>
      <w:r>
        <w:rPr>
          <w:b/>
          <w:bCs/>
          <w:sz w:val="20"/>
          <w:szCs w:val="20"/>
        </w:rPr>
        <w:t>(Former name or former address, if changed since last report)</w:t>
      </w:r>
    </w:p>
    <w:p w:rsidR="00000000" w:rsidRDefault="00CE32AE">
      <w:pPr>
        <w:pStyle w:val="a3"/>
        <w:spacing w:before="0" w:beforeAutospacing="0" w:after="0" w:afterAutospacing="0"/>
        <w:jc w:val="center"/>
        <w:rPr>
          <w:sz w:val="20"/>
          <w:szCs w:val="20"/>
        </w:rPr>
      </w:pPr>
      <w:r>
        <w:rPr>
          <w:sz w:val="14"/>
          <w:szCs w:val="14"/>
        </w:rPr>
        <w:t> </w:t>
      </w:r>
    </w:p>
    <w:p w:rsidR="00000000" w:rsidRDefault="00CE32AE">
      <w:pPr>
        <w:pStyle w:val="a3"/>
        <w:spacing w:before="0" w:beforeAutospacing="0" w:after="0" w:afterAutospacing="0"/>
        <w:jc w:val="center"/>
        <w:rPr>
          <w:sz w:val="20"/>
          <w:szCs w:val="20"/>
        </w:rPr>
      </w:pPr>
      <w:r>
        <w:rPr>
          <w:sz w:val="20"/>
          <w:szCs w:val="20"/>
        </w:rPr>
        <w:t>Securities registered pursuant to Section 12(b) of the Act:</w:t>
      </w:r>
    </w:p>
    <w:p w:rsidR="00000000" w:rsidRDefault="00CE32AE">
      <w:pPr>
        <w:pStyle w:val="a3"/>
        <w:spacing w:before="0" w:beforeAutospacing="0" w:after="0" w:afterAutospacing="0"/>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c>
          <w:tcPr>
            <w:tcW w:w="1600" w:type="pct"/>
            <w:tcBorders>
              <w:bottom w:val="single" w:sz="12" w:space="0" w:color="000000"/>
            </w:tcBorders>
            <w:tcMar>
              <w:top w:w="15" w:type="dxa"/>
              <w:left w:w="5" w:type="dxa"/>
              <w:bottom w:w="0" w:type="dxa"/>
              <w:right w:w="5" w:type="dxa"/>
            </w:tcMar>
            <w:vAlign w:val="bottom"/>
            <w:hideMark/>
          </w:tcPr>
          <w:p w:rsidR="00000000" w:rsidRDefault="00CE32AE">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bottom"/>
            <w:hideMark/>
          </w:tcPr>
          <w:p w:rsidR="00000000" w:rsidRDefault="00CE32AE">
            <w:pPr>
              <w:jc w:val="center"/>
              <w:rPr>
                <w:rFonts w:eastAsia="Times New Roman"/>
                <w:sz w:val="20"/>
                <w:szCs w:val="20"/>
              </w:rPr>
            </w:pPr>
            <w:r>
              <w:rPr>
                <w:rFonts w:eastAsia="Times New Roman"/>
                <w:sz w:val="20"/>
                <w:szCs w:val="20"/>
              </w:rPr>
              <w:t> </w:t>
            </w:r>
          </w:p>
        </w:tc>
        <w:tc>
          <w:tcPr>
            <w:tcW w:w="1600" w:type="pct"/>
            <w:tcBorders>
              <w:bottom w:val="single" w:sz="12" w:space="0" w:color="000000"/>
            </w:tcBorders>
            <w:tcMar>
              <w:top w:w="15" w:type="dxa"/>
              <w:left w:w="5" w:type="dxa"/>
              <w:bottom w:w="30" w:type="dxa"/>
              <w:right w:w="5" w:type="dxa"/>
            </w:tcMar>
            <w:vAlign w:val="bottom"/>
            <w:hideMark/>
          </w:tcPr>
          <w:p w:rsidR="00000000" w:rsidRDefault="00CE32AE">
            <w:pPr>
              <w:pStyle w:val="a3"/>
              <w:spacing w:before="0" w:beforeAutospacing="0" w:after="0" w:afterAutospacing="0"/>
              <w:jc w:val="center"/>
              <w:rPr>
                <w:sz w:val="20"/>
                <w:szCs w:val="20"/>
              </w:rPr>
            </w:pPr>
            <w:r>
              <w:rPr>
                <w:b/>
                <w:bCs/>
                <w:sz w:val="20"/>
                <w:szCs w:val="20"/>
              </w:rPr>
              <w:t>Trading Symbol(s)</w:t>
            </w:r>
          </w:p>
        </w:tc>
        <w:tc>
          <w:tcPr>
            <w:tcW w:w="100" w:type="pct"/>
            <w:tcMar>
              <w:top w:w="0" w:type="dxa"/>
              <w:left w:w="0" w:type="dxa"/>
              <w:bottom w:w="30" w:type="dxa"/>
              <w:right w:w="0" w:type="dxa"/>
            </w:tcMar>
            <w:vAlign w:val="bottom"/>
            <w:hideMark/>
          </w:tcPr>
          <w:p w:rsidR="00000000" w:rsidRDefault="00CE32AE">
            <w:pPr>
              <w:jc w:val="center"/>
              <w:rPr>
                <w:rFonts w:eastAsia="Times New Roman"/>
                <w:sz w:val="20"/>
                <w:szCs w:val="20"/>
              </w:rPr>
            </w:pPr>
            <w:r>
              <w:rPr>
                <w:rFonts w:eastAsia="Times New Roman"/>
                <w:sz w:val="20"/>
                <w:szCs w:val="20"/>
              </w:rPr>
              <w:t> </w:t>
            </w:r>
          </w:p>
        </w:tc>
        <w:tc>
          <w:tcPr>
            <w:tcW w:w="1600" w:type="pct"/>
            <w:tcBorders>
              <w:bottom w:val="single" w:sz="12" w:space="0" w:color="000000"/>
            </w:tcBorders>
            <w:tcMar>
              <w:top w:w="15" w:type="dxa"/>
              <w:left w:w="5" w:type="dxa"/>
              <w:bottom w:w="0" w:type="dxa"/>
              <w:right w:w="5" w:type="dxa"/>
            </w:tcMar>
            <w:vAlign w:val="bottom"/>
            <w:hideMark/>
          </w:tcPr>
          <w:p w:rsidR="00000000" w:rsidRDefault="00CE32AE">
            <w:pPr>
              <w:pStyle w:val="a3"/>
              <w:spacing w:before="0" w:beforeAutospacing="0" w:after="0" w:afterAutospacing="0"/>
              <w:jc w:val="center"/>
              <w:rPr>
                <w:sz w:val="20"/>
                <w:szCs w:val="20"/>
              </w:rPr>
            </w:pPr>
            <w:r>
              <w:rPr>
                <w:b/>
                <w:bCs/>
                <w:sz w:val="20"/>
                <w:szCs w:val="20"/>
              </w:rPr>
              <w:t xml:space="preserve">Name </w:t>
            </w:r>
            <w:r>
              <w:rPr>
                <w:b/>
                <w:bCs/>
                <w:sz w:val="20"/>
                <w:szCs w:val="20"/>
              </w:rPr>
              <w:t>of each exchange on</w:t>
            </w:r>
          </w:p>
          <w:p w:rsidR="00000000" w:rsidRDefault="00CE32AE">
            <w:pPr>
              <w:pStyle w:val="a3"/>
              <w:spacing w:before="0" w:beforeAutospacing="0" w:after="0" w:afterAutospacing="0"/>
              <w:jc w:val="center"/>
              <w:rPr>
                <w:sz w:val="20"/>
                <w:szCs w:val="20"/>
              </w:rPr>
            </w:pPr>
            <w:r>
              <w:rPr>
                <w:b/>
                <w:bCs/>
                <w:sz w:val="20"/>
                <w:szCs w:val="20"/>
              </w:rPr>
              <w:t>which registered</w:t>
            </w:r>
          </w:p>
        </w:tc>
      </w:tr>
      <w:tr w:rsidR="00000000">
        <w:tc>
          <w:tcPr>
            <w:tcW w:w="0" w:type="auto"/>
            <w:shd w:val="clear" w:color="auto" w:fill="CCEE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Units, each consisting of one Class A ordinary share, $0.0001 par value, and one-fifth of one redeemable warrant</w:t>
            </w:r>
          </w:p>
        </w:tc>
        <w:tc>
          <w:tcPr>
            <w:tcW w:w="0" w:type="auto"/>
            <w:shd w:val="clear" w:color="auto" w:fill="CCEEFF"/>
            <w:hideMark/>
          </w:tcPr>
          <w:p w:rsidR="00000000" w:rsidRDefault="00CE32AE">
            <w:pPr>
              <w:jc w:val="cente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PFDRU</w:t>
            </w:r>
          </w:p>
        </w:tc>
        <w:tc>
          <w:tcPr>
            <w:tcW w:w="0" w:type="auto"/>
            <w:shd w:val="clear" w:color="auto" w:fill="CCEEFF"/>
            <w:hideMark/>
          </w:tcPr>
          <w:p w:rsidR="00000000" w:rsidRDefault="00CE32AE">
            <w:pPr>
              <w:jc w:val="cente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Nasdaq Capital Market</w:t>
            </w:r>
          </w:p>
        </w:tc>
      </w:tr>
      <w:tr w:rsidR="00000000">
        <w:tc>
          <w:tcPr>
            <w:tcW w:w="0" w:type="auto"/>
            <w:shd w:val="clear" w:color="auto" w:fill="FFFF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 xml:space="preserve">Class </w:t>
            </w:r>
            <w:r>
              <w:rPr>
                <w:rFonts w:eastAsia="Times New Roman"/>
                <w:sz w:val="20"/>
                <w:szCs w:val="20"/>
              </w:rPr>
              <w:t xml:space="preserve">A ordinary shares included as part of the units </w:t>
            </w:r>
          </w:p>
        </w:tc>
        <w:tc>
          <w:tcPr>
            <w:tcW w:w="0" w:type="auto"/>
            <w:shd w:val="clear" w:color="auto" w:fill="FFFFFF"/>
            <w:hideMark/>
          </w:tcPr>
          <w:p w:rsidR="00000000" w:rsidRDefault="00CE32AE">
            <w:pPr>
              <w:jc w:val="cente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PFDR</w:t>
            </w:r>
          </w:p>
        </w:tc>
        <w:tc>
          <w:tcPr>
            <w:tcW w:w="0" w:type="auto"/>
            <w:shd w:val="clear" w:color="auto" w:fill="FFFFFF"/>
            <w:hideMark/>
          </w:tcPr>
          <w:p w:rsidR="00000000" w:rsidRDefault="00CE32AE">
            <w:pPr>
              <w:jc w:val="cente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Nasdaq Capital Market</w:t>
            </w:r>
          </w:p>
        </w:tc>
      </w:tr>
      <w:tr w:rsidR="00000000">
        <w:tc>
          <w:tcPr>
            <w:tcW w:w="0" w:type="auto"/>
            <w:shd w:val="clear" w:color="auto" w:fill="CCEE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 xml:space="preserve">Redeemable warrants included as part of the units </w:t>
            </w:r>
          </w:p>
        </w:tc>
        <w:tc>
          <w:tcPr>
            <w:tcW w:w="0" w:type="auto"/>
            <w:shd w:val="clear" w:color="auto" w:fill="CCEEFF"/>
            <w:hideMark/>
          </w:tcPr>
          <w:p w:rsidR="00000000" w:rsidRDefault="00CE32AE">
            <w:pPr>
              <w:jc w:val="cente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PFDRW</w:t>
            </w:r>
          </w:p>
        </w:tc>
        <w:tc>
          <w:tcPr>
            <w:tcW w:w="0" w:type="auto"/>
            <w:shd w:val="clear" w:color="auto" w:fill="CCEEFF"/>
            <w:hideMark/>
          </w:tcPr>
          <w:p w:rsidR="00000000" w:rsidRDefault="00CE32AE">
            <w:pPr>
              <w:jc w:val="cente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center"/>
              <w:rPr>
                <w:rFonts w:eastAsia="Times New Roman"/>
                <w:sz w:val="20"/>
                <w:szCs w:val="20"/>
              </w:rPr>
            </w:pPr>
            <w:r>
              <w:rPr>
                <w:rFonts w:eastAsia="Times New Roman"/>
                <w:sz w:val="20"/>
                <w:szCs w:val="20"/>
              </w:rPr>
              <w:t>Nasdaq Capital Market</w:t>
            </w:r>
          </w:p>
        </w:tc>
      </w:tr>
    </w:tbl>
    <w:p w:rsidR="00000000" w:rsidRDefault="00CE32AE">
      <w:pPr>
        <w:pStyle w:val="a3"/>
        <w:spacing w:before="0" w:beforeAutospacing="0" w:after="0" w:afterAutospacing="0"/>
        <w:jc w:val="both"/>
        <w:rPr>
          <w:sz w:val="20"/>
          <w:szCs w:val="20"/>
        </w:rPr>
      </w:pPr>
      <w:r>
        <w:rPr>
          <w:sz w:val="14"/>
          <w:szCs w:val="14"/>
        </w:rPr>
        <w:t> </w:t>
      </w:r>
    </w:p>
    <w:p w:rsidR="00000000" w:rsidRDefault="00CE32AE">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 xml:space="preserve">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E32AE">
      <w:pPr>
        <w:pStyle w:val="a3"/>
        <w:spacing w:before="0" w:beforeAutospacing="0" w:after="0" w:afterAutospacing="0"/>
        <w:jc w:val="both"/>
        <w:rPr>
          <w:sz w:val="20"/>
          <w:szCs w:val="20"/>
        </w:rPr>
      </w:pPr>
      <w:r>
        <w:rPr>
          <w:sz w:val="14"/>
          <w:szCs w:val="14"/>
        </w:rPr>
        <w:t> </w:t>
      </w:r>
    </w:p>
    <w:p w:rsidR="00000000" w:rsidRDefault="00CE32AE">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w:t>
      </w:r>
      <w:r>
        <w:rPr>
          <w:sz w:val="20"/>
          <w:szCs w:val="20"/>
        </w:rPr>
        <w:t>S-T (§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E32AE">
      <w:pPr>
        <w:pStyle w:val="a3"/>
        <w:spacing w:before="0" w:beforeAutospacing="0" w:after="0" w:afterAutospacing="0"/>
        <w:jc w:val="both"/>
        <w:rPr>
          <w:sz w:val="20"/>
          <w:szCs w:val="20"/>
        </w:rPr>
      </w:pPr>
      <w:r>
        <w:rPr>
          <w:sz w:val="14"/>
          <w:szCs w:val="14"/>
        </w:rPr>
        <w:t> </w:t>
      </w:r>
    </w:p>
    <w:p w:rsidR="00000000" w:rsidRDefault="00CE32AE">
      <w:pPr>
        <w:pStyle w:val="a3"/>
        <w:spacing w:before="0" w:beforeAutospacing="0" w:after="0" w:afterAutospacing="0"/>
        <w:jc w:val="both"/>
        <w:rPr>
          <w:sz w:val="20"/>
          <w:szCs w:val="20"/>
        </w:rPr>
      </w:pPr>
      <w:r>
        <w:rPr>
          <w:sz w:val="20"/>
          <w:szCs w:val="20"/>
        </w:rPr>
        <w:t>Indicate by check mark whether the registrant is a large accelerated filer, an accelerated filer</w:t>
      </w:r>
      <w:r>
        <w:rPr>
          <w:sz w:val="20"/>
          <w:szCs w:val="20"/>
        </w:rPr>
        <w:t>, a non-accelerated filer, smaller reporting company, or an emerging growth company. See the definitions of “large accelerated filer,” “accelerated filer,” “smaller reporting company,” and “emerging growth company” in Rule 12b-2 of the Exchange Act.</w:t>
      </w:r>
    </w:p>
    <w:p w:rsidR="00000000" w:rsidRDefault="00CE32AE">
      <w:pPr>
        <w:pStyle w:val="a3"/>
        <w:spacing w:before="0" w:beforeAutospacing="0" w:after="0" w:afterAutospacing="0"/>
        <w:jc w:val="both"/>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2076"/>
        <w:gridCol w:w="2076"/>
        <w:gridCol w:w="2077"/>
        <w:gridCol w:w="2077"/>
      </w:tblGrid>
      <w:tr w:rsidR="00000000">
        <w:tc>
          <w:tcPr>
            <w:tcW w:w="1250" w:type="pct"/>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lastRenderedPageBreak/>
              <w:t>Larg</w:t>
            </w:r>
            <w:r>
              <w:rPr>
                <w:rFonts w:eastAsia="Times New Roman"/>
                <w:sz w:val="20"/>
                <w:szCs w:val="20"/>
              </w:rPr>
              <w:t>e accelerated filer</w:t>
            </w:r>
          </w:p>
        </w:tc>
        <w:tc>
          <w:tcPr>
            <w:tcW w:w="1250" w:type="pct"/>
            <w:tcMar>
              <w:top w:w="5" w:type="dxa"/>
              <w:left w:w="5" w:type="dxa"/>
              <w:bottom w:w="5" w:type="dxa"/>
              <w:right w:w="5" w:type="dxa"/>
            </w:tcMar>
            <w:vAlign w:val="bottom"/>
            <w:hideMark/>
          </w:tcPr>
          <w:p w:rsidR="00000000" w:rsidRDefault="00CE32AE">
            <w:pPr>
              <w:rPr>
                <w:rFonts w:eastAsia="Times New Roman"/>
                <w:sz w:val="20"/>
                <w:szCs w:val="20"/>
              </w:rPr>
            </w:pPr>
            <w:r>
              <w:rPr>
                <w:rFonts w:ascii="Segoe UI Symbol" w:eastAsia="Times New Roman" w:hAnsi="Segoe UI Symbol" w:cs="Segoe UI Symbol"/>
                <w:sz w:val="20"/>
                <w:szCs w:val="20"/>
              </w:rPr>
              <w:t>☐</w:t>
            </w:r>
          </w:p>
        </w:tc>
        <w:tc>
          <w:tcPr>
            <w:tcW w:w="1250" w:type="pct"/>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t>Accelerated filer</w:t>
            </w:r>
          </w:p>
        </w:tc>
        <w:tc>
          <w:tcPr>
            <w:tcW w:w="1250" w:type="pct"/>
            <w:tcMar>
              <w:top w:w="5" w:type="dxa"/>
              <w:left w:w="5" w:type="dxa"/>
              <w:bottom w:w="5" w:type="dxa"/>
              <w:right w:w="5" w:type="dxa"/>
            </w:tcMar>
            <w:vAlign w:val="bottom"/>
            <w:hideMark/>
          </w:tcPr>
          <w:p w:rsidR="00000000" w:rsidRDefault="00CE32AE">
            <w:pPr>
              <w:rPr>
                <w:rFonts w:eastAsia="Times New Roman"/>
                <w:sz w:val="20"/>
                <w:szCs w:val="20"/>
              </w:rPr>
            </w:pPr>
            <w:r>
              <w:rPr>
                <w:rFonts w:ascii="Segoe UI Symbol" w:eastAsia="Times New Roman" w:hAnsi="Segoe UI Symbol" w:cs="Segoe UI Symbol"/>
                <w:sz w:val="20"/>
                <w:szCs w:val="20"/>
              </w:rPr>
              <w:t>☐</w:t>
            </w:r>
          </w:p>
        </w:tc>
      </w:tr>
      <w:tr w:rsidR="00000000">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t>Non-accelerated filer</w:t>
            </w:r>
          </w:p>
        </w:tc>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ascii="Segoe UI Symbol" w:eastAsia="Times New Roman" w:hAnsi="Segoe UI Symbol" w:cs="Segoe UI Symbol"/>
                <w:sz w:val="20"/>
                <w:szCs w:val="20"/>
              </w:rPr>
              <w:t>☒</w:t>
            </w:r>
          </w:p>
        </w:tc>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t>Smaller reporting company</w:t>
            </w:r>
          </w:p>
        </w:tc>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ascii="Segoe UI Symbol" w:eastAsia="Times New Roman" w:hAnsi="Segoe UI Symbol" w:cs="Segoe UI Symbol"/>
                <w:sz w:val="20"/>
                <w:szCs w:val="20"/>
              </w:rPr>
              <w:t>☒</w:t>
            </w:r>
          </w:p>
        </w:tc>
      </w:tr>
      <w:tr w:rsidR="00000000">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t>Emerging growth company</w:t>
            </w:r>
          </w:p>
        </w:tc>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ascii="Segoe UI Symbol" w:eastAsia="Times New Roman" w:hAnsi="Segoe UI Symbol" w:cs="Segoe UI Symbol"/>
                <w:sz w:val="20"/>
                <w:szCs w:val="20"/>
              </w:rPr>
              <w:t>☒</w:t>
            </w:r>
          </w:p>
        </w:tc>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vAlign w:val="bottom"/>
            <w:hideMark/>
          </w:tcPr>
          <w:p w:rsidR="00000000" w:rsidRDefault="00CE32AE">
            <w:pPr>
              <w:rPr>
                <w:rFonts w:eastAsia="Times New Roman"/>
                <w:sz w:val="20"/>
                <w:szCs w:val="20"/>
              </w:rPr>
            </w:pPr>
            <w:r>
              <w:rPr>
                <w:rFonts w:eastAsia="Times New Roman"/>
                <w:sz w:val="20"/>
                <w:szCs w:val="20"/>
              </w:rPr>
              <w:t> </w:t>
            </w:r>
          </w:p>
        </w:tc>
      </w:tr>
    </w:tbl>
    <w:p w:rsidR="00000000" w:rsidRDefault="00CE32AE">
      <w:pPr>
        <w:pStyle w:val="a3"/>
        <w:spacing w:before="0" w:beforeAutospacing="0" w:after="0" w:afterAutospacing="0"/>
        <w:jc w:val="both"/>
        <w:rPr>
          <w:sz w:val="20"/>
          <w:szCs w:val="20"/>
        </w:rPr>
      </w:pPr>
      <w:r>
        <w:rPr>
          <w:sz w:val="14"/>
          <w:szCs w:val="14"/>
        </w:rPr>
        <w:t> </w:t>
      </w:r>
    </w:p>
    <w:p w:rsidR="00000000" w:rsidRDefault="00CE32AE">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CE32AE">
      <w:pPr>
        <w:pStyle w:val="a3"/>
        <w:spacing w:before="0" w:beforeAutospacing="0" w:after="0" w:afterAutospacing="0"/>
        <w:jc w:val="both"/>
        <w:rPr>
          <w:sz w:val="20"/>
          <w:szCs w:val="20"/>
        </w:rPr>
      </w:pPr>
      <w:r>
        <w:rPr>
          <w:sz w:val="14"/>
          <w:szCs w:val="14"/>
        </w:rPr>
        <w:t> </w:t>
      </w:r>
    </w:p>
    <w:p w:rsidR="00000000" w:rsidRDefault="00CE32AE">
      <w:pPr>
        <w:pStyle w:val="a3"/>
        <w:spacing w:before="0" w:beforeAutospacing="0" w:after="0" w:afterAutospacing="0"/>
        <w:jc w:val="both"/>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E32AE">
      <w:pPr>
        <w:pStyle w:val="a3"/>
        <w:spacing w:before="0" w:beforeAutospacing="0" w:after="0" w:afterAutospacing="0"/>
        <w:jc w:val="both"/>
        <w:rPr>
          <w:sz w:val="20"/>
          <w:szCs w:val="20"/>
        </w:rPr>
      </w:pPr>
      <w:r>
        <w:rPr>
          <w:sz w:val="14"/>
          <w:szCs w:val="14"/>
        </w:rPr>
        <w:t> </w:t>
      </w:r>
    </w:p>
    <w:p w:rsidR="00000000" w:rsidRDefault="00CE32AE">
      <w:pPr>
        <w:pStyle w:val="a3"/>
        <w:spacing w:before="0" w:beforeAutospacing="0" w:after="0" w:afterAutospacing="0"/>
        <w:jc w:val="both"/>
        <w:rPr>
          <w:sz w:val="20"/>
          <w:szCs w:val="20"/>
        </w:rPr>
      </w:pPr>
      <w:r>
        <w:rPr>
          <w:sz w:val="20"/>
          <w:szCs w:val="20"/>
        </w:rPr>
        <w:t xml:space="preserve">As of June 1, 2021, 32,500,000 Class A ordinary shares, par value $0.0001 per share, and 8,125,000 Class B ordinary shares, par value </w:t>
      </w:r>
      <w:r>
        <w:rPr>
          <w:sz w:val="20"/>
          <w:szCs w:val="20"/>
        </w:rPr>
        <w:t>$0.0001 per share, were issued and outstanding, respectively.</w:t>
      </w:r>
    </w:p>
    <w:p w:rsidR="00000000" w:rsidRDefault="00CE32AE">
      <w:pPr>
        <w:pStyle w:val="a3"/>
        <w:spacing w:before="0" w:beforeAutospacing="0" w:after="0" w:afterAutospacing="0"/>
        <w:jc w:val="both"/>
        <w:rPr>
          <w:sz w:val="20"/>
          <w:szCs w:val="20"/>
        </w:rPr>
      </w:pPr>
      <w:r>
        <w:rPr>
          <w:sz w:val="14"/>
          <w:szCs w:val="14"/>
        </w:rPr>
        <w:t> </w:t>
      </w:r>
    </w:p>
    <w:p w:rsidR="00000000" w:rsidRDefault="00CE32AE">
      <w:pPr>
        <w:divId w:val="1340501759"/>
        <w:rPr>
          <w:rFonts w:eastAsia="Times New Roman"/>
          <w:sz w:val="2"/>
          <w:szCs w:val="2"/>
        </w:rPr>
      </w:pPr>
      <w:r>
        <w:rPr>
          <w:rFonts w:eastAsia="Times New Roman"/>
          <w:sz w:val="2"/>
          <w:szCs w:val="2"/>
        </w:rPr>
        <w:t> </w:t>
      </w:r>
    </w:p>
    <w:p w:rsidR="00000000" w:rsidRDefault="00CE32AE">
      <w:pPr>
        <w:pStyle w:val="a3"/>
        <w:spacing w:before="0" w:beforeAutospacing="0" w:after="0" w:afterAutospacing="0"/>
        <w:divId w:val="1024601415"/>
        <w:rPr>
          <w:sz w:val="20"/>
          <w:szCs w:val="20"/>
        </w:rPr>
      </w:pPr>
      <w:r>
        <w:rPr>
          <w:sz w:val="20"/>
          <w:szCs w:val="20"/>
        </w:rPr>
        <w:t> </w:t>
      </w:r>
    </w:p>
    <w:p w:rsidR="00000000" w:rsidRDefault="00CE32AE">
      <w:pPr>
        <w:pStyle w:val="a3"/>
        <w:spacing w:before="0" w:beforeAutospacing="0" w:after="0" w:afterAutospacing="0"/>
        <w:divId w:val="353969020"/>
        <w:rPr>
          <w:sz w:val="20"/>
          <w:szCs w:val="20"/>
        </w:rPr>
      </w:pPr>
      <w:r>
        <w:rPr>
          <w:sz w:val="20"/>
          <w:szCs w:val="20"/>
        </w:rPr>
        <w:t> </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Form 10-Q</w:t>
      </w:r>
    </w:p>
    <w:p w:rsidR="00000000" w:rsidRDefault="00CE32AE">
      <w:pPr>
        <w:pStyle w:val="a3"/>
        <w:spacing w:before="0" w:beforeAutospacing="0" w:after="0" w:afterAutospacing="0"/>
        <w:jc w:val="center"/>
        <w:rPr>
          <w:sz w:val="20"/>
          <w:szCs w:val="20"/>
        </w:rPr>
      </w:pPr>
      <w:r>
        <w:rPr>
          <w:b/>
          <w:bCs/>
          <w:sz w:val="20"/>
          <w:szCs w:val="20"/>
        </w:rPr>
        <w:t>For the Quarter Ended March 31, 2021</w:t>
      </w:r>
    </w:p>
    <w:p w:rsidR="00000000" w:rsidRDefault="00CE32AE">
      <w:pPr>
        <w:pStyle w:val="a3"/>
        <w:spacing w:before="0" w:beforeAutospacing="0" w:after="0" w:afterAutospacing="0"/>
        <w:jc w:val="center"/>
        <w:rPr>
          <w:sz w:val="20"/>
          <w:szCs w:val="20"/>
        </w:rPr>
      </w:pPr>
      <w:r>
        <w:rPr>
          <w:b/>
          <w:bCs/>
          <w:sz w:val="20"/>
          <w:szCs w:val="20"/>
        </w:rPr>
        <w:t>Table of Contents</w:t>
      </w:r>
    </w:p>
    <w:p w:rsidR="00000000" w:rsidRDefault="00CE32AE">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
        <w:gridCol w:w="6811"/>
        <w:gridCol w:w="748"/>
      </w:tblGrid>
      <w:tr w:rsidR="00000000">
        <w:tc>
          <w:tcPr>
            <w:tcW w:w="450" w:type="pct"/>
            <w:tcMar>
              <w:top w:w="5" w:type="dxa"/>
              <w:left w:w="5" w:type="dxa"/>
              <w:bottom w:w="30" w:type="dxa"/>
              <w:right w:w="5" w:type="dxa"/>
            </w:tcMar>
            <w:vAlign w:val="bottom"/>
            <w:hideMark/>
          </w:tcPr>
          <w:p w:rsidR="00000000" w:rsidRDefault="00CE32AE">
            <w:pPr>
              <w:rPr>
                <w:rFonts w:eastAsia="Times New Roman"/>
                <w:sz w:val="20"/>
                <w:szCs w:val="20"/>
              </w:rPr>
            </w:pPr>
            <w:r>
              <w:rPr>
                <w:rFonts w:eastAsia="Times New Roman"/>
                <w:sz w:val="20"/>
                <w:szCs w:val="20"/>
              </w:rPr>
              <w:t> </w:t>
            </w:r>
          </w:p>
        </w:tc>
        <w:tc>
          <w:tcPr>
            <w:tcW w:w="4100" w:type="pct"/>
            <w:tcMar>
              <w:top w:w="5" w:type="dxa"/>
              <w:left w:w="5" w:type="dxa"/>
              <w:bottom w:w="30" w:type="dxa"/>
              <w:right w:w="5" w:type="dxa"/>
            </w:tcMar>
            <w:vAlign w:val="bottom"/>
            <w:hideMark/>
          </w:tcPr>
          <w:p w:rsidR="00000000" w:rsidRDefault="00CE32AE">
            <w:pPr>
              <w:rPr>
                <w:rFonts w:eastAsia="Times New Roman"/>
                <w:sz w:val="20"/>
                <w:szCs w:val="20"/>
              </w:rPr>
            </w:pPr>
            <w:r>
              <w:rPr>
                <w:rFonts w:eastAsia="Times New Roman"/>
                <w:sz w:val="20"/>
                <w:szCs w:val="20"/>
              </w:rPr>
              <w:t> </w:t>
            </w:r>
          </w:p>
        </w:tc>
        <w:tc>
          <w:tcPr>
            <w:tcW w:w="450" w:type="pct"/>
            <w:tcBorders>
              <w:bottom w:val="single" w:sz="12" w:space="0" w:color="000000"/>
            </w:tcBorders>
            <w:tcMar>
              <w:top w:w="5" w:type="dxa"/>
              <w:left w:w="5" w:type="dxa"/>
              <w:bottom w:w="0" w:type="dxa"/>
              <w:right w:w="5" w:type="dxa"/>
            </w:tcMar>
            <w:vAlign w:val="bottom"/>
            <w:hideMark/>
          </w:tcPr>
          <w:p w:rsidR="00000000" w:rsidRDefault="00CE32AE">
            <w:pPr>
              <w:jc w:val="center"/>
              <w:rPr>
                <w:rFonts w:eastAsia="Times New Roman"/>
                <w:sz w:val="20"/>
                <w:szCs w:val="20"/>
              </w:rPr>
            </w:pPr>
            <w:r>
              <w:rPr>
                <w:rFonts w:eastAsia="Times New Roman"/>
                <w:b/>
                <w:bCs/>
                <w:sz w:val="20"/>
                <w:szCs w:val="20"/>
              </w:rPr>
              <w:t>Page</w:t>
            </w:r>
          </w:p>
        </w:tc>
      </w:tr>
      <w:tr w:rsidR="00000000">
        <w:tc>
          <w:tcPr>
            <w:tcW w:w="0" w:type="auto"/>
            <w:gridSpan w:val="2"/>
            <w:shd w:val="clear" w:color="auto" w:fill="CCEEFF"/>
            <w:tcMar>
              <w:top w:w="5" w:type="dxa"/>
              <w:left w:w="5" w:type="dxa"/>
              <w:bottom w:w="5" w:type="dxa"/>
              <w:right w:w="5" w:type="dxa"/>
            </w:tcMar>
            <w:hideMark/>
          </w:tcPr>
          <w:p w:rsidR="00000000" w:rsidRDefault="00CE32AE">
            <w:pPr>
              <w:rPr>
                <w:rFonts w:eastAsia="Times New Roman"/>
                <w:sz w:val="20"/>
                <w:szCs w:val="20"/>
              </w:rPr>
            </w:pPr>
            <w:hyperlink w:anchor="k_001" w:history="1">
              <w:r>
                <w:rPr>
                  <w:rStyle w:val="a4"/>
                  <w:rFonts w:eastAsia="Times New Roman"/>
                  <w:b/>
                  <w:bCs/>
                  <w:sz w:val="20"/>
                  <w:szCs w:val="20"/>
                </w:rPr>
                <w:t>PART I. FINANCIAL INFORMATION</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1.</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2" w:history="1">
              <w:r>
                <w:rPr>
                  <w:rStyle w:val="a4"/>
                  <w:rFonts w:eastAsia="Times New Roman"/>
                  <w:sz w:val="20"/>
                  <w:szCs w:val="20"/>
                </w:rPr>
                <w:t xml:space="preserve">Condensed Financial Statements </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1</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3" w:history="1">
              <w:r>
                <w:rPr>
                  <w:rStyle w:val="a4"/>
                  <w:rFonts w:eastAsia="Times New Roman"/>
                  <w:sz w:val="20"/>
                  <w:szCs w:val="20"/>
                </w:rPr>
                <w:t>Condensed Balance Sheets as of March 31, 2021 (Unaudited) and December 31, 2020</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1</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4" w:history="1">
              <w:r>
                <w:rPr>
                  <w:rStyle w:val="a4"/>
                  <w:rFonts w:eastAsia="Times New Roman"/>
                  <w:sz w:val="20"/>
                  <w:szCs w:val="20"/>
                </w:rPr>
                <w:t>Condensed Statement of Operations for the three months ended March 31, 2021 (Unaudited)</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5" w:history="1">
              <w:r>
                <w:rPr>
                  <w:rStyle w:val="a4"/>
                  <w:rFonts w:eastAsia="Times New Roman"/>
                  <w:sz w:val="20"/>
                  <w:szCs w:val="20"/>
                </w:rPr>
                <w:t>Condensed Statement of Changes in Shareholders’ Equity for the three months ended March 31, 2021 (Un</w:t>
              </w:r>
              <w:r>
                <w:rPr>
                  <w:rStyle w:val="a4"/>
                  <w:rFonts w:eastAsia="Times New Roman"/>
                  <w:sz w:val="20"/>
                  <w:szCs w:val="20"/>
                </w:rPr>
                <w:t>audited)</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3</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6" w:history="1">
              <w:r>
                <w:rPr>
                  <w:rStyle w:val="a4"/>
                  <w:rFonts w:eastAsia="Times New Roman"/>
                  <w:sz w:val="20"/>
                  <w:szCs w:val="20"/>
                </w:rPr>
                <w:t>Condensed Statement of Cash Flows for the three months ended March 31, 2021 (Unaudited)</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4</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7" w:history="1">
              <w:r>
                <w:rPr>
                  <w:rStyle w:val="a4"/>
                  <w:rFonts w:eastAsia="Times New Roman"/>
                  <w:sz w:val="20"/>
                  <w:szCs w:val="20"/>
                </w:rPr>
                <w:t>Notes to Unaudited Condensed Financial Statements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5</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2.</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8" w:history="1">
              <w:r>
                <w:rPr>
                  <w:rStyle w:val="a4"/>
                  <w:rFonts w:eastAsia="Times New Roman"/>
                  <w:sz w:val="20"/>
                  <w:szCs w:val="20"/>
                </w:rPr>
                <w:t>Management’s Discussion and Analysis of Financial Condition and Results of Operations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18</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3.</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09" w:history="1">
              <w:r>
                <w:rPr>
                  <w:rStyle w:val="a4"/>
                  <w:rFonts w:eastAsia="Times New Roman"/>
                  <w:sz w:val="20"/>
                  <w:szCs w:val="20"/>
                </w:rPr>
                <w:t>Quantitative and Qualitativ</w:t>
              </w:r>
              <w:r>
                <w:rPr>
                  <w:rStyle w:val="a4"/>
                  <w:rFonts w:eastAsia="Times New Roman"/>
                  <w:sz w:val="20"/>
                  <w:szCs w:val="20"/>
                </w:rPr>
                <w:t>e Disclosures About Market Risk</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22</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4.</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0" w:history="1">
              <w:r>
                <w:rPr>
                  <w:rStyle w:val="a4"/>
                  <w:rFonts w:eastAsia="Times New Roman"/>
                  <w:sz w:val="20"/>
                  <w:szCs w:val="20"/>
                </w:rPr>
                <w:t>Controls and Procedures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22</w:t>
            </w:r>
          </w:p>
        </w:tc>
      </w:tr>
      <w:tr w:rsidR="00000000">
        <w:tc>
          <w:tcPr>
            <w:tcW w:w="0" w:type="auto"/>
            <w:gridSpan w:val="2"/>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tcMar>
              <w:top w:w="5" w:type="dxa"/>
              <w:left w:w="5" w:type="dxa"/>
              <w:bottom w:w="5" w:type="dxa"/>
              <w:right w:w="5" w:type="dxa"/>
            </w:tcMar>
            <w:hideMark/>
          </w:tcPr>
          <w:p w:rsidR="00000000" w:rsidRDefault="00CE32AE">
            <w:pPr>
              <w:rPr>
                <w:rFonts w:eastAsia="Times New Roman"/>
                <w:sz w:val="20"/>
                <w:szCs w:val="20"/>
              </w:rPr>
            </w:pPr>
            <w:hyperlink w:anchor="k_011" w:history="1">
              <w:r>
                <w:rPr>
                  <w:rStyle w:val="a4"/>
                  <w:rFonts w:eastAsia="Times New Roman"/>
                  <w:b/>
                  <w:bCs/>
                  <w:sz w:val="20"/>
                  <w:szCs w:val="20"/>
                </w:rPr>
                <w:t>PART II. OTHER INFORMATION</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1.</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2" w:history="1">
              <w:r>
                <w:rPr>
                  <w:rStyle w:val="a4"/>
                  <w:rFonts w:eastAsia="Times New Roman"/>
                  <w:sz w:val="20"/>
                  <w:szCs w:val="20"/>
                </w:rPr>
                <w:t>Legal Proceedings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23</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1A.</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3" w:history="1">
              <w:r>
                <w:rPr>
                  <w:rStyle w:val="a4"/>
                  <w:rFonts w:eastAsia="Times New Roman"/>
                  <w:sz w:val="20"/>
                  <w:szCs w:val="20"/>
                </w:rPr>
                <w:t>Risk Factors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23</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lastRenderedPageBreak/>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2.</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4" w:history="1">
              <w:r>
                <w:rPr>
                  <w:rStyle w:val="a4"/>
                  <w:rFonts w:eastAsia="Times New Roman"/>
                  <w:sz w:val="20"/>
                  <w:szCs w:val="20"/>
                </w:rPr>
                <w:t>Unregistered Sales of Equity Securities and Use of Proceeds from Registered Securities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24</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3.</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5" w:history="1">
              <w:r>
                <w:rPr>
                  <w:rStyle w:val="a4"/>
                  <w:rFonts w:eastAsia="Times New Roman"/>
                  <w:sz w:val="20"/>
                  <w:szCs w:val="20"/>
                </w:rPr>
                <w:t>Defaults Upon Senior Securities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24</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4.</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6" w:history="1">
              <w:r>
                <w:rPr>
                  <w:rStyle w:val="a4"/>
                  <w:rFonts w:eastAsia="Times New Roman"/>
                  <w:sz w:val="20"/>
                  <w:szCs w:val="20"/>
                </w:rPr>
                <w:t>Mine Safety Disclosures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24</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5.</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7" w:history="1">
              <w:r>
                <w:rPr>
                  <w:rStyle w:val="a4"/>
                  <w:rFonts w:eastAsia="Times New Roman"/>
                  <w:sz w:val="20"/>
                  <w:szCs w:val="20"/>
                </w:rPr>
                <w:t>Other Information</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24</w:t>
            </w:r>
          </w:p>
        </w:tc>
      </w:tr>
      <w:tr w:rsidR="00000000">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cente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Item 6.</w:t>
            </w:r>
          </w:p>
        </w:tc>
        <w:tc>
          <w:tcPr>
            <w:tcW w:w="0" w:type="auto"/>
            <w:shd w:val="clear" w:color="auto" w:fill="CCEEFF"/>
            <w:tcMar>
              <w:top w:w="5" w:type="dxa"/>
              <w:left w:w="180" w:type="dxa"/>
              <w:bottom w:w="5" w:type="dxa"/>
              <w:right w:w="5" w:type="dxa"/>
            </w:tcMar>
            <w:vAlign w:val="bottom"/>
            <w:hideMark/>
          </w:tcPr>
          <w:p w:rsidR="00000000" w:rsidRDefault="00CE32AE">
            <w:pPr>
              <w:ind w:hanging="180"/>
              <w:rPr>
                <w:rFonts w:eastAsia="Times New Roman"/>
                <w:sz w:val="20"/>
                <w:szCs w:val="20"/>
              </w:rPr>
            </w:pPr>
            <w:hyperlink w:anchor="k_018" w:history="1">
              <w:r>
                <w:rPr>
                  <w:rStyle w:val="a4"/>
                  <w:rFonts w:eastAsia="Times New Roman"/>
                  <w:sz w:val="20"/>
                  <w:szCs w:val="20"/>
                </w:rPr>
                <w:t>Exhibits</w:t>
              </w:r>
            </w:hyperlink>
          </w:p>
        </w:tc>
        <w:tc>
          <w:tcPr>
            <w:tcW w:w="0" w:type="auto"/>
            <w:shd w:val="clear" w:color="auto" w:fill="CCEEFF"/>
            <w:tcMar>
              <w:top w:w="5" w:type="dxa"/>
              <w:left w:w="5" w:type="dxa"/>
              <w:bottom w:w="5" w:type="dxa"/>
              <w:right w:w="5" w:type="dxa"/>
            </w:tcMar>
            <w:vAlign w:val="bottom"/>
            <w:hideMark/>
          </w:tcPr>
          <w:p w:rsidR="00000000" w:rsidRDefault="00CE32AE">
            <w:pPr>
              <w:jc w:val="center"/>
              <w:rPr>
                <w:rFonts w:eastAsia="Times New Roman"/>
                <w:sz w:val="20"/>
                <w:szCs w:val="20"/>
              </w:rPr>
            </w:pPr>
            <w:r>
              <w:rPr>
                <w:rFonts w:eastAsia="Times New Roman"/>
                <w:sz w:val="20"/>
                <w:szCs w:val="20"/>
              </w:rPr>
              <w:t>25</w:t>
            </w:r>
          </w:p>
        </w:tc>
      </w:tr>
    </w:tbl>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divId w:val="1800144166"/>
        <w:rPr>
          <w:sz w:val="20"/>
          <w:szCs w:val="20"/>
        </w:rPr>
      </w:pPr>
      <w:r>
        <w:rPr>
          <w:sz w:val="20"/>
          <w:szCs w:val="20"/>
        </w:rPr>
        <w:t>i</w:t>
      </w:r>
      <w:r>
        <w:rPr>
          <w:sz w:val="20"/>
          <w:szCs w:val="20"/>
        </w:rPr>
        <w:t> </w:t>
      </w:r>
    </w:p>
    <w:p w:rsidR="00000000" w:rsidRDefault="00CE32AE">
      <w:pPr>
        <w:pStyle w:val="a3"/>
        <w:spacing w:before="0" w:beforeAutospacing="0" w:after="0" w:afterAutospacing="0"/>
        <w:divId w:val="298464884"/>
        <w:rPr>
          <w:sz w:val="20"/>
          <w:szCs w:val="20"/>
        </w:rPr>
      </w:pPr>
      <w:r>
        <w:rPr>
          <w:sz w:val="20"/>
          <w:szCs w:val="20"/>
        </w:rPr>
        <w:t> </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rPr>
          <w:sz w:val="20"/>
          <w:szCs w:val="20"/>
        </w:rPr>
      </w:pPr>
      <w:bookmarkStart w:id="0" w:name="k_001"/>
      <w:bookmarkEnd w:id="0"/>
      <w:r>
        <w:rPr>
          <w:b/>
          <w:bCs/>
          <w:sz w:val="20"/>
          <w:szCs w:val="20"/>
        </w:rPr>
        <w:t xml:space="preserve">PART </w:t>
      </w:r>
      <w:r>
        <w:rPr>
          <w:b/>
          <w:bCs/>
          <w:sz w:val="20"/>
          <w:szCs w:val="20"/>
        </w:rPr>
        <w:t>I. FINANCIAL INFORMATION</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rPr>
          <w:sz w:val="20"/>
          <w:szCs w:val="20"/>
        </w:rPr>
      </w:pPr>
      <w:bookmarkStart w:id="1" w:name="k_002"/>
      <w:bookmarkEnd w:id="1"/>
      <w:r>
        <w:rPr>
          <w:b/>
          <w:bCs/>
          <w:sz w:val="20"/>
          <w:szCs w:val="20"/>
        </w:rPr>
        <w:t>Item 1.</w:t>
      </w:r>
      <w:r>
        <w:rPr>
          <w:sz w:val="20"/>
          <w:szCs w:val="20"/>
        </w:rPr>
        <w:t xml:space="preserve"> </w:t>
      </w:r>
      <w:r>
        <w:rPr>
          <w:b/>
          <w:bCs/>
          <w:sz w:val="20"/>
          <w:szCs w:val="20"/>
        </w:rPr>
        <w:t>Condensed Financial Statements</w:t>
      </w:r>
    </w:p>
    <w:p w:rsidR="00000000" w:rsidRDefault="00CE32AE">
      <w:pPr>
        <w:pStyle w:val="a3"/>
        <w:spacing w:before="0" w:beforeAutospacing="0" w:after="0" w:afterAutospacing="0"/>
        <w:jc w:val="center"/>
        <w:rPr>
          <w:sz w:val="20"/>
          <w:szCs w:val="20"/>
        </w:rPr>
      </w:pPr>
      <w:r>
        <w:rPr>
          <w:b/>
          <w:bCs/>
          <w:sz w:val="20"/>
          <w:szCs w:val="20"/>
        </w:rPr>
        <w:t> </w:t>
      </w:r>
    </w:p>
    <w:p w:rsidR="00000000" w:rsidRDefault="00CE32AE">
      <w:pPr>
        <w:pStyle w:val="a3"/>
        <w:spacing w:before="0" w:beforeAutospacing="0" w:after="0" w:afterAutospacing="0"/>
        <w:jc w:val="center"/>
        <w:rPr>
          <w:sz w:val="20"/>
          <w:szCs w:val="20"/>
        </w:rPr>
      </w:pPr>
      <w:bookmarkStart w:id="2" w:name="k_003"/>
      <w:bookmarkEnd w:id="2"/>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CONDENSED BALANCE SHEETS</w:t>
      </w:r>
    </w:p>
    <w:p w:rsidR="00000000" w:rsidRDefault="00CE32AE">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108"/>
        <w:gridCol w:w="50"/>
        <w:gridCol w:w="100"/>
        <w:gridCol w:w="1000"/>
        <w:gridCol w:w="50"/>
        <w:gridCol w:w="50"/>
        <w:gridCol w:w="101"/>
        <w:gridCol w:w="780"/>
        <w:gridCol w:w="67"/>
      </w:tblGrid>
      <w:tr w:rsidR="00000000">
        <w:tc>
          <w:tcPr>
            <w:tcW w:w="0" w:type="auto"/>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 </w:t>
            </w:r>
          </w:p>
        </w:tc>
        <w:tc>
          <w:tcPr>
            <w:tcW w:w="0" w:type="auto"/>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Assets:</w:t>
            </w:r>
          </w:p>
        </w:tc>
        <w:tc>
          <w:tcPr>
            <w:tcW w:w="0" w:type="auto"/>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Current assets:</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6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384,660</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CE32AE">
            <w:pPr>
              <w:ind w:hanging="180"/>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1,207,326</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17,000</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1,591,986</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17,000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Deferred offering costs associated with proposed public offering</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CE32AE">
            <w:pPr>
              <w:ind w:hanging="180"/>
              <w:rPr>
                <w:rFonts w:eastAsia="Times New Roman"/>
                <w:sz w:val="20"/>
                <w:szCs w:val="20"/>
              </w:rPr>
            </w:pPr>
            <w:r>
              <w:rPr>
                <w:rFonts w:eastAsia="Times New Roman"/>
                <w:sz w:val="20"/>
                <w:szCs w:val="20"/>
              </w:rPr>
              <w:t>Investments held in Trust Account</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325,000,534</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b/>
                <w:bCs/>
                <w:sz w:val="20"/>
                <w:szCs w:val="20"/>
              </w:rPr>
            </w:pPr>
            <w:r>
              <w:rPr>
                <w:rFonts w:eastAsia="Times New Roman"/>
                <w:b/>
                <w:bCs/>
                <w:sz w:val="20"/>
                <w:szCs w:val="20"/>
              </w:rPr>
              <w:t>326,592,520</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b/>
                <w:bCs/>
                <w:sz w:val="20"/>
                <w:szCs w:val="20"/>
              </w:rPr>
            </w:pPr>
            <w:r>
              <w:rPr>
                <w:rFonts w:eastAsia="Times New Roman"/>
                <w:b/>
                <w:bCs/>
                <w:sz w:val="20"/>
                <w:szCs w:val="20"/>
              </w:rPr>
              <w:t>42,000</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Liabilities and Shareholders’ Equity:</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370,000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30" w:type="dxa"/>
              <w:right w:w="0" w:type="dxa"/>
            </w:tcMar>
            <w:vAlign w:val="bottom"/>
            <w:hideMark/>
          </w:tcPr>
          <w:p w:rsidR="00000000" w:rsidRDefault="00CE32AE">
            <w:pPr>
              <w:ind w:hanging="180"/>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142,984</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25,000</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Total current liabilities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512,984</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Derivative warrant liabilities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14,405,000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CE32AE">
            <w:pPr>
              <w:ind w:hanging="180"/>
              <w:rPr>
                <w:rFonts w:eastAsia="Times New Roman"/>
                <w:sz w:val="20"/>
                <w:szCs w:val="20"/>
              </w:rPr>
            </w:pPr>
            <w:r>
              <w:rPr>
                <w:rFonts w:eastAsia="Times New Roman"/>
                <w:sz w:val="20"/>
                <w:szCs w:val="20"/>
              </w:rPr>
              <w:t>Deferred underwriting commissions</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11,375,000</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26,292,984</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Class A ordinary shares, $0.0001 par value; 200,000,000 shares authorized, 29,529,953 and -0- shares subject to possible redemption at $10.00 per share as of March 31, 2021 and December 31, 2020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295,299,530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Shareholders’ Equity:</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Preference shares, $0.0001 par value</w:t>
            </w:r>
            <w:r>
              <w:rPr>
                <w:rFonts w:eastAsia="Times New Roman"/>
                <w:sz w:val="20"/>
                <w:szCs w:val="20"/>
              </w:rPr>
              <w:t>;</w:t>
            </w:r>
            <w:r>
              <w:rPr>
                <w:rFonts w:eastAsia="Times New Roman"/>
                <w:sz w:val="20"/>
                <w:szCs w:val="20"/>
              </w:rPr>
              <w:t xml:space="preserve"> 1,000,000 shares authorized</w:t>
            </w:r>
            <w:r>
              <w:rPr>
                <w:rFonts w:eastAsia="Times New Roman"/>
                <w:sz w:val="20"/>
                <w:szCs w:val="20"/>
              </w:rPr>
              <w:t>;</w:t>
            </w:r>
            <w:r>
              <w:rPr>
                <w:rFonts w:eastAsia="Times New Roman"/>
                <w:sz w:val="20"/>
                <w:szCs w:val="20"/>
              </w:rPr>
              <w:t xml:space="preserve"> none issued and outstanding</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Class A ordinary shares, $0.0001 par value; 300,000,000 shares authorized; 2,970,047 and -0- shares issued and outstanding (excluding 29,529,953 shares subject to possible redemption) as of March 31, 2021 and December 31, 2020 respectively</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lastRenderedPageBreak/>
              <w:t>Class B ordinary shares, $0.0001 par value; 30,000,000 shares authorized; 8,625,000 shares issued and outstanding as of March 31, 2021 and December 30, 2020 (1)</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863</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863</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3,936,939</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24,137</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CE32AE">
            <w:pPr>
              <w:ind w:hanging="180"/>
              <w:rPr>
                <w:rFonts w:eastAsia="Times New Roman"/>
                <w:sz w:val="20"/>
                <w:szCs w:val="20"/>
              </w:rPr>
            </w:pPr>
            <w:r>
              <w:rPr>
                <w:rFonts w:eastAsia="Times New Roman"/>
                <w:sz w:val="20"/>
                <w:szCs w:val="20"/>
              </w:rPr>
              <w:t>Retained earnings (accumulated deficit)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1,061,908</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(8,000</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3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Total shareholders’ equity</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5,000,006</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17,000</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Total Liabilities and Shareholders’ Equity</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b/>
                <w:bCs/>
                <w:sz w:val="20"/>
                <w:szCs w:val="20"/>
              </w:rPr>
            </w:pPr>
            <w:r>
              <w:rPr>
                <w:rFonts w:eastAsia="Times New Roman"/>
                <w:b/>
                <w:bCs/>
                <w:sz w:val="20"/>
                <w:szCs w:val="20"/>
              </w:rPr>
              <w:t>326,592,520</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b/>
                <w:bCs/>
                <w:sz w:val="20"/>
                <w:szCs w:val="20"/>
              </w:rPr>
            </w:pPr>
            <w:r>
              <w:rPr>
                <w:rFonts w:eastAsia="Times New Roman"/>
                <w:b/>
                <w:bCs/>
                <w:sz w:val="20"/>
                <w:szCs w:val="20"/>
              </w:rPr>
              <w:t>42,000</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bl>
    <w:p w:rsidR="00000000" w:rsidRDefault="00CE32A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CE32AE">
            <w:pPr>
              <w:rPr>
                <w:sz w:val="20"/>
                <w:szCs w:val="20"/>
              </w:rPr>
            </w:pPr>
          </w:p>
        </w:tc>
        <w:tc>
          <w:tcPr>
            <w:tcW w:w="360" w:type="dxa"/>
            <w:hideMark/>
          </w:tcPr>
          <w:p w:rsidR="00000000" w:rsidRDefault="00CE32AE">
            <w:pPr>
              <w:rPr>
                <w:rFonts w:eastAsia="Times New Roman"/>
                <w:sz w:val="20"/>
                <w:szCs w:val="20"/>
              </w:rPr>
            </w:pPr>
            <w:r>
              <w:rPr>
                <w:rFonts w:eastAsia="Times New Roman"/>
                <w:i/>
                <w:iCs/>
                <w:sz w:val="20"/>
                <w:szCs w:val="20"/>
              </w:rPr>
              <w:t>(1)</w:t>
            </w:r>
          </w:p>
        </w:tc>
        <w:tc>
          <w:tcPr>
            <w:tcW w:w="0" w:type="auto"/>
            <w:hideMark/>
          </w:tcPr>
          <w:p w:rsidR="00000000" w:rsidRDefault="00CE32AE">
            <w:pPr>
              <w:jc w:val="both"/>
              <w:rPr>
                <w:rFonts w:eastAsia="Times New Roman"/>
                <w:sz w:val="20"/>
                <w:szCs w:val="20"/>
              </w:rPr>
            </w:pPr>
            <w:r>
              <w:rPr>
                <w:rFonts w:eastAsia="Times New Roman"/>
                <w:i/>
                <w:iCs/>
                <w:sz w:val="20"/>
                <w:szCs w:val="20"/>
              </w:rPr>
              <w:t>This number includes up to 1,125,000 Class B ordinary shares subject to forfeiture if the over-allotment option is not exercised in full or in part by the underwriters. On February 19, 2021, the underwriters partially exercised the over-allotment option to</w:t>
            </w:r>
            <w:r>
              <w:rPr>
                <w:rFonts w:eastAsia="Times New Roman"/>
                <w:i/>
                <w:iCs/>
                <w:sz w:val="20"/>
                <w:szCs w:val="20"/>
              </w:rPr>
              <w:t xml:space="preserve"> purchase an additional 2,500,000 Units; thus, only 500,000 Class B ordinary shares remained subject to forfeiture as of March 31, 2021. On April 2, 2021, the over-allotment option on the remaining Units expired unexercised by the underwriters; thus, 500,0</w:t>
            </w:r>
            <w:r>
              <w:rPr>
                <w:rFonts w:eastAsia="Times New Roman"/>
                <w:i/>
                <w:iCs/>
                <w:sz w:val="20"/>
                <w:szCs w:val="20"/>
              </w:rPr>
              <w:t>00 Class B ordinary shares were subsequently forfeited. (See note 4)</w:t>
            </w:r>
          </w:p>
        </w:tc>
      </w:tr>
    </w:tbl>
    <w:p w:rsidR="00000000" w:rsidRDefault="00CE32AE">
      <w:pPr>
        <w:pStyle w:val="a3"/>
        <w:spacing w:before="0" w:beforeAutospacing="0" w:after="0" w:afterAutospacing="0"/>
        <w:jc w:val="center"/>
        <w:rPr>
          <w:sz w:val="20"/>
          <w:szCs w:val="20"/>
        </w:rPr>
      </w:pPr>
      <w:r>
        <w:rPr>
          <w:i/>
          <w:iCs/>
          <w:sz w:val="20"/>
          <w:szCs w:val="20"/>
        </w:rPr>
        <w:t> </w:t>
      </w:r>
    </w:p>
    <w:p w:rsidR="00000000" w:rsidRDefault="00CE32AE">
      <w:pPr>
        <w:pStyle w:val="a3"/>
        <w:spacing w:before="0" w:beforeAutospacing="0" w:after="0" w:afterAutospacing="0"/>
        <w:jc w:val="center"/>
        <w:rPr>
          <w:sz w:val="20"/>
          <w:szCs w:val="20"/>
        </w:rPr>
      </w:pPr>
      <w:r>
        <w:rPr>
          <w:i/>
          <w:iCs/>
          <w:sz w:val="20"/>
          <w:szCs w:val="20"/>
        </w:rPr>
        <w:t>The accompanying notes are an integral part of these unaudited condensed financial statements.</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divId w:val="1961035147"/>
        <w:rPr>
          <w:sz w:val="20"/>
          <w:szCs w:val="20"/>
        </w:rPr>
      </w:pPr>
      <w:r>
        <w:rPr>
          <w:sz w:val="20"/>
          <w:szCs w:val="20"/>
        </w:rPr>
        <w:t>1</w:t>
      </w:r>
    </w:p>
    <w:p w:rsidR="00000000" w:rsidRDefault="00CE32AE">
      <w:pPr>
        <w:pStyle w:val="a3"/>
        <w:spacing w:before="0" w:beforeAutospacing="0" w:after="0" w:afterAutospacing="0"/>
        <w:divId w:val="472333326"/>
        <w:rPr>
          <w:sz w:val="20"/>
          <w:szCs w:val="20"/>
        </w:rPr>
      </w:pPr>
      <w:r>
        <w:rPr>
          <w:sz w:val="20"/>
          <w:szCs w:val="20"/>
        </w:rPr>
        <w:t> </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center"/>
        <w:rPr>
          <w:sz w:val="20"/>
          <w:szCs w:val="20"/>
        </w:rPr>
      </w:pPr>
      <w:bookmarkStart w:id="3" w:name="k_004"/>
      <w:bookmarkEnd w:id="3"/>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 xml:space="preserve">CONDENSED </w:t>
      </w:r>
      <w:r>
        <w:rPr>
          <w:b/>
          <w:bCs/>
          <w:sz w:val="20"/>
          <w:szCs w:val="20"/>
        </w:rPr>
        <w:t>STATEMENT OF OPERATIONS</w:t>
      </w:r>
    </w:p>
    <w:p w:rsidR="00000000" w:rsidRDefault="00CE32AE">
      <w:pPr>
        <w:pStyle w:val="a3"/>
        <w:spacing w:before="0" w:beforeAutospacing="0" w:after="0" w:afterAutospacing="0"/>
        <w:jc w:val="center"/>
        <w:rPr>
          <w:sz w:val="20"/>
          <w:szCs w:val="20"/>
        </w:rPr>
      </w:pPr>
      <w:r>
        <w:rPr>
          <w:b/>
          <w:bCs/>
          <w:sz w:val="20"/>
          <w:szCs w:val="20"/>
        </w:rPr>
        <w:t>For The Three Months Ended March 31, 2021 (Unaudited)</w:t>
      </w:r>
    </w:p>
    <w:p w:rsidR="00000000" w:rsidRDefault="00CE32AE">
      <w:pPr>
        <w:pStyle w:val="a3"/>
        <w:spacing w:before="0" w:beforeAutospacing="0" w:after="0" w:afterAutospacing="0"/>
        <w:jc w:val="center"/>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tc>
          <w:tcPr>
            <w:tcW w:w="4400" w:type="pct"/>
            <w:shd w:val="clear" w:color="auto" w:fill="CCEEFF"/>
            <w:vAlign w:val="bottom"/>
            <w:hideMark/>
          </w:tcPr>
          <w:p w:rsidR="00000000" w:rsidRDefault="00CE32AE">
            <w:pPr>
              <w:rPr>
                <w:rFonts w:eastAsia="Times New Roman"/>
                <w:sz w:val="20"/>
                <w:szCs w:val="20"/>
              </w:rPr>
            </w:pPr>
            <w:r>
              <w:rPr>
                <w:rFonts w:eastAsia="Times New Roman"/>
                <w:sz w:val="20"/>
                <w:szCs w:val="20"/>
              </w:rPr>
              <w:t>General and administrative expenses</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270,296</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General and administrative expenses - related party</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20,000</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(290,296</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Change in fair value of derivative warrant liabilities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1,935,000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Financing costs - derivative warrant liabilities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(575,330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Income from investments held in Trust Account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534</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Net income</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1,069,908</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Weighted average Class A ordinary shares outstanding, basic and diluted</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32,500,000</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Basic and diluted net income per Class A ordinary share</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Weighted average Class B ordinary shares outstanding, basic and diluted (1)</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7,784,722</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Basic and diluted net income per Class B ordinary share</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0.14</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CE32AE">
            <w:pPr>
              <w:pStyle w:val="a3"/>
              <w:rPr>
                <w:sz w:val="20"/>
                <w:szCs w:val="20"/>
              </w:rPr>
            </w:pPr>
          </w:p>
        </w:tc>
        <w:tc>
          <w:tcPr>
            <w:tcW w:w="360" w:type="dxa"/>
            <w:hideMark/>
          </w:tcPr>
          <w:p w:rsidR="00000000" w:rsidRDefault="00CE32AE">
            <w:pPr>
              <w:rPr>
                <w:rFonts w:eastAsia="Times New Roman"/>
                <w:sz w:val="20"/>
                <w:szCs w:val="20"/>
              </w:rPr>
            </w:pPr>
            <w:r>
              <w:rPr>
                <w:rFonts w:eastAsia="Times New Roman"/>
                <w:i/>
                <w:iCs/>
                <w:sz w:val="20"/>
                <w:szCs w:val="20"/>
              </w:rPr>
              <w:t>(1)</w:t>
            </w:r>
          </w:p>
        </w:tc>
        <w:tc>
          <w:tcPr>
            <w:tcW w:w="0" w:type="auto"/>
            <w:hideMark/>
          </w:tcPr>
          <w:p w:rsidR="00000000" w:rsidRDefault="00CE32AE">
            <w:pPr>
              <w:jc w:val="both"/>
              <w:rPr>
                <w:rFonts w:eastAsia="Times New Roman"/>
                <w:sz w:val="20"/>
                <w:szCs w:val="20"/>
              </w:rPr>
            </w:pPr>
            <w:r>
              <w:rPr>
                <w:rFonts w:eastAsia="Times New Roman"/>
                <w:i/>
                <w:iCs/>
                <w:sz w:val="20"/>
                <w:szCs w:val="20"/>
              </w:rPr>
              <w:t>This number includes up to 1,125,000 Class B ordinary shares subject to forfeitu</w:t>
            </w:r>
            <w:r>
              <w:rPr>
                <w:rFonts w:eastAsia="Times New Roman"/>
                <w:i/>
                <w:iCs/>
                <w:sz w:val="20"/>
                <w:szCs w:val="20"/>
              </w:rPr>
              <w:t>re if the over-allotment option is not exercised in full or in part by the underwriters. On February 19, 2021, the underwriters partially exercised the over-allotment option to purchase an additional 2,500,000 Units; thus, only 500,000 Class B ordinary sha</w:t>
            </w:r>
            <w:r>
              <w:rPr>
                <w:rFonts w:eastAsia="Times New Roman"/>
                <w:i/>
                <w:iCs/>
                <w:sz w:val="20"/>
                <w:szCs w:val="20"/>
              </w:rPr>
              <w:t>res remained subject to forfeiture as of March 31, 2021. On April 2, 2021, the over-allotment option on the remaining Units expired unexercised by the underwriters; thus, 500,000 Class B ordinary shares were subsequently forfeited. (See note 4)</w:t>
            </w:r>
          </w:p>
        </w:tc>
      </w:tr>
    </w:tbl>
    <w:p w:rsidR="00000000" w:rsidRDefault="00CE32AE">
      <w:pPr>
        <w:pStyle w:val="a3"/>
        <w:spacing w:before="0" w:beforeAutospacing="0" w:after="0" w:afterAutospacing="0"/>
        <w:jc w:val="center"/>
        <w:rPr>
          <w:sz w:val="20"/>
          <w:szCs w:val="20"/>
        </w:rPr>
      </w:pPr>
      <w:r>
        <w:rPr>
          <w:i/>
          <w:iCs/>
          <w:sz w:val="20"/>
          <w:szCs w:val="20"/>
        </w:rPr>
        <w:t> </w:t>
      </w:r>
    </w:p>
    <w:p w:rsidR="00000000" w:rsidRDefault="00CE32AE">
      <w:pPr>
        <w:pStyle w:val="a3"/>
        <w:spacing w:before="0" w:beforeAutospacing="0" w:after="0" w:afterAutospacing="0"/>
        <w:jc w:val="center"/>
        <w:rPr>
          <w:sz w:val="20"/>
          <w:szCs w:val="20"/>
        </w:rPr>
      </w:pPr>
      <w:r>
        <w:rPr>
          <w:i/>
          <w:iCs/>
          <w:sz w:val="20"/>
          <w:szCs w:val="20"/>
        </w:rPr>
        <w:t xml:space="preserve">The </w:t>
      </w:r>
      <w:r>
        <w:rPr>
          <w:i/>
          <w:iCs/>
          <w:sz w:val="20"/>
          <w:szCs w:val="20"/>
        </w:rPr>
        <w:t>accompanying notes are an integral part of these unaudited condensed financial statements.</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center"/>
        <w:divId w:val="1874658967"/>
        <w:rPr>
          <w:sz w:val="20"/>
          <w:szCs w:val="20"/>
        </w:rPr>
      </w:pPr>
      <w:r>
        <w:rPr>
          <w:sz w:val="20"/>
          <w:szCs w:val="20"/>
        </w:rPr>
        <w:t>2</w:t>
      </w:r>
    </w:p>
    <w:p w:rsidR="00000000" w:rsidRDefault="00CE32AE">
      <w:pPr>
        <w:pStyle w:val="a3"/>
        <w:spacing w:before="0" w:beforeAutospacing="0" w:after="0" w:afterAutospacing="0"/>
        <w:divId w:val="1760591551"/>
        <w:rPr>
          <w:sz w:val="20"/>
          <w:szCs w:val="20"/>
        </w:rPr>
      </w:pPr>
      <w:r>
        <w:rPr>
          <w:sz w:val="20"/>
          <w:szCs w:val="20"/>
        </w:rPr>
        <w:t> </w:t>
      </w:r>
    </w:p>
    <w:p w:rsidR="00000000" w:rsidRDefault="00CE32AE">
      <w:pPr>
        <w:pStyle w:val="a3"/>
        <w:spacing w:before="0" w:beforeAutospacing="0" w:after="0" w:afterAutospacing="0"/>
        <w:rPr>
          <w:sz w:val="20"/>
          <w:szCs w:val="20"/>
        </w:rPr>
      </w:pPr>
      <w:r>
        <w:rPr>
          <w:b/>
          <w:bCs/>
          <w:sz w:val="20"/>
          <w:szCs w:val="20"/>
        </w:rPr>
        <w:t> </w:t>
      </w:r>
    </w:p>
    <w:p w:rsidR="00000000" w:rsidRDefault="00CE32AE">
      <w:pPr>
        <w:pStyle w:val="a3"/>
        <w:spacing w:before="0" w:beforeAutospacing="0" w:after="0" w:afterAutospacing="0"/>
        <w:jc w:val="center"/>
        <w:rPr>
          <w:sz w:val="20"/>
          <w:szCs w:val="20"/>
        </w:rPr>
      </w:pPr>
      <w:bookmarkStart w:id="4" w:name="k_005"/>
      <w:bookmarkEnd w:id="4"/>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CONDENSED STATEMENT OF CHANGES IN SHAREHOLDERS’ EQUITY</w:t>
      </w:r>
    </w:p>
    <w:p w:rsidR="00000000" w:rsidRDefault="00CE32AE">
      <w:pPr>
        <w:pStyle w:val="a3"/>
        <w:spacing w:before="0" w:beforeAutospacing="0" w:after="0" w:afterAutospacing="0"/>
        <w:jc w:val="center"/>
        <w:rPr>
          <w:sz w:val="20"/>
          <w:szCs w:val="20"/>
        </w:rPr>
      </w:pPr>
      <w:r>
        <w:rPr>
          <w:b/>
          <w:bCs/>
          <w:sz w:val="20"/>
          <w:szCs w:val="20"/>
        </w:rPr>
        <w:t>For The Three Months Ended March 31, 2021 (Unaudited)</w:t>
      </w:r>
    </w:p>
    <w:p w:rsidR="00000000" w:rsidRDefault="00CE32AE">
      <w:pPr>
        <w:pStyle w:val="a3"/>
        <w:spacing w:before="0" w:beforeAutospacing="0" w:after="0" w:afterAutospacing="0"/>
        <w:jc w:val="center"/>
        <w:rPr>
          <w:sz w:val="20"/>
          <w:szCs w:val="20"/>
        </w:rPr>
      </w:pPr>
      <w:r>
        <w:rPr>
          <w:i/>
          <w:iCs/>
          <w:sz w:val="20"/>
          <w:szCs w:val="20"/>
        </w:rPr>
        <w:lastRenderedPageBreak/>
        <w:t> </w:t>
      </w:r>
    </w:p>
    <w:tbl>
      <w:tblPr>
        <w:tblW w:w="5000" w:type="pct"/>
        <w:tblCellMar>
          <w:left w:w="0" w:type="dxa"/>
          <w:right w:w="0" w:type="dxa"/>
        </w:tblCellMar>
        <w:tblLook w:val="04A0" w:firstRow="1" w:lastRow="0" w:firstColumn="1" w:lastColumn="0" w:noHBand="0" w:noVBand="1"/>
      </w:tblPr>
      <w:tblGrid>
        <w:gridCol w:w="1214"/>
        <w:gridCol w:w="50"/>
        <w:gridCol w:w="50"/>
        <w:gridCol w:w="967"/>
        <w:gridCol w:w="67"/>
        <w:gridCol w:w="50"/>
        <w:gridCol w:w="101"/>
        <w:gridCol w:w="600"/>
        <w:gridCol w:w="67"/>
        <w:gridCol w:w="50"/>
        <w:gridCol w:w="50"/>
        <w:gridCol w:w="800"/>
        <w:gridCol w:w="50"/>
        <w:gridCol w:w="50"/>
        <w:gridCol w:w="101"/>
        <w:gridCol w:w="600"/>
        <w:gridCol w:w="50"/>
        <w:gridCol w:w="50"/>
        <w:gridCol w:w="100"/>
        <w:gridCol w:w="1067"/>
        <w:gridCol w:w="67"/>
        <w:gridCol w:w="50"/>
        <w:gridCol w:w="172"/>
        <w:gridCol w:w="1028"/>
        <w:gridCol w:w="67"/>
        <w:gridCol w:w="50"/>
        <w:gridCol w:w="172"/>
        <w:gridCol w:w="1067"/>
        <w:gridCol w:w="67"/>
      </w:tblGrid>
      <w:tr w:rsidR="00000000">
        <w:tc>
          <w:tcPr>
            <w:tcW w:w="0" w:type="auto"/>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b/>
                <w:bCs/>
                <w:sz w:val="20"/>
                <w:szCs w:val="20"/>
              </w:rPr>
            </w:pPr>
            <w:r>
              <w:rPr>
                <w:rFonts w:eastAsia="Times New Roman"/>
                <w:b/>
                <w:bCs/>
                <w:sz w:val="20"/>
                <w:szCs w:val="20"/>
              </w:rPr>
              <w:t>Retained</w:t>
            </w:r>
          </w:p>
        </w:tc>
        <w:tc>
          <w:tcPr>
            <w:tcW w:w="0" w:type="auto"/>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CE32AE">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CE32AE">
            <w:pPr>
              <w:jc w:val="center"/>
              <w:rPr>
                <w:rFonts w:eastAsia="Times New Roman"/>
                <w:b/>
                <w:bCs/>
                <w:sz w:val="20"/>
                <w:szCs w:val="20"/>
              </w:rPr>
            </w:pPr>
            <w:r>
              <w:rPr>
                <w:rFonts w:eastAsia="Times New Roman"/>
                <w:b/>
                <w:bCs/>
                <w:sz w:val="20"/>
                <w:szCs w:val="20"/>
              </w:rPr>
              <w:t>Earnings</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CE32AE">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Class B (1)</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CE32AE">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CE32AE">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CE32AE">
            <w:pPr>
              <w:jc w:val="center"/>
              <w:rPr>
                <w:rFonts w:eastAsia="Times New Roman"/>
                <w:b/>
                <w:bCs/>
                <w:sz w:val="20"/>
                <w:szCs w:val="20"/>
              </w:rPr>
            </w:pPr>
            <w:r>
              <w:rPr>
                <w:rFonts w:eastAsia="Times New Roman"/>
                <w:b/>
                <w:bCs/>
                <w:sz w:val="20"/>
                <w:szCs w:val="20"/>
              </w:rPr>
              <w:t>Shareholders’</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r w:rsidR="00CE32AE">
        <w:tc>
          <w:tcPr>
            <w:tcW w:w="1850" w:type="pct"/>
            <w:shd w:val="clear" w:color="auto" w:fill="CCEEFF"/>
            <w:tcMar>
              <w:top w:w="0" w:type="dxa"/>
              <w:left w:w="180" w:type="dxa"/>
              <w:bottom w:w="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Balance -  December 31, 2020</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8,625,000</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863</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24,137</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(8,000</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17,000</w:t>
            </w:r>
          </w:p>
        </w:tc>
        <w:tc>
          <w:tcPr>
            <w:tcW w:w="50" w:type="pct"/>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r>
      <w:tr w:rsidR="00CE32AE">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Sale of units in initial public offering, net of fair value of public warrant liabilities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32,500,000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3,249</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315,116,750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315,119,999</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CE32AE">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Excess cash received over the fair value of the private warrants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2,040,000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2,040,000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CE32AE">
        <w:tc>
          <w:tcPr>
            <w:tcW w:w="0" w:type="auto"/>
            <w:shd w:val="clear" w:color="auto" w:fill="FFFF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Offering costs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(17,947,371</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(17,947,371</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r>
      <w:tr w:rsidR="00CE32AE">
        <w:tc>
          <w:tcPr>
            <w:tcW w:w="0" w:type="auto"/>
            <w:shd w:val="clear" w:color="auto" w:fill="CCEEFF"/>
            <w:tcMar>
              <w:top w:w="0" w:type="dxa"/>
              <w:left w:w="180" w:type="dxa"/>
              <w:bottom w:w="0" w:type="dxa"/>
              <w:right w:w="0" w:type="dxa"/>
            </w:tcMar>
            <w:vAlign w:val="bottom"/>
            <w:hideMark/>
          </w:tcPr>
          <w:p w:rsidR="00000000" w:rsidRDefault="00CE32AE">
            <w:pPr>
              <w:ind w:hanging="180"/>
              <w:rPr>
                <w:rFonts w:eastAsia="Times New Roman"/>
                <w:sz w:val="20"/>
                <w:szCs w:val="20"/>
              </w:rPr>
            </w:pPr>
            <w:r>
              <w:rPr>
                <w:rFonts w:eastAsia="Times New Roman"/>
                <w:sz w:val="20"/>
                <w:szCs w:val="20"/>
              </w:rPr>
              <w:t>Class A ordinary shares subject to possible redemption</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(29,529,953</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(2,953</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(295,296,577</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(295,299,530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CE32AE">
        <w:tc>
          <w:tcPr>
            <w:tcW w:w="0" w:type="auto"/>
            <w:shd w:val="clear" w:color="auto" w:fill="FFFFFF"/>
            <w:tcMar>
              <w:top w:w="0" w:type="dxa"/>
              <w:left w:w="180" w:type="dxa"/>
              <w:bottom w:w="30" w:type="dxa"/>
              <w:right w:w="0" w:type="dxa"/>
            </w:tcMar>
            <w:vAlign w:val="bottom"/>
            <w:hideMark/>
          </w:tcPr>
          <w:p w:rsidR="00000000" w:rsidRDefault="00CE32AE">
            <w:pPr>
              <w:ind w:hanging="180"/>
              <w:rPr>
                <w:rFonts w:eastAsia="Times New Roman"/>
                <w:sz w:val="20"/>
                <w:szCs w:val="20"/>
              </w:rPr>
            </w:pPr>
            <w:r>
              <w:rPr>
                <w:rFonts w:eastAsia="Times New Roman"/>
                <w:sz w:val="20"/>
                <w:szCs w:val="20"/>
              </w:rPr>
              <w:t>Net income</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1,069,908</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1,069,908</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CE32AE">
        <w:tc>
          <w:tcPr>
            <w:tcW w:w="0" w:type="auto"/>
            <w:shd w:val="clear" w:color="auto" w:fill="CCEEFF"/>
            <w:tcMar>
              <w:top w:w="0" w:type="dxa"/>
              <w:left w:w="180" w:type="dxa"/>
              <w:bottom w:w="80" w:type="dxa"/>
              <w:right w:w="0" w:type="dxa"/>
            </w:tcMar>
            <w:vAlign w:val="bottom"/>
            <w:hideMark/>
          </w:tcPr>
          <w:p w:rsidR="00000000" w:rsidRDefault="00CE32AE">
            <w:pPr>
              <w:ind w:hanging="180"/>
              <w:rPr>
                <w:rFonts w:eastAsia="Times New Roman"/>
                <w:b/>
                <w:bCs/>
                <w:sz w:val="20"/>
                <w:szCs w:val="20"/>
              </w:rPr>
            </w:pPr>
            <w:r>
              <w:rPr>
                <w:rFonts w:eastAsia="Times New Roman"/>
                <w:b/>
                <w:bCs/>
                <w:sz w:val="20"/>
                <w:szCs w:val="20"/>
              </w:rPr>
              <w:t>Balance -  </w:t>
            </w:r>
            <w:r>
              <w:rPr>
                <w:rFonts w:eastAsia="Times New Roman"/>
                <w:b/>
                <w:bCs/>
                <w:sz w:val="20"/>
                <w:szCs w:val="20"/>
              </w:rPr>
              <w:t>March 31, 2021 (Unaudited)</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2,970,047</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296</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8,625,000</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863</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3,936,939</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1,061,908</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5,000,006</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CE32AE">
            <w:pPr>
              <w:rPr>
                <w:sz w:val="20"/>
                <w:szCs w:val="20"/>
              </w:rPr>
            </w:pPr>
          </w:p>
        </w:tc>
        <w:tc>
          <w:tcPr>
            <w:tcW w:w="360" w:type="dxa"/>
            <w:hideMark/>
          </w:tcPr>
          <w:p w:rsidR="00000000" w:rsidRDefault="00CE32AE">
            <w:pPr>
              <w:rPr>
                <w:rFonts w:eastAsia="Times New Roman"/>
                <w:sz w:val="20"/>
                <w:szCs w:val="20"/>
              </w:rPr>
            </w:pPr>
            <w:r>
              <w:rPr>
                <w:rFonts w:eastAsia="Times New Roman"/>
                <w:i/>
                <w:iCs/>
                <w:sz w:val="20"/>
                <w:szCs w:val="20"/>
              </w:rPr>
              <w:t>(1)</w:t>
            </w:r>
          </w:p>
        </w:tc>
        <w:tc>
          <w:tcPr>
            <w:tcW w:w="0" w:type="auto"/>
            <w:hideMark/>
          </w:tcPr>
          <w:p w:rsidR="00000000" w:rsidRDefault="00CE32AE">
            <w:pPr>
              <w:jc w:val="both"/>
              <w:rPr>
                <w:rFonts w:eastAsia="Times New Roman"/>
                <w:sz w:val="20"/>
                <w:szCs w:val="20"/>
              </w:rPr>
            </w:pPr>
            <w:r>
              <w:rPr>
                <w:rFonts w:eastAsia="Times New Roman"/>
                <w:i/>
                <w:iCs/>
                <w:sz w:val="20"/>
                <w:szCs w:val="20"/>
              </w:rPr>
              <w:t>This number includes up to 1,125,000 Class B ordinary shares subject to forfeiture if the over-allotment option is not exercised in full or in part by the underwriters. On February 19, 2021, the underwriters partially exercised the over-allotment option to</w:t>
            </w:r>
            <w:r>
              <w:rPr>
                <w:rFonts w:eastAsia="Times New Roman"/>
                <w:i/>
                <w:iCs/>
                <w:sz w:val="20"/>
                <w:szCs w:val="20"/>
              </w:rPr>
              <w:t xml:space="preserve"> purchase an additional 2,500,000 Units; thus, only 500,000 Class B ordinary shares remained subject to forfeiture as of March 31, 2021. On April 2, 2021, the over-allotment option on the remaining Units expired unexercised by the underwriters; thus, 500,0</w:t>
            </w:r>
            <w:r>
              <w:rPr>
                <w:rFonts w:eastAsia="Times New Roman"/>
                <w:i/>
                <w:iCs/>
                <w:sz w:val="20"/>
                <w:szCs w:val="20"/>
              </w:rPr>
              <w:t>00 Class B ordinary shares were subsequently forfeited. (See note 4)</w:t>
            </w:r>
          </w:p>
        </w:tc>
      </w:tr>
    </w:tbl>
    <w:p w:rsidR="00000000" w:rsidRDefault="00CE32AE">
      <w:pPr>
        <w:pStyle w:val="a3"/>
        <w:spacing w:before="0" w:beforeAutospacing="0" w:after="0" w:afterAutospacing="0"/>
        <w:rPr>
          <w:sz w:val="20"/>
          <w:szCs w:val="20"/>
        </w:rPr>
      </w:pPr>
      <w:r>
        <w:rPr>
          <w:sz w:val="20"/>
          <w:szCs w:val="20"/>
        </w:rPr>
        <w:t> </w:t>
      </w:r>
      <w:r>
        <w:rPr>
          <w:i/>
          <w:iCs/>
          <w:sz w:val="20"/>
          <w:szCs w:val="20"/>
        </w:rPr>
        <w:t> </w:t>
      </w:r>
    </w:p>
    <w:p w:rsidR="00000000" w:rsidRDefault="00CE32AE">
      <w:pPr>
        <w:pStyle w:val="a3"/>
        <w:spacing w:before="0" w:beforeAutospacing="0" w:after="0" w:afterAutospacing="0"/>
        <w:jc w:val="center"/>
        <w:rPr>
          <w:sz w:val="20"/>
          <w:szCs w:val="20"/>
        </w:rPr>
      </w:pPr>
      <w:r>
        <w:rPr>
          <w:i/>
          <w:iCs/>
          <w:sz w:val="20"/>
          <w:szCs w:val="20"/>
        </w:rPr>
        <w:t>The accompanying notes are an integral part of these unaudited condensed financial statements.</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center"/>
        <w:divId w:val="2119792314"/>
        <w:rPr>
          <w:sz w:val="20"/>
          <w:szCs w:val="20"/>
        </w:rPr>
      </w:pPr>
      <w:r>
        <w:rPr>
          <w:sz w:val="20"/>
          <w:szCs w:val="20"/>
        </w:rPr>
        <w:t>3</w:t>
      </w:r>
    </w:p>
    <w:p w:rsidR="00000000" w:rsidRDefault="00CE32AE">
      <w:pPr>
        <w:pStyle w:val="a3"/>
        <w:spacing w:before="0" w:beforeAutospacing="0" w:after="0" w:afterAutospacing="0"/>
        <w:divId w:val="1992634165"/>
        <w:rPr>
          <w:sz w:val="20"/>
          <w:szCs w:val="20"/>
        </w:rPr>
      </w:pPr>
      <w:r>
        <w:rPr>
          <w:sz w:val="20"/>
          <w:szCs w:val="20"/>
        </w:rPr>
        <w:t> </w:t>
      </w:r>
    </w:p>
    <w:p w:rsidR="00000000" w:rsidRDefault="00CE32AE">
      <w:pPr>
        <w:pStyle w:val="a3"/>
        <w:spacing w:before="0" w:beforeAutospacing="0" w:after="0" w:afterAutospacing="0"/>
        <w:rPr>
          <w:sz w:val="20"/>
          <w:szCs w:val="20"/>
        </w:rPr>
      </w:pPr>
      <w:r>
        <w:rPr>
          <w:b/>
          <w:bCs/>
          <w:sz w:val="20"/>
          <w:szCs w:val="20"/>
        </w:rPr>
        <w:t> </w:t>
      </w:r>
    </w:p>
    <w:p w:rsidR="00000000" w:rsidRDefault="00CE32AE">
      <w:pPr>
        <w:pStyle w:val="a3"/>
        <w:spacing w:before="0" w:beforeAutospacing="0" w:after="0" w:afterAutospacing="0"/>
        <w:jc w:val="center"/>
        <w:rPr>
          <w:sz w:val="20"/>
          <w:szCs w:val="20"/>
        </w:rPr>
      </w:pPr>
      <w:bookmarkStart w:id="5" w:name="k_006"/>
      <w:bookmarkEnd w:id="5"/>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CONDENSED STATEMENT OF CASH FLOWS</w:t>
      </w:r>
    </w:p>
    <w:p w:rsidR="00000000" w:rsidRDefault="00CE32AE">
      <w:pPr>
        <w:pStyle w:val="a3"/>
        <w:spacing w:before="0" w:beforeAutospacing="0" w:after="0" w:afterAutospacing="0"/>
        <w:jc w:val="center"/>
        <w:rPr>
          <w:sz w:val="20"/>
          <w:szCs w:val="20"/>
        </w:rPr>
      </w:pPr>
      <w:r>
        <w:rPr>
          <w:b/>
          <w:bCs/>
          <w:sz w:val="20"/>
          <w:szCs w:val="20"/>
        </w:rPr>
        <w:t>For The Th</w:t>
      </w:r>
      <w:r>
        <w:rPr>
          <w:b/>
          <w:bCs/>
          <w:sz w:val="20"/>
          <w:szCs w:val="20"/>
        </w:rPr>
        <w:t>ree Months Ended March 31, 2021 (Unaudited)</w:t>
      </w:r>
    </w:p>
    <w:p w:rsidR="00000000" w:rsidRDefault="00CE32AE">
      <w:pPr>
        <w:pStyle w:val="a3"/>
        <w:spacing w:before="0" w:beforeAutospacing="0" w:after="0" w:afterAutospacing="0"/>
        <w:jc w:val="center"/>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7022"/>
        <w:gridCol w:w="50"/>
        <w:gridCol w:w="100"/>
        <w:gridCol w:w="1067"/>
        <w:gridCol w:w="67"/>
      </w:tblGrid>
      <w:tr w:rsidR="00000000">
        <w:tc>
          <w:tcPr>
            <w:tcW w:w="0" w:type="auto"/>
            <w:vAlign w:val="bottom"/>
            <w:hideMark/>
          </w:tcPr>
          <w:p w:rsidR="00000000" w:rsidRDefault="00CE32AE">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r>
      <w:tr w:rsidR="00000000">
        <w:tc>
          <w:tcPr>
            <w:tcW w:w="4400" w:type="pct"/>
            <w:shd w:val="clear" w:color="auto" w:fill="CCEEFF"/>
            <w:vAlign w:val="bottom"/>
            <w:hideMark/>
          </w:tcPr>
          <w:p w:rsidR="00000000" w:rsidRDefault="00CE32AE">
            <w:pPr>
              <w:rPr>
                <w:rFonts w:eastAsia="Times New Roman"/>
                <w:sz w:val="20"/>
                <w:szCs w:val="20"/>
              </w:rPr>
            </w:pPr>
            <w:r>
              <w:rPr>
                <w:rFonts w:eastAsia="Times New Roman"/>
                <w:sz w:val="20"/>
                <w:szCs w:val="20"/>
              </w:rPr>
              <w:t>Net income</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1,069,908</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Adjustments to reconcile net income to net cash used in operating activities: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(1,935,000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Financing costs - derivative warrant liabilities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575,330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 xml:space="preserve">Income from investments held in </w:t>
            </w:r>
            <w:r>
              <w:rPr>
                <w:rFonts w:eastAsia="Times New Roman"/>
                <w:sz w:val="20"/>
                <w:szCs w:val="20"/>
              </w:rPr>
              <w:t>Trust Account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(534</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Changes in operating assets and liabilities: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lastRenderedPageBreak/>
              <w:t>Prepaid expenses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(1,190,326</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367,250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66,646</w:t>
            </w:r>
          </w:p>
        </w:tc>
        <w:tc>
          <w:tcPr>
            <w:tcW w:w="0" w:type="auto"/>
            <w:shd w:val="clear" w:color="auto" w:fill="CCEEFF"/>
            <w:tcMar>
              <w:top w:w="0" w:type="dxa"/>
              <w:left w:w="0" w:type="dxa"/>
              <w:bottom w:w="30" w:type="dxa"/>
              <w:right w:w="0" w:type="dxa"/>
            </w:tcMar>
            <w:vAlign w:val="bottom"/>
            <w:hideMark/>
          </w:tcPr>
          <w:p w:rsidR="00000000" w:rsidRDefault="00CE32AE">
            <w:pPr>
              <w:jc w:val="right"/>
              <w:rPr>
                <w:rFonts w:eastAsia="Times New Roman"/>
                <w:sz w:val="20"/>
                <w:szCs w:val="20"/>
              </w:rPr>
            </w:pPr>
          </w:p>
        </w:tc>
      </w:tr>
      <w:tr w:rsidR="00000000">
        <w:tc>
          <w:tcPr>
            <w:tcW w:w="0" w:type="auto"/>
            <w:shd w:val="clear" w:color="auto" w:fill="FFFFFF"/>
            <w:tcMar>
              <w:top w:w="0" w:type="dxa"/>
              <w:left w:w="18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(1,046,726</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b/>
                <w:bCs/>
                <w:sz w:val="20"/>
                <w:szCs w:val="20"/>
              </w:rPr>
            </w:pPr>
            <w:r>
              <w:rPr>
                <w:rFonts w:eastAsia="Times New Roman"/>
                <w:b/>
                <w:bCs/>
                <w:sz w:val="20"/>
                <w:szCs w:val="20"/>
              </w:rPr>
              <w:t>Cash Flows from Investing Activities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Cash deposited in Trust Account</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(325,000,000</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Proceeds from note payable to related party</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81,243</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Repayment of note payable to related party</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(129,181</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Proceeds received from initial public offering</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Proceeds received from private placement</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8,500,000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Offering costs paid</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(7,020,676</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326,431,386</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b/>
                <w:bCs/>
                <w:sz w:val="20"/>
                <w:szCs w:val="20"/>
              </w:rPr>
            </w:pPr>
            <w:r>
              <w:rPr>
                <w:rFonts w:eastAsia="Times New Roman"/>
                <w:b/>
                <w:bCs/>
                <w:sz w:val="20"/>
                <w:szCs w:val="20"/>
              </w:rPr>
              <w:t>Net increase in cash</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384,660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b/>
                <w:bCs/>
                <w:sz w:val="20"/>
                <w:szCs w:val="20"/>
              </w:rPr>
            </w:pPr>
            <w:r>
              <w:rPr>
                <w:rFonts w:eastAsia="Times New Roman"/>
                <w:b/>
                <w:bCs/>
                <w:sz w:val="20"/>
                <w:szCs w:val="20"/>
              </w:rPr>
              <w:t>Cash - beginning of the period</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Cash - end of the period</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CE32AE">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CE32AE">
            <w:pPr>
              <w:jc w:val="right"/>
              <w:rPr>
                <w:rFonts w:eastAsia="Times New Roman"/>
                <w:b/>
                <w:bCs/>
                <w:sz w:val="20"/>
                <w:szCs w:val="20"/>
              </w:rPr>
            </w:pPr>
            <w:r>
              <w:rPr>
                <w:rFonts w:eastAsia="Times New Roman"/>
                <w:b/>
                <w:bCs/>
                <w:sz w:val="20"/>
                <w:szCs w:val="20"/>
              </w:rPr>
              <w:t>384,660</w:t>
            </w:r>
          </w:p>
        </w:tc>
        <w:tc>
          <w:tcPr>
            <w:tcW w:w="0" w:type="auto"/>
            <w:shd w:val="clear" w:color="auto" w:fill="CCEEFF"/>
            <w:tcMar>
              <w:top w:w="0" w:type="dxa"/>
              <w:left w:w="0" w:type="dxa"/>
              <w:bottom w:w="80" w:type="dxa"/>
              <w:right w:w="0" w:type="dxa"/>
            </w:tcMar>
            <w:vAlign w:val="bottom"/>
            <w:hideMark/>
          </w:tcPr>
          <w:p w:rsidR="00000000" w:rsidRDefault="00CE32AE">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b/>
                <w:bCs/>
                <w:sz w:val="20"/>
                <w:szCs w:val="20"/>
              </w:rPr>
            </w:pPr>
            <w:r>
              <w:rPr>
                <w:rFonts w:eastAsia="Times New Roman"/>
                <w:b/>
                <w:bCs/>
                <w:sz w:val="20"/>
                <w:szCs w:val="20"/>
              </w:rPr>
              <w:t>Supplemental disclosure of noncash investing and financing activities: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Offering costs included in accounts payable</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Offering costs included in accrued expenses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51,338</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Offering costs paid by related party under promissory note</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47,938</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Deferred underwriting commissions in connection with the initial public offering</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11,375,000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Initial value of Class A ordinary shares subject to possible redemption</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309,904,680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Change in value of Class A common shares subject to possible redemption</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(14,605,150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bl>
    <w:p w:rsidR="00000000" w:rsidRDefault="00CE32AE">
      <w:pPr>
        <w:pStyle w:val="a3"/>
        <w:spacing w:before="0" w:beforeAutospacing="0" w:after="0" w:afterAutospacing="0"/>
        <w:jc w:val="center"/>
        <w:rPr>
          <w:sz w:val="20"/>
          <w:szCs w:val="20"/>
        </w:rPr>
      </w:pPr>
      <w:r>
        <w:rPr>
          <w:i/>
          <w:iCs/>
          <w:sz w:val="20"/>
          <w:szCs w:val="20"/>
        </w:rPr>
        <w:t>  </w:t>
      </w:r>
    </w:p>
    <w:p w:rsidR="00000000" w:rsidRDefault="00CE32AE">
      <w:pPr>
        <w:pStyle w:val="a3"/>
        <w:spacing w:before="0" w:beforeAutospacing="0" w:after="0" w:afterAutospacing="0"/>
        <w:jc w:val="center"/>
        <w:rPr>
          <w:sz w:val="20"/>
          <w:szCs w:val="20"/>
        </w:rPr>
      </w:pPr>
      <w:r>
        <w:rPr>
          <w:i/>
          <w:iCs/>
          <w:sz w:val="20"/>
          <w:szCs w:val="20"/>
        </w:rPr>
        <w:t>The accompanying notes are an integral part of these unaudited condensed financial statements.</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divId w:val="2119061249"/>
        <w:rPr>
          <w:sz w:val="20"/>
          <w:szCs w:val="20"/>
        </w:rPr>
      </w:pPr>
      <w:r>
        <w:rPr>
          <w:sz w:val="20"/>
          <w:szCs w:val="20"/>
        </w:rPr>
        <w:t>4</w:t>
      </w:r>
    </w:p>
    <w:p w:rsidR="00000000" w:rsidRDefault="00CE32AE">
      <w:pPr>
        <w:pStyle w:val="a3"/>
        <w:spacing w:before="0" w:beforeAutospacing="0" w:after="0" w:afterAutospacing="0"/>
        <w:divId w:val="1994411676"/>
        <w:rPr>
          <w:sz w:val="20"/>
          <w:szCs w:val="20"/>
        </w:rPr>
      </w:pPr>
      <w:r>
        <w:rPr>
          <w:sz w:val="20"/>
          <w:szCs w:val="20"/>
        </w:rPr>
        <w:t> </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rPr>
          <w:sz w:val="20"/>
          <w:szCs w:val="20"/>
        </w:rPr>
      </w:pPr>
      <w:bookmarkStart w:id="6" w:name="k_007"/>
      <w:bookmarkEnd w:id="6"/>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w:t>
      </w:r>
      <w:r>
        <w:rPr>
          <w:b/>
          <w:bCs/>
          <w:sz w:val="20"/>
          <w:szCs w:val="20"/>
        </w:rPr>
        <w:t>DENSED FINANCIAL STATEMENTS</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Note 1 — Description of Organization and Business Operations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Pathfinder Acquisition Corporation (the “Company”</w:t>
      </w:r>
      <w:r>
        <w:rPr>
          <w:sz w:val="20"/>
          <w:szCs w:val="20"/>
        </w:rPr>
        <w:t>) is a blank check company incorporated as a Cayman Islands exempted company on December 18, 2020. The Company was incorporated for the purpose of effecting a merger, share exchange, asset acquisition, share purchase, reorganization or similar business com</w:t>
      </w:r>
      <w:r>
        <w:rPr>
          <w:sz w:val="20"/>
          <w:szCs w:val="20"/>
        </w:rPr>
        <w:t>bination with one or more businesses that the Company has not yet identified (“Business Combination”).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As of March 31, 2021, the Company had not yet commenced operations. All activity for the period from December 18, 2020 (inception) through March 31, 20</w:t>
      </w:r>
      <w:r>
        <w:rPr>
          <w:sz w:val="20"/>
          <w:szCs w:val="20"/>
        </w:rPr>
        <w:t xml:space="preserve">21 relates to the Company’s formation and the initial public offering (the “Initial Public Offering”), which is described below, and since the Company’s Initial Public Offering, the search for a business combination target. </w:t>
      </w:r>
      <w:r>
        <w:rPr>
          <w:sz w:val="20"/>
          <w:szCs w:val="20"/>
          <w:shd w:val="clear" w:color="auto" w:fill="FFFFFF"/>
        </w:rPr>
        <w:t>The Company will not generate an</w:t>
      </w:r>
      <w:r>
        <w:rPr>
          <w:sz w:val="20"/>
          <w:szCs w:val="20"/>
          <w:shd w:val="clear" w:color="auto" w:fill="FFFFFF"/>
        </w:rPr>
        <w:t>y operating revenues until after the completion of its initial Business Combination, at the earliest. The Company will generate non-operating income in the form of interest income on cash and cash equivalents from the proceeds derived from the Initial Publ</w:t>
      </w:r>
      <w:r>
        <w:rPr>
          <w:sz w:val="20"/>
          <w:szCs w:val="20"/>
          <w:shd w:val="clear" w:color="auto" w:fill="FFFFFF"/>
        </w:rPr>
        <w:t xml:space="preserve">ic Offering.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 Company’s sponsor is Pathfinder Acquisition LLC, a Delaware limited liability company (“Sponsor”). </w:t>
      </w:r>
      <w:r>
        <w:rPr>
          <w:sz w:val="20"/>
          <w:szCs w:val="20"/>
          <w:shd w:val="clear" w:color="auto" w:fill="FFFFFF"/>
        </w:rPr>
        <w:t>The registration statement for the Company’s Initial Public Offering was declared effective on February 16, 2021. On February 19, 2021, t</w:t>
      </w:r>
      <w:r>
        <w:rPr>
          <w:sz w:val="20"/>
          <w:szCs w:val="20"/>
          <w:shd w:val="clear" w:color="auto" w:fill="FFFFFF"/>
        </w:rPr>
        <w:t>he Company consummated its Initial Public Offering of 32,500,000 units (the “Units” and, with respect to the Class A ordinary shares included in the Units being offered, the “Public Shares”), including 2,500,000 additional Units to partially cover over-all</w:t>
      </w:r>
      <w:r>
        <w:rPr>
          <w:sz w:val="20"/>
          <w:szCs w:val="20"/>
          <w:shd w:val="clear" w:color="auto" w:fill="FFFFFF"/>
        </w:rPr>
        <w:t>otments (the “Over-Allotment Units”), at $10.00 per Unit, generating gross proceeds of $325.0 million, and incurring offering costs of approximately $18.5 million, of which approximately $11.4 million was for deferred underwriting commissions (Note 5). The</w:t>
      </w:r>
      <w:r>
        <w:rPr>
          <w:sz w:val="20"/>
          <w:szCs w:val="20"/>
          <w:shd w:val="clear" w:color="auto" w:fill="FFFFFF"/>
        </w:rPr>
        <w:t xml:space="preserve"> underwriters had 45 days from the effective date of the prospectus to exercise the remaining portion of its option to purchase up to 2,000,000 Units at the Initial Public Offering price to cover over-allotments, if any. On April 2, 2021, the over-allotmen</w:t>
      </w:r>
      <w:r>
        <w:rPr>
          <w:sz w:val="20"/>
          <w:szCs w:val="20"/>
          <w:shd w:val="clear" w:color="auto" w:fill="FFFFFF"/>
        </w:rPr>
        <w:t>t option on the remaining Units expired unexercised by the underwriters.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shd w:val="clear" w:color="auto" w:fill="FFFFFF"/>
        </w:rPr>
        <w:t xml:space="preserve">Simultaneously with the closing of the Initial Public Offering, the Company consummated the private placement (“Private Placement”) of </w:t>
      </w:r>
      <w:r>
        <w:rPr>
          <w:sz w:val="20"/>
          <w:szCs w:val="20"/>
        </w:rPr>
        <w:t>4,250,000 warrants (each, a “Private Placement</w:t>
      </w:r>
      <w:r>
        <w:rPr>
          <w:sz w:val="20"/>
          <w:szCs w:val="20"/>
        </w:rPr>
        <w:t xml:space="preserve"> Warrant” and collectively, the “Private Placement Warrants”) to the Sponsor, each exercisable to purchase one Class A ordinary share at $11.50 per share, at a price of $2.00 per Private Placement Warrant, generating gross proceeds to the Company of $8.5 m</w:t>
      </w:r>
      <w:r>
        <w:rPr>
          <w:sz w:val="20"/>
          <w:szCs w:val="20"/>
        </w:rPr>
        <w:t xml:space="preserve">illion </w:t>
      </w:r>
      <w:r>
        <w:rPr>
          <w:sz w:val="20"/>
          <w:szCs w:val="20"/>
          <w:shd w:val="clear" w:color="auto" w:fill="FFFFFF"/>
        </w:rPr>
        <w:t>(Note 4).</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Upon the closing of the Initial Public Offering </w:t>
      </w:r>
      <w:r>
        <w:rPr>
          <w:sz w:val="20"/>
          <w:szCs w:val="20"/>
          <w:shd w:val="clear" w:color="auto" w:fill="FFFFFF"/>
        </w:rPr>
        <w:t xml:space="preserve">and the Private Placement, $325.0 million ($10.00 per Unit) of the net proceeds of the Initial Public Offering and certain of the proceeds of the Private Placement was </w:t>
      </w:r>
      <w:r>
        <w:rPr>
          <w:sz w:val="20"/>
          <w:szCs w:val="20"/>
        </w:rPr>
        <w:t>placed in a trust acc</w:t>
      </w:r>
      <w:r>
        <w:rPr>
          <w:sz w:val="20"/>
          <w:szCs w:val="20"/>
        </w:rPr>
        <w:t>ount (“Trust Account”) with Continental Stock Transfer &amp; Trust Company acting as trustee and will be invested in United States “government securities” within the meaning of Section 2(a)(16) of the Investment Company Act having a maturity of 185 days or les</w:t>
      </w:r>
      <w:r>
        <w:rPr>
          <w:sz w:val="20"/>
          <w:szCs w:val="20"/>
        </w:rPr>
        <w:t>s or in money market funds meeting certain conditions under Rule 2a-7 promulgated under the Investment Company Act of 1940, as amended, or the Investment Company Act, which will be invested only in direct U.S. government treasury obligations, as determined</w:t>
      </w:r>
      <w:r>
        <w:rPr>
          <w:sz w:val="20"/>
          <w:szCs w:val="20"/>
        </w:rPr>
        <w:t xml:space="preserve"> by the Company, until the earlier of: (i) the completion of a Business Combination and (ii) the distribution of the Trust Account as described below.</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479296483"/>
        <w:rPr>
          <w:sz w:val="20"/>
          <w:szCs w:val="20"/>
        </w:rPr>
      </w:pPr>
      <w:r>
        <w:rPr>
          <w:sz w:val="20"/>
          <w:szCs w:val="20"/>
        </w:rPr>
        <w:t>5</w:t>
      </w:r>
    </w:p>
    <w:p w:rsidR="00000000" w:rsidRDefault="00CE32AE">
      <w:pPr>
        <w:pStyle w:val="a3"/>
        <w:spacing w:before="0" w:beforeAutospacing="0" w:after="0" w:afterAutospacing="0"/>
        <w:divId w:val="998341567"/>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Compa</w:t>
      </w:r>
      <w:r>
        <w:rPr>
          <w:sz w:val="20"/>
          <w:szCs w:val="20"/>
        </w:rPr>
        <w:t>ny’s management has broad discretion with respect to the specific application of the net proceeds of its Initial Public Offering and the sale of Private Placement Warrants, although substantially all of the net proceeds are intended to be applied generally</w:t>
      </w:r>
      <w:r>
        <w:rPr>
          <w:sz w:val="20"/>
          <w:szCs w:val="20"/>
        </w:rPr>
        <w:t xml:space="preserve"> toward consummating a Business Combination. The Company’s initial Business Combination must be with one or more operating businesses or assets with a fair market value equal to at least 80% of the net assets held in the Trust Account (excluding the deferr</w:t>
      </w:r>
      <w:r>
        <w:rPr>
          <w:sz w:val="20"/>
          <w:szCs w:val="20"/>
        </w:rPr>
        <w:t>ed underwriting commissions and taxes payable on the income earned on the Trust Account) at the time the Company signs a definitive agreement in connection with the initial Business Combination. However, the Company will only complete a Business Combinatio</w:t>
      </w:r>
      <w:r>
        <w:rPr>
          <w:sz w:val="20"/>
          <w:szCs w:val="20"/>
        </w:rPr>
        <w:t>n if the post-transaction company owns or acquires 50% or more of the outstanding voting securities of the target business or otherwise acquires a controlling interest in the target business sufficient for it not to be required to register as an investment</w:t>
      </w:r>
      <w:r>
        <w:rPr>
          <w:sz w:val="20"/>
          <w:szCs w:val="20"/>
        </w:rPr>
        <w:t xml:space="preserve"> company under the Investment Company Act.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Company will provide its holders (the “Public Shareholders”) of the Public Shares with the opportunity to redeem all or a portion of their Public Shares upon the completion of a Business Combination either (</w:t>
      </w:r>
      <w:r>
        <w:rPr>
          <w:sz w:val="20"/>
          <w:szCs w:val="20"/>
        </w:rPr>
        <w:t>i) in connection with a general meeting called to approve the Business Combination or (ii) by means of a tender offer. The decision as to whether the Company will seek shareholder approval of a Business Combination or conduct a tender offer will be made by</w:t>
      </w:r>
      <w:r>
        <w:rPr>
          <w:sz w:val="20"/>
          <w:szCs w:val="20"/>
        </w:rPr>
        <w:t xml:space="preserve"> the Company. The Public Shareholders will be entitled to redeem their Public Shares for a pro rata portion of the amount then in the Trust Account (initially anticipated to be $10.00 per share, plus any pro rata interest earned on the funds held in the Tr</w:t>
      </w:r>
      <w:r>
        <w:rPr>
          <w:sz w:val="20"/>
          <w:szCs w:val="20"/>
        </w:rPr>
        <w:t>ust Account and not previously released to the Company to pay its tax obligations). The per-share amount to be distributed to Public Shareholders who redeem their Public Shares will not be reduced by the deferred underwriting commissions the Company will p</w:t>
      </w:r>
      <w:r>
        <w:rPr>
          <w:sz w:val="20"/>
          <w:szCs w:val="20"/>
        </w:rPr>
        <w:t>ay to the underwriters (as discussed in Note 6). These Public Shares are recorded at a redemption value and classified as temporary equity upon the completion of the Initial Public Offering, in accordance with Accounting Standards Codification (“ASC”) Topi</w:t>
      </w:r>
      <w:r>
        <w:rPr>
          <w:sz w:val="20"/>
          <w:szCs w:val="20"/>
        </w:rPr>
        <w:t>c 480 “Distinguishing Liabilities from Equity.” In such case, the Company will proceed with a Business Combination if the Company has net tangible assets of at least $5,000,001 upon such consummation of a Business Combination and a majority of the shares v</w:t>
      </w:r>
      <w:r>
        <w:rPr>
          <w:sz w:val="20"/>
          <w:szCs w:val="20"/>
        </w:rPr>
        <w:t xml:space="preserve">oted are voted in favor of the Business Combination. If a shareholder vote is not required by applicable law or stock exchange listing requirements and the Company does not decide to hold a shareholder vote for business or other reasons, the Company will, </w:t>
      </w:r>
      <w:r>
        <w:rPr>
          <w:sz w:val="20"/>
          <w:szCs w:val="20"/>
        </w:rPr>
        <w:t>pursuant to the second amended and restated memorandum and articles of association which was adopted by the Company upon the consummation of the Initial Public Offering (the “Amended and Restated Memorandum and Articles of Association”), conduct the redemp</w:t>
      </w:r>
      <w:r>
        <w:rPr>
          <w:sz w:val="20"/>
          <w:szCs w:val="20"/>
        </w:rPr>
        <w:t>tions pursuant to the tender offer rules of the U.S. Securities and Exchange Commission (the “SEC”), and file tender offer documents with the SEC prior to completing a Business Combination. If, however, a shareholder approval of the transactions is require</w:t>
      </w:r>
      <w:r>
        <w:rPr>
          <w:sz w:val="20"/>
          <w:szCs w:val="20"/>
        </w:rPr>
        <w:t>d by applicable law or stock exchange listing requirements, or the Company decides to obtain shareholder approval for business or other reasons, the Company will offer to redeem shares in conjunction with a proxy solicitation pursuant to the proxy rules an</w:t>
      </w:r>
      <w:r>
        <w:rPr>
          <w:sz w:val="20"/>
          <w:szCs w:val="20"/>
        </w:rPr>
        <w:t>d not pursuant to the tender offer rules. Additionally, each Public Shareholder may elect to redeem their Public Shares irrespective of whether they vote for or against the proposed transaction or whether they were a Public Shareholder on the record date f</w:t>
      </w:r>
      <w:r>
        <w:rPr>
          <w:sz w:val="20"/>
          <w:szCs w:val="20"/>
        </w:rPr>
        <w:t>or the general meeting held to approve the proposed transaction. If the Company seeks shareholder approval in connection with a Business Combination, the holders of the Founder Shares prior to this Initial Public Offering (the “Initial Shareholders”) agree</w:t>
      </w:r>
      <w:r>
        <w:rPr>
          <w:sz w:val="20"/>
          <w:szCs w:val="20"/>
        </w:rPr>
        <w:t>d to vote their Founder Shares (as defined in Note 4) and any Public Shares purchased during or after the Initial Public Offering in favor of a Business Combination. In addition, the Initial Shareholders agreed to waive their redemption rights with respect</w:t>
      </w:r>
      <w:r>
        <w:rPr>
          <w:sz w:val="20"/>
          <w:szCs w:val="20"/>
        </w:rPr>
        <w:t xml:space="preserve"> to their Founder Shares and Public Shares in connection with the completion of a Business Combination. In addition, the Company agreed not to enter into a definitive agreement regarding an initial Business Combination without the prior consent of the Spon</w:t>
      </w:r>
      <w:r>
        <w:rPr>
          <w:sz w:val="20"/>
          <w:szCs w:val="20"/>
        </w:rPr>
        <w:t>sor.</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Notwithstanding the foregoing, the Company’</w:t>
      </w:r>
      <w:r>
        <w:rPr>
          <w:sz w:val="20"/>
          <w:szCs w:val="20"/>
        </w:rPr>
        <w:t xml:space="preserve">s Amended and Restated Memorandum and Articles of Association provides that a Public Shareholder, together with any affiliate of such shareholder or any other person with whom such shareholder is acting in concert or as a “group” (as defined under Section </w:t>
      </w:r>
      <w:r>
        <w:rPr>
          <w:sz w:val="20"/>
          <w:szCs w:val="20"/>
        </w:rPr>
        <w:t xml:space="preserve">13 of the Securities Exchange Act of 1934, as amended (the “Exchange Act”)), will be restricted from redeeming its shares with respect to more than an aggregate of 15% or more of the Class A ordinary shares sold in the Initial Public Offering, without the </w:t>
      </w:r>
      <w:r>
        <w:rPr>
          <w:sz w:val="20"/>
          <w:szCs w:val="20"/>
        </w:rPr>
        <w:t>prior consent of the Company.</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 Company’s Sponsor, officers and directors agreed not to propose an amendment to the Company’s Amended and Restated Memorandum and Articles of Association (A) to modify the substance or timing of the Company’s obligation </w:t>
      </w:r>
      <w:r>
        <w:rPr>
          <w:sz w:val="20"/>
          <w:szCs w:val="20"/>
        </w:rPr>
        <w:t>to allow the redemption of its Public Shares in connection with a Business Combination or to redeem 100% of its Public Shares if the Company does not complete a Business Combination within 24 months from the closing of the Initial Public Offering or (B) wi</w:t>
      </w:r>
      <w:r>
        <w:rPr>
          <w:sz w:val="20"/>
          <w:szCs w:val="20"/>
        </w:rPr>
        <w:t xml:space="preserve">th respect to any other provisions relating to shareholders’ rights or pre-initial business combination activity, unless the Company provides the public shareholders with the opportunity to redeem their Class A ordinary shares in conjunction with any such </w:t>
      </w:r>
      <w:r>
        <w:rPr>
          <w:sz w:val="20"/>
          <w:szCs w:val="20"/>
        </w:rPr>
        <w:t>amendment.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988241211"/>
        <w:rPr>
          <w:sz w:val="20"/>
          <w:szCs w:val="20"/>
        </w:rPr>
      </w:pPr>
      <w:r>
        <w:rPr>
          <w:sz w:val="20"/>
          <w:szCs w:val="20"/>
        </w:rPr>
        <w:t>6</w:t>
      </w:r>
    </w:p>
    <w:p w:rsidR="00000000" w:rsidRDefault="00CE32AE">
      <w:pPr>
        <w:pStyle w:val="a3"/>
        <w:spacing w:before="0" w:beforeAutospacing="0" w:after="0" w:afterAutospacing="0"/>
        <w:divId w:val="584998809"/>
        <w:rPr>
          <w:sz w:val="20"/>
          <w:szCs w:val="20"/>
        </w:rPr>
      </w:pPr>
      <w:r>
        <w:rPr>
          <w:sz w:val="20"/>
          <w:szCs w:val="20"/>
        </w:rPr>
        <w:t> </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If the Company is unable to complete a Business Combination within 24 months from the closing of the Initial Public Offering, or February 19, 2023 (t</w:t>
      </w:r>
      <w:r>
        <w:rPr>
          <w:sz w:val="20"/>
          <w:szCs w:val="20"/>
        </w:rPr>
        <w:t>he “Combination Period”), the Company will (i) cease all operations except for the purpose of winding up; (ii) as promptly as reasonably possible but not more than ten business days thereafter, redeem the Public Shares, at a per-share price, payable in cas</w:t>
      </w:r>
      <w:r>
        <w:rPr>
          <w:sz w:val="20"/>
          <w:szCs w:val="20"/>
        </w:rPr>
        <w:t xml:space="preserve">h, equal to the aggregate amount then on deposit in the Trust Account, including interest earned on the funds held in the Trust Account and not previously released to the Company to pay its taxes, if any (less up to $100,000 of interest to pay dissolution </w:t>
      </w:r>
      <w:r>
        <w:rPr>
          <w:sz w:val="20"/>
          <w:szCs w:val="20"/>
        </w:rPr>
        <w:t>expenses) divided by the number of the then-outstanding Public Shares, which redemption will completely extinguish Public Shareholders’ rights as shareholders (including the right to receive further liquidation distributions, if any); and (iii) as promptly</w:t>
      </w:r>
      <w:r>
        <w:rPr>
          <w:sz w:val="20"/>
          <w:szCs w:val="20"/>
        </w:rPr>
        <w:t xml:space="preserve"> as reasonably possible following such redemption, subject to the approval of the remaining shareholders and the board of directors, liquidate and dissolve, subject in the case of clauses (ii) and (iii), to the Company’s obligations under Cayman Islands la</w:t>
      </w:r>
      <w:r>
        <w:rPr>
          <w:sz w:val="20"/>
          <w:szCs w:val="20"/>
        </w:rPr>
        <w:t>w to provide for claims of creditors and the requirements of other applicable law.</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Initial Shareholders agreed to waive their liquidation rights with respect to the Founder Shares if the Company fails to complete a Business Combination within the Com</w:t>
      </w:r>
      <w:r>
        <w:rPr>
          <w:sz w:val="20"/>
          <w:szCs w:val="20"/>
        </w:rPr>
        <w:t>bination Period. However, if the Initial Shareholders should acquire Public Shares in or after the Initial Public Offering, they will be entitled to liquidating distributions from the Trust Account with respect to such Public Shares if the Company fails to</w:t>
      </w:r>
      <w:r>
        <w:rPr>
          <w:sz w:val="20"/>
          <w:szCs w:val="20"/>
        </w:rPr>
        <w:t xml:space="preserve"> complete a Business Combination within the Combination Period. The underwriters agreed to waive their rights to their deferred underwriting commission (see Note 6) held in the Trust Account in the event the Company does not complete a Business Combination</w:t>
      </w:r>
      <w:r>
        <w:rPr>
          <w:sz w:val="20"/>
          <w:szCs w:val="20"/>
        </w:rPr>
        <w:t xml:space="preserve"> within the Combination Period and, in such event, such amounts will be included with the funds held in the Trust Account that will be available to fund the redemption of the Company’s Public Shares. In the event of such distribution, it is possible that t</w:t>
      </w:r>
      <w:r>
        <w:rPr>
          <w:sz w:val="20"/>
          <w:szCs w:val="20"/>
        </w:rPr>
        <w:t>he per share value of the residual assets remaining available for distribution in the Trust Account will be less than the $10.00 per share initially held in the Trust Account. In order to protect the amounts held in the Trust Account, the Sponsor agreed th</w:t>
      </w:r>
      <w:r>
        <w:rPr>
          <w:sz w:val="20"/>
          <w:szCs w:val="20"/>
        </w:rPr>
        <w:t>at it will be liable to the Company if and to the extent any claims by a third party for services rendered or products sold to the Company, or a prospective target business with which the Company has entered into a written letter of intent, confidentiality</w:t>
      </w:r>
      <w:r>
        <w:rPr>
          <w:sz w:val="20"/>
          <w:szCs w:val="20"/>
        </w:rPr>
        <w:t xml:space="preserve"> or other similar agreement or business combination agreement, reduce the amount of funds in the Trust Account to below the lesser of (i) $10.00 per Public Share and (ii) the actual amount per Public Share held in the Trust Account as of the date of the li</w:t>
      </w:r>
      <w:r>
        <w:rPr>
          <w:sz w:val="20"/>
          <w:szCs w:val="20"/>
        </w:rPr>
        <w:t>quidation of the Trust Account, if less than $10.00 per share due to reductions in the value of the trust assets, less taxes payable, provided that such liability will not apply to any claims by a third party or prospective target business who executed a w</w:t>
      </w:r>
      <w:r>
        <w:rPr>
          <w:sz w:val="20"/>
          <w:szCs w:val="20"/>
        </w:rPr>
        <w:t>aiver of any and all rights to the monies held in the Trust Account (whether or not such waiver is enforceable) nor will it apply to any claims under the Company’s indemnity of the underwriters of the Initial Public Offering against certain liabilities, in</w:t>
      </w:r>
      <w:r>
        <w:rPr>
          <w:sz w:val="20"/>
          <w:szCs w:val="20"/>
        </w:rPr>
        <w:t>cluding liabilities under the Securities Act of 1933, as amended (the “Securities Act”). In the event that an executed waiver is deemed to be unenforceable against a third party, the Sponsor will not be responsible to the extent of any liability for such t</w:t>
      </w:r>
      <w:r>
        <w:rPr>
          <w:sz w:val="20"/>
          <w:szCs w:val="20"/>
        </w:rPr>
        <w:t>hird-party claims. The Company will seek to reduce the possibility that the Sponsor will have to indemnify the Trust Account due to claims of creditors by endeavoring to have vendors, service providers (except the Company’s independent registered public ac</w:t>
      </w:r>
      <w:r>
        <w:rPr>
          <w:sz w:val="20"/>
          <w:szCs w:val="20"/>
        </w:rPr>
        <w:t>counting firm), prospective target businesses or other entities with which the Company does business, execute agreements with the Company waiving any right, title, interest or claim of any kind in or to monies held in the Trust Account. There can be no gua</w:t>
      </w:r>
      <w:r>
        <w:rPr>
          <w:sz w:val="20"/>
          <w:szCs w:val="20"/>
        </w:rPr>
        <w:t>rantee that the Company will be successful in obtaining such waivers from its targeted vendors and service providers.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Liquidity and Capital Resources</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As of March 31, 2021, the Company had approximately $385,000 in its operating bank accounts, which is </w:t>
      </w:r>
      <w:r>
        <w:rPr>
          <w:sz w:val="20"/>
          <w:szCs w:val="20"/>
        </w:rPr>
        <w:t>not sufficient working capital to meet its needs through the earlier of the consummation of a Business Combination or one year from this filing.</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shd w:val="clear" w:color="auto" w:fill="FFFFFF"/>
        </w:rPr>
        <w:t>Prior to the completion of the Initial Public Offering, the Company’s liquidity needs had been satisfied thro</w:t>
      </w:r>
      <w:r>
        <w:rPr>
          <w:sz w:val="20"/>
          <w:szCs w:val="20"/>
          <w:shd w:val="clear" w:color="auto" w:fill="FFFFFF"/>
        </w:rPr>
        <w:t>ugh the payment of $25,000 from the Sponsor to cover for certain expenses on behalf of the Company in exchange for the issuance of the Founder Shares, and a loan of approximately $129,000 pursuant to the Note issued to the Sponsor (as defined in Note 4). T</w:t>
      </w:r>
      <w:r>
        <w:rPr>
          <w:sz w:val="20"/>
          <w:szCs w:val="20"/>
          <w:shd w:val="clear" w:color="auto" w:fill="FFFFFF"/>
        </w:rPr>
        <w:t xml:space="preserve">he Company repaid the Note in full on February 19, 2021. </w:t>
      </w:r>
      <w:r>
        <w:rPr>
          <w:sz w:val="20"/>
          <w:szCs w:val="20"/>
        </w:rPr>
        <w:t>Subsequent to the consummation of the Initial Public Offering and Private Placement, the Company’s liquidity needs have been satisfied with the proceeds from the consummation of the Private Placement</w:t>
      </w:r>
      <w:r>
        <w:rPr>
          <w:sz w:val="20"/>
          <w:szCs w:val="20"/>
        </w:rPr>
        <w:t xml:space="preserve"> not held in the Trust Account. In addition, in order to finance transaction costs in connection with a Business Combination, the Sponsor will provide the Company Working Capital Loans (</w:t>
      </w:r>
      <w:r>
        <w:rPr>
          <w:sz w:val="20"/>
          <w:szCs w:val="20"/>
          <w:shd w:val="clear" w:color="auto" w:fill="FFFFFF"/>
        </w:rPr>
        <w:t>as defined in Note 4</w:t>
      </w:r>
      <w:r>
        <w:rPr>
          <w:sz w:val="20"/>
          <w:szCs w:val="20"/>
        </w:rPr>
        <w:t xml:space="preserve">). </w:t>
      </w:r>
      <w:r>
        <w:rPr>
          <w:sz w:val="20"/>
          <w:szCs w:val="20"/>
          <w:shd w:val="clear" w:color="auto" w:fill="FFFFFF"/>
        </w:rPr>
        <w:t>As of March 31, 2021 and December 31, 2020, the</w:t>
      </w:r>
      <w:r>
        <w:rPr>
          <w:sz w:val="20"/>
          <w:szCs w:val="20"/>
          <w:shd w:val="clear" w:color="auto" w:fill="FFFFFF"/>
        </w:rPr>
        <w:t>re were no amounts outstanding under any Working Capital Loan.</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Based on the foregoing, management believes that the Company will have sufficient working capital and borrowing capacity from the Sponsor or an affiliate of the Sponsor, or certain of the Com</w:t>
      </w:r>
      <w:r>
        <w:rPr>
          <w:sz w:val="20"/>
          <w:szCs w:val="20"/>
        </w:rPr>
        <w:t>pany’s officers and directors to meet its needs through the earlier of the consummation of a Business Combination or one year from this filing. Over this time period, the Company will be using these funds for paying existing accounts payable, identifying a</w:t>
      </w:r>
      <w:r>
        <w:rPr>
          <w:sz w:val="20"/>
          <w:szCs w:val="20"/>
        </w:rPr>
        <w:t>nd evaluating prospective initial Business Combination candidates, performing due diligence on prospective target businesses, paying for travel expenditures, selecting the target business to merge with or acquire, and structuring, negotiating and consummat</w:t>
      </w:r>
      <w:r>
        <w:rPr>
          <w:sz w:val="20"/>
          <w:szCs w:val="20"/>
        </w:rPr>
        <w:t>ing the Business Combination.</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508062105"/>
        <w:rPr>
          <w:sz w:val="20"/>
          <w:szCs w:val="20"/>
        </w:rPr>
      </w:pPr>
      <w:r>
        <w:rPr>
          <w:sz w:val="20"/>
          <w:szCs w:val="20"/>
        </w:rPr>
        <w:t>7</w:t>
      </w:r>
    </w:p>
    <w:p w:rsidR="00000000" w:rsidRDefault="00CE32AE">
      <w:pPr>
        <w:pStyle w:val="a3"/>
        <w:spacing w:before="0" w:beforeAutospacing="0" w:after="0" w:afterAutospacing="0"/>
        <w:divId w:val="826047534"/>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Note 2 — Summary of Significant Accounting Policies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Basis of Presentation</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The accompanying unaudited condensed financial statements are presented in U.S. dollars in conformity with accounting principles generally accepted in the United States of America (“GAAP”) for financial information and pursuant to the rules and regulations</w:t>
      </w:r>
      <w:r>
        <w:rPr>
          <w:sz w:val="20"/>
          <w:szCs w:val="20"/>
        </w:rPr>
        <w:t xml:space="preserve"> of the SEC. Accordingly, they do not include all of the information and footnotes required by GAAP. In the opinion of management, the unaudited condensed financial statements reflect all adjustments, which include only normal recurring adjustments necessa</w:t>
      </w:r>
      <w:r>
        <w:rPr>
          <w:sz w:val="20"/>
          <w:szCs w:val="20"/>
        </w:rPr>
        <w:t>ry for the fair statement of the balances and results for the periods presented. Operating results for the three months ended March 31, 2021 are not necessarily indicative of the results that may be expected through December 31, 2021 or for any period ther</w:t>
      </w:r>
      <w:r>
        <w:rPr>
          <w:sz w:val="20"/>
          <w:szCs w:val="20"/>
        </w:rPr>
        <w:t>eafter.</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In April 2021, the Company identified a misstatement in its accounting treatment for warrants issued in connection with the Initial Public Offering (the “Public Warrants”) and the Private Placement Warrants (collectively, the “Warrants”) as prese</w:t>
      </w:r>
      <w:r>
        <w:rPr>
          <w:sz w:val="20"/>
          <w:szCs w:val="20"/>
        </w:rPr>
        <w:t>nted in its audited balance sheet as of February 19, 2021 included in its Current Report on Form 8-K, filed February 25, 2021. The Warrants were reflected as a component of equity as opposed to liabilities on the balance sheet. Pursuant to FASB ASC Topic 2</w:t>
      </w:r>
      <w:r>
        <w:rPr>
          <w:sz w:val="20"/>
          <w:szCs w:val="20"/>
        </w:rPr>
        <w:t xml:space="preserve">50, </w:t>
      </w:r>
      <w:r>
        <w:rPr>
          <w:i/>
          <w:iCs/>
          <w:sz w:val="20"/>
          <w:szCs w:val="20"/>
        </w:rPr>
        <w:t>Accounting Changes and Error Corrections</w:t>
      </w:r>
      <w:r>
        <w:rPr>
          <w:sz w:val="20"/>
          <w:szCs w:val="20"/>
        </w:rPr>
        <w:t>, and Staff Accounting Bulletin 99, “Materiality”) (“SAB 99”) issued by the SEC, the Company determined the impact of the error was immaterial. The following balance sheet items were impacted from the error corre</w:t>
      </w:r>
      <w:r>
        <w:rPr>
          <w:sz w:val="20"/>
          <w:szCs w:val="20"/>
        </w:rPr>
        <w:t>ction as of February 19, 2021: an increase of $16.3 million in warrant liabilities; a decrease of $16.3 million in the amount of Class A ordinary shares subject to redemption; an increase of $575,330 in additional paid-in capital; and an increase of $575,3</w:t>
      </w:r>
      <w:r>
        <w:rPr>
          <w:sz w:val="20"/>
          <w:szCs w:val="20"/>
        </w:rPr>
        <w:t>30 in accumulated deficit.</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Emerging Growth Company</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The Company is an “emerging growth company,” as defined in Section 2(a) of the Securities Act, as modified by the Jumpstart Our Business Startups Act of 2012 (the “JOBS Act”), and it may take advantage</w:t>
      </w:r>
      <w:r>
        <w:rPr>
          <w:sz w:val="20"/>
          <w:szCs w:val="20"/>
        </w:rPr>
        <w:t xml:space="preserve"> of certain exemptions from various reporting requirements that are applicable to other public companies that are not emerging growth companies including, but not limited to, not being required to comply with the independent registered public accounting fi</w:t>
      </w:r>
      <w:r>
        <w:rPr>
          <w:sz w:val="20"/>
          <w:szCs w:val="20"/>
        </w:rPr>
        <w:t>rm attestation requirements of Section 404 of the Sarbanes-Oxley Act, reduced disclosure obligations regarding executive compensation in its periodic reports and proxy statements, and exemptions from the requirements of holding a nonbinding advisory vote o</w:t>
      </w:r>
      <w:r>
        <w:rPr>
          <w:sz w:val="20"/>
          <w:szCs w:val="20"/>
        </w:rPr>
        <w:t>n executive compensation and stockholder approval of any golden parachute payments not previously approved.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Further, Section 102(b)(1) of the JOBS Act exempts emerging growth companies from being required to comply with new or revised financial accountin</w:t>
      </w:r>
      <w:r>
        <w:rPr>
          <w:sz w:val="20"/>
          <w:szCs w:val="20"/>
        </w:rPr>
        <w:t>g standards until private companies (that is, those that have not had a Securities Act registration statement declared effective or do not have a class of securities registered under the Exchange Act) are required to comply with the new or revised financia</w:t>
      </w:r>
      <w:r>
        <w:rPr>
          <w:sz w:val="20"/>
          <w:szCs w:val="20"/>
        </w:rPr>
        <w:t>l accounting standards. The JOBS Act provides that an emerging growth company can elect to opt out of the extended transition period and comply with the requirements that apply to non-emerging growth companies but any such an election to opt out is irrevoc</w:t>
      </w:r>
      <w:r>
        <w:rPr>
          <w:sz w:val="20"/>
          <w:szCs w:val="20"/>
        </w:rPr>
        <w:t>able. The Company has elected not to opt out of such extended transition period, which means that when a standard is issued or revised and it has different application dates for public or private companies, the Company, as an emerging growth company, can a</w:t>
      </w:r>
      <w:r>
        <w:rPr>
          <w:sz w:val="20"/>
          <w:szCs w:val="20"/>
        </w:rPr>
        <w:t>dopt the new or revised standard at the time private companies adopt the new or revised standard. This may make comparison of the Company’s financial statement with another public company that is neither an emerging growth company nor an emerging growth co</w:t>
      </w:r>
      <w:r>
        <w:rPr>
          <w:sz w:val="20"/>
          <w:szCs w:val="20"/>
        </w:rPr>
        <w:t>mpany that has opted out of using the extended transition period difficult or impossible because of the potential differences in accounting standards used.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Use of Estimates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The preparation of financial statements in conformity with GAAP requires manage</w:t>
      </w:r>
      <w:r>
        <w:rPr>
          <w:sz w:val="20"/>
          <w:szCs w:val="20"/>
        </w:rPr>
        <w:t>ment to make estimates and assumptions that affect the reported amounts of assets and liabilities and disclosure of contingent assets and liabilities at the date of the financial statements and the reported amounts of revenues and expenses during the repor</w:t>
      </w:r>
      <w:r>
        <w:rPr>
          <w:sz w:val="20"/>
          <w:szCs w:val="20"/>
        </w:rPr>
        <w:t>ting period. Making estimates requires management to exercise significant judgment. One of the more significant accounting estimates included in these financial statements is the determination of the fair value of the warrant liability. It is at least reas</w:t>
      </w:r>
      <w:r>
        <w:rPr>
          <w:sz w:val="20"/>
          <w:szCs w:val="20"/>
        </w:rPr>
        <w:t>onably possible that the estimate of the effect of a condition, situation or set of circumstances that existed at the date of the financial statements, which management considered in formulating its estimate, could change in the near term due to one or mor</w:t>
      </w:r>
      <w:r>
        <w:rPr>
          <w:sz w:val="20"/>
          <w:szCs w:val="20"/>
        </w:rPr>
        <w:t>e future confirming events. Actual results could differ from those estimates.</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673803313"/>
        <w:rPr>
          <w:sz w:val="20"/>
          <w:szCs w:val="20"/>
        </w:rPr>
      </w:pPr>
      <w:r>
        <w:rPr>
          <w:sz w:val="20"/>
          <w:szCs w:val="20"/>
        </w:rPr>
        <w:t>8</w:t>
      </w:r>
    </w:p>
    <w:p w:rsidR="00000000" w:rsidRDefault="00CE32AE">
      <w:pPr>
        <w:pStyle w:val="a3"/>
        <w:spacing w:before="0" w:beforeAutospacing="0" w:after="0" w:afterAutospacing="0"/>
        <w:divId w:val="944583620"/>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i/>
          <w:iCs/>
          <w:sz w:val="20"/>
          <w:szCs w:val="20"/>
        </w:rPr>
        <w:t>Concentration of Credit Risk</w:t>
      </w:r>
    </w:p>
    <w:p w:rsidR="00000000" w:rsidRDefault="00CE32AE">
      <w:pPr>
        <w:pStyle w:val="a3"/>
        <w:shd w:val="clear" w:color="auto" w:fill="FFFFFF"/>
        <w:spacing w:before="0" w:beforeAutospacing="0" w:after="0" w:afterAutospacing="0"/>
        <w:ind w:firstLine="49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Financial instruments </w:t>
      </w:r>
      <w:r>
        <w:rPr>
          <w:sz w:val="20"/>
          <w:szCs w:val="20"/>
        </w:rPr>
        <w:t>that potentially subject the Company to concentrations of credit risk consist of cash accounts in a financial institution, which, at times, may exceed the Federal Depository Insurance Coverage limit of $250,000. As of March 31, 2021, the Company has not ex</w:t>
      </w:r>
      <w:r>
        <w:rPr>
          <w:sz w:val="20"/>
          <w:szCs w:val="20"/>
        </w:rPr>
        <w:t>perienced losses on these accounts and management believes the Company is not exposed to significant risks on such accounts.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i/>
          <w:iCs/>
          <w:sz w:val="20"/>
          <w:szCs w:val="20"/>
        </w:rPr>
        <w:t>Cash and Cash Equivalents</w:t>
      </w:r>
    </w:p>
    <w:p w:rsidR="00000000" w:rsidRDefault="00CE32AE">
      <w:pPr>
        <w:pStyle w:val="a3"/>
        <w:shd w:val="clear" w:color="auto" w:fill="FFFFFF"/>
        <w:spacing w:before="0" w:beforeAutospacing="0" w:after="0" w:afterAutospacing="0"/>
        <w:ind w:firstLine="49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The Company considers </w:t>
      </w:r>
      <w:r>
        <w:rPr>
          <w:sz w:val="20"/>
          <w:szCs w:val="20"/>
        </w:rPr>
        <w:t>all short-term investments with an original maturity of three months or less when purchased to be cash equivalents. The Company had no cash equivalents as of March 31, 2021 and December 31, 2020.</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i/>
          <w:iCs/>
          <w:sz w:val="20"/>
          <w:szCs w:val="20"/>
        </w:rPr>
        <w:t xml:space="preserve">Investments Held in the Trust Account </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Company’s por</w:t>
      </w:r>
      <w:r>
        <w:rPr>
          <w:sz w:val="20"/>
          <w:szCs w:val="20"/>
        </w:rPr>
        <w:t>tfolio of investments held in the Trust Account is comprised of U.S. government securities, within the meaning set forth in Section 2(a)(16) of the Investment Company Act, with a maturity of 185 days or less, or investments in money market funds that inves</w:t>
      </w:r>
      <w:r>
        <w:rPr>
          <w:sz w:val="20"/>
          <w:szCs w:val="20"/>
        </w:rPr>
        <w:t>t in U.S. government securities, or a combination thereof. The Company’s investments held in the Trust Account are classified as trading securities. Trading securities are presented on the balance sheets at fair value at the end of each reporting period. G</w:t>
      </w:r>
      <w:r>
        <w:rPr>
          <w:sz w:val="20"/>
          <w:szCs w:val="20"/>
        </w:rPr>
        <w:t>ains and losses resulting from the change in fair value of these securities is included in net gain on investments held in Trust Account in the accompanying statement of operations. The estimated fair values of investments held in the Trust Account are det</w:t>
      </w:r>
      <w:r>
        <w:rPr>
          <w:sz w:val="20"/>
          <w:szCs w:val="20"/>
        </w:rPr>
        <w:t>ermined using available market information.</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i/>
          <w:iCs/>
          <w:sz w:val="20"/>
          <w:szCs w:val="20"/>
        </w:rPr>
        <w:t>Fair Value of Financial Instruments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 fair value of the Company’s assets and </w:t>
      </w:r>
      <w:r>
        <w:rPr>
          <w:sz w:val="20"/>
          <w:szCs w:val="20"/>
        </w:rPr>
        <w:t>liabilities, which qualify as financial instruments under the FASB ASC 820, “Fair Value Measurements” approximates the carrying amounts represented in the condensed balance sheets.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i/>
          <w:iCs/>
          <w:sz w:val="20"/>
          <w:szCs w:val="20"/>
        </w:rPr>
        <w:t>Fair Value Measurements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Fair value is defined as the price that would b</w:t>
      </w:r>
      <w:r>
        <w:rPr>
          <w:sz w:val="20"/>
          <w:szCs w:val="20"/>
        </w:rPr>
        <w:t>e received for sale of an asset or paid for transfer of a liability, in an orderly transaction between market participants at the measurement date. GAAP establishes a three-tier fair value hierarchy, which prioritizes the inputs used in measuring fair valu</w:t>
      </w:r>
      <w:r>
        <w:rPr>
          <w:sz w:val="20"/>
          <w:szCs w:val="20"/>
        </w:rPr>
        <w:t>e. The hierarchy gives the highest priority to unadjusted quoted prices in active markets for identical assets or liabilities (Level 1 measurements) and the lowest priority to unobservable inputs (Level 3 measurements). These tiers include:</w:t>
      </w:r>
    </w:p>
    <w:p w:rsidR="00000000" w:rsidRDefault="00CE32A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 xml:space="preserve">Level 1, </w:t>
            </w:r>
            <w:r>
              <w:rPr>
                <w:rFonts w:eastAsia="Times New Roman"/>
                <w:sz w:val="20"/>
                <w:szCs w:val="20"/>
              </w:rPr>
              <w:t>defined as observable inputs such as quoted prices (unadjusted) for identical instruments in active markets;</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Level 2, defined as inputs other than quoted prices in active markets that are either directly or indirectly observable such as quoted price</w:t>
            </w:r>
            <w:r>
              <w:rPr>
                <w:rFonts w:eastAsia="Times New Roman"/>
                <w:sz w:val="20"/>
                <w:szCs w:val="20"/>
              </w:rPr>
              <w:t>s for similar instruments in active markets or quoted prices for identical or similar instruments in markets that are not active; and</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 xml:space="preserve">Level 3, defined as unobservable inputs in which little or no market data exists, therefore requiring an entity to </w:t>
            </w:r>
            <w:r>
              <w:rPr>
                <w:rFonts w:eastAsia="Times New Roman"/>
                <w:sz w:val="20"/>
                <w:szCs w:val="20"/>
              </w:rPr>
              <w:t>develop its own assumptions, such as valuations derived from valuation techniques in which one or more significant inputs or significant value drivers are unobservable.</w:t>
            </w:r>
          </w:p>
        </w:tc>
      </w:tr>
    </w:tbl>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In some circumstances, the inputs used to measure fair value might be categorized within different levels of the fair value hierarchy. In those instances, the fair value measurement is categorized in its entirety in the fair value hierarchy based on the lo</w:t>
      </w:r>
      <w:r>
        <w:rPr>
          <w:sz w:val="20"/>
          <w:szCs w:val="20"/>
        </w:rPr>
        <w:t>west level input that is significant to the fair value measurement.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562569467"/>
        <w:rPr>
          <w:sz w:val="20"/>
          <w:szCs w:val="20"/>
        </w:rPr>
      </w:pPr>
      <w:r>
        <w:rPr>
          <w:sz w:val="20"/>
          <w:szCs w:val="20"/>
        </w:rPr>
        <w:t>9</w:t>
      </w:r>
    </w:p>
    <w:p w:rsidR="00000000" w:rsidRDefault="00CE32AE">
      <w:pPr>
        <w:pStyle w:val="a3"/>
        <w:spacing w:before="0" w:beforeAutospacing="0" w:after="0" w:afterAutospacing="0"/>
        <w:divId w:val="1168910911"/>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Derivative Warrant Liabilities</w:t>
      </w:r>
    </w:p>
    <w:p w:rsidR="00000000" w:rsidRDefault="00CE32AE">
      <w:pPr>
        <w:pStyle w:val="a3"/>
        <w:shd w:val="clear" w:color="auto" w:fill="FFFFFF"/>
        <w:spacing w:before="0" w:beforeAutospacing="0" w:after="0" w:afterAutospacing="0"/>
        <w:ind w:firstLine="36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Company does not use derivative instruments to hedge ex</w:t>
      </w:r>
      <w:r>
        <w:rPr>
          <w:sz w:val="20"/>
          <w:szCs w:val="20"/>
        </w:rPr>
        <w:t>posures to cash flow, market, or foreign currency risks. The Company evaluates all of its financial instruments, including issued stock purchase warrants, to determine if such instruments are derivatives or contain features that qualify as embedded derivat</w:t>
      </w:r>
      <w:r>
        <w:rPr>
          <w:sz w:val="20"/>
          <w:szCs w:val="20"/>
        </w:rPr>
        <w:t>ives, pursuant to ASC 480 and ASC 815, “Derivatives and Hedging” (“ASC 815”). The classification of derivative instruments, including whether such instruments should be recorded as liabilities or as equity, is re-assessed at the end of each reporting perio</w:t>
      </w:r>
      <w:r>
        <w:rPr>
          <w:sz w:val="20"/>
          <w:szCs w:val="20"/>
        </w:rPr>
        <w:t>d.</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The 6,500,000 warrants issued in connection with the Initial Public Offering (the “Public Warrants”) and the 4,250,000 Private Placement Warrants are recognized as derivative liabilities in accordance with ASC 815. Accordingly, the Company recognizes </w:t>
      </w:r>
      <w:r>
        <w:rPr>
          <w:sz w:val="20"/>
          <w:szCs w:val="20"/>
        </w:rPr>
        <w:t xml:space="preserve">the warrant instruments as liabilities at fair value and adjust the instruments to fair value at each reporting period. The liabilities are subject to re-measurement at each balance sheet date until exercised. The initial fair value of the Public Warrants </w:t>
      </w:r>
      <w:r>
        <w:rPr>
          <w:sz w:val="20"/>
          <w:szCs w:val="20"/>
        </w:rPr>
        <w:t xml:space="preserve">issued in connection with the Public Offering have been estimated using a binomial lattice model in a risk-neutral framework. The fair value of the Private Placement warrants has been estimated using a Black Scholes simulation model each measurement date. </w:t>
      </w:r>
      <w:r>
        <w:rPr>
          <w:sz w:val="20"/>
          <w:szCs w:val="20"/>
        </w:rPr>
        <w:t>Derivative warrant liabilities are classified as non-current liabilities as their liquidation is not reasonably expected to require the use of current assets or require the creation of current liabilities.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i/>
          <w:iCs/>
          <w:sz w:val="20"/>
          <w:szCs w:val="20"/>
        </w:rPr>
        <w:t>Offering Costs Associated with the Initial Publi</w:t>
      </w:r>
      <w:r>
        <w:rPr>
          <w:b/>
          <w:bCs/>
          <w:i/>
          <w:iCs/>
          <w:sz w:val="20"/>
          <w:szCs w:val="20"/>
        </w:rPr>
        <w:t>c Offering</w:t>
      </w:r>
    </w:p>
    <w:p w:rsidR="00000000" w:rsidRDefault="00CE32AE">
      <w:pPr>
        <w:pStyle w:val="a3"/>
        <w:spacing w:before="0" w:beforeAutospacing="0" w:after="0" w:afterAutospacing="0"/>
        <w:ind w:firstLine="471"/>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Offering costs consist of legal, accounting, underwriting and other costs incurred that were directly related to the Initial Public Offering and that were charged to shareholders’ equity upon the completion of the Initial Public Offering. Offe</w:t>
      </w:r>
      <w:r>
        <w:rPr>
          <w:sz w:val="20"/>
          <w:szCs w:val="20"/>
        </w:rPr>
        <w:t>ring costs are allocated to the separable financial instruments issued in the Initial Public Offering based on a relative fair value basis, compared to total proceeds received. Offering costs associated with derivative warrant liabilities are expensed as i</w:t>
      </w:r>
      <w:r>
        <w:rPr>
          <w:sz w:val="20"/>
          <w:szCs w:val="20"/>
        </w:rPr>
        <w:t>ncurred, presented as non-operating expenses in the statement of operations. Offering costs associated with the Class A ordinary shares issued were charged to shareholders’ equity upon the completion of the Initial Public Offering.</w:t>
      </w:r>
    </w:p>
    <w:p w:rsidR="00000000" w:rsidRDefault="00CE32AE">
      <w:pPr>
        <w:pStyle w:val="a3"/>
        <w:spacing w:before="0" w:beforeAutospacing="0" w:after="0" w:afterAutospacing="0"/>
        <w:ind w:left="402" w:hanging="262"/>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i/>
          <w:iCs/>
          <w:sz w:val="20"/>
          <w:szCs w:val="20"/>
        </w:rPr>
        <w:t>Class </w:t>
      </w:r>
      <w:r>
        <w:rPr>
          <w:b/>
          <w:bCs/>
          <w:i/>
          <w:iCs/>
          <w:sz w:val="20"/>
          <w:szCs w:val="20"/>
        </w:rPr>
        <w:t>A Ordinary Shares Subject to Possible Redemption</w:t>
      </w:r>
    </w:p>
    <w:p w:rsidR="00000000" w:rsidRDefault="00CE32AE">
      <w:pPr>
        <w:pStyle w:val="a3"/>
        <w:shd w:val="clear" w:color="auto" w:fill="FFFFFF"/>
        <w:spacing w:before="0" w:beforeAutospacing="0" w:after="0" w:afterAutospacing="0"/>
        <w:ind w:firstLine="49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Class A ordinary shares subject to mandatory redemption (if any) are classified as liability instruments and are measured at fair value. Conditionally redeemable Class A ordinary shares (including Class A </w:t>
      </w:r>
      <w:r>
        <w:rPr>
          <w:sz w:val="20"/>
          <w:szCs w:val="20"/>
        </w:rPr>
        <w:t>ordinary shares that feature redemption rights that are either within the control of the holder or subject to redemption upon the occurrence of uncertain events not solely within the Company’s control) are classified as temporary equity. At all other times</w:t>
      </w:r>
      <w:r>
        <w:rPr>
          <w:sz w:val="20"/>
          <w:szCs w:val="20"/>
        </w:rPr>
        <w:t>, Class A ordinary shares are classified as shareholders’ equity. The Company’s Class A ordinary shares feature certain redemption rights that are considered to be outside of the Company’s control and subject to occurrence of uncertain future events, Accor</w:t>
      </w:r>
      <w:r>
        <w:rPr>
          <w:sz w:val="20"/>
          <w:szCs w:val="20"/>
        </w:rPr>
        <w:t>dingly, at March 31, 2021, 29,529,953 Class A ordinary shares subject to possible redemption are presented as temporary equity, outside of the shareholders’ equity section of the Company’s condensed balance sheets.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Income Taxes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 xml:space="preserve">The Company follows the </w:t>
      </w:r>
      <w:r>
        <w:rPr>
          <w:sz w:val="20"/>
          <w:szCs w:val="20"/>
        </w:rPr>
        <w:t>guidance for accounting for income taxes under FASB ASC 740, “Income Taxes”, which prescribes a recognition threshold and a measurement attribute for the financial statement recognition and measurement of tax positions taken or expected to be taken in a ta</w:t>
      </w:r>
      <w:r>
        <w:rPr>
          <w:sz w:val="20"/>
          <w:szCs w:val="20"/>
        </w:rPr>
        <w:t>x return. For those benefits to be recognized, a tax position must be more likely than not to be sustained upon examination by taxing authorities. The Company’s management determined that the Cayman Islands is the Company’s only major tax jurisdiction. The</w:t>
      </w:r>
      <w:r>
        <w:rPr>
          <w:sz w:val="20"/>
          <w:szCs w:val="20"/>
        </w:rPr>
        <w:t xml:space="preserve"> Company recognizes accrued interest and penalties related to unrecognized tax benefits as income tax expense. There were no unrecognized tax benefits and no amounts accrued for interest and penalties as of March 31, 2021 and December 31, 2020. The Company</w:t>
      </w:r>
      <w:r>
        <w:rPr>
          <w:sz w:val="20"/>
          <w:szCs w:val="20"/>
        </w:rPr>
        <w:t xml:space="preserve"> is currently not aware of any issues under review that could result in significant payments, accruals or material deviation from its position.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There is currently no taxation imposed on income by the Government of the Cayman Islands. In accordance with C</w:t>
      </w:r>
      <w:r>
        <w:rPr>
          <w:sz w:val="20"/>
          <w:szCs w:val="20"/>
        </w:rPr>
        <w:t>ayman federal income tax regulations, income taxes are not levied on the Company. Consequently, income taxes are not reflected in the Company’s financial statement. The Company’s management does not expect that the total amount of unrecognized tax benefits</w:t>
      </w:r>
      <w:r>
        <w:rPr>
          <w:sz w:val="20"/>
          <w:szCs w:val="20"/>
        </w:rPr>
        <w:t xml:space="preserve"> will materially change over the next twelve months.</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169907832"/>
        <w:rPr>
          <w:sz w:val="20"/>
          <w:szCs w:val="20"/>
        </w:rPr>
      </w:pPr>
      <w:r>
        <w:rPr>
          <w:sz w:val="20"/>
          <w:szCs w:val="20"/>
        </w:rPr>
        <w:t>1</w:t>
      </w:r>
      <w:r>
        <w:rPr>
          <w:sz w:val="20"/>
          <w:szCs w:val="20"/>
        </w:rPr>
        <w:t>0</w:t>
      </w:r>
    </w:p>
    <w:p w:rsidR="00000000" w:rsidRDefault="00CE32AE">
      <w:pPr>
        <w:pStyle w:val="a3"/>
        <w:spacing w:before="0" w:beforeAutospacing="0" w:after="0" w:afterAutospacing="0"/>
        <w:divId w:val="60299361"/>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Net income (loss) per ordinary share</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Net income (loss) per </w:t>
      </w:r>
      <w:r>
        <w:rPr>
          <w:sz w:val="20"/>
          <w:szCs w:val="20"/>
        </w:rPr>
        <w:t>common share is computed by dividing net income (loss) by the weighted-average number of shares of ordinary shares outstanding during the period. The Company has not considered the effect of the warrants sold in the Initial Public Offering and private plac</w:t>
      </w:r>
      <w:r>
        <w:rPr>
          <w:sz w:val="20"/>
          <w:szCs w:val="20"/>
        </w:rPr>
        <w:t>ement to purchase an aggregate of 10,750,000 shares in the calculation of diluted loss per share, since the exercise of the warrants are contingent upon the occurrence of future events and the inclusion of such warrants would be anti-dilutive, using the tr</w:t>
      </w:r>
      <w:r>
        <w:rPr>
          <w:sz w:val="20"/>
          <w:szCs w:val="20"/>
        </w:rPr>
        <w:t>easury stock method.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The Company’s unaudited condensed statement of operations includes a presentation of income (loss) per ordinary share for ordinary shares subject to possible redemption in a manner similar to the two-class method of income (loss) per</w:t>
      </w:r>
      <w:r>
        <w:rPr>
          <w:sz w:val="20"/>
          <w:szCs w:val="20"/>
        </w:rPr>
        <w:t xml:space="preserve"> ordinary share. Net income (loss) per ordinary share, basic and diluted, for Class A ordinary shares for the three months ended March 31, 2021, is calculated by dividing the income or loss on investments held in the Trust Account of approximately $534 for</w:t>
      </w:r>
      <w:r>
        <w:rPr>
          <w:sz w:val="20"/>
          <w:szCs w:val="20"/>
        </w:rPr>
        <w:t xml:space="preserve"> the three months ended March 31, 2021, by the weighted average number of Class A ordinary shares outstanding for the period.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Net income (loss) per ordinary share, basic and diluted, for Class B ordinary shares is calculated by dividing the net income (l</w:t>
      </w:r>
      <w:r>
        <w:rPr>
          <w:sz w:val="20"/>
          <w:szCs w:val="20"/>
        </w:rPr>
        <w:t>oss), adjusted for income or loss attributed to Class A ordinary shares, by the weighted average number of shares of Class B ordinary shares outstanding for the period.</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Recent Accounting Pronouncements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shd w:val="clear" w:color="auto" w:fill="FFFFFF"/>
        </w:rPr>
        <w:t>In August 2020, the FASB issued Accounting Standar</w:t>
      </w:r>
      <w:r>
        <w:rPr>
          <w:sz w:val="20"/>
          <w:szCs w:val="20"/>
          <w:shd w:val="clear" w:color="auto" w:fill="FFFFFF"/>
        </w:rPr>
        <w:t>ds Update (“ASU”) No. 2020-06, </w:t>
      </w:r>
      <w:r>
        <w:rPr>
          <w:i/>
          <w:iCs/>
          <w:sz w:val="20"/>
          <w:szCs w:val="20"/>
          <w:shd w:val="clear" w:color="auto" w:fill="FFFFFF"/>
        </w:rPr>
        <w:t>Debt—Debt with Conversion and Other Options (Subtopic 470-20) and Derivatives and Hedging—Contracts in Entity’s Own Equity (Subtopic 815-40): Accounting for Convertible Instruments and Contracts in an Entity’s Own Equity </w:t>
      </w:r>
      <w:r>
        <w:rPr>
          <w:sz w:val="20"/>
          <w:szCs w:val="20"/>
          <w:shd w:val="clear" w:color="auto" w:fill="FFFFFF"/>
        </w:rPr>
        <w:t>(“AS</w:t>
      </w:r>
      <w:r>
        <w:rPr>
          <w:sz w:val="20"/>
          <w:szCs w:val="20"/>
          <w:shd w:val="clear" w:color="auto" w:fill="FFFFFF"/>
        </w:rPr>
        <w:t>U 2020-06”), which simplifies accounting for convertible instruments by removing major separation models required under current GAAP. The ASU also removes certain settlement conditions that are required for equity-linked contracts to qualify for the deriva</w:t>
      </w:r>
      <w:r>
        <w:rPr>
          <w:sz w:val="20"/>
          <w:szCs w:val="20"/>
          <w:shd w:val="clear" w:color="auto" w:fill="FFFFFF"/>
        </w:rPr>
        <w:t>tive scope exception, and it simplifies the diluted earnings per share calculation in certain areas. The Company adopted ASU 2020-06 on January 1, 2021. Adoption of the ASU did not impact the Company’s financial position, results of operations or cash flow</w:t>
      </w:r>
      <w:r>
        <w:rPr>
          <w:sz w:val="20"/>
          <w:szCs w:val="20"/>
          <w:shd w:val="clear" w:color="auto" w:fill="FFFFFF"/>
        </w:rPr>
        <w:t>s. </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The Company’s management does not believe that any other recently issued, but not yet effective, accounting standards updates, if currently adopted, would have a material effect on the Company’s unaudited condensed financial statements.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Note 3 — In</w:t>
      </w:r>
      <w:r>
        <w:rPr>
          <w:b/>
          <w:bCs/>
          <w:sz w:val="20"/>
          <w:szCs w:val="20"/>
        </w:rPr>
        <w:t>itial Public Offering</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On February 19, 2021, the Company consummated its Initial Public Offering of 32,500,000 Units, including 2,500,000 Over-Allotment Units, at $10.00 per Unit, generating gross proceeds of $325.0 million, and incurring offering costs o</w:t>
      </w:r>
      <w:r>
        <w:rPr>
          <w:sz w:val="20"/>
          <w:szCs w:val="20"/>
        </w:rPr>
        <w:t>f approximately $18.5 million, of which approximately $11.4 million was for deferred underwriting commissions. The underwriters have 45 days from the effective date of the prospectus to exercise the remaining portion of its option to purchase up to 2,000,0</w:t>
      </w:r>
      <w:r>
        <w:rPr>
          <w:sz w:val="20"/>
          <w:szCs w:val="20"/>
        </w:rPr>
        <w:t>00 Units at the Initial Public Offering price to cover over-allotments. On April 2, 2021, the over-allotment option on the remaining Units expired unexercised by the underwriters; thus, 500,000 Class B ordinary shares were subsequently forfeited.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Each Un</w:t>
      </w:r>
      <w:r>
        <w:rPr>
          <w:sz w:val="20"/>
          <w:szCs w:val="20"/>
        </w:rPr>
        <w:t>it consists of one Class A ordinary share and one-fifth of one redeemable warrant (“Public Warrant”). Each whole Public Warrant will entitle the holder to purchase one Class A ordinary share at an exercise price of $11.50 per share, subject to adjustment (</w:t>
      </w:r>
      <w:r>
        <w:rPr>
          <w:sz w:val="20"/>
          <w:szCs w:val="20"/>
        </w:rPr>
        <w:t>see Note 7).</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Note 4 — Related Party Transactions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Founder Shares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On December 28, 2020, the Sponsor paid an aggregate of $25,000 for certain expenses on behalf of the Company in exchange for issuance of 7,906,250 Class B ordinary shares (the “Founder S</w:t>
      </w:r>
      <w:r>
        <w:rPr>
          <w:sz w:val="20"/>
          <w:szCs w:val="20"/>
        </w:rPr>
        <w:t>hares”). On February 16, 2021, the Company effected a share dividend of 718,750 Class B ordinary shares to the Sponsor, resulting in there being an aggregate of 8,625,000 Class B ordinary shares outstanding. The Sponsor agreed to forfeit up to an aggregate</w:t>
      </w:r>
      <w:r>
        <w:rPr>
          <w:sz w:val="20"/>
          <w:szCs w:val="20"/>
        </w:rPr>
        <w:t xml:space="preserve"> of 1,125,000 Founder Shares to the extent that the option to purchase additional Units is not exercised in full by the underwriters or is reduced, so that the Founder Shares will represent 20% of the Company’s issued and outstanding shares after the Initi</w:t>
      </w:r>
      <w:r>
        <w:rPr>
          <w:sz w:val="20"/>
          <w:szCs w:val="20"/>
        </w:rPr>
        <w:t>al Public Offering. The underwriters partially exercised their over-allotment option to purchase an additional 2,500,000 Units on February 19, 2021 and on April 2, 2021, the over-allotment option on the remaining Units expired unexercised by the underwrite</w:t>
      </w:r>
      <w:r>
        <w:rPr>
          <w:sz w:val="20"/>
          <w:szCs w:val="20"/>
        </w:rPr>
        <w:t>rs; thus, 500,000 Class B ordinary shares were subsequently forfeited.</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412387193"/>
        <w:rPr>
          <w:sz w:val="20"/>
          <w:szCs w:val="20"/>
        </w:rPr>
      </w:pPr>
      <w:r>
        <w:rPr>
          <w:sz w:val="20"/>
          <w:szCs w:val="20"/>
        </w:rPr>
        <w:t>1</w:t>
      </w:r>
      <w:r>
        <w:rPr>
          <w:sz w:val="20"/>
          <w:szCs w:val="20"/>
        </w:rPr>
        <w:t>1</w:t>
      </w:r>
    </w:p>
    <w:p w:rsidR="00000000" w:rsidRDefault="00CE32AE">
      <w:pPr>
        <w:pStyle w:val="a3"/>
        <w:spacing w:before="0" w:beforeAutospacing="0" w:after="0" w:afterAutospacing="0"/>
        <w:divId w:val="886796098"/>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 Initial Shareholders agreed not to transfer, assign or sell any of their Founder Shares until the earlier to occur of: (A) one year after the completion of the initial Business Combination or earlier if, subsequent to the initial Business Combination, </w:t>
      </w:r>
      <w:r>
        <w:rPr>
          <w:sz w:val="20"/>
          <w:szCs w:val="20"/>
        </w:rPr>
        <w:t>the closing price of the Class A ordinary share equals or exceeds $12.00 per share (as adjusted for share sub-divisions, capitalization of shares, share dividends, rights issuances, subdivisions reorganizations, recapitalizations and the like) for any 20 t</w:t>
      </w:r>
      <w:r>
        <w:rPr>
          <w:sz w:val="20"/>
          <w:szCs w:val="20"/>
        </w:rPr>
        <w:t>rading days within any 30-trading day period commencing at least 150 days after the initial Business Combination, and (B) the date following the completion of the initial Business Combination on which the Company completes a liquidation, merger, share exch</w:t>
      </w:r>
      <w:r>
        <w:rPr>
          <w:sz w:val="20"/>
          <w:szCs w:val="20"/>
        </w:rPr>
        <w:t>ange or other similar transaction that results in all of the Company’s shareholders having the right to exchange their Class A ordinary shares for cash, securities or other property.</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Private Placement Warrants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Simultaneously with the closing of the Ini</w:t>
      </w:r>
      <w:r>
        <w:rPr>
          <w:sz w:val="20"/>
          <w:szCs w:val="20"/>
        </w:rPr>
        <w:t>tial Public Offering, the Company consummated the Private Placement of 4,250,000 Private Placement Warrants to the Sponsor, each exercisable to purchase one Class A ordinary share at $11.50 per share, at a price of $2.00 per Private Placement Warrant, gene</w:t>
      </w:r>
      <w:r>
        <w:rPr>
          <w:sz w:val="20"/>
          <w:szCs w:val="20"/>
        </w:rPr>
        <w:t>rating gross proceeds to the Company of $8.5 million.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Each whole Private Placement Warrant is exercisable for one whole Class A ordinary share at a price of $11.50 per share. A portion of the proceeds from the sale of the Private Placement Warrants to th</w:t>
      </w:r>
      <w:r>
        <w:rPr>
          <w:sz w:val="20"/>
          <w:szCs w:val="20"/>
        </w:rPr>
        <w:t>e Sponsor was added to the proceeds from the Initial Public Offering held in the Trust Account. If the Company does not complete a Business Combination within the Combination Period, the Private Placement Warrants will expire worthless. The Private Placeme</w:t>
      </w:r>
      <w:r>
        <w:rPr>
          <w:sz w:val="20"/>
          <w:szCs w:val="20"/>
        </w:rPr>
        <w:t>nt Warrants will be non-redeemable except as described below in Note 7 and exercisable on a cashless basis so long as they are held by the Sponsor or its permitted transferees.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Sponsor and the Company’s officers and directors agreed, subject to limit</w:t>
      </w:r>
      <w:r>
        <w:rPr>
          <w:sz w:val="20"/>
          <w:szCs w:val="20"/>
        </w:rPr>
        <w:t>ed exceptions, not to transfer, assign or sell any of their Private Placement Warrants until 30 days after the completion of the initial Business Combination.</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Related Party Loans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On December 23, 2020, the Sponsor agreed to loan the Company up to $300,0</w:t>
      </w:r>
      <w:r>
        <w:rPr>
          <w:sz w:val="20"/>
          <w:szCs w:val="20"/>
        </w:rPr>
        <w:t>00 to be used for the payment of costs related to the Initial Public Offering pursuant to a promissory note (the “Note”). The Note was non-interest bearing, unsecured and due upon the closing of the Initial Public Offering. Prior to the closing of the Init</w:t>
      </w:r>
      <w:r>
        <w:rPr>
          <w:sz w:val="20"/>
          <w:szCs w:val="20"/>
        </w:rPr>
        <w:t xml:space="preserve">ial Public Offering, the </w:t>
      </w:r>
      <w:r>
        <w:rPr>
          <w:sz w:val="20"/>
          <w:szCs w:val="20"/>
          <w:shd w:val="clear" w:color="auto" w:fill="FFFFFF"/>
        </w:rPr>
        <w:t>Company borrowed approximately $129,000 under the Note. The Note was fully repaid on February 19, 2021.</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In addition, in order to fund working capital </w:t>
      </w:r>
      <w:r>
        <w:rPr>
          <w:sz w:val="20"/>
          <w:szCs w:val="20"/>
        </w:rPr>
        <w:t>deficiencies or finance transaction costs in connection with a Business Combination, the Sponsor or an affiliate of the Sponsor, or certain of the Company’s officers and directors will loan the Company funds as may be required (“Working Capital Loans”). If</w:t>
      </w:r>
      <w:r>
        <w:rPr>
          <w:sz w:val="20"/>
          <w:szCs w:val="20"/>
        </w:rPr>
        <w:t xml:space="preserve"> the Company completes a Business Combination, the Company may repay the Working Capital Loans out of the proceeds of the Trust Account released to the Company. Otherwise, the Working Capital Loans may be repaid only out of funds held outside the Trust Acc</w:t>
      </w:r>
      <w:r>
        <w:rPr>
          <w:sz w:val="20"/>
          <w:szCs w:val="20"/>
        </w:rPr>
        <w:t xml:space="preserve">ount. In the event that a Business Combination does not close, the Company may use a portion of proceeds held outside the Trust Account to repay the Working Capital Loans but no proceeds held in the Trust Account would be used to repay the Working Capital </w:t>
      </w:r>
      <w:r>
        <w:rPr>
          <w:sz w:val="20"/>
          <w:szCs w:val="20"/>
        </w:rPr>
        <w:t>Loans. The Working Capital Loans would either be repaid upon consummation of a Business Combination, without interest, or, at the lender’s discretion, up to $1.5 million of such Working Capital Loans may be convertible into warrants of the post Business Co</w:t>
      </w:r>
      <w:r>
        <w:rPr>
          <w:sz w:val="20"/>
          <w:szCs w:val="20"/>
        </w:rPr>
        <w:t>mbination entity at a price of $2.00 per warrant. The warrants would be identical to the Private Placement Warrants. Except for the foregoing, the terms of such Working Capital Loans, if any, have not been determined and no written agreements exist with re</w:t>
      </w:r>
      <w:r>
        <w:rPr>
          <w:sz w:val="20"/>
          <w:szCs w:val="20"/>
        </w:rPr>
        <w:t>spect to such loans. As of March 31, 2021 and December 31, 2020, the Company had no borrowings under the Working Capital Loans.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center"/>
        <w:divId w:val="1308586349"/>
        <w:rPr>
          <w:sz w:val="20"/>
          <w:szCs w:val="20"/>
        </w:rPr>
      </w:pPr>
      <w:r>
        <w:rPr>
          <w:sz w:val="20"/>
          <w:szCs w:val="20"/>
        </w:rPr>
        <w:t>1</w:t>
      </w:r>
      <w:r>
        <w:rPr>
          <w:sz w:val="20"/>
          <w:szCs w:val="20"/>
        </w:rPr>
        <w:t>2</w:t>
      </w:r>
    </w:p>
    <w:p w:rsidR="00000000" w:rsidRDefault="00CE32AE">
      <w:pPr>
        <w:pStyle w:val="a3"/>
        <w:spacing w:before="0" w:beforeAutospacing="0" w:after="0" w:afterAutospacing="0"/>
        <w:divId w:val="344986973"/>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i/>
          <w:iCs/>
          <w:sz w:val="20"/>
          <w:szCs w:val="20"/>
        </w:rPr>
        <w:t>Administrative Services Agreement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Commencing on the date that the Company’s securities were first listed on Nasdaq through the earlier of consummation of the initial Business Combination and the liquida</w:t>
      </w:r>
      <w:r>
        <w:rPr>
          <w:sz w:val="20"/>
          <w:szCs w:val="20"/>
        </w:rPr>
        <w:t>tion, the Company agreed to pay the Sponsor $10,000 per month for office space, secretarial and administrative services provided to the Company. For the three months ended March 31, 2021, the Company incurred expenses of $20,000 under this agreement. As of</w:t>
      </w:r>
      <w:r>
        <w:rPr>
          <w:sz w:val="20"/>
          <w:szCs w:val="20"/>
        </w:rPr>
        <w:t xml:space="preserve"> March 31, 2021 and December 31, 2020, the Company had accrued approximately $20,000 and $0, respectively, for services in connection with such agreement on the accompanying condensed balance sheets.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In addition, the Sponsor, officers and directors, or </w:t>
      </w:r>
      <w:r>
        <w:rPr>
          <w:sz w:val="20"/>
          <w:szCs w:val="20"/>
        </w:rPr>
        <w:t>any of their respective affiliates will be reimbursed for any out-of-pocket expenses incurred in connection with activities on the Company’s behalf such as identifying potential target businesses and performing due diligence on suitable Business Combinatio</w:t>
      </w:r>
      <w:r>
        <w:rPr>
          <w:sz w:val="20"/>
          <w:szCs w:val="20"/>
        </w:rPr>
        <w:t>ns. The audit committee will review on a quarterly basis all payments that were made by the Company to the Sponsor, officers or directors, or the Company’s or their affiliates. Any such payments prior to an initial Business Combination will be made from fu</w:t>
      </w:r>
      <w:r>
        <w:rPr>
          <w:sz w:val="20"/>
          <w:szCs w:val="20"/>
        </w:rPr>
        <w:t>nds held outside the Trust Account.</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Note 5 — Commitments and Contingencies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Registration and Shareholder Rights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The holders of the Founder Shares, Private Placement Warrants and warrants that may be issued upon conversion of Working Capital Loans (and</w:t>
      </w:r>
      <w:r>
        <w:rPr>
          <w:sz w:val="20"/>
          <w:szCs w:val="20"/>
        </w:rPr>
        <w:t xml:space="preserve"> any Class A ordinary shares issuable upon the exercise of the Private Placement Warrants and warrants that may be issued upon conversion of Working Capital Loans) are entitled to registration rights pursuant to a registration and shareholder rights agreem</w:t>
      </w:r>
      <w:r>
        <w:rPr>
          <w:sz w:val="20"/>
          <w:szCs w:val="20"/>
        </w:rPr>
        <w:t>ent entered into on the effective date of the Initial Public Offering. The holders of these securities are entitled to make up to three demands, excluding short form demands, that the Company registers such securities. In addition, the holders have certain</w:t>
      </w:r>
      <w:r>
        <w:rPr>
          <w:sz w:val="20"/>
          <w:szCs w:val="20"/>
        </w:rPr>
        <w:t xml:space="preserve"> “piggy-back” registration rights with respect to registration statements filed subsequent to the completion of the initial Business Combination. The Company will bear the expenses incurred in connection with the filing of any such registration statements.</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Underwriting Agreement</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The underwriters were entitled to an underwriting discount of $0.20 per unit, or $6.5 million in the aggregate, payable upon the closing of the Initial Public Offering. In addition, $0.35 per unit, or approximately $11.4 million</w:t>
      </w:r>
      <w:r>
        <w:rPr>
          <w:sz w:val="20"/>
          <w:szCs w:val="20"/>
        </w:rPr>
        <w:t xml:space="preserve"> in the aggregate will be payable to the underwriters for deferred underwriting commissions. The deferred fee will become payable to the underwriters from the amounts held in the Trust Account solely in the event that the Company completes a Business Combi</w:t>
      </w:r>
      <w:r>
        <w:rPr>
          <w:sz w:val="20"/>
          <w:szCs w:val="20"/>
        </w:rPr>
        <w:t>nation, subject to the terms of the underwriting agreement.</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Risks and Uncertainties</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 xml:space="preserve">Management continues to evaluate the impact of the COVID-19 pandemic and has concluded that while it is reasonably possible that the virus could have a negative effect </w:t>
      </w:r>
      <w:r>
        <w:rPr>
          <w:sz w:val="20"/>
          <w:szCs w:val="20"/>
        </w:rPr>
        <w:t>on the Company’s financial position, results of its operations, and/or search for a target company, the specific impact is not readily determinable as of the date of these financial statement. The financial statement does not include any adjustments that m</w:t>
      </w:r>
      <w:r>
        <w:rPr>
          <w:sz w:val="20"/>
          <w:szCs w:val="20"/>
        </w:rPr>
        <w:t>ight result from the outcome of this uncertainty.</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sz w:val="20"/>
          <w:szCs w:val="20"/>
        </w:rPr>
        <w:t>Note 6 — Shareholders’ Equity</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i/>
          <w:iCs/>
          <w:sz w:val="20"/>
          <w:szCs w:val="20"/>
        </w:rPr>
        <w:t xml:space="preserve">Preference Shares — </w:t>
      </w:r>
      <w:r>
        <w:rPr>
          <w:sz w:val="20"/>
          <w:szCs w:val="20"/>
        </w:rPr>
        <w:t xml:space="preserve">The Company </w:t>
      </w:r>
      <w:r>
        <w:rPr>
          <w:sz w:val="20"/>
          <w:szCs w:val="20"/>
        </w:rPr>
        <w:t>is authorized to issue 1,000,000 preference shares with a par value of $0.0001 per share. At March 31, 2021 and December 31, 2020, there were no preference shares issued or outstanding.</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i/>
          <w:iCs/>
          <w:sz w:val="20"/>
          <w:szCs w:val="20"/>
        </w:rPr>
        <w:t xml:space="preserve">Class A Ordinary Shares — </w:t>
      </w:r>
      <w:r>
        <w:rPr>
          <w:sz w:val="20"/>
          <w:szCs w:val="20"/>
        </w:rPr>
        <w:t>The Company is authorized to issue 300,000</w:t>
      </w:r>
      <w:r>
        <w:rPr>
          <w:sz w:val="20"/>
          <w:szCs w:val="20"/>
        </w:rPr>
        <w:t xml:space="preserve">,000 Class A ordinary shares with a par value of $0.0001 per share. Holders of the Company’s Class A ordinary shares are entitled to one vote for each share. As of March 31, 2021 and December 31, 2020, there were </w:t>
      </w:r>
      <w:r>
        <w:rPr>
          <w:sz w:val="20"/>
          <w:szCs w:val="20"/>
          <w:shd w:val="clear" w:color="auto" w:fill="FFFFFF"/>
        </w:rPr>
        <w:t>2,970,047 and 0, respectively of Class A or</w:t>
      </w:r>
      <w:r>
        <w:rPr>
          <w:sz w:val="20"/>
          <w:szCs w:val="20"/>
          <w:shd w:val="clear" w:color="auto" w:fill="FFFFFF"/>
        </w:rPr>
        <w:t>dinary shares issued and outstanding, excluding 29,529,953 and 0, respectively of Class A ordinary shares subject to possible redemption.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748428967"/>
        <w:rPr>
          <w:sz w:val="20"/>
          <w:szCs w:val="20"/>
        </w:rPr>
      </w:pPr>
      <w:r>
        <w:rPr>
          <w:sz w:val="20"/>
          <w:szCs w:val="20"/>
        </w:rPr>
        <w:t>1</w:t>
      </w:r>
      <w:r>
        <w:rPr>
          <w:sz w:val="20"/>
          <w:szCs w:val="20"/>
        </w:rPr>
        <w:t>3</w:t>
      </w:r>
    </w:p>
    <w:p w:rsidR="00000000" w:rsidRDefault="00CE32AE">
      <w:pPr>
        <w:pStyle w:val="a3"/>
        <w:spacing w:before="0" w:beforeAutospacing="0" w:after="0" w:afterAutospacing="0"/>
        <w:divId w:val="1787457011"/>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b/>
          <w:bCs/>
          <w:i/>
          <w:iCs/>
          <w:sz w:val="20"/>
          <w:szCs w:val="20"/>
        </w:rPr>
        <w:t>Class B Ordinary Shar</w:t>
      </w:r>
      <w:r>
        <w:rPr>
          <w:b/>
          <w:bCs/>
          <w:i/>
          <w:iCs/>
          <w:sz w:val="20"/>
          <w:szCs w:val="20"/>
        </w:rPr>
        <w:t xml:space="preserve">es — </w:t>
      </w:r>
      <w:r>
        <w:rPr>
          <w:sz w:val="20"/>
          <w:szCs w:val="20"/>
        </w:rPr>
        <w:t>The Company is authorized to issue 30,000,000 Class B ordinary shares with a par value of $0.0001 per share. On December 28, 2020, the Company issued 7,906,250 Class B ordinary shares. On February 16, 2021, the Company effected a share dividend of 718</w:t>
      </w:r>
      <w:r>
        <w:rPr>
          <w:sz w:val="20"/>
          <w:szCs w:val="20"/>
        </w:rPr>
        <w:t>,750 Class B ordinary shares to the Sponsor, resulting in there being an aggregate of 8,625,000 Class B ordinary shares outstanding. Of the of 8,625,000 Class B ordinary shares outstanding, up to 1,125,000 Class B ordinary shares were subject to forfeiture</w:t>
      </w:r>
      <w:r>
        <w:rPr>
          <w:sz w:val="20"/>
          <w:szCs w:val="20"/>
        </w:rPr>
        <w:t xml:space="preserve">, to the Company by the Initial Shareholders for no consideration to the extent that the underwriters’ over-allotment option was not exercised in full or in part, so that the Class B ordinary shares would collectively represent 20% of the Company’s issued </w:t>
      </w:r>
      <w:r>
        <w:rPr>
          <w:sz w:val="20"/>
          <w:szCs w:val="20"/>
        </w:rPr>
        <w:t>and outstanding ordinary shares after the Initial Public Offering. The underwriters partially exercised their over-allotment option to purchase an additional 2,500,000 Units on February 19, 2021 and on April 2, 2021, the over-allotment option on the remain</w:t>
      </w:r>
      <w:r>
        <w:rPr>
          <w:sz w:val="20"/>
          <w:szCs w:val="20"/>
        </w:rPr>
        <w:t>ing Units expired unexercised by the underwriters; thus, 500,000 Class B ordinary shares were subsequently forfeited.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Ordinary shareholders of record are entitled to one vote for each share held on all matters to be voted on by shareholders and holders o</w:t>
      </w:r>
      <w:r>
        <w:rPr>
          <w:sz w:val="20"/>
          <w:szCs w:val="20"/>
        </w:rPr>
        <w:t>f Class A ordinary shares and holders of Class B ordinary shares will vote together as a single class on all matters submitted to a vote of the shareholders except as required by law; provided that only holders of Class B ordinary shares will have the righ</w:t>
      </w:r>
      <w:r>
        <w:rPr>
          <w:sz w:val="20"/>
          <w:szCs w:val="20"/>
        </w:rPr>
        <w:t>t to vote on the appointment of directors prior to or in connection with the completion of the initial Business Combination.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Class B ordinary shares will automatically convert into Class A ordinary shares at the time of the initial Business Combinati</w:t>
      </w:r>
      <w:r>
        <w:rPr>
          <w:sz w:val="20"/>
          <w:szCs w:val="20"/>
        </w:rPr>
        <w:t>on at a ratio such that the number of Class A ordinary shares issuable upon conversion of all Founder Shares will equal, in the aggregate, on an as-converted basis, 20% of the sum of (i) the total number of ordinary shares issued and outstanding upon compl</w:t>
      </w:r>
      <w:r>
        <w:rPr>
          <w:sz w:val="20"/>
          <w:szCs w:val="20"/>
        </w:rPr>
        <w:t>etion of the Initial Public Offering, plus (ii) the total number of Class A ordinary shares issued or deemed issued or issuable upon conversion or exercise of any equity-linked securities (as defined herein) or rights issued or deemed issued, by the Compan</w:t>
      </w:r>
      <w:r>
        <w:rPr>
          <w:sz w:val="20"/>
          <w:szCs w:val="20"/>
        </w:rPr>
        <w:t>y in connection with or in relation to the consummation of the initial Business Combination, excluding any Class A ordinary shares or equity-linked securities exercisable for or convertible into Class A ordinary shares issued, deemed issued, or to be issue</w:t>
      </w:r>
      <w:r>
        <w:rPr>
          <w:sz w:val="20"/>
          <w:szCs w:val="20"/>
        </w:rPr>
        <w:t>d, to any seller in the initial Business Combination and any private placement warrants issued to the Sponsor, its affiliates or any member of the management team upon conversion of Working Capital Loans. In no event will the Class B ordinary shares conver</w:t>
      </w:r>
      <w:r>
        <w:rPr>
          <w:sz w:val="20"/>
          <w:szCs w:val="20"/>
        </w:rPr>
        <w:t>t into Class A ordinary shares at a rate of less than one-to-one.</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sz w:val="20"/>
          <w:szCs w:val="20"/>
        </w:rPr>
        <w:t>Note 7 — Warrants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 xml:space="preserve">As of March 31, 2021 and December 31, 2020, the Company had 6,500,000 and 0, respectively of Public Warrants and the 4,250,000 and 0, respectively of Private Placement </w:t>
      </w:r>
      <w:r>
        <w:rPr>
          <w:sz w:val="20"/>
          <w:szCs w:val="20"/>
        </w:rPr>
        <w:t>Warrants outstanding.</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Public Warrants may only be exercised for a whole </w:t>
      </w:r>
      <w:r>
        <w:rPr>
          <w:sz w:val="20"/>
          <w:szCs w:val="20"/>
        </w:rPr>
        <w:t>number of shares. No fractional Public Warrants will be issued upon separation of the Units and only whole Public Warrants will trade. The Public Warrants will become exercisable on the later of (a) 30 days after the completion of a Business Combination an</w:t>
      </w:r>
      <w:r>
        <w:rPr>
          <w:sz w:val="20"/>
          <w:szCs w:val="20"/>
        </w:rPr>
        <w:t xml:space="preserve">d (b) 12 months from the closing of the Initial Public Offering; provided in each case that the Company has an effective registration statement under the Securities Act covering the Class A ordinary shares issuable upon exercise of the Public Warrants and </w:t>
      </w:r>
      <w:r>
        <w:rPr>
          <w:sz w:val="20"/>
          <w:szCs w:val="20"/>
        </w:rPr>
        <w:t>a current prospectus relating to them is available and such shares are registered, qualified or exempt from registration under the securities, or blue sky, laws of the state of residence of the holder (or the Company permit holders to exercise their warran</w:t>
      </w:r>
      <w:r>
        <w:rPr>
          <w:sz w:val="20"/>
          <w:szCs w:val="20"/>
        </w:rPr>
        <w:t xml:space="preserve">ts on a cashless basis under certain circumstances). The Company agreed that as soon as practicable, but in no event later than 20 business days after the closing of the initial Business Combination, the Company will use commercially reasonable efforts to </w:t>
      </w:r>
      <w:r>
        <w:rPr>
          <w:sz w:val="20"/>
          <w:szCs w:val="20"/>
        </w:rPr>
        <w:t>file with the SEC a registration statement covering the Class A ordinary shares issuable upon exercise of the warrants and to maintain a current prospectus relating to those Class A ordinary shares until the warrants expire or are redeemed, as specified in</w:t>
      </w:r>
      <w:r>
        <w:rPr>
          <w:sz w:val="20"/>
          <w:szCs w:val="20"/>
        </w:rPr>
        <w:t xml:space="preserve"> the warrant agreement. If a registration statement covering the Class A ordinary shares issuable upon exercise of the warrants is not effective by the 60</w:t>
      </w:r>
      <w:r>
        <w:rPr>
          <w:sz w:val="20"/>
          <w:szCs w:val="20"/>
          <w:vertAlign w:val="superscript"/>
        </w:rPr>
        <w:t>th</w:t>
      </w:r>
      <w:r>
        <w:rPr>
          <w:sz w:val="20"/>
          <w:szCs w:val="20"/>
        </w:rPr>
        <w:t xml:space="preserve"> day after the closing of the initial Business Combination, warrant holders may, until such time as </w:t>
      </w:r>
      <w:r>
        <w:rPr>
          <w:sz w:val="20"/>
          <w:szCs w:val="20"/>
        </w:rPr>
        <w:t>there is an effective registration statement and during any period when the Company will have failed to maintain an effective registration statement, exercise warrants on a “cashless basis” in accordance with Section 3(a)(9) of the Securities Act or anothe</w:t>
      </w:r>
      <w:r>
        <w:rPr>
          <w:sz w:val="20"/>
          <w:szCs w:val="20"/>
        </w:rPr>
        <w:t>r exemption. Notwithstanding the above, if the Class A ordinary shares are at the time of any exercise of a warrant not listed on a national securities exchange such that they satisfy the definition of a “covered security” under Section 18(b)(1) of the Sec</w:t>
      </w:r>
      <w:r>
        <w:rPr>
          <w:sz w:val="20"/>
          <w:szCs w:val="20"/>
        </w:rPr>
        <w:t>urities Act, the Company may, at its option, require holders of Public Warrants who exercise their warrants to do so on a “cashless basis” and, in the event the Company so elects, the Company will not be required to file or maintain in effect a registratio</w:t>
      </w:r>
      <w:r>
        <w:rPr>
          <w:sz w:val="20"/>
          <w:szCs w:val="20"/>
        </w:rPr>
        <w:t>n statement, and in the event the Company does not so elect, it will use commercially reasonable efforts to register or qualify the shares under applicable blue sky laws to the extent an exemption is not available.</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578758174"/>
        <w:rPr>
          <w:sz w:val="20"/>
          <w:szCs w:val="20"/>
        </w:rPr>
      </w:pPr>
      <w:r>
        <w:rPr>
          <w:sz w:val="20"/>
          <w:szCs w:val="20"/>
        </w:rPr>
        <w:t>1</w:t>
      </w:r>
      <w:r>
        <w:rPr>
          <w:sz w:val="20"/>
          <w:szCs w:val="20"/>
        </w:rPr>
        <w:t>4</w:t>
      </w:r>
    </w:p>
    <w:p w:rsidR="00000000" w:rsidRDefault="00CE32AE">
      <w:pPr>
        <w:pStyle w:val="a3"/>
        <w:spacing w:before="0" w:beforeAutospacing="0" w:after="0" w:afterAutospacing="0"/>
        <w:divId w:val="1589464858"/>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PATHFINDER ACQUISITION CORPORATI</w:t>
      </w:r>
      <w:r>
        <w:rPr>
          <w:b/>
          <w:bCs/>
          <w:sz w:val="20"/>
          <w:szCs w:val="20"/>
        </w:rPr>
        <w:t xml:space="preserve">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warrants have an exercise price of $11.50 per share, subject to adjustments, and will expire five years after the completion of a Business Combination or earlier upon redemption or liquidation. In</w:t>
      </w:r>
      <w:r>
        <w:rPr>
          <w:sz w:val="20"/>
          <w:szCs w:val="20"/>
        </w:rPr>
        <w:t xml:space="preserve"> addition, if (x) the Company issues additional Class A ordinary shares or equity-linked securities for capital raising purposes in connection with the closing of the initial Business Combination at an issue price or effective issue price of less than $9.2</w:t>
      </w:r>
      <w:r>
        <w:rPr>
          <w:sz w:val="20"/>
          <w:szCs w:val="20"/>
        </w:rPr>
        <w:t>0 per Class A ordinary share (with such issue price or effective issue price to be determined in good faith by the board of directors and, in the case of any such issuance to the Initial Shareholders or their affiliates, without taking into account any Fou</w:t>
      </w:r>
      <w:r>
        <w:rPr>
          <w:sz w:val="20"/>
          <w:szCs w:val="20"/>
        </w:rPr>
        <w:t>nder Shares held by the Initial Shareholders or such affiliates, as applicable, prior to such issuance) (the “Newly Issued Price”), (y) the aggregate gross proceeds from such issuances represent more than 60% of the total equity proceeds, and interest ther</w:t>
      </w:r>
      <w:r>
        <w:rPr>
          <w:sz w:val="20"/>
          <w:szCs w:val="20"/>
        </w:rPr>
        <w:t xml:space="preserve">eon, available for the funding of the initial Business Combination on the date of the consummation of the initial Business Combination (net of redemptions), and (z) the volume weighted average trading price of Class A ordinary shares during the 10-trading </w:t>
      </w:r>
      <w:r>
        <w:rPr>
          <w:sz w:val="20"/>
          <w:szCs w:val="20"/>
        </w:rPr>
        <w:t>day period starting on the trading day prior to the day on which the Company consummates its initial Business Combination (such price, the “Market Value”) is below $9.20 per share, then the exercise price of the warrants will be adjusted (to the nearest ce</w:t>
      </w:r>
      <w:r>
        <w:rPr>
          <w:sz w:val="20"/>
          <w:szCs w:val="20"/>
        </w:rPr>
        <w:t>nt) to be equal to 115% of the higher of the Market Value and the Newly Issued Price, the $18.00 per share redemption trigger price will be adjusted (to the nearest cent) to be equal to 180% of the higher of the Market Value and the Newly Issued Price, and</w:t>
      </w:r>
      <w:r>
        <w:rPr>
          <w:sz w:val="20"/>
          <w:szCs w:val="20"/>
        </w:rPr>
        <w:t xml:space="preserve"> the $10.00 per share redemption trigger price will be adjusted (to the nearest cent) to be equal to the higher of the Market Value and the Newly Issued Price See “— Redemption of warrants when the price per class A ordinary share equals or exceeds $18.00”</w:t>
      </w:r>
      <w:r>
        <w:rPr>
          <w:sz w:val="20"/>
          <w:szCs w:val="20"/>
        </w:rPr>
        <w:t xml:space="preserve"> and “— Redemption of warrants when the price per class A ordinary share equals or exceeds $10.00” as described below).</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Private Placement Warrants are identical to the Public Warrants underlying the Units sold in the Initial Public Offering, except (</w:t>
      </w:r>
      <w:r>
        <w:rPr>
          <w:sz w:val="20"/>
          <w:szCs w:val="20"/>
        </w:rPr>
        <w:t>i) that the Private Placement Warrants and the Class A ordinary shares issuable upon exercise of the Private Placement Warrants will not be transferable, assignable or salable until 30 days after the completion of a Business Combination, subject to certain</w:t>
      </w:r>
      <w:r>
        <w:rPr>
          <w:sz w:val="20"/>
          <w:szCs w:val="20"/>
        </w:rPr>
        <w:t xml:space="preserve"> limited exceptions, (ii) except as described below, the Private Placement Warrants will be non-redeemable so long as they are held by the Sponsor or its permitted transferees and (iii) the Sponsor or its permitted transferees will have the option to exerc</w:t>
      </w:r>
      <w:r>
        <w:rPr>
          <w:sz w:val="20"/>
          <w:szCs w:val="20"/>
        </w:rPr>
        <w:t>ise the Private Placement Warrants on a cashless basis and have certain registration rights. If the Private Placement Warrants are held by someone other than the Sponsor or its permitted transferees, the Private Placement Warrants will be redeemable by the</w:t>
      </w:r>
      <w:r>
        <w:rPr>
          <w:sz w:val="20"/>
          <w:szCs w:val="20"/>
        </w:rPr>
        <w:t xml:space="preserve"> Company in all redemption scenarios and exercisable by such holders on the same basis as the Public Warrants.</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Redemption of warrants when the price per Class A ordinary share equals or exceeds $18.00:</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Once the warrants become exercisable, the Company </w:t>
      </w:r>
      <w:r>
        <w:rPr>
          <w:sz w:val="20"/>
          <w:szCs w:val="20"/>
        </w:rPr>
        <w:t>may redeem the outstanding warrants (except as described herein with respect to the Private Placement Warrants):</w:t>
      </w:r>
    </w:p>
    <w:p w:rsidR="00000000" w:rsidRDefault="00CE32A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in whole and not in part;</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at a price of $0.01 per warrant;</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 xml:space="preserve">upon a minimum of 30 days’ </w:t>
            </w:r>
            <w:r>
              <w:rPr>
                <w:rFonts w:eastAsia="Times New Roman"/>
                <w:sz w:val="20"/>
                <w:szCs w:val="20"/>
              </w:rPr>
              <w:t>prior written notice of redemption to each warrant holder; and</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if, and only if, the last reported sale price (the “closing price”) of Class A ordinary shares equals or exceeds $18.00 per share (as adjusted) for any 20 trading days within a 30-tradin</w:t>
            </w:r>
            <w:r>
              <w:rPr>
                <w:rFonts w:eastAsia="Times New Roman"/>
                <w:sz w:val="20"/>
                <w:szCs w:val="20"/>
              </w:rPr>
              <w:t>g day period ending on the third trading day prior to the date on which the Company sends the notice of redemption to the warrant holders.</w:t>
            </w:r>
          </w:p>
        </w:tc>
      </w:tr>
    </w:tbl>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Company will not redeem the warrants as described above unless a registration statement under the Securities A</w:t>
      </w:r>
      <w:r>
        <w:rPr>
          <w:sz w:val="20"/>
          <w:szCs w:val="20"/>
        </w:rPr>
        <w:t>ct covering the issuance of the Class A ordinary shares issuable upon exercise of the warrants is then effective and a current prospectus relating to those Class A ordinary shares is available throughout the 30-day redemption period.</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center"/>
        <w:divId w:val="1340036190"/>
        <w:rPr>
          <w:sz w:val="20"/>
          <w:szCs w:val="20"/>
        </w:rPr>
      </w:pPr>
      <w:r>
        <w:rPr>
          <w:sz w:val="20"/>
          <w:szCs w:val="20"/>
        </w:rPr>
        <w:t>1</w:t>
      </w:r>
      <w:r>
        <w:rPr>
          <w:sz w:val="20"/>
          <w:szCs w:val="20"/>
        </w:rPr>
        <w:t>5</w:t>
      </w:r>
    </w:p>
    <w:p w:rsidR="00000000" w:rsidRDefault="00CE32AE">
      <w:pPr>
        <w:pStyle w:val="a3"/>
        <w:spacing w:before="0" w:beforeAutospacing="0" w:after="0" w:afterAutospacing="0"/>
        <w:divId w:val="932473865"/>
        <w:rPr>
          <w:sz w:val="20"/>
          <w:szCs w:val="20"/>
        </w:rPr>
      </w:pPr>
      <w:r>
        <w:rPr>
          <w:sz w:val="20"/>
          <w:szCs w:val="20"/>
        </w:rPr>
        <w:t> </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Redemption of warrants when the price per Class A ordinary share equals or exceeds $10.00:</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Once the warrants become exercisable, the Company may redeem the outstanding warrants (except as described herein with respect to the Private Placement Warrants):</w:t>
      </w:r>
    </w:p>
    <w:p w:rsidR="00000000" w:rsidRDefault="00CE32A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in whole and not in part;</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 xml:space="preserve">at $0.10 per warrant upon a minimum of 30 days’ prior </w:t>
            </w:r>
            <w:r>
              <w:rPr>
                <w:rFonts w:eastAsia="Times New Roman"/>
                <w:sz w:val="20"/>
                <w:szCs w:val="20"/>
              </w:rPr>
              <w:t>written notice of redemption provided that holders will be able to exercise their warrants on a cashless basis prior to redemption and receive that number of Class A ordinary shares to be determined by reference to an agreed table based on the redemption d</w:t>
            </w:r>
            <w:r>
              <w:rPr>
                <w:rFonts w:eastAsia="Times New Roman"/>
                <w:sz w:val="20"/>
                <w:szCs w:val="20"/>
              </w:rPr>
              <w:t>ate and the “fair market value” of Class A ordinary shares;</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if, and only if, the closing price of Class A ordinary shares equals or exceeds $10.00 per share (as adjusted) for any 20 trading days within the 30-trading day period ending three trading days before the Company sends the notice of redemption to the warra</w:t>
            </w:r>
            <w:r>
              <w:rPr>
                <w:rFonts w:eastAsia="Times New Roman"/>
                <w:sz w:val="20"/>
                <w:szCs w:val="20"/>
              </w:rPr>
              <w:t>nt holders; and</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E32AE">
            <w:pPr>
              <w:rPr>
                <w:rFonts w:eastAsia="Times New Roman"/>
                <w:sz w:val="20"/>
                <w:szCs w:val="20"/>
              </w:rPr>
            </w:pPr>
            <w:r>
              <w:rPr>
                <w:rFonts w:eastAsia="Times New Roman"/>
                <w:sz w:val="20"/>
                <w:szCs w:val="20"/>
              </w:rPr>
              <w:t> </w:t>
            </w:r>
          </w:p>
        </w:tc>
        <w:tc>
          <w:tcPr>
            <w:tcW w:w="360" w:type="dxa"/>
            <w:hideMark/>
          </w:tcPr>
          <w:p w:rsidR="00000000" w:rsidRDefault="00CE32AE">
            <w:pPr>
              <w:rPr>
                <w:rFonts w:eastAsia="Times New Roman"/>
                <w:sz w:val="20"/>
                <w:szCs w:val="20"/>
              </w:rPr>
            </w:pPr>
            <w:r>
              <w:rPr>
                <w:rFonts w:eastAsia="Times New Roman"/>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if the closing price of the Class A ordinary shares for any 20 trading days within a 30-trading day period ending on the third trading day prior to the date on which the Company sends the notice of redemption to the warrant holders i</w:t>
            </w:r>
            <w:r>
              <w:rPr>
                <w:rFonts w:eastAsia="Times New Roman"/>
                <w:sz w:val="20"/>
                <w:szCs w:val="20"/>
              </w:rPr>
              <w:t>s less than $18.00 per share (as adjusted), the Private Placement Warrants must also be concurrently called for redemption on the same terms as the outstanding Public Warrants, as described above.</w:t>
            </w:r>
          </w:p>
        </w:tc>
      </w:tr>
    </w:tbl>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“fair market value” of Class A ordinary shares for t</w:t>
      </w:r>
      <w:r>
        <w:rPr>
          <w:sz w:val="20"/>
          <w:szCs w:val="20"/>
        </w:rPr>
        <w:t>he above purpose shall mean the volume weighted average price of Class A ordinary shares during the 10 trading days immediately following the date on which the notice of redemption is sent to the holders of warrants. In no event will the warrants be exerci</w:t>
      </w:r>
      <w:r>
        <w:rPr>
          <w:sz w:val="20"/>
          <w:szCs w:val="20"/>
        </w:rPr>
        <w:t>sable on a cashless basis in connection with this redemption feature for more than 0.361 Class A ordinary shares per warrant (subject to adjustment).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If the Company is unable to complete a Business Combination within the Combination Period and the Compan</w:t>
      </w:r>
      <w:r>
        <w:rPr>
          <w:sz w:val="20"/>
          <w:szCs w:val="20"/>
        </w:rPr>
        <w:t xml:space="preserve">y liquidates the funds held in the Trust Account, holders of warrants will not receive any of such funds with respect to their warrants, nor will they receive any distribution from the Company’s assets held outside of the Trust Account with the respect to </w:t>
      </w:r>
      <w:r>
        <w:rPr>
          <w:sz w:val="20"/>
          <w:szCs w:val="20"/>
        </w:rPr>
        <w:t>such warrants. Accordingly, the warrants may expire worthless.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rPr>
          <w:sz w:val="20"/>
          <w:szCs w:val="20"/>
        </w:rPr>
      </w:pPr>
      <w:r>
        <w:rPr>
          <w:b/>
          <w:bCs/>
          <w:sz w:val="20"/>
          <w:szCs w:val="20"/>
        </w:rPr>
        <w:t>Note 8 — Fair Value Measurements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 following table presents information about the Company’s assets that are measured at fair value on a recurring basis as of March 31, 2021 and indicates </w:t>
      </w:r>
      <w:r>
        <w:rPr>
          <w:sz w:val="20"/>
          <w:szCs w:val="20"/>
        </w:rPr>
        <w:t>the fair value hierarchy of the valuation techniques that the Company utilized to determine such fair value. As of December 31, 2020, there were no assets or liabilities that are measured at fair value on a recurring basis.</w:t>
      </w:r>
    </w:p>
    <w:p w:rsidR="00000000" w:rsidRDefault="00CE32AE">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744"/>
        <w:gridCol w:w="50"/>
        <w:gridCol w:w="100"/>
        <w:gridCol w:w="1000"/>
        <w:gridCol w:w="50"/>
        <w:gridCol w:w="50"/>
        <w:gridCol w:w="102"/>
        <w:gridCol w:w="881"/>
        <w:gridCol w:w="50"/>
        <w:gridCol w:w="50"/>
        <w:gridCol w:w="118"/>
        <w:gridCol w:w="1061"/>
        <w:gridCol w:w="50"/>
      </w:tblGrid>
      <w:tr w:rsidR="00000000">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sz w:val="20"/>
                <w:szCs w:val="20"/>
              </w:rPr>
            </w:pPr>
            <w:r>
              <w:rPr>
                <w:rFonts w:eastAsia="Times New Roman"/>
                <w:b/>
                <w:bCs/>
                <w:sz w:val="20"/>
                <w:szCs w:val="20"/>
              </w:rPr>
              <w:t xml:space="preserve">Quoted Prices in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sz w:val="20"/>
                <w:szCs w:val="20"/>
              </w:rPr>
            </w:pPr>
            <w:r>
              <w:rPr>
                <w:rFonts w:eastAsia="Times New Roman"/>
                <w:b/>
                <w:bCs/>
                <w:sz w:val="20"/>
                <w:szCs w:val="20"/>
              </w:rPr>
              <w:t>Significant Other</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sz w:val="20"/>
                <w:szCs w:val="20"/>
              </w:rPr>
            </w:pPr>
            <w:r>
              <w:rPr>
                <w:rFonts w:eastAsia="Times New Roman"/>
                <w:b/>
                <w:bCs/>
                <w:sz w:val="20"/>
                <w:szCs w:val="20"/>
              </w:rPr>
              <w:t>Significant Other</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r>
      <w:tr w:rsidR="00000000">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sz w:val="20"/>
                <w:szCs w:val="20"/>
              </w:rPr>
            </w:pPr>
            <w:r>
              <w:rPr>
                <w:rFonts w:eastAsia="Times New Roman"/>
                <w:b/>
                <w:bCs/>
                <w:sz w:val="20"/>
                <w:szCs w:val="20"/>
              </w:rPr>
              <w:t>Active Markets</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sz w:val="20"/>
                <w:szCs w:val="20"/>
              </w:rPr>
            </w:pPr>
            <w:r>
              <w:rPr>
                <w:rFonts w:eastAsia="Times New Roman"/>
                <w:b/>
                <w:bCs/>
                <w:sz w:val="20"/>
                <w:szCs w:val="20"/>
              </w:rPr>
              <w:t>Observable Inputs</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CE32AE">
            <w:pPr>
              <w:jc w:val="center"/>
              <w:rPr>
                <w:rFonts w:eastAsia="Times New Roman"/>
                <w:sz w:val="20"/>
                <w:szCs w:val="20"/>
              </w:rPr>
            </w:pPr>
            <w:r>
              <w:rPr>
                <w:rFonts w:eastAsia="Times New Roman"/>
                <w:b/>
                <w:bCs/>
                <w:sz w:val="20"/>
                <w:szCs w:val="20"/>
              </w:rPr>
              <w:t>Unobservable Inputs</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CE32AE">
            <w:pPr>
              <w:rPr>
                <w:rFonts w:eastAsia="Times New Roman"/>
                <w:sz w:val="20"/>
                <w:szCs w:val="20"/>
              </w:rPr>
            </w:pPr>
            <w:r>
              <w:rPr>
                <w:rFonts w:eastAsia="Times New Roman"/>
                <w:b/>
                <w:bCs/>
                <w:sz w:val="20"/>
                <w:szCs w:val="20"/>
              </w:rPr>
              <w:t>Description</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sz w:val="20"/>
                <w:szCs w:val="20"/>
              </w:rPr>
            </w:pPr>
            <w:r>
              <w:rPr>
                <w:rFonts w:eastAsia="Times New Roman"/>
                <w:b/>
                <w:bCs/>
                <w:sz w:val="20"/>
                <w:szCs w:val="20"/>
              </w:rPr>
              <w:t>(Level 1)</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sz w:val="20"/>
                <w:szCs w:val="20"/>
              </w:rPr>
            </w:pPr>
            <w:r>
              <w:rPr>
                <w:rFonts w:eastAsia="Times New Roman"/>
                <w:b/>
                <w:bCs/>
                <w:sz w:val="20"/>
                <w:szCs w:val="20"/>
              </w:rPr>
              <w:t>(Level 2)</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E32AE">
            <w:pPr>
              <w:jc w:val="center"/>
              <w:rPr>
                <w:rFonts w:eastAsia="Times New Roman"/>
                <w:sz w:val="20"/>
                <w:szCs w:val="20"/>
              </w:rPr>
            </w:pPr>
            <w:r>
              <w:rPr>
                <w:rFonts w:eastAsia="Times New Roman"/>
                <w:b/>
                <w:bCs/>
                <w:sz w:val="20"/>
                <w:szCs w:val="20"/>
              </w:rPr>
              <w:t>(Level 3)</w:t>
            </w:r>
          </w:p>
        </w:tc>
        <w:tc>
          <w:tcPr>
            <w:tcW w:w="0" w:type="auto"/>
            <w:vAlign w:val="bottom"/>
            <w:hideMark/>
          </w:tcPr>
          <w:p w:rsidR="00000000" w:rsidRDefault="00CE32AE">
            <w:pPr>
              <w:jc w:val="center"/>
              <w:rPr>
                <w:rFonts w:eastAsia="Times New Roman"/>
                <w:sz w:val="20"/>
                <w:szCs w:val="20"/>
              </w:rPr>
            </w:pPr>
            <w:r>
              <w:rPr>
                <w:rFonts w:eastAsia="Times New Roman"/>
                <w:b/>
                <w:bCs/>
                <w:sz w:val="20"/>
                <w:szCs w:val="20"/>
              </w:rPr>
              <w:t> </w:t>
            </w:r>
          </w:p>
        </w:tc>
      </w:tr>
      <w:tr w:rsidR="00000000">
        <w:tc>
          <w:tcPr>
            <w:tcW w:w="0" w:type="auto"/>
            <w:vAlign w:val="bottom"/>
            <w:hideMark/>
          </w:tcPr>
          <w:p w:rsidR="00000000" w:rsidRDefault="00CE32AE">
            <w:pPr>
              <w:rPr>
                <w:rFonts w:eastAsia="Times New Roman"/>
                <w:sz w:val="20"/>
                <w:szCs w:val="20"/>
              </w:rPr>
            </w:pPr>
            <w:r>
              <w:rPr>
                <w:rFonts w:eastAsia="Times New Roman"/>
                <w:b/>
                <w:bCs/>
                <w:sz w:val="20"/>
                <w:szCs w:val="20"/>
              </w:rPr>
              <w:t>Assets:</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c>
          <w:tcPr>
            <w:tcW w:w="0" w:type="auto"/>
            <w:gridSpan w:val="2"/>
            <w:vAlign w:val="bottom"/>
            <w:hideMark/>
          </w:tcPr>
          <w:p w:rsidR="00000000" w:rsidRDefault="00CE32AE">
            <w:pPr>
              <w:rPr>
                <w:rFonts w:eastAsia="Times New Roman"/>
                <w:sz w:val="20"/>
                <w:szCs w:val="20"/>
              </w:rPr>
            </w:pPr>
            <w:r>
              <w:rPr>
                <w:rFonts w:eastAsia="Times New Roman"/>
                <w:sz w:val="20"/>
                <w:szCs w:val="20"/>
              </w:rPr>
              <w:t> </w:t>
            </w:r>
          </w:p>
        </w:tc>
        <w:tc>
          <w:tcPr>
            <w:tcW w:w="0" w:type="auto"/>
            <w:vAlign w:val="bottom"/>
            <w:hideMark/>
          </w:tcPr>
          <w:p w:rsidR="00000000" w:rsidRDefault="00CE32AE">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CE32AE">
            <w:pPr>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325,000,534</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b/>
                <w:bCs/>
                <w:sz w:val="20"/>
                <w:szCs w:val="20"/>
              </w:rPr>
              <w:t>Liabilities: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Derivative warrant liabilities - Public warrants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8,710,000</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5,695,000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bl>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Transfers to/from Levels 1, 2, and 3 are recognized at the beginning of the reporting period. There were no transfers between levels of the hierarchy for the three months ended March 31, 2021.</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Level 1 instruments include investments in money market funds</w:t>
      </w:r>
      <w:r>
        <w:rPr>
          <w:sz w:val="20"/>
          <w:szCs w:val="20"/>
        </w:rPr>
        <w:t xml:space="preserve"> that invest solely in U.S. Treasury securities with an original maturity of 185 days or less. The Company uses inputs such as actual trade data, benchmark yields, quoted market prices from dealers or brokers, and other similar sources to determine the fai</w:t>
      </w:r>
      <w:r>
        <w:rPr>
          <w:sz w:val="20"/>
          <w:szCs w:val="20"/>
        </w:rPr>
        <w:t>r value of its investments.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951716216"/>
        <w:rPr>
          <w:sz w:val="20"/>
          <w:szCs w:val="20"/>
        </w:rPr>
      </w:pPr>
      <w:r>
        <w:rPr>
          <w:sz w:val="20"/>
          <w:szCs w:val="20"/>
        </w:rPr>
        <w:t>1</w:t>
      </w:r>
      <w:r>
        <w:rPr>
          <w:sz w:val="20"/>
          <w:szCs w:val="20"/>
        </w:rPr>
        <w:t>6</w:t>
      </w:r>
    </w:p>
    <w:p w:rsidR="00000000" w:rsidRDefault="00CE32AE">
      <w:pPr>
        <w:pStyle w:val="a3"/>
        <w:spacing w:before="0" w:beforeAutospacing="0" w:after="0" w:afterAutospacing="0"/>
        <w:divId w:val="1500004321"/>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 xml:space="preserve">PATHFINDER ACQUISITION CORPORATION </w:t>
      </w:r>
    </w:p>
    <w:p w:rsidR="00000000" w:rsidRDefault="00CE32AE">
      <w:pPr>
        <w:pStyle w:val="a3"/>
        <w:spacing w:before="0" w:beforeAutospacing="0" w:after="0" w:afterAutospacing="0"/>
        <w:jc w:val="center"/>
        <w:rPr>
          <w:sz w:val="20"/>
          <w:szCs w:val="20"/>
        </w:rPr>
      </w:pPr>
      <w:r>
        <w:rPr>
          <w:b/>
          <w:bCs/>
          <w:sz w:val="20"/>
          <w:szCs w:val="20"/>
        </w:rPr>
        <w:t>NOTES TO UNAUDITED CONDENSED FINANCIAL STATEMENTS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For periods where no observable traded price </w:t>
      </w:r>
      <w:r>
        <w:rPr>
          <w:sz w:val="20"/>
          <w:szCs w:val="20"/>
        </w:rPr>
        <w:t>was available, the fair value of the Public, issued in connection with the Public Offering, has been estimated using a binomial lattice model. The fair value of the Private Placement warrants has been estimated using a Black Scholes simulation model each m</w:t>
      </w:r>
      <w:r>
        <w:rPr>
          <w:sz w:val="20"/>
          <w:szCs w:val="20"/>
        </w:rPr>
        <w:t>easurement date. The estimated fair value of the Public and Private Placement Warrants, prior to Public Warrants being traded in an active market, is determined using Level 3 inputs. Inherent in a binomial lattice and a Black Scholes option pricing model a</w:t>
      </w:r>
      <w:r>
        <w:rPr>
          <w:sz w:val="20"/>
          <w:szCs w:val="20"/>
        </w:rPr>
        <w:t>re assumptions related to the Unit price, expected volatility, risk-free interest rate, term to expiration, and dividend yield. The Unit price is based on the publicly traded price of the Units as of the measurement date. The Company estimated the volatili</w:t>
      </w:r>
      <w:r>
        <w:rPr>
          <w:sz w:val="20"/>
          <w:szCs w:val="20"/>
        </w:rPr>
        <w:t>ty for the Public and Private Placement Warrants based on the implied volatility from the traded prices of warrants issued by other special purpose acquisition companies. The risk-free interest rate is based on interpolated U.S. Treasury rates, commensurat</w:t>
      </w:r>
      <w:r>
        <w:rPr>
          <w:sz w:val="20"/>
          <w:szCs w:val="20"/>
        </w:rPr>
        <w:t>e with a similar term to the Public and Private Placement Warrants. The term to expiration was calculated as the contractual term of the Public and Private Placement Warrants, assuming one year to a Business Combination from the IPO date. Finally, the Comp</w:t>
      </w:r>
      <w:r>
        <w:rPr>
          <w:sz w:val="20"/>
          <w:szCs w:val="20"/>
        </w:rPr>
        <w:t>any does not anticipate paying a dividend.</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following table provides quantitative information regarding Level 3 fair value measurements inputs at their measurement dates:</w:t>
      </w:r>
    </w:p>
    <w:p w:rsidR="00000000" w:rsidRDefault="00CE32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0"/>
        <w:gridCol w:w="50"/>
        <w:gridCol w:w="112"/>
        <w:gridCol w:w="999"/>
        <w:gridCol w:w="167"/>
        <w:gridCol w:w="50"/>
        <w:gridCol w:w="101"/>
        <w:gridCol w:w="790"/>
        <w:gridCol w:w="167"/>
      </w:tblGrid>
      <w:tr w:rsidR="00000000">
        <w:tc>
          <w:tcPr>
            <w:tcW w:w="0" w:type="auto"/>
            <w:noWrap/>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noWrap/>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CE32AE">
            <w:pPr>
              <w:jc w:val="center"/>
              <w:rPr>
                <w:rFonts w:eastAsia="Times New Roman"/>
                <w:sz w:val="20"/>
                <w:szCs w:val="20"/>
              </w:rPr>
            </w:pPr>
            <w:r>
              <w:rPr>
                <w:rFonts w:eastAsia="Times New Roman"/>
                <w:b/>
                <w:bCs/>
                <w:sz w:val="20"/>
                <w:szCs w:val="20"/>
              </w:rPr>
              <w:t>February 19,</w:t>
            </w:r>
            <w:r>
              <w:rPr>
                <w:rFonts w:eastAsia="Times New Roman"/>
                <w:b/>
                <w:bCs/>
                <w:sz w:val="20"/>
                <w:szCs w:val="20"/>
              </w:rPr>
              <w:br/>
              <w:t>2021</w:t>
            </w:r>
          </w:p>
        </w:tc>
        <w:tc>
          <w:tcPr>
            <w:tcW w:w="0" w:type="auto"/>
            <w:noWrap/>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noWrap/>
            <w:vAlign w:val="bottom"/>
            <w:hideMark/>
          </w:tcPr>
          <w:p w:rsidR="00000000" w:rsidRDefault="00CE32AE">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CE32AE">
            <w:pPr>
              <w:jc w:val="center"/>
              <w:rPr>
                <w:rFonts w:eastAsia="Times New Roman"/>
                <w:sz w:val="20"/>
                <w:szCs w:val="20"/>
              </w:rPr>
            </w:pPr>
            <w:r>
              <w:rPr>
                <w:rFonts w:eastAsia="Times New Roman"/>
                <w:b/>
                <w:bCs/>
                <w:sz w:val="20"/>
                <w:szCs w:val="20"/>
              </w:rPr>
              <w:t>March 31,</w:t>
            </w:r>
            <w:r>
              <w:rPr>
                <w:rFonts w:eastAsia="Times New Roman"/>
                <w:b/>
                <w:bCs/>
                <w:sz w:val="20"/>
                <w:szCs w:val="20"/>
              </w:rPr>
              <w:br/>
              <w:t>2020</w:t>
            </w:r>
          </w:p>
        </w:tc>
        <w:tc>
          <w:tcPr>
            <w:tcW w:w="0" w:type="auto"/>
            <w:noWrap/>
            <w:vAlign w:val="bottom"/>
            <w:hideMark/>
          </w:tcPr>
          <w:p w:rsidR="00000000" w:rsidRDefault="00CE32AE">
            <w:pPr>
              <w:jc w:val="center"/>
              <w:rPr>
                <w:rFonts w:eastAsia="Times New Roman"/>
                <w:sz w:val="20"/>
                <w:szCs w:val="20"/>
              </w:rPr>
            </w:pPr>
            <w:r>
              <w:rPr>
                <w:rFonts w:eastAsia="Times New Roman"/>
                <w:b/>
                <w:bCs/>
                <w:sz w:val="20"/>
                <w:szCs w:val="20"/>
              </w:rPr>
              <w:t> </w:t>
            </w:r>
          </w:p>
        </w:tc>
      </w:tr>
      <w:tr w:rsidR="00000000">
        <w:tc>
          <w:tcPr>
            <w:tcW w:w="3800" w:type="pct"/>
            <w:shd w:val="clear" w:color="auto" w:fill="CCEEFF"/>
            <w:vAlign w:val="bottom"/>
            <w:hideMark/>
          </w:tcPr>
          <w:p w:rsidR="00000000" w:rsidRDefault="00CE32AE">
            <w:pPr>
              <w:rPr>
                <w:rFonts w:eastAsia="Times New Roman"/>
                <w:sz w:val="20"/>
                <w:szCs w:val="20"/>
              </w:rPr>
            </w:pPr>
            <w:r>
              <w:rPr>
                <w:rFonts w:eastAsia="Times New Roman"/>
                <w:sz w:val="20"/>
                <w:szCs w:val="20"/>
              </w:rPr>
              <w:t>Exercise price</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     </w:t>
            </w:r>
            <w:r>
              <w:rPr>
                <w:rFonts w:eastAsia="Times New Roman"/>
                <w:sz w:val="20"/>
                <w:szCs w:val="20"/>
              </w:rPr>
              <w:t>11.50</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E32AE">
            <w:pPr>
              <w:jc w:val="right"/>
              <w:rPr>
                <w:rFonts w:eastAsia="Times New Roman"/>
                <w:sz w:val="20"/>
                <w:szCs w:val="20"/>
              </w:rPr>
            </w:pPr>
            <w:r>
              <w:rPr>
                <w:rFonts w:eastAsia="Times New Roman"/>
                <w:sz w:val="20"/>
                <w:szCs w:val="20"/>
              </w:rPr>
              <w:t>      11.50</w:t>
            </w:r>
          </w:p>
        </w:tc>
        <w:tc>
          <w:tcPr>
            <w:tcW w:w="50" w:type="pct"/>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Unit price</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10.21</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9.63</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Term (years)</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E32AE">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Risk-free rate</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0.70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r>
    </w:tbl>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change in the fair value of the derivative warrant liabilities, measured using Level 3 inputs, for the three months ended March 31, 2021 is summarized as follows:</w:t>
      </w:r>
    </w:p>
    <w:p w:rsidR="00000000" w:rsidRDefault="00CE32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Derivative warrant liabilities at January 1, 2021</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4400" w:type="pct"/>
            <w:shd w:val="clear" w:color="auto" w:fill="FFFFFF"/>
            <w:tcMar>
              <w:top w:w="0" w:type="dxa"/>
              <w:left w:w="200" w:type="dxa"/>
              <w:bottom w:w="0" w:type="dxa"/>
              <w:right w:w="0" w:type="dxa"/>
            </w:tcMar>
            <w:vAlign w:val="bottom"/>
            <w:hideMark/>
          </w:tcPr>
          <w:p w:rsidR="00000000" w:rsidRDefault="00CE32AE">
            <w:pPr>
              <w:rPr>
                <w:rFonts w:eastAsia="Times New Roman"/>
                <w:sz w:val="20"/>
                <w:szCs w:val="20"/>
              </w:rPr>
            </w:pPr>
            <w:r>
              <w:rPr>
                <w:rFonts w:eastAsia="Times New Roman"/>
                <w:sz w:val="20"/>
                <w:szCs w:val="20"/>
              </w:rPr>
              <w:t>Issuance of Public and Priva</w:t>
            </w:r>
            <w:r>
              <w:rPr>
                <w:rFonts w:eastAsia="Times New Roman"/>
                <w:sz w:val="20"/>
                <w:szCs w:val="20"/>
              </w:rPr>
              <w:t>te Warrants</w:t>
            </w:r>
          </w:p>
        </w:tc>
        <w:tc>
          <w:tcPr>
            <w:tcW w:w="50" w:type="pct"/>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E32AE">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CE32AE">
            <w:pPr>
              <w:jc w:val="right"/>
              <w:rPr>
                <w:rFonts w:eastAsia="Times New Roman"/>
                <w:sz w:val="20"/>
                <w:szCs w:val="20"/>
              </w:rPr>
            </w:pPr>
            <w:r>
              <w:rPr>
                <w:rFonts w:eastAsia="Times New Roman"/>
                <w:sz w:val="20"/>
                <w:szCs w:val="20"/>
              </w:rPr>
              <w:t>16,340,000</w:t>
            </w:r>
          </w:p>
        </w:tc>
        <w:tc>
          <w:tcPr>
            <w:tcW w:w="50" w:type="pct"/>
            <w:shd w:val="clear" w:color="auto" w:fill="FFFFFF"/>
            <w:vAlign w:val="bottom"/>
            <w:hideMark/>
          </w:tcPr>
          <w:p w:rsidR="00000000" w:rsidRDefault="00CE32A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E32AE">
            <w:pPr>
              <w:jc w:val="right"/>
              <w:rPr>
                <w:rFonts w:eastAsia="Times New Roman"/>
                <w:sz w:val="20"/>
                <w:szCs w:val="20"/>
              </w:rPr>
            </w:pPr>
            <w:r>
              <w:rPr>
                <w:rFonts w:eastAsia="Times New Roman"/>
                <w:sz w:val="20"/>
                <w:szCs w:val="20"/>
              </w:rPr>
              <w:t>(1,935,000</w:t>
            </w:r>
          </w:p>
        </w:tc>
        <w:tc>
          <w:tcPr>
            <w:tcW w:w="0" w:type="auto"/>
            <w:shd w:val="clear" w:color="auto" w:fill="CCEEFF"/>
            <w:tcMar>
              <w:top w:w="0" w:type="dxa"/>
              <w:left w:w="0" w:type="dxa"/>
              <w:bottom w:w="30" w:type="dxa"/>
              <w:right w:w="0" w:type="dxa"/>
            </w:tcMar>
            <w:vAlign w:val="bottom"/>
            <w:hideMark/>
          </w:tcPr>
          <w:p w:rsidR="00000000" w:rsidRDefault="00CE32A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Derivative warrant liabilities at March 31, 2021</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E32AE">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E32AE">
            <w:pPr>
              <w:jc w:val="right"/>
              <w:rPr>
                <w:rFonts w:eastAsia="Times New Roman"/>
                <w:sz w:val="20"/>
                <w:szCs w:val="20"/>
              </w:rPr>
            </w:pPr>
            <w:r>
              <w:rPr>
                <w:rFonts w:eastAsia="Times New Roman"/>
                <w:sz w:val="20"/>
                <w:szCs w:val="20"/>
              </w:rPr>
              <w:t>14,405,000</w:t>
            </w:r>
          </w:p>
        </w:tc>
        <w:tc>
          <w:tcPr>
            <w:tcW w:w="0" w:type="auto"/>
            <w:shd w:val="clear" w:color="auto" w:fill="FFFFFF"/>
            <w:tcMar>
              <w:top w:w="0" w:type="dxa"/>
              <w:left w:w="0" w:type="dxa"/>
              <w:bottom w:w="80" w:type="dxa"/>
              <w:right w:w="0" w:type="dxa"/>
            </w:tcMar>
            <w:vAlign w:val="bottom"/>
            <w:hideMark/>
          </w:tcPr>
          <w:p w:rsidR="00000000" w:rsidRDefault="00CE32AE">
            <w:pPr>
              <w:rPr>
                <w:rFonts w:eastAsia="Times New Roman"/>
                <w:sz w:val="20"/>
                <w:szCs w:val="20"/>
              </w:rPr>
            </w:pPr>
            <w:r>
              <w:rPr>
                <w:rFonts w:eastAsia="Times New Roman"/>
                <w:sz w:val="20"/>
                <w:szCs w:val="20"/>
              </w:rPr>
              <w:t> </w:t>
            </w:r>
          </w:p>
        </w:tc>
      </w:tr>
    </w:tbl>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sz w:val="20"/>
          <w:szCs w:val="20"/>
        </w:rPr>
        <w:t>Note 9 — Subsequent Events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Company has evaluated subsequent events and transactions that occurred up to the date unaudited condensed financial statements were available to be issued. Based upon this review, except as noted above, the Company did not identify any subsequent event</w:t>
      </w:r>
      <w:r>
        <w:rPr>
          <w:sz w:val="20"/>
          <w:szCs w:val="20"/>
        </w:rPr>
        <w:t>s that would have required adjustment or disclosure in the unaudited condensed financial statements.</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center"/>
        <w:divId w:val="919674035"/>
        <w:rPr>
          <w:sz w:val="20"/>
          <w:szCs w:val="20"/>
        </w:rPr>
      </w:pPr>
      <w:r>
        <w:rPr>
          <w:sz w:val="20"/>
          <w:szCs w:val="20"/>
        </w:rPr>
        <w:t>1</w:t>
      </w:r>
      <w:r>
        <w:rPr>
          <w:sz w:val="20"/>
          <w:szCs w:val="20"/>
        </w:rPr>
        <w:t>7</w:t>
      </w:r>
    </w:p>
    <w:p w:rsidR="00000000" w:rsidRDefault="00CE32AE">
      <w:pPr>
        <w:pStyle w:val="a3"/>
        <w:spacing w:before="0" w:beforeAutospacing="0" w:after="0" w:afterAutospacing="0"/>
        <w:divId w:val="502822969"/>
        <w:rPr>
          <w:sz w:val="20"/>
          <w:szCs w:val="20"/>
        </w:rPr>
      </w:pPr>
      <w:r>
        <w:rPr>
          <w:sz w:val="20"/>
          <w:szCs w:val="20"/>
        </w:rPr>
        <w:t> </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rPr>
          <w:sz w:val="20"/>
          <w:szCs w:val="20"/>
        </w:rPr>
      </w:pPr>
      <w:bookmarkStart w:id="7" w:name="k_008"/>
      <w:bookmarkEnd w:id="7"/>
      <w:r>
        <w:rPr>
          <w:b/>
          <w:bCs/>
          <w:sz w:val="20"/>
          <w:szCs w:val="20"/>
        </w:rPr>
        <w:t>Item 2.</w:t>
      </w:r>
      <w:r>
        <w:rPr>
          <w:sz w:val="20"/>
          <w:szCs w:val="20"/>
        </w:rPr>
        <w:t xml:space="preserve"> </w:t>
      </w:r>
      <w:r>
        <w:rPr>
          <w:b/>
          <w:bCs/>
          <w:sz w:val="20"/>
          <w:szCs w:val="20"/>
        </w:rPr>
        <w:t>Management’</w:t>
      </w:r>
      <w:r>
        <w:rPr>
          <w:b/>
          <w:bCs/>
          <w:sz w:val="20"/>
          <w:szCs w:val="20"/>
        </w:rPr>
        <w:t>s Discussion and Analysis of Financial Condition and Results of Operations.</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References to the “Company,” “Pathfinder Acquisition Corporation,” “Pathfinder,” “our,” “us” or “we” refer to Pathfinder Acquisition Corporation. The following discussion and ana</w:t>
      </w:r>
      <w:r>
        <w:rPr>
          <w:i/>
          <w:iCs/>
          <w:sz w:val="20"/>
          <w:szCs w:val="20"/>
        </w:rPr>
        <w:t>lysis of the Company’s financial condition and results of operations should be read in conjunction with the unaudited interim condensed financial statements and the notes thereto contained elsewhere in this report. Certain information contained in the disc</w:t>
      </w:r>
      <w:r>
        <w:rPr>
          <w:i/>
          <w:iCs/>
          <w:sz w:val="20"/>
          <w:szCs w:val="20"/>
        </w:rPr>
        <w:t>ussion and analysis set forth below includes forward-looking statements that involve risks and uncertainties.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sz w:val="20"/>
          <w:szCs w:val="20"/>
        </w:rPr>
        <w:t>Cautionary Note Regarding Forward-Looking Statements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i/>
          <w:iCs/>
          <w:sz w:val="20"/>
          <w:szCs w:val="20"/>
        </w:rPr>
        <w:t>This Quarterly Report on Form 10-Q includes forward-looking statements within the meaning</w:t>
      </w:r>
      <w:r>
        <w:rPr>
          <w:i/>
          <w:iCs/>
          <w:sz w:val="20"/>
          <w:szCs w:val="20"/>
        </w:rPr>
        <w:t xml:space="preserve"> of Section 27A of the Securities Act of 1933, as amended, and Section 21E of the Exchange Act. We have based these forward-looking statements on our current expectations and projections about future events. These forward-looking statements are subject to </w:t>
      </w:r>
      <w:r>
        <w:rPr>
          <w:i/>
          <w:iCs/>
          <w:sz w:val="20"/>
          <w:szCs w:val="20"/>
        </w:rPr>
        <w:t>known and unknown risks, uncertainties and assumptions about us that may cause our actual results, levels of activity, performance or achievements to be materially different from any future results, levels of activity, performance or achievements expressed</w:t>
      </w:r>
      <w:r>
        <w:rPr>
          <w:i/>
          <w:iCs/>
          <w:sz w:val="20"/>
          <w:szCs w:val="20"/>
        </w:rPr>
        <w:t xml:space="preserve"> or implied by such forward-looking statements. In some cases, you can identify forward-looking statements by terminology such as “may,” “should,” “could,” “would,” “expect,” “plan,” “anticipate,” “believe,” “estimate,” “continue,” or the negative of such </w:t>
      </w:r>
      <w:r>
        <w:rPr>
          <w:i/>
          <w:iCs/>
          <w:sz w:val="20"/>
          <w:szCs w:val="20"/>
        </w:rPr>
        <w:t>terms or other similar expressions. Factors that might cause or contribute to such a discrepancy include, but are not limited to, those described in our other SEC filings.</w:t>
      </w:r>
    </w:p>
    <w:p w:rsidR="00000000" w:rsidRDefault="00CE32AE">
      <w:pPr>
        <w:pStyle w:val="a3"/>
        <w:spacing w:before="0" w:beforeAutospacing="0" w:after="0" w:afterAutospacing="0"/>
        <w:rPr>
          <w:sz w:val="20"/>
          <w:szCs w:val="20"/>
        </w:rPr>
      </w:pPr>
      <w:r>
        <w:rPr>
          <w:b/>
          <w:bCs/>
          <w:sz w:val="20"/>
          <w:szCs w:val="20"/>
        </w:rPr>
        <w:t> </w:t>
      </w:r>
    </w:p>
    <w:p w:rsidR="00000000" w:rsidRDefault="00CE32AE">
      <w:pPr>
        <w:pStyle w:val="a3"/>
        <w:spacing w:before="0" w:beforeAutospacing="0" w:after="0" w:afterAutospacing="0"/>
        <w:rPr>
          <w:sz w:val="20"/>
          <w:szCs w:val="20"/>
        </w:rPr>
      </w:pPr>
      <w:r>
        <w:rPr>
          <w:b/>
          <w:bCs/>
          <w:sz w:val="20"/>
          <w:szCs w:val="20"/>
        </w:rPr>
        <w:t>Overview</w:t>
      </w:r>
    </w:p>
    <w:p w:rsidR="00000000" w:rsidRDefault="00CE32AE">
      <w:pPr>
        <w:pStyle w:val="a3"/>
        <w:spacing w:before="0" w:beforeAutospacing="0" w:after="0" w:afterAutospacing="0"/>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 xml:space="preserve">We are a blank check company incorporated as a Cayman Islands exempted </w:t>
      </w:r>
      <w:r>
        <w:rPr>
          <w:sz w:val="20"/>
          <w:szCs w:val="20"/>
        </w:rPr>
        <w:t>company on December 18, 2020. We were formed for the purpose of effecting a merger, share exchange, asset acquisition, share purchase, reorganization or similar business combination with one or more businesses (the “Business Combination”). We are an emergi</w:t>
      </w:r>
      <w:r>
        <w:rPr>
          <w:sz w:val="20"/>
          <w:szCs w:val="20"/>
        </w:rPr>
        <w:t>ng growth company and, as such, we are subject to all of the risks associated with emerging growth companies.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Our sponsor is Pathfinder Acquisition LLC, a Delaware limited liability company (“Sponsor”). The registration statement for our Initial Public O</w:t>
      </w:r>
      <w:r>
        <w:rPr>
          <w:sz w:val="20"/>
          <w:szCs w:val="20"/>
        </w:rPr>
        <w:t>ffering was declared effective on February 16, 2021. On February 19, 2021, we consummated its Initial Public Offering of 32,500,000 units (the “Units” and, with respect to the Class A ordinary shares included in the Units being offered, the “Public Shares”</w:t>
      </w:r>
      <w:r>
        <w:rPr>
          <w:sz w:val="20"/>
          <w:szCs w:val="20"/>
        </w:rPr>
        <w:t>), including 2,500,000 additional Units to partially cover over-allotments (the “Over-Allotment Units”), at $10.00 per Unit, generating gross proceeds of $325.0 million, and incurring offering costs of approximately $18.5 million, of which approximately $1</w:t>
      </w:r>
      <w:r>
        <w:rPr>
          <w:sz w:val="20"/>
          <w:szCs w:val="20"/>
        </w:rPr>
        <w:t>1.4 million was for deferred underwriting commissions. The underwriters had 45 days from the effective date of the prospectus to exercise the remaining portion of its option to purchase up to 2,000,000 Units at the Initial Public Offering price to cover ov</w:t>
      </w:r>
      <w:r>
        <w:rPr>
          <w:sz w:val="20"/>
          <w:szCs w:val="20"/>
        </w:rPr>
        <w:t>er-allotments, if any. On April 2, 2021, the over-allotment option on the remaining Units expired unexercised by the underwriters.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Simultaneously with the closing of the Initial Public Offering, we consummated the private placement (“Private Placement”) </w:t>
      </w:r>
      <w:r>
        <w:rPr>
          <w:sz w:val="20"/>
          <w:szCs w:val="20"/>
        </w:rPr>
        <w:t>of 4,250,000 warrants (each, a “Private Placement Warrant” and collectively, the “Private Placement Warrants”) to the Sponsor, each exercisable to purchase one Class A ordinary share at $11.50 per share, at a price of $2.00 per Private Placement Warrant, g</w:t>
      </w:r>
      <w:r>
        <w:rPr>
          <w:sz w:val="20"/>
          <w:szCs w:val="20"/>
        </w:rPr>
        <w:t>enerating gross proceeds to the Company of $8.5 million.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Upon the closing of the Initial Public Offering and the Private Placement, $325.0 million ($10.00 per Unit) of the net proceeds of the Initial Public Offering and certain of the proceeds of the Pri</w:t>
      </w:r>
      <w:r>
        <w:rPr>
          <w:sz w:val="20"/>
          <w:szCs w:val="20"/>
        </w:rPr>
        <w:t xml:space="preserve">vate Placement was placed in a trust account (“Trust Account”) with Continental Stock Transfer &amp; Trust Company acting as trustee and was invested in United States “government securities” within the meaning of Section 2(a)(16) of the Investment Company Act </w:t>
      </w:r>
      <w:r>
        <w:rPr>
          <w:sz w:val="20"/>
          <w:szCs w:val="20"/>
        </w:rPr>
        <w:t>having a maturity of 185 days or less or in money market funds meeting certain conditions under Rule 2a-7 promulgated under the Investment Company Act of 1940, as amended, or the Investment Company Act, which will be invested only in direct U.S. government</w:t>
      </w:r>
      <w:r>
        <w:rPr>
          <w:sz w:val="20"/>
          <w:szCs w:val="20"/>
        </w:rPr>
        <w:t xml:space="preserve"> treasury obligations, as determined by us, until the earlier of: (i) the completion of a Business Combination and (ii) the distribution of the Trust Account as described below.</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Our management has broad discretion with respect to the specific application</w:t>
      </w:r>
      <w:r>
        <w:rPr>
          <w:sz w:val="20"/>
          <w:szCs w:val="20"/>
        </w:rPr>
        <w:t xml:space="preserve"> of the net proceeds of its Initial Public Offering and the sale of Private Placement Warrants, although substantially all of the net proceeds are intended to be applied generally toward consummating a Business Combination. Our initial Business Combination</w:t>
      </w:r>
      <w:r>
        <w:rPr>
          <w:sz w:val="20"/>
          <w:szCs w:val="20"/>
        </w:rPr>
        <w:t xml:space="preserve"> must be with one or more operating businesses or assets with a fair market value equal to at least 80% of the net assets held in the Trust Account (excluding the deferred underwriting commissions and taxes payable on the income earned on the Trust Account</w:t>
      </w:r>
      <w:r>
        <w:rPr>
          <w:sz w:val="20"/>
          <w:szCs w:val="20"/>
        </w:rPr>
        <w:t>) at the time we sign a definitive agreement in connection with the initial Business Combination. However, we will only complete a Business Combination if the post-transaction company owns or acquires 50% or more of the outstanding voting securities of the</w:t>
      </w:r>
      <w:r>
        <w:rPr>
          <w:sz w:val="20"/>
          <w:szCs w:val="20"/>
        </w:rPr>
        <w:t xml:space="preserve"> target business or otherwise acquires a controlling interest in the target business sufficient for it not to be required to register as an investment company under the Investment Company Act.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520926591"/>
        <w:rPr>
          <w:sz w:val="20"/>
          <w:szCs w:val="20"/>
        </w:rPr>
      </w:pPr>
      <w:r>
        <w:rPr>
          <w:sz w:val="20"/>
          <w:szCs w:val="20"/>
        </w:rPr>
        <w:t>1</w:t>
      </w:r>
      <w:r>
        <w:rPr>
          <w:sz w:val="20"/>
          <w:szCs w:val="20"/>
        </w:rPr>
        <w:t>8</w:t>
      </w:r>
    </w:p>
    <w:p w:rsidR="00000000" w:rsidRDefault="00CE32AE">
      <w:pPr>
        <w:pStyle w:val="a3"/>
        <w:spacing w:before="0" w:beforeAutospacing="0" w:after="0" w:afterAutospacing="0"/>
        <w:divId w:val="1390492659"/>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If we are unable to complete a Business Combination wi</w:t>
      </w:r>
      <w:r>
        <w:rPr>
          <w:sz w:val="20"/>
          <w:szCs w:val="20"/>
        </w:rPr>
        <w:t>thin the Combination Period, we will (i) cease all operations except for the purpose of winding up; (ii) as promptly as reasonably possible but not more than ten business days thereafter, redeem the Public Shares, at a per-share price, payable in cash, equ</w:t>
      </w:r>
      <w:r>
        <w:rPr>
          <w:sz w:val="20"/>
          <w:szCs w:val="20"/>
        </w:rPr>
        <w:t>al to the aggregate amount then on deposit in the Trust Account, including interest earned on the funds held in the Trust Account and not previously released to us to pay its income taxes, if any (less up to $100,000 of interest to pay dissolution expenses</w:t>
      </w:r>
      <w:r>
        <w:rPr>
          <w:sz w:val="20"/>
          <w:szCs w:val="20"/>
        </w:rPr>
        <w:t>), divided by the number of the then-outstanding Public Shares, which redemption will completely extinguish Public Shareholders’ rights as shareholders (including the right to receive further liquidation distributions, if any); and (iii) as promptly as rea</w:t>
      </w:r>
      <w:r>
        <w:rPr>
          <w:sz w:val="20"/>
          <w:szCs w:val="20"/>
        </w:rPr>
        <w:t>sonably possible following such redemption, subject to the approval of our remaining shareholders and its board of directors, liquidate and dissolve, subject in the case of clauses (ii) and (iii) to our obligations under Cayman Islands law to provide for c</w:t>
      </w:r>
      <w:r>
        <w:rPr>
          <w:sz w:val="20"/>
          <w:szCs w:val="20"/>
        </w:rPr>
        <w:t>laims of creditors and the requirements of other applicable law.</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sz w:val="20"/>
          <w:szCs w:val="20"/>
        </w:rPr>
        <w:t>Liquidity and Capital Resources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As </w:t>
      </w:r>
      <w:r>
        <w:rPr>
          <w:sz w:val="20"/>
          <w:szCs w:val="20"/>
        </w:rPr>
        <w:t>of March 31, 2021, we had approximately $0.4 million in our operating bank account, and working capital of approximately $1.1 million.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Our liquidity needs had been satisfied through the payment of $25,000 from the Sponsor to cover for certain of our expe</w:t>
      </w:r>
      <w:r>
        <w:rPr>
          <w:sz w:val="20"/>
          <w:szCs w:val="20"/>
        </w:rPr>
        <w:t>nses in exchange for the issuance of the Founder Shares (as defined in Note 4 to the financial statements included in Item 1 of this Quarterly Report), and a loan of approximately $129,000 pursuant to the Note issued to the Sponsor (as defined below). We r</w:t>
      </w:r>
      <w:r>
        <w:rPr>
          <w:sz w:val="20"/>
          <w:szCs w:val="20"/>
        </w:rPr>
        <w:t xml:space="preserve">epaid the Note in full on February 19, 2021. Subsequent to the consummation of the Initial Public Offering and Private Placement, our needs have been satisfied with the proceeds from the consummation of the Private Placement not held in the Trust Account. </w:t>
      </w:r>
      <w:r>
        <w:rPr>
          <w:sz w:val="20"/>
          <w:szCs w:val="20"/>
        </w:rPr>
        <w:t xml:space="preserve">In addition, in order to finance transaction costs in connection with a Business Combination, the Sponsor will provide us Working Capital Loans (as defined in Note 4 to the financial statements included in Item 1 of this Quarterly Report). As of March 31, </w:t>
      </w:r>
      <w:r>
        <w:rPr>
          <w:sz w:val="20"/>
          <w:szCs w:val="20"/>
        </w:rPr>
        <w:t>2021 and December 31, 2020, there were no amounts outstanding under any Working Capital Loan.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Based on the foregoing, management believes that we will have sufficient working capital and borrowing capacity from our Sponsor or an affiliate of our Sponsor,</w:t>
      </w:r>
      <w:r>
        <w:rPr>
          <w:sz w:val="20"/>
          <w:szCs w:val="20"/>
        </w:rPr>
        <w:t xml:space="preserve"> or certain of our officers and directors to meet its needs through the earlier of the consummation of a Business Combination or one year from this filing. Over this time period, we will be using these funds for paying existing accounts payable, identifyin</w:t>
      </w:r>
      <w:r>
        <w:rPr>
          <w:sz w:val="20"/>
          <w:szCs w:val="20"/>
        </w:rPr>
        <w:t>g and evaluating prospective initial Business Combination candidates, performing due diligence on prospective target businesses, paying for travel expenditures, selecting the target business to merge with or acquire, and structuring, negotiating and consum</w:t>
      </w:r>
      <w:r>
        <w:rPr>
          <w:sz w:val="20"/>
          <w:szCs w:val="20"/>
        </w:rPr>
        <w:t>mating the Business Combination.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Management continues to evaluate the impact of the COVID-19 pandemic on the industry and has concluded that while it is reasonably possible that the virus could have a negative effect on our financial position, results of</w:t>
      </w:r>
      <w:r>
        <w:rPr>
          <w:sz w:val="20"/>
          <w:szCs w:val="20"/>
        </w:rPr>
        <w:t xml:space="preserve"> our operations and/or search for a target company, the specific impact is not readily determinable as of the date of the financial statements. The financial statements do not include any adjustments that might result from the outcome of this uncertainty.</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sz w:val="20"/>
          <w:szCs w:val="20"/>
        </w:rPr>
        <w:t>Results of Operations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Our entire activity since inception up to March 31, 2021 was in preparation for our formation and the Initial Public Offering and since the Initial Public Offering, searching for a business combination target company. We do not ex</w:t>
      </w:r>
      <w:r>
        <w:rPr>
          <w:sz w:val="20"/>
          <w:szCs w:val="20"/>
        </w:rPr>
        <w:t>pect to generate any operating revenues until the closing and completion of our initial Business Combination.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For the three months ended March 31, 2021, we had net income of approximately $1.1 million, which consisted of approximately a $1.9 million non-</w:t>
      </w:r>
      <w:r>
        <w:rPr>
          <w:sz w:val="20"/>
          <w:szCs w:val="20"/>
        </w:rPr>
        <w:t>operating gain resulting from the change in fair value of derivative warrant liabilities and approximately $1,000 of income from investments held in trust account, partially offset by approximately $290,000 in general and administrative expenses, and appro</w:t>
      </w:r>
      <w:r>
        <w:rPr>
          <w:sz w:val="20"/>
          <w:szCs w:val="20"/>
        </w:rPr>
        <w:t>ximately $575,000 in offering costs associated with derivative warrant liabilities.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2001618981"/>
        <w:rPr>
          <w:sz w:val="20"/>
          <w:szCs w:val="20"/>
        </w:rPr>
      </w:pPr>
      <w:r>
        <w:rPr>
          <w:sz w:val="20"/>
          <w:szCs w:val="20"/>
        </w:rPr>
        <w:t>1</w:t>
      </w:r>
      <w:r>
        <w:rPr>
          <w:sz w:val="20"/>
          <w:szCs w:val="20"/>
        </w:rPr>
        <w:t>9</w:t>
      </w:r>
    </w:p>
    <w:p w:rsidR="00000000" w:rsidRDefault="00CE32AE">
      <w:pPr>
        <w:pStyle w:val="a3"/>
        <w:spacing w:before="0" w:beforeAutospacing="0" w:after="0" w:afterAutospacing="0"/>
        <w:divId w:val="1040712175"/>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rPr>
          <w:sz w:val="20"/>
          <w:szCs w:val="20"/>
        </w:rPr>
      </w:pPr>
      <w:r>
        <w:rPr>
          <w:b/>
          <w:bCs/>
          <w:sz w:val="20"/>
          <w:szCs w:val="20"/>
        </w:rPr>
        <w:t>Contractual Obligations</w:t>
      </w:r>
    </w:p>
    <w:p w:rsidR="00000000" w:rsidRDefault="00CE32AE">
      <w:pPr>
        <w:pStyle w:val="a3"/>
        <w:spacing w:before="0" w:beforeAutospacing="0" w:after="0" w:afterAutospacing="0"/>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i/>
          <w:iCs/>
          <w:sz w:val="20"/>
          <w:szCs w:val="20"/>
        </w:rPr>
        <w:t>Administrative Services Agreement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Commencing </w:t>
      </w:r>
      <w:r>
        <w:rPr>
          <w:sz w:val="20"/>
          <w:szCs w:val="20"/>
        </w:rPr>
        <w:t>on the date that our securities were first listed on the Nasdaq Capital Market (“NASDAQ”) through the earlier of consummation of the initial Business Combination and the liquidation, we agreed to pay the Sponsor $10,000 per month for office space, secretar</w:t>
      </w:r>
      <w:r>
        <w:rPr>
          <w:sz w:val="20"/>
          <w:szCs w:val="20"/>
        </w:rPr>
        <w:t>ial and administrative services provided to us.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In addition, the Sponsor, officers and directors, or any of their respective affiliates will be reimbursed for any out-of-pocket expenses incurred in connection with activities on our behalf such as identif</w:t>
      </w:r>
      <w:r>
        <w:rPr>
          <w:sz w:val="20"/>
          <w:szCs w:val="20"/>
        </w:rPr>
        <w:t>ying potential target businesses and performing due diligence on suitable Business Combinations. The audit committee will review on a quarterly basis all payments that were made by us to the Sponsor, officers or directors, or us or their affiliates. Any su</w:t>
      </w:r>
      <w:r>
        <w:rPr>
          <w:sz w:val="20"/>
          <w:szCs w:val="20"/>
        </w:rPr>
        <w:t>ch payments prior to an initial Business Combination will be made from funds held outside the Trust Account.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We incurred approximately $20,000 in general and administrative expenses in the accompanying unaudited condensed statements of operations for the</w:t>
      </w:r>
      <w:r>
        <w:rPr>
          <w:sz w:val="20"/>
          <w:szCs w:val="20"/>
        </w:rPr>
        <w:t xml:space="preserve"> three months ended March 31, 2021. As of March 31, 2021 and December 31, 2020, the Company had accrued approximately $20,000 and $0, respectively, for services in connection with such agreement on the accompanying condensed balance sheets.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i/>
          <w:iCs/>
          <w:sz w:val="20"/>
          <w:szCs w:val="20"/>
        </w:rPr>
        <w:t xml:space="preserve">Registration </w:t>
      </w:r>
      <w:r>
        <w:rPr>
          <w:b/>
          <w:bCs/>
          <w:i/>
          <w:iCs/>
          <w:sz w:val="20"/>
          <w:szCs w:val="20"/>
        </w:rPr>
        <w:t>and Shareholder Rights</w:t>
      </w:r>
    </w:p>
    <w:p w:rsidR="00000000" w:rsidRDefault="00CE32AE">
      <w:pPr>
        <w:pStyle w:val="a3"/>
        <w:shd w:val="clear" w:color="auto" w:fill="FFFFFF"/>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The holders of the Founder Shares, Private Placement Warrants and warrants that may be issued upon conversion of Working Capital Loans (and any Class A ordinary shares issuable upon the exercise of the Private Placement Warrants an</w:t>
      </w:r>
      <w:r>
        <w:rPr>
          <w:sz w:val="20"/>
          <w:szCs w:val="20"/>
        </w:rPr>
        <w:t xml:space="preserve">d warrants that may be issued upon conversion of Working Capital Loans) are entitled to registration rights pursuant to a registration and shareholder rights agreement entered into on the effective date of the Initial Public Offering. The holders of these </w:t>
      </w:r>
      <w:r>
        <w:rPr>
          <w:sz w:val="20"/>
          <w:szCs w:val="20"/>
        </w:rPr>
        <w:t>securities are entitled to make up to three demands, excluding short form demands, that we register such securities. In addition, the holders have certain “piggy-back” registration rights with respect to registration statements filed subsequent to the comp</w:t>
      </w:r>
      <w:r>
        <w:rPr>
          <w:sz w:val="20"/>
          <w:szCs w:val="20"/>
        </w:rPr>
        <w:t>letion of the initial Business Combination. We will bear the expenses incurred in connection with the filing of any such registration statements.</w:t>
      </w:r>
    </w:p>
    <w:p w:rsidR="00000000" w:rsidRDefault="00CE32AE">
      <w:pPr>
        <w:pStyle w:val="a3"/>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b/>
          <w:bCs/>
          <w:i/>
          <w:iCs/>
          <w:sz w:val="20"/>
          <w:szCs w:val="20"/>
        </w:rPr>
        <w:t>Underwriting Agreement</w:t>
      </w:r>
    </w:p>
    <w:p w:rsidR="00000000" w:rsidRDefault="00CE32AE">
      <w:pPr>
        <w:pStyle w:val="a3"/>
        <w:shd w:val="clear" w:color="auto" w:fill="FFFFFF"/>
        <w:spacing w:before="0" w:beforeAutospacing="0" w:after="0" w:afterAutospacing="0"/>
        <w:jc w:val="both"/>
        <w:rPr>
          <w:sz w:val="20"/>
          <w:szCs w:val="20"/>
        </w:rPr>
      </w:pPr>
      <w:r>
        <w:rPr>
          <w:b/>
          <w:bCs/>
          <w:i/>
          <w:iCs/>
          <w:sz w:val="20"/>
          <w:szCs w:val="20"/>
        </w:rPr>
        <w:t> </w:t>
      </w:r>
    </w:p>
    <w:p w:rsidR="00000000" w:rsidRDefault="00CE32AE">
      <w:pPr>
        <w:pStyle w:val="a3"/>
        <w:spacing w:before="0" w:beforeAutospacing="0" w:after="0" w:afterAutospacing="0"/>
        <w:jc w:val="both"/>
        <w:rPr>
          <w:sz w:val="20"/>
          <w:szCs w:val="20"/>
        </w:rPr>
      </w:pPr>
      <w:r>
        <w:rPr>
          <w:sz w:val="20"/>
          <w:szCs w:val="20"/>
        </w:rPr>
        <w:t>The underwriters were entitled to an underwriting discount of $0.20 per unit, or $6</w:t>
      </w:r>
      <w:r>
        <w:rPr>
          <w:sz w:val="20"/>
          <w:szCs w:val="20"/>
        </w:rPr>
        <w:t>.5 million in the aggregate, payable upon the closing of the Initial Public Offering. In addition, $0.35 per unit, or approximately $11.4 million in the aggregate will be payable to the underwriters for deferred underwriting commissions. The deferred fee w</w:t>
      </w:r>
      <w:r>
        <w:rPr>
          <w:sz w:val="20"/>
          <w:szCs w:val="20"/>
        </w:rPr>
        <w:t>ill become payable to the underwriters from the amounts held in the Trust Account solely in the event that we complete a Business Combination, subject to the terms of the underwriting agreement.</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sz w:val="20"/>
          <w:szCs w:val="20"/>
        </w:rPr>
        <w:t>Critical Accounting Policies</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hd w:val="clear" w:color="auto" w:fill="FFFFFF"/>
        <w:spacing w:before="0" w:beforeAutospacing="0" w:after="0" w:afterAutospacing="0"/>
        <w:jc w:val="both"/>
        <w:rPr>
          <w:sz w:val="20"/>
          <w:szCs w:val="20"/>
        </w:rPr>
      </w:pPr>
      <w:r>
        <w:rPr>
          <w:i/>
          <w:iCs/>
          <w:sz w:val="20"/>
          <w:szCs w:val="20"/>
        </w:rPr>
        <w:t>Derivative Warrant Liabiliti</w:t>
      </w:r>
      <w:r>
        <w:rPr>
          <w:i/>
          <w:iCs/>
          <w:sz w:val="20"/>
          <w:szCs w:val="20"/>
        </w:rPr>
        <w:t>es</w:t>
      </w:r>
    </w:p>
    <w:p w:rsidR="00000000" w:rsidRDefault="00CE32AE">
      <w:pPr>
        <w:pStyle w:val="a3"/>
        <w:shd w:val="clear" w:color="auto" w:fill="FFFFFF"/>
        <w:spacing w:before="0" w:beforeAutospacing="0" w:after="0" w:afterAutospacing="0"/>
        <w:ind w:firstLine="36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 Company does not use derivative instruments to hedge exposures to cash flow, market, or foreign currency risks. The Company evaluates all of its financial instruments, including issued stock purchase warrants, to determine if such instruments are </w:t>
      </w:r>
      <w:r>
        <w:rPr>
          <w:sz w:val="20"/>
          <w:szCs w:val="20"/>
        </w:rPr>
        <w:t>derivatives or contain features that qualify as embedded derivatives, pursuant to ASC 480 and ASC 815, “Derivatives and Hedging” (“ASC 815”). The classification of derivative instruments, including whether such instruments should be recorded as liabilities</w:t>
      </w:r>
      <w:r>
        <w:rPr>
          <w:sz w:val="20"/>
          <w:szCs w:val="20"/>
        </w:rPr>
        <w:t xml:space="preserve"> or as equity, is re-assessed at the end of each reporting period.</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The 6,500,000 warrants issued in connection with the Initial Public Offering (the “Public Warrants”) and the 4,250,000 Private Placement Warrants are recognized as derivative liabilities </w:t>
      </w:r>
      <w:r>
        <w:rPr>
          <w:sz w:val="20"/>
          <w:szCs w:val="20"/>
        </w:rPr>
        <w:t>in accordance with ASC 815. Accordingly, the Company recognizes the warrant instruments as liabilities at fair value and adjust the instruments to fair value at each reporting period. The liabilities are subject to re-measurement at each balance sheet date</w:t>
      </w:r>
      <w:r>
        <w:rPr>
          <w:sz w:val="20"/>
          <w:szCs w:val="20"/>
        </w:rPr>
        <w:t xml:space="preserve"> until exercised or expiration. The initial fair value of the Public Warrants issued in connection with the Public Offering and the fair value of the Private Placement Warrants have been estimated using a binomial lattice model in a risk-neutral framework.</w:t>
      </w:r>
      <w:r>
        <w:rPr>
          <w:sz w:val="20"/>
          <w:szCs w:val="20"/>
        </w:rPr>
        <w:t xml:space="preserve"> Derivative warrant liabilities are classified as non-current liabilities as their liquidation is not reasonably expected to require the use of current assets or require the creation of current liabilities.</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center"/>
        <w:divId w:val="990057971"/>
        <w:rPr>
          <w:sz w:val="20"/>
          <w:szCs w:val="20"/>
        </w:rPr>
      </w:pPr>
      <w:r>
        <w:rPr>
          <w:sz w:val="20"/>
          <w:szCs w:val="20"/>
        </w:rPr>
        <w:t>2</w:t>
      </w:r>
      <w:r>
        <w:rPr>
          <w:sz w:val="20"/>
          <w:szCs w:val="20"/>
        </w:rPr>
        <w:t>0</w:t>
      </w:r>
    </w:p>
    <w:p w:rsidR="00000000" w:rsidRDefault="00CE32AE">
      <w:pPr>
        <w:pStyle w:val="a3"/>
        <w:spacing w:before="0" w:beforeAutospacing="0" w:after="0" w:afterAutospacing="0"/>
        <w:divId w:val="356083068"/>
        <w:rPr>
          <w:sz w:val="20"/>
          <w:szCs w:val="20"/>
        </w:rPr>
      </w:pPr>
      <w:r>
        <w:rPr>
          <w:sz w:val="20"/>
          <w:szCs w:val="20"/>
        </w:rPr>
        <w:t> </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 xml:space="preserve">Class </w:t>
      </w:r>
      <w:r>
        <w:rPr>
          <w:i/>
          <w:iCs/>
          <w:sz w:val="20"/>
          <w:szCs w:val="20"/>
        </w:rPr>
        <w:t>A ordinary shares subject to possible redemption</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Class A ordinary shares subject to mandatory redemption (if </w:t>
      </w:r>
      <w:r>
        <w:rPr>
          <w:sz w:val="20"/>
          <w:szCs w:val="20"/>
        </w:rPr>
        <w:t>any) are classified as liability instruments and are measured at fair value. Conditionally redeemable Class A ordinary shares (including Class A ordinary shares that feature redemption rights that are either within the control of the holder or subject to r</w:t>
      </w:r>
      <w:r>
        <w:rPr>
          <w:sz w:val="20"/>
          <w:szCs w:val="20"/>
        </w:rPr>
        <w:t>edemption upon the occurrence of uncertain events not solely within the Company’s control) are classified as temporary equity. At all other times, Class A ordinary shares are classified as shareholders’ equity. The Company’s Class A ordinary shares feature</w:t>
      </w:r>
      <w:r>
        <w:rPr>
          <w:sz w:val="20"/>
          <w:szCs w:val="20"/>
        </w:rPr>
        <w:t xml:space="preserve"> certain redemption rights that are considered to be outside of the Company’s control and subject to occurrence of uncertain future events, Accordingly, as of March 31, 2021 and December 31, 2020, the Company had 29,529,953 and 0, respectively, Class A ord</w:t>
      </w:r>
      <w:r>
        <w:rPr>
          <w:sz w:val="20"/>
          <w:szCs w:val="20"/>
        </w:rPr>
        <w:t>inary shares subject to possible redemption are presented as temporary equity, outside of the shareholders’ equity section of the Company’s condensed balance sheets, respectively.</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i/>
          <w:iCs/>
          <w:sz w:val="20"/>
          <w:szCs w:val="20"/>
        </w:rPr>
        <w:t>Net income (loss) per ordinary share</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 xml:space="preserve">Net income (loss) per common share </w:t>
      </w:r>
      <w:r>
        <w:rPr>
          <w:sz w:val="20"/>
          <w:szCs w:val="20"/>
        </w:rPr>
        <w:t>is computed by dividing net income (loss) by the weighted-average number of shares of ordinary shares outstanding during the period. The Company has not considered the effect of the warrants sold in the Initial Public Offering and private placement to purc</w:t>
      </w:r>
      <w:r>
        <w:rPr>
          <w:sz w:val="20"/>
          <w:szCs w:val="20"/>
        </w:rPr>
        <w:t>hase an aggregate of 10,750,000 shares in the calculation of diluted loss per share, since the exercise of the warrants are contingent upon the occurrence of future events and the inclusion of such warrants would be anti-dilutive under the treasury stock m</w:t>
      </w:r>
      <w:r>
        <w:rPr>
          <w:sz w:val="20"/>
          <w:szCs w:val="20"/>
        </w:rPr>
        <w:t>ethod.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The Company’s unaudited condensed statement of operations includes a presentation of income (loss) per ordinary share for ordinary shares subject to possible redemption in a manner similar to the two-class method of income (loss) per ordinary shar</w:t>
      </w:r>
      <w:r>
        <w:rPr>
          <w:sz w:val="20"/>
          <w:szCs w:val="20"/>
        </w:rPr>
        <w:t>e. Net income (loss) per ordinary share, basic and diluted, for Class A ordinary shares for the three months ended March 31, 2021, is calculated by dividing the income or loss on investments held in the Trust Account of approximately $534 for the three mon</w:t>
      </w:r>
      <w:r>
        <w:rPr>
          <w:sz w:val="20"/>
          <w:szCs w:val="20"/>
        </w:rPr>
        <w:t>ths ended March 31, 2021, by the weighted average number of Class A ordinary shares outstanding for the period.</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Net income (loss) per ordinary share, basic and diluted, for Class B ordinary shares is calculated by dividing the net income (loss), adjusted</w:t>
      </w:r>
      <w:r>
        <w:rPr>
          <w:sz w:val="20"/>
          <w:szCs w:val="20"/>
        </w:rPr>
        <w:t xml:space="preserve"> for income or loss attributed to Class A ordinary shares, by the weighted average number of shares of Class B ordinary shares outstanding for the period.</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Recent Accounting Pronouncements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In August 2020, the FASB issued Accounting Standards Update (“AS</w:t>
      </w:r>
      <w:r>
        <w:rPr>
          <w:sz w:val="20"/>
          <w:szCs w:val="20"/>
        </w:rPr>
        <w:t>U”) No. 2020-06, </w:t>
      </w:r>
      <w:r>
        <w:rPr>
          <w:i/>
          <w:iCs/>
          <w:sz w:val="20"/>
          <w:szCs w:val="20"/>
        </w:rPr>
        <w:t>Debt—Debt with Conversion and Other Options (Subtopic 470-20) and Derivatives and Hedging—Contracts in Entity’s Own Equity (Subtopic 815-40): Accounting for Convertible Instruments and Contracts in an Entity’s Own Equity </w:t>
      </w:r>
      <w:r>
        <w:rPr>
          <w:sz w:val="20"/>
          <w:szCs w:val="20"/>
        </w:rPr>
        <w:t>(“ASU 2020-06”), w</w:t>
      </w:r>
      <w:r>
        <w:rPr>
          <w:sz w:val="20"/>
          <w:szCs w:val="20"/>
        </w:rPr>
        <w:t>hich simplifies accounting for convertible instruments by removing major separation models required under current GAAP. The ASU also removes certain settlement conditions that are required for equity-linked contracts to qualify for the derivative scope exc</w:t>
      </w:r>
      <w:r>
        <w:rPr>
          <w:sz w:val="20"/>
          <w:szCs w:val="20"/>
        </w:rPr>
        <w:t>eption, and it simplifies the diluted earnings per share calculation in certain areas. The Company adopted ASU 2020-06 on January 1, 2021. Adoption of the ASU did not impact the Company’s financial position, results of operations or cash flows. </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The Comp</w:t>
      </w:r>
      <w:r>
        <w:rPr>
          <w:sz w:val="20"/>
          <w:szCs w:val="20"/>
        </w:rPr>
        <w:t>any’s management does not believe that any other recently issued, but not yet effective, accounting standards updates, if currently adopted, would have a material effect on the Company’s unaudited condensed financial statements.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sz w:val="20"/>
          <w:szCs w:val="20"/>
        </w:rPr>
        <w:t>Off-Balance Sheet Arrange</w:t>
      </w:r>
      <w:r>
        <w:rPr>
          <w:b/>
          <w:bCs/>
          <w:sz w:val="20"/>
          <w:szCs w:val="20"/>
        </w:rPr>
        <w:t>ments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As of March 31, 2021, we did not have any off-balance sheet arrangements as defined in Item 303(a)(4)(ii) of Regulation S-K.</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sz w:val="20"/>
          <w:szCs w:val="20"/>
        </w:rPr>
        <w:t>JOBS Act</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The Jumpstart Our Business Startups Act of 2012 (the “JOBS Act”</w:t>
      </w:r>
      <w:r>
        <w:rPr>
          <w:sz w:val="20"/>
          <w:szCs w:val="20"/>
        </w:rPr>
        <w:t>) contains provisions that, among other things, relax certain reporting requirements for qualifying public companies. We qualify as an “emerging growth company” and under the JOBS Act are allowed to comply with new or revised accounting pronouncements base</w:t>
      </w:r>
      <w:r>
        <w:rPr>
          <w:sz w:val="20"/>
          <w:szCs w:val="20"/>
        </w:rPr>
        <w:t>d on the effective date for private (not publicly traded) companies. We are electing to delay the adoption of new or revised accounting standards, and as a result, we may not comply with new or revised accounting standards on the relevant dates on which ad</w:t>
      </w:r>
      <w:r>
        <w:rPr>
          <w:sz w:val="20"/>
          <w:szCs w:val="20"/>
        </w:rPr>
        <w:t>option of such standards is required for non-emerging growth companies. As a result, the financial statements may not be comparable to companies that comply with new or revised accounting pronouncements as of public company effective dates.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Additionally,</w:t>
      </w:r>
      <w:r>
        <w:rPr>
          <w:sz w:val="20"/>
          <w:szCs w:val="20"/>
        </w:rPr>
        <w:t xml:space="preserve"> we are in the process of evaluating the benefits of relying on the other reduced reporting requirements provided by the JOBS Act. Subject to certain conditions set forth in the JOBS Act, if, as an “emerging growth company,” we choose to rely on such exemp</w:t>
      </w:r>
      <w:r>
        <w:rPr>
          <w:sz w:val="20"/>
          <w:szCs w:val="20"/>
        </w:rPr>
        <w:t>tions we may not be required to, among other things, (i) provide an auditor’s attestation report on our system of internal controls over financial reporting pursuant to Section 404, (ii) provide all of the compensation disclosure that may be required of no</w:t>
      </w:r>
      <w:r>
        <w:rPr>
          <w:sz w:val="20"/>
          <w:szCs w:val="20"/>
        </w:rPr>
        <w:t>n-emerging growth public companies under the Dodd-Frank Wall Street Reform and Consumer Protection Act, (iii) comply with any requirement that may be adopted by the PCAOB regarding mandatory audit firm rotation or a supplement to the auditor’s report provi</w:t>
      </w:r>
      <w:r>
        <w:rPr>
          <w:sz w:val="20"/>
          <w:szCs w:val="20"/>
        </w:rPr>
        <w:t>ding additional information about the audit and the financial statements (auditor discussion and analysis) and (iv) disclose certain executive compensation related items such as the correlation between executive compensation and performance and comparisons</w:t>
      </w:r>
      <w:r>
        <w:rPr>
          <w:sz w:val="20"/>
          <w:szCs w:val="20"/>
        </w:rPr>
        <w:t xml:space="preserve"> of the CEO’s compensation to median employee compensation. These exemptions will apply for a period of five years following the completion of our Initial Public Offering or until we are no longer an “emerging growth company,” whichever is earlier.</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center"/>
        <w:divId w:val="1782725476"/>
        <w:rPr>
          <w:sz w:val="20"/>
          <w:szCs w:val="20"/>
        </w:rPr>
      </w:pPr>
      <w:r>
        <w:rPr>
          <w:sz w:val="20"/>
          <w:szCs w:val="20"/>
        </w:rPr>
        <w:t>2</w:t>
      </w:r>
      <w:r>
        <w:rPr>
          <w:sz w:val="20"/>
          <w:szCs w:val="20"/>
        </w:rPr>
        <w:t>1</w:t>
      </w:r>
    </w:p>
    <w:p w:rsidR="00000000" w:rsidRDefault="00CE32AE">
      <w:pPr>
        <w:pStyle w:val="a3"/>
        <w:spacing w:before="0" w:beforeAutospacing="0" w:after="0" w:afterAutospacing="0"/>
        <w:divId w:val="205459048"/>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rPr>
          <w:sz w:val="20"/>
          <w:szCs w:val="20"/>
        </w:rPr>
      </w:pPr>
      <w:bookmarkStart w:id="8" w:name="k_009"/>
      <w:bookmarkEnd w:id="8"/>
      <w:r>
        <w:rPr>
          <w:b/>
          <w:bCs/>
          <w:sz w:val="20"/>
          <w:szCs w:val="20"/>
        </w:rPr>
        <w:t>Item 3.</w:t>
      </w:r>
      <w:r>
        <w:rPr>
          <w:sz w:val="20"/>
          <w:szCs w:val="20"/>
        </w:rPr>
        <w:t xml:space="preserve"> </w:t>
      </w:r>
      <w:r>
        <w:rPr>
          <w:b/>
          <w:bCs/>
          <w:sz w:val="20"/>
          <w:szCs w:val="20"/>
        </w:rPr>
        <w:t>Quantitative and Qualitative Disclosures About Market Risk</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We are a smaller reporting company as defined by Rule 12b-2 of the Exchange Act and are not required to provide the information otherwise required under this item. As of March 31, 2021,</w:t>
      </w:r>
      <w:r>
        <w:rPr>
          <w:sz w:val="20"/>
          <w:szCs w:val="20"/>
        </w:rPr>
        <w:t xml:space="preserve"> we were not subject to any market or interest rate risk. The net proceeds of the Initial Public Offering, including amounts in the Trust Account, will be invested in U.S. government securities with a maturity of 185 days or less or in money market funds t</w:t>
      </w:r>
      <w:r>
        <w:rPr>
          <w:sz w:val="20"/>
          <w:szCs w:val="20"/>
        </w:rPr>
        <w:t>hat meet certain conditions under Rule 2a-7 under the Investment Company Act of 1940, as amended, that invest only in direct U.S. government treasury obligations. Due to the short-term nature of these investments, we believe there will be no associated mat</w:t>
      </w:r>
      <w:r>
        <w:rPr>
          <w:sz w:val="20"/>
          <w:szCs w:val="20"/>
        </w:rPr>
        <w:t>erial exposure to interest rate risk.</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We have not engaged in any hedging activities since our inception and we do not expect to engage in any hedging activities with respect to the market risk to which we are exposed.</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rPr>
          <w:sz w:val="20"/>
          <w:szCs w:val="20"/>
        </w:rPr>
      </w:pPr>
      <w:bookmarkStart w:id="9" w:name="k_010"/>
      <w:bookmarkEnd w:id="9"/>
      <w:r>
        <w:rPr>
          <w:b/>
          <w:bCs/>
          <w:sz w:val="20"/>
          <w:szCs w:val="20"/>
        </w:rPr>
        <w:t>Item 4.</w:t>
      </w:r>
      <w:r>
        <w:rPr>
          <w:sz w:val="20"/>
          <w:szCs w:val="20"/>
        </w:rPr>
        <w:t xml:space="preserve"> </w:t>
      </w:r>
      <w:r>
        <w:rPr>
          <w:b/>
          <w:bCs/>
          <w:sz w:val="20"/>
          <w:szCs w:val="20"/>
        </w:rPr>
        <w:t>Controls and Procedures</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On April 12, 2021, the staff at the Securities and Exchange Commission (the “SEC”) issued a statement on Accounting and Reporting Considerations for Warrants Issued by Special Purpose Acquisition Companies (“SPACs”) (the “SEC Statement”). In the SEC Statem</w:t>
      </w:r>
      <w:r>
        <w:rPr>
          <w:sz w:val="20"/>
          <w:szCs w:val="20"/>
        </w:rPr>
        <w:t>ent, the SEC staff noted that certain provisions in the typical SPAC warrant agreement may require that the warrants be classified as a liability measured at fair value, with changes in fair value reported each period in earnings, as compared to the histor</w:t>
      </w:r>
      <w:r>
        <w:rPr>
          <w:sz w:val="20"/>
          <w:szCs w:val="20"/>
        </w:rPr>
        <w:t>ical treatment of the warrants as equity, which has been the practice of most SPACs, including us. We had previously classified our private placement warrants and public warrants as equity (for a full description of our private placement warrants and publi</w:t>
      </w:r>
      <w:r>
        <w:rPr>
          <w:sz w:val="20"/>
          <w:szCs w:val="20"/>
        </w:rPr>
        <w:t>c warrants, refer to the registration statement on Form S-1 (File No. 333- 251649), filed in connection with the Company’s initial public offering, declared effective by the SEC on January 14, 2021).</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After considering the SEC Statement, we concluded that</w:t>
      </w:r>
      <w:r>
        <w:rPr>
          <w:sz w:val="20"/>
          <w:szCs w:val="20"/>
        </w:rPr>
        <w:t xml:space="preserve"> there were misstatements in the February 19, 2021 audited closing balance sheet we filed with the SEC on Form 8-K on February 25, 2021. Based on the guidance in Accounting Standards Codification (“ASC”) 815-40, “Derivatives and Hedging — Contracts in Enti</w:t>
      </w:r>
      <w:r>
        <w:rPr>
          <w:sz w:val="20"/>
          <w:szCs w:val="20"/>
        </w:rPr>
        <w:t>ty’s Own Equity”, we concluded that provisions in the warrant agreement preclude the warrants from being accounted for as components of equity. As the warrants meet the definition of a derivative as contemplated in ASC 815, the warrants should have been re</w:t>
      </w:r>
      <w:r>
        <w:rPr>
          <w:sz w:val="20"/>
          <w:szCs w:val="20"/>
        </w:rPr>
        <w:t>corded as derivative liabilities on the balance sheet and measured at fair value at inception and at each reporting date in accordance with ASC 820, “Fair Value Measurement”, with changes in fair value recognized in the statement of operations in the perio</w:t>
      </w:r>
      <w:r>
        <w:rPr>
          <w:sz w:val="20"/>
          <w:szCs w:val="20"/>
        </w:rPr>
        <w:t>d of change. Further, ASC 815 requires that upfront costs and fees related to items for which the fair value option is elected (our warrant liabilities) should have been recognized as expense as incurred.</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We have corrected the accounting for the warrants</w:t>
      </w:r>
      <w:r>
        <w:rPr>
          <w:sz w:val="20"/>
          <w:szCs w:val="20"/>
        </w:rPr>
        <w:t xml:space="preserve"> in this Quarterly Report on Form 10-Q. The effect of the restatement on specific line items in our January 15, 2021 audited closing date balance sheet can be found in footnote 9 of the Notes to Condensed Financial Statements.</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 xml:space="preserve">Evaluation </w:t>
      </w:r>
      <w:r>
        <w:rPr>
          <w:i/>
          <w:iCs/>
          <w:sz w:val="20"/>
          <w:szCs w:val="20"/>
        </w:rPr>
        <w:t>of Disclosure Controls and Procedures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Under the supervision and with the participation of our management, including our principal executive officer and principal financial officer, we conducted an evaluation of the effectiveness of our disclosure control</w:t>
      </w:r>
      <w:r>
        <w:rPr>
          <w:sz w:val="20"/>
          <w:szCs w:val="20"/>
        </w:rPr>
        <w:t>s and procedures as of the end of the fiscal quarter ended March 31, 2021, as such term is defined in Rules 13a-15(e) and 15d-15(e) under the Exchange Act. Based upon that evaluation and in light of the SEC Staff Statement, our Certifying Officers conclude</w:t>
      </w:r>
      <w:r>
        <w:rPr>
          <w:sz w:val="20"/>
          <w:szCs w:val="20"/>
        </w:rPr>
        <w:t>d that, solely due to the Company’s misapplication of the accounting for the Company’s warrants as liabilities, our disclosure controls and procedures were not effective as of March 31, 2021.</w:t>
      </w:r>
    </w:p>
    <w:p w:rsidR="00000000" w:rsidRDefault="00CE32AE">
      <w:pPr>
        <w:pStyle w:val="a3"/>
        <w:shd w:val="clear" w:color="auto" w:fill="FFFFFF"/>
        <w:spacing w:before="0" w:beforeAutospacing="0" w:after="0" w:afterAutospacing="0"/>
        <w:jc w:val="both"/>
        <w:rPr>
          <w:sz w:val="20"/>
          <w:szCs w:val="20"/>
        </w:rPr>
      </w:pPr>
      <w:r>
        <w:rPr>
          <w:sz w:val="20"/>
          <w:szCs w:val="20"/>
        </w:rPr>
        <w:t> </w:t>
      </w:r>
    </w:p>
    <w:p w:rsidR="00000000" w:rsidRDefault="00CE32AE">
      <w:pPr>
        <w:pStyle w:val="a3"/>
        <w:shd w:val="clear" w:color="auto" w:fill="FFFFFF"/>
        <w:spacing w:before="0" w:beforeAutospacing="0" w:after="0" w:afterAutospacing="0"/>
        <w:jc w:val="both"/>
        <w:rPr>
          <w:sz w:val="20"/>
          <w:szCs w:val="20"/>
        </w:rPr>
      </w:pPr>
      <w:r>
        <w:rPr>
          <w:sz w:val="20"/>
          <w:szCs w:val="20"/>
        </w:rPr>
        <w:t>Disclosure controls and procedures are designed to ensure that</w:t>
      </w:r>
      <w:r>
        <w:rPr>
          <w:sz w:val="20"/>
          <w:szCs w:val="20"/>
        </w:rPr>
        <w:t xml:space="preserve"> information required to be disclosed by us in our Exchange Act reports is recorded, processed, summarized, and reported within the time periods specified in the SEC’s rules and forms, and that such information is accumulated and communicated to our manage</w:t>
      </w:r>
      <w:r>
        <w:rPr>
          <w:sz w:val="20"/>
          <w:szCs w:val="20"/>
        </w:rPr>
        <w:t>ment, including our principal executive officer and principal financial officer or persons performing similar functions, as appropriate to allow timely decisions regarding required disclosure.</w:t>
      </w:r>
    </w:p>
    <w:p w:rsidR="00000000" w:rsidRDefault="00CE32AE">
      <w:pPr>
        <w:pStyle w:val="a3"/>
        <w:spacing w:before="0" w:beforeAutospacing="0" w:after="0" w:afterAutospacing="0"/>
        <w:jc w:val="both"/>
        <w:rPr>
          <w:sz w:val="20"/>
          <w:szCs w:val="20"/>
        </w:rPr>
      </w:pPr>
      <w:r>
        <w:rPr>
          <w:i/>
          <w:iCs/>
          <w:sz w:val="20"/>
          <w:szCs w:val="20"/>
        </w:rPr>
        <w:t> </w:t>
      </w:r>
    </w:p>
    <w:p w:rsidR="00000000" w:rsidRDefault="00CE32AE">
      <w:pPr>
        <w:pStyle w:val="a3"/>
        <w:spacing w:before="0" w:beforeAutospacing="0" w:after="0" w:afterAutospacing="0"/>
        <w:jc w:val="both"/>
        <w:rPr>
          <w:sz w:val="20"/>
          <w:szCs w:val="20"/>
        </w:rPr>
      </w:pPr>
      <w:r>
        <w:rPr>
          <w:i/>
          <w:iCs/>
          <w:sz w:val="20"/>
          <w:szCs w:val="20"/>
        </w:rPr>
        <w:t>Changes in Internal Control over Financial Reporting</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There </w:t>
      </w:r>
      <w:r>
        <w:rPr>
          <w:sz w:val="20"/>
          <w:szCs w:val="20"/>
        </w:rPr>
        <w:t>was no change in our internal control over financial reporting that occurred during the fiscal quarter ended March 31, 2021 covered by this Quarterly Report on Form 10-Q that has materially affected, or is reasonably likely to materially affect, our intern</w:t>
      </w:r>
      <w:r>
        <w:rPr>
          <w:sz w:val="20"/>
          <w:szCs w:val="20"/>
        </w:rPr>
        <w:t>al control over financial reporting.</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067456567"/>
        <w:rPr>
          <w:sz w:val="20"/>
          <w:szCs w:val="20"/>
        </w:rPr>
      </w:pPr>
      <w:r>
        <w:rPr>
          <w:sz w:val="20"/>
          <w:szCs w:val="20"/>
        </w:rPr>
        <w:t>2</w:t>
      </w:r>
      <w:r>
        <w:rPr>
          <w:sz w:val="20"/>
          <w:szCs w:val="20"/>
        </w:rPr>
        <w:t>2</w:t>
      </w:r>
    </w:p>
    <w:p w:rsidR="00000000" w:rsidRDefault="00CE32AE">
      <w:pPr>
        <w:pStyle w:val="a3"/>
        <w:spacing w:before="0" w:beforeAutospacing="0" w:after="0" w:afterAutospacing="0"/>
        <w:divId w:val="129831504"/>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rPr>
          <w:sz w:val="20"/>
          <w:szCs w:val="20"/>
        </w:rPr>
      </w:pPr>
      <w:bookmarkStart w:id="10" w:name="k_011"/>
      <w:bookmarkEnd w:id="10"/>
      <w:r>
        <w:rPr>
          <w:b/>
          <w:bCs/>
          <w:sz w:val="20"/>
          <w:szCs w:val="20"/>
        </w:rPr>
        <w:t>PART II - OTHER INFORMATION</w:t>
      </w:r>
    </w:p>
    <w:p w:rsidR="00000000" w:rsidRDefault="00CE32AE">
      <w:pPr>
        <w:pStyle w:val="a3"/>
        <w:spacing w:before="0" w:beforeAutospacing="0" w:after="0" w:afterAutospacing="0"/>
        <w:jc w:val="both"/>
        <w:rPr>
          <w:sz w:val="20"/>
          <w:szCs w:val="20"/>
        </w:rPr>
      </w:pPr>
      <w:r>
        <w:rPr>
          <w:b/>
          <w:bCs/>
          <w:sz w:val="14"/>
          <w:szCs w:val="14"/>
        </w:rPr>
        <w:t> </w:t>
      </w:r>
    </w:p>
    <w:p w:rsidR="00000000" w:rsidRDefault="00CE32AE">
      <w:pPr>
        <w:pStyle w:val="a3"/>
        <w:spacing w:before="0" w:beforeAutospacing="0" w:after="0" w:afterAutospacing="0"/>
        <w:rPr>
          <w:sz w:val="20"/>
          <w:szCs w:val="20"/>
        </w:rPr>
      </w:pPr>
      <w:bookmarkStart w:id="11" w:name="k_012"/>
      <w:bookmarkEnd w:id="11"/>
      <w:r>
        <w:rPr>
          <w:b/>
          <w:bCs/>
          <w:sz w:val="20"/>
          <w:szCs w:val="20"/>
        </w:rPr>
        <w:t>Item 1.</w:t>
      </w:r>
      <w:r>
        <w:rPr>
          <w:sz w:val="20"/>
          <w:szCs w:val="20"/>
        </w:rPr>
        <w:t xml:space="preserve"> </w:t>
      </w:r>
      <w:r>
        <w:rPr>
          <w:b/>
          <w:bCs/>
          <w:sz w:val="20"/>
          <w:szCs w:val="20"/>
        </w:rPr>
        <w:t>Legal Proceedings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None.</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rPr>
          <w:sz w:val="20"/>
          <w:szCs w:val="20"/>
        </w:rPr>
      </w:pPr>
      <w:bookmarkStart w:id="12" w:name="k_013"/>
      <w:bookmarkEnd w:id="12"/>
      <w:r>
        <w:rPr>
          <w:b/>
          <w:bCs/>
          <w:sz w:val="20"/>
          <w:szCs w:val="20"/>
        </w:rPr>
        <w:t>Item 1A.</w:t>
      </w:r>
      <w:r>
        <w:rPr>
          <w:sz w:val="20"/>
          <w:szCs w:val="20"/>
        </w:rPr>
        <w:t xml:space="preserve"> </w:t>
      </w:r>
      <w:r>
        <w:rPr>
          <w:b/>
          <w:bCs/>
          <w:sz w:val="20"/>
          <w:szCs w:val="20"/>
        </w:rPr>
        <w:t>Risk Factors</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As of the date of this Quarterly Report on Form 10-Q, there have been no material changes to the risk factors disclosed </w:t>
      </w:r>
      <w:r>
        <w:rPr>
          <w:sz w:val="20"/>
          <w:szCs w:val="20"/>
        </w:rPr>
        <w:t>in our final prospectus filed with the SEC on February 18, 2021, except for the below risk factor. We may disclose changes to such factors or disclose additional factors from time to time in our future filings with the SEC.</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i/>
          <w:iCs/>
          <w:sz w:val="20"/>
          <w:szCs w:val="20"/>
        </w:rPr>
        <w:t xml:space="preserve">Our </w:t>
      </w:r>
      <w:r>
        <w:rPr>
          <w:b/>
          <w:bCs/>
          <w:i/>
          <w:iCs/>
          <w:sz w:val="20"/>
          <w:szCs w:val="20"/>
        </w:rPr>
        <w:t>warrants are accounted for as liabilities and the changes in value of such warrants could have a material effect on our financial results and may make it more difficult for us to consummate an initial business combination.</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On April 12, 2021, the Acting D</w:t>
      </w:r>
      <w:r>
        <w:rPr>
          <w:sz w:val="20"/>
          <w:szCs w:val="20"/>
        </w:rPr>
        <w:t>irector of the Division of Corporation Finance and Acting Chief Accountant of the Securities and Exchange Commission (“SEC”) together issued a statement regarding the accounting and reporting considerations for warrants issued by special purpose acquisitio</w:t>
      </w:r>
      <w:r>
        <w:rPr>
          <w:sz w:val="20"/>
          <w:szCs w:val="20"/>
        </w:rPr>
        <w:t>n companies entitled “Staff Statement on Accounting and Reporting Considerations for Warrants Issued by Special Purpose Acquisition Companies (“SPACs”) (the “SEC Statement”). Specifically, the SEC Statement focused on certain settlement terms and provision</w:t>
      </w:r>
      <w:r>
        <w:rPr>
          <w:sz w:val="20"/>
          <w:szCs w:val="20"/>
        </w:rPr>
        <w:t>s related to certain tender offers following a business combination, which terms are similar to those contained in the warrant agreement governing our warrants.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As a result of the SEC Statement, we reevaluated the accounting treatment of our warrants, an</w:t>
      </w:r>
      <w:r>
        <w:rPr>
          <w:sz w:val="20"/>
          <w:szCs w:val="20"/>
        </w:rPr>
        <w:t xml:space="preserve">d determined to classify the warrants as derivative liabilities measured at fair value, with changes in fair value each period reported in earnings. Accounting Standards Codification 815, Derivatives and Hedging, provides for the remeasurement of the fair </w:t>
      </w:r>
      <w:r>
        <w:rPr>
          <w:sz w:val="20"/>
          <w:szCs w:val="20"/>
        </w:rPr>
        <w:t>value of such derivatives at each balance sheet date, with a resulting non-cash gain or loss related to the change in the fair value being recognized in earnings in the statement of operations. Following the reclassification of our warrants, our consolidat</w:t>
      </w:r>
      <w:r>
        <w:rPr>
          <w:sz w:val="20"/>
          <w:szCs w:val="20"/>
        </w:rPr>
        <w:t>ed financial statements and results of operations may fluctuate quarterly, as a result of the recurring fair value measurement of our warrants, based on factors which are outside of our control. Due to the recurring fair value measurement, we may recognize</w:t>
      </w:r>
      <w:r>
        <w:rPr>
          <w:sz w:val="20"/>
          <w:szCs w:val="20"/>
        </w:rPr>
        <w:t xml:space="preserve"> non-cash gains or losses on our warrants each reporting period and that the amount of such gains or losses could be material. The impact of changes in fair value on earnings may have an adverse effect on the market price of our securities. In addition, po</w:t>
      </w:r>
      <w:r>
        <w:rPr>
          <w:sz w:val="20"/>
          <w:szCs w:val="20"/>
        </w:rPr>
        <w:t>tential targets may seek to enter into a business combination with an entity that does not have warrants that are accounted for as a warrant liability, which may make it more difficult for us to consummate an initial business combination with a target busi</w:t>
      </w:r>
      <w:r>
        <w:rPr>
          <w:sz w:val="20"/>
          <w:szCs w:val="20"/>
        </w:rPr>
        <w:t>ness.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b/>
          <w:bCs/>
          <w:i/>
          <w:iCs/>
          <w:sz w:val="20"/>
          <w:szCs w:val="20"/>
        </w:rPr>
        <w:t>We have identified a material weakness in our internal control over financial reporting as of March 31, 2021. If we are unable to develop and maintain an effective system of internal control over financial reporting, we may not be able to accurate</w:t>
      </w:r>
      <w:r>
        <w:rPr>
          <w:b/>
          <w:bCs/>
          <w:i/>
          <w:iCs/>
          <w:sz w:val="20"/>
          <w:szCs w:val="20"/>
        </w:rPr>
        <w:t>ly report our financial results in a timely manner, which may result a material adverse effect on our ability to consummate an initial business combination.</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Following the issuance of the SEC Staff Statement, after consultation with our independent regist</w:t>
      </w:r>
      <w:r>
        <w:rPr>
          <w:sz w:val="20"/>
          <w:szCs w:val="20"/>
        </w:rPr>
        <w:t>ered public accounting firm, management identified a material weakness in our internal control over financial reporting related to the accounting for the warrants issued in connection with our Initial Public Offering. Our internal control over financial re</w:t>
      </w:r>
      <w:r>
        <w:rPr>
          <w:sz w:val="20"/>
          <w:szCs w:val="20"/>
        </w:rPr>
        <w:t>porting did not result in the proper accounting classification of the warrants, which, due to its impact on our financial statements, we determined to be a material weakness. A material weakness is a deficiency, or a combination of deficiencies, in interna</w:t>
      </w:r>
      <w:r>
        <w:rPr>
          <w:sz w:val="20"/>
          <w:szCs w:val="20"/>
        </w:rPr>
        <w:t xml:space="preserve">l control over financial reporting such that there is a reasonable possibility that a material misstatement of our annual or interim financial statements will not be prevented or detected on a timely basis. Effective internal controls are necessary for us </w:t>
      </w:r>
      <w:r>
        <w:rPr>
          <w:sz w:val="20"/>
          <w:szCs w:val="20"/>
        </w:rPr>
        <w:t>to provide reliable financial reports and prevent fraud. Any failure to maintain internal control over our financial reporting could adversely impact our ability to report our financial position and results from operations on a timely and accurate basis, w</w:t>
      </w:r>
      <w:r>
        <w:rPr>
          <w:sz w:val="20"/>
          <w:szCs w:val="20"/>
        </w:rPr>
        <w:t>hich could delay or disrupt our efforts to consummate an initial business combination. If our financial statements are not filed on a timely basis, we may also be subject to sanctions or investigations by the stock exchange on which our securities are list</w:t>
      </w:r>
      <w:r>
        <w:rPr>
          <w:sz w:val="20"/>
          <w:szCs w:val="20"/>
        </w:rPr>
        <w:t>ed, the SEC or other regulatory authorities. In either case, there could result a material adverse effect on our ability to consummate an initial business combination. We have expanded and improved our review process for complex securities and related acco</w:t>
      </w:r>
      <w:r>
        <w:rPr>
          <w:sz w:val="20"/>
          <w:szCs w:val="20"/>
        </w:rPr>
        <w:t>unting standards and continue to evaluate other steps to remediate the material weakness.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In addition, as a result of such material weakness, the change in accounting for our warrants, and other matters raised or that may in the future be raised by the S</w:t>
      </w:r>
      <w:r>
        <w:rPr>
          <w:sz w:val="20"/>
          <w:szCs w:val="20"/>
        </w:rPr>
        <w:t>EC, we face potential for litigation or other disputes which may include, among others, claims invoking the federal and state securities laws, contractual claims or other claims arising from the material weakness in our internal control over financial repo</w:t>
      </w:r>
      <w:r>
        <w:rPr>
          <w:sz w:val="20"/>
          <w:szCs w:val="20"/>
        </w:rPr>
        <w:t>rting and the preparation of our financial statements. As of the date of this report, we have no knowledge of any such litigation or dispute. However, we can provide no assurance that such litigation or dispute will not arise in the future. Any such litiga</w:t>
      </w:r>
      <w:r>
        <w:rPr>
          <w:sz w:val="20"/>
          <w:szCs w:val="20"/>
        </w:rPr>
        <w:t>tion or dispute, whether successful or not, could have a material adverse effect on our business, results of operations and financial condition or our ability to complete a Business Combination. </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center"/>
        <w:divId w:val="236980653"/>
        <w:rPr>
          <w:sz w:val="20"/>
          <w:szCs w:val="20"/>
        </w:rPr>
      </w:pPr>
      <w:r>
        <w:rPr>
          <w:sz w:val="20"/>
          <w:szCs w:val="20"/>
        </w:rPr>
        <w:t>2</w:t>
      </w:r>
      <w:r>
        <w:rPr>
          <w:sz w:val="20"/>
          <w:szCs w:val="20"/>
        </w:rPr>
        <w:t>3</w:t>
      </w:r>
    </w:p>
    <w:p w:rsidR="00000000" w:rsidRDefault="00CE32AE">
      <w:pPr>
        <w:pStyle w:val="a3"/>
        <w:spacing w:before="0" w:beforeAutospacing="0" w:after="0" w:afterAutospacing="0"/>
        <w:divId w:val="1014070299"/>
        <w:rPr>
          <w:sz w:val="20"/>
          <w:szCs w:val="20"/>
        </w:rPr>
      </w:pPr>
      <w:r>
        <w:rPr>
          <w:sz w:val="20"/>
          <w:szCs w:val="20"/>
        </w:rPr>
        <w:t> </w:t>
      </w:r>
    </w:p>
    <w:p w:rsidR="00000000" w:rsidRDefault="00CE32AE">
      <w:pPr>
        <w:pStyle w:val="a3"/>
        <w:spacing w:before="0" w:beforeAutospacing="0" w:after="0" w:afterAutospacing="0"/>
        <w:jc w:val="both"/>
        <w:rPr>
          <w:sz w:val="20"/>
          <w:szCs w:val="20"/>
        </w:rPr>
      </w:pPr>
      <w:r>
        <w:rPr>
          <w:b/>
          <w:bCs/>
          <w:sz w:val="14"/>
          <w:szCs w:val="14"/>
        </w:rPr>
        <w:t> </w:t>
      </w:r>
    </w:p>
    <w:p w:rsidR="00000000" w:rsidRDefault="00CE32AE">
      <w:pPr>
        <w:pStyle w:val="a3"/>
        <w:spacing w:before="0" w:beforeAutospacing="0" w:after="0" w:afterAutospacing="0"/>
        <w:rPr>
          <w:sz w:val="20"/>
          <w:szCs w:val="20"/>
        </w:rPr>
      </w:pPr>
      <w:bookmarkStart w:id="13" w:name="k_014"/>
      <w:bookmarkEnd w:id="13"/>
      <w:r>
        <w:rPr>
          <w:b/>
          <w:bCs/>
          <w:sz w:val="20"/>
          <w:szCs w:val="20"/>
        </w:rPr>
        <w:t>Item 2.</w:t>
      </w:r>
      <w:r>
        <w:rPr>
          <w:sz w:val="20"/>
          <w:szCs w:val="20"/>
        </w:rPr>
        <w:t xml:space="preserve"> </w:t>
      </w:r>
      <w:r>
        <w:rPr>
          <w:b/>
          <w:bCs/>
          <w:sz w:val="20"/>
          <w:szCs w:val="20"/>
        </w:rPr>
        <w:t>Unregistered Sales of Equity Securities and</w:t>
      </w:r>
      <w:r>
        <w:rPr>
          <w:b/>
          <w:bCs/>
          <w:sz w:val="20"/>
          <w:szCs w:val="20"/>
        </w:rPr>
        <w:t xml:space="preserve"> Use of Proceeds.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Simultaneously with the closing of the Initial Public Offering, we consummated the Private Placement of 4,250,000 Private Placement Warrants to the Sponsor, each exercisable to purchase one Class A ordinary share at $11.50 per share, at</w:t>
      </w:r>
      <w:r>
        <w:rPr>
          <w:sz w:val="20"/>
          <w:szCs w:val="20"/>
        </w:rPr>
        <w:t xml:space="preserve"> a price of $2.00 per Private Placement Warrant, generating gross proceeds to us of $8.5 million.</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In connection with the Initial Public Offering, our sponsor had agreed to loan us an aggregate of up to $300,000 pursuant to the Note. This loan is non-inte</w:t>
      </w:r>
      <w:r>
        <w:rPr>
          <w:sz w:val="20"/>
          <w:szCs w:val="20"/>
        </w:rPr>
        <w:t>rest bearing and payable on the consummation of the Initial Public Offering. The Note was fully repaid on February 19, 2021.</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Of the gross proceeds received from the Initial Public Offering and the full exercise of the option to purchase additional Shares</w:t>
      </w:r>
      <w:r>
        <w:rPr>
          <w:sz w:val="20"/>
          <w:szCs w:val="20"/>
        </w:rPr>
        <w:t>, $325,000,000 was placed in the Trust Account. The net proceeds of the Initial Public Offering and certain proceeds from the Private Placement are invested in U.S. government treasury bills with a maturity of 185 days or less and in money market funds mee</w:t>
      </w:r>
      <w:r>
        <w:rPr>
          <w:sz w:val="20"/>
          <w:szCs w:val="20"/>
        </w:rPr>
        <w:t>ting certain conditions under Rule 2a-7 under the Investment Company Act which invest only in direct U.S. government treasury obligations.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We paid a total of approximately $6.5 million in underwriting discounts and commissions related to the Initial Publ</w:t>
      </w:r>
      <w:r>
        <w:rPr>
          <w:sz w:val="20"/>
          <w:szCs w:val="20"/>
        </w:rPr>
        <w:t>ic Offering. In addition, the underwriters agreed to defer $11.4 million in underwriting discounts and commissions.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rPr>
          <w:sz w:val="20"/>
          <w:szCs w:val="20"/>
        </w:rPr>
      </w:pPr>
      <w:bookmarkStart w:id="14" w:name="k_015"/>
      <w:bookmarkEnd w:id="14"/>
      <w:r>
        <w:rPr>
          <w:b/>
          <w:bCs/>
          <w:sz w:val="20"/>
          <w:szCs w:val="20"/>
        </w:rPr>
        <w:t>Item 3.</w:t>
      </w:r>
      <w:r>
        <w:rPr>
          <w:sz w:val="20"/>
          <w:szCs w:val="20"/>
        </w:rPr>
        <w:t xml:space="preserve"> </w:t>
      </w:r>
      <w:r>
        <w:rPr>
          <w:b/>
          <w:bCs/>
          <w:sz w:val="20"/>
          <w:szCs w:val="20"/>
        </w:rPr>
        <w:t>Defaults upon Senior Securities</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None.</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rPr>
          <w:sz w:val="20"/>
          <w:szCs w:val="20"/>
        </w:rPr>
      </w:pPr>
      <w:bookmarkStart w:id="15" w:name="k_016"/>
      <w:bookmarkEnd w:id="15"/>
      <w:r>
        <w:rPr>
          <w:b/>
          <w:bCs/>
          <w:sz w:val="20"/>
          <w:szCs w:val="20"/>
        </w:rPr>
        <w:t>Item 4.</w:t>
      </w:r>
      <w:r>
        <w:rPr>
          <w:sz w:val="20"/>
          <w:szCs w:val="20"/>
        </w:rPr>
        <w:t xml:space="preserve"> </w:t>
      </w:r>
      <w:r>
        <w:rPr>
          <w:b/>
          <w:bCs/>
          <w:sz w:val="20"/>
          <w:szCs w:val="20"/>
        </w:rPr>
        <w:t>Mine Safety Disclosures</w:t>
      </w:r>
      <w:r>
        <w:rPr>
          <w:sz w:val="20"/>
          <w:szCs w:val="20"/>
        </w:rPr>
        <w:t>.</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Not applicable.</w:t>
      </w:r>
    </w:p>
    <w:p w:rsidR="00000000" w:rsidRDefault="00CE32AE">
      <w:pPr>
        <w:pStyle w:val="a3"/>
        <w:spacing w:before="0" w:beforeAutospacing="0" w:after="0" w:afterAutospacing="0"/>
        <w:ind w:firstLine="1650"/>
        <w:jc w:val="both"/>
        <w:rPr>
          <w:sz w:val="20"/>
          <w:szCs w:val="20"/>
        </w:rPr>
      </w:pPr>
      <w:r>
        <w:rPr>
          <w:b/>
          <w:bCs/>
          <w:sz w:val="20"/>
          <w:szCs w:val="20"/>
        </w:rPr>
        <w:t> </w:t>
      </w:r>
    </w:p>
    <w:p w:rsidR="00000000" w:rsidRDefault="00CE32AE">
      <w:pPr>
        <w:pStyle w:val="a3"/>
        <w:spacing w:before="0" w:beforeAutospacing="0" w:after="0" w:afterAutospacing="0"/>
        <w:rPr>
          <w:sz w:val="20"/>
          <w:szCs w:val="20"/>
        </w:rPr>
      </w:pPr>
      <w:bookmarkStart w:id="16" w:name="k_017"/>
      <w:bookmarkEnd w:id="16"/>
      <w:r>
        <w:rPr>
          <w:b/>
          <w:bCs/>
          <w:sz w:val="20"/>
          <w:szCs w:val="20"/>
        </w:rPr>
        <w:t>Item 5.</w:t>
      </w:r>
      <w:r>
        <w:rPr>
          <w:sz w:val="20"/>
          <w:szCs w:val="20"/>
        </w:rPr>
        <w:t xml:space="preserve"> </w:t>
      </w:r>
      <w:r>
        <w:rPr>
          <w:b/>
          <w:bCs/>
          <w:sz w:val="20"/>
          <w:szCs w:val="20"/>
        </w:rPr>
        <w:t>Other Information.</w:t>
      </w:r>
    </w:p>
    <w:p w:rsidR="00000000" w:rsidRDefault="00CE32AE">
      <w:pPr>
        <w:pStyle w:val="a3"/>
        <w:spacing w:before="0" w:beforeAutospacing="0" w:after="0" w:afterAutospacing="0"/>
        <w:jc w:val="both"/>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On May 28, 2021, the Company received a deficiency letter from NASDAQ indicating that it is not in compliance with Section 5250(c) of the NASDAQ Rules and Regulations as a result of its failure to timely file the Form 10-Q for the fisc</w:t>
      </w:r>
      <w:r>
        <w:rPr>
          <w:sz w:val="20"/>
          <w:szCs w:val="20"/>
        </w:rPr>
        <w:t>al quarter ended March 31, 2021 (the “Form 10-Q”).</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On April 12, 2021, the staff of the SEC issued the Statement, which clarified guidance for all SPAC-related companies regarding the accounting and reporting for their warrants. The immediacy of the effec</w:t>
      </w:r>
      <w:r>
        <w:rPr>
          <w:sz w:val="20"/>
          <w:szCs w:val="20"/>
        </w:rPr>
        <w:t>tive date of the new guidance set forth in the Statement has resulted in a significant number of SPACs re-evaluating the accounting treatment for their warrants with their professional advisors, including auditors and other advisors responsible for assisti</w:t>
      </w:r>
      <w:r>
        <w:rPr>
          <w:sz w:val="20"/>
          <w:szCs w:val="20"/>
        </w:rPr>
        <w:t>ng SPACs in the preparation of financial statements. This, in turn, has resulted in the Company’s delay in preparing and finalizing its financial statements as of and for the quarter ended March 31, 2021 and filing its Form 10-Q with the SEC by the prescri</w:t>
      </w:r>
      <w:r>
        <w:rPr>
          <w:sz w:val="20"/>
          <w:szCs w:val="20"/>
        </w:rPr>
        <w:t>bed deadline.</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xml:space="preserve">Under the NASDAQ’s rules, the Company has 60 calendar days from the date of the deficiency letter to submit to NASDAQ a plan to regain compliance with the NASDAQ Listing Rules. NASDAQ informed the Company that, in lieu of submitting a plan </w:t>
      </w:r>
      <w:r>
        <w:rPr>
          <w:sz w:val="20"/>
          <w:szCs w:val="20"/>
        </w:rPr>
        <w:t>to regain compliance, the Company may cure the non-compliance by filing the Form 10-Q prior to the due date for the plan to regain compliance.</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jc w:val="center"/>
        <w:divId w:val="1430007279"/>
        <w:rPr>
          <w:sz w:val="20"/>
          <w:szCs w:val="20"/>
        </w:rPr>
      </w:pPr>
      <w:r>
        <w:rPr>
          <w:sz w:val="20"/>
          <w:szCs w:val="20"/>
        </w:rPr>
        <w:t>2</w:t>
      </w:r>
      <w:r>
        <w:rPr>
          <w:sz w:val="20"/>
          <w:szCs w:val="20"/>
        </w:rPr>
        <w:t>4</w:t>
      </w:r>
    </w:p>
    <w:p w:rsidR="00000000" w:rsidRDefault="00CE32AE">
      <w:pPr>
        <w:pStyle w:val="a3"/>
        <w:spacing w:before="0" w:beforeAutospacing="0" w:after="0" w:afterAutospacing="0"/>
        <w:divId w:val="921450036"/>
        <w:rPr>
          <w:sz w:val="20"/>
          <w:szCs w:val="20"/>
        </w:rPr>
      </w:pPr>
      <w:r>
        <w:rPr>
          <w:sz w:val="20"/>
          <w:szCs w:val="20"/>
        </w:rPr>
        <w:t> </w:t>
      </w:r>
    </w:p>
    <w:p w:rsidR="00000000" w:rsidRDefault="00CE32AE">
      <w:pPr>
        <w:pStyle w:val="a3"/>
        <w:spacing w:before="0" w:beforeAutospacing="0" w:after="0" w:afterAutospacing="0"/>
        <w:jc w:val="both"/>
        <w:rPr>
          <w:sz w:val="20"/>
          <w:szCs w:val="20"/>
        </w:rPr>
      </w:pPr>
      <w:r>
        <w:rPr>
          <w:sz w:val="20"/>
          <w:szCs w:val="20"/>
        </w:rPr>
        <w:t> </w:t>
      </w:r>
    </w:p>
    <w:p w:rsidR="00000000" w:rsidRDefault="00CE32AE">
      <w:pPr>
        <w:pStyle w:val="a3"/>
        <w:spacing w:before="0" w:beforeAutospacing="0" w:after="0" w:afterAutospacing="0"/>
        <w:rPr>
          <w:sz w:val="20"/>
          <w:szCs w:val="20"/>
        </w:rPr>
      </w:pPr>
      <w:bookmarkStart w:id="17" w:name="k_018"/>
      <w:bookmarkEnd w:id="17"/>
      <w:r>
        <w:rPr>
          <w:b/>
          <w:bCs/>
          <w:sz w:val="20"/>
          <w:szCs w:val="20"/>
        </w:rPr>
        <w:t>Item 6.</w:t>
      </w:r>
      <w:r>
        <w:rPr>
          <w:sz w:val="20"/>
          <w:szCs w:val="20"/>
        </w:rPr>
        <w:t xml:space="preserve"> </w:t>
      </w:r>
      <w:r>
        <w:rPr>
          <w:b/>
          <w:bCs/>
          <w:sz w:val="20"/>
          <w:szCs w:val="20"/>
        </w:rPr>
        <w:t>Exhibits.</w:t>
      </w:r>
    </w:p>
    <w:p w:rsidR="00000000" w:rsidRDefault="00CE32A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60"/>
        <w:gridCol w:w="77"/>
        <w:gridCol w:w="7469"/>
      </w:tblGrid>
      <w:tr w:rsidR="00000000">
        <w:tc>
          <w:tcPr>
            <w:tcW w:w="450" w:type="pct"/>
            <w:tcBorders>
              <w:bottom w:val="single" w:sz="12" w:space="0" w:color="000000"/>
            </w:tcBorders>
            <w:tcMar>
              <w:top w:w="5" w:type="dxa"/>
              <w:left w:w="5" w:type="dxa"/>
              <w:bottom w:w="0" w:type="dxa"/>
              <w:right w:w="5" w:type="dxa"/>
            </w:tcMar>
            <w:vAlign w:val="bottom"/>
            <w:hideMark/>
          </w:tcPr>
          <w:p w:rsidR="00000000" w:rsidRDefault="00CE32AE">
            <w:pPr>
              <w:pStyle w:val="a3"/>
              <w:spacing w:before="0" w:beforeAutospacing="0" w:after="0" w:afterAutospacing="0"/>
              <w:rPr>
                <w:sz w:val="20"/>
                <w:szCs w:val="20"/>
              </w:rPr>
            </w:pPr>
            <w:r>
              <w:rPr>
                <w:b/>
                <w:bCs/>
                <w:sz w:val="20"/>
                <w:szCs w:val="20"/>
              </w:rPr>
              <w:t xml:space="preserve">Exhibit </w:t>
            </w:r>
          </w:p>
          <w:p w:rsidR="00000000" w:rsidRDefault="00CE32AE">
            <w:pPr>
              <w:pStyle w:val="a3"/>
              <w:spacing w:before="0" w:beforeAutospacing="0" w:after="0" w:afterAutospacing="0"/>
              <w:rPr>
                <w:sz w:val="20"/>
                <w:szCs w:val="20"/>
              </w:rPr>
            </w:pPr>
            <w:r>
              <w:rPr>
                <w:b/>
                <w:bCs/>
                <w:sz w:val="20"/>
                <w:szCs w:val="20"/>
              </w:rPr>
              <w:t>Number</w:t>
            </w:r>
          </w:p>
        </w:tc>
        <w:tc>
          <w:tcPr>
            <w:tcW w:w="50" w:type="pct"/>
            <w:tcMar>
              <w:top w:w="5" w:type="dxa"/>
              <w:left w:w="5" w:type="dxa"/>
              <w:bottom w:w="30" w:type="dxa"/>
              <w:right w:w="5" w:type="dxa"/>
            </w:tcMar>
            <w:hideMark/>
          </w:tcPr>
          <w:p w:rsidR="00000000" w:rsidRDefault="00CE32AE">
            <w:pPr>
              <w:rPr>
                <w:rFonts w:eastAsia="Times New Roman"/>
                <w:sz w:val="20"/>
                <w:szCs w:val="20"/>
              </w:rPr>
            </w:pPr>
            <w:r>
              <w:rPr>
                <w:rFonts w:eastAsia="Times New Roman"/>
                <w:sz w:val="20"/>
                <w:szCs w:val="20"/>
              </w:rPr>
              <w:t> </w:t>
            </w:r>
          </w:p>
        </w:tc>
        <w:tc>
          <w:tcPr>
            <w:tcW w:w="4500" w:type="pct"/>
            <w:tcBorders>
              <w:bottom w:val="single" w:sz="12" w:space="0" w:color="000000"/>
            </w:tcBorders>
            <w:tcMar>
              <w:top w:w="5" w:type="dxa"/>
              <w:left w:w="5" w:type="dxa"/>
              <w:bottom w:w="0" w:type="dxa"/>
              <w:right w:w="5" w:type="dxa"/>
            </w:tcMar>
            <w:vAlign w:val="bottom"/>
            <w:hideMark/>
          </w:tcPr>
          <w:p w:rsidR="00000000" w:rsidRDefault="00CE32AE">
            <w:pPr>
              <w:jc w:val="both"/>
              <w:rPr>
                <w:rFonts w:eastAsia="Times New Roman"/>
                <w:sz w:val="20"/>
                <w:szCs w:val="20"/>
              </w:rPr>
            </w:pPr>
            <w:r>
              <w:rPr>
                <w:rFonts w:eastAsia="Times New Roman"/>
                <w:b/>
                <w:bCs/>
                <w:sz w:val="20"/>
                <w:szCs w:val="20"/>
              </w:rPr>
              <w:t>Description</w:t>
            </w:r>
          </w:p>
        </w:tc>
      </w:tr>
      <w:tr w:rsidR="00000000">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3.1</w:t>
            </w:r>
          </w:p>
        </w:tc>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0" w:type="dxa"/>
              <w:right w:w="5" w:type="dxa"/>
            </w:tcMar>
            <w:hideMark/>
          </w:tcPr>
          <w:p w:rsidR="00000000" w:rsidRDefault="00CE32AE">
            <w:pPr>
              <w:jc w:val="both"/>
              <w:rPr>
                <w:rFonts w:eastAsia="Times New Roman"/>
                <w:sz w:val="20"/>
                <w:szCs w:val="20"/>
              </w:rPr>
            </w:pPr>
            <w:hyperlink r:id="rId4" w:history="1">
              <w:r>
                <w:rPr>
                  <w:rStyle w:val="a4"/>
                  <w:rFonts w:eastAsia="Times New Roman"/>
                  <w:sz w:val="20"/>
                  <w:szCs w:val="20"/>
                </w:rPr>
                <w:t xml:space="preserve">Second Amended and Restated Memorandum and Articles of Association </w:t>
              </w:r>
              <w:r>
                <w:rPr>
                  <w:rStyle w:val="a4"/>
                  <w:rFonts w:eastAsia="Times New Roman"/>
                  <w:sz w:val="20"/>
                  <w:szCs w:val="20"/>
                  <w:vertAlign w:val="superscript"/>
                </w:rPr>
                <w:t>(1)</w:t>
              </w:r>
            </w:hyperlink>
          </w:p>
        </w:tc>
      </w:tr>
      <w:tr w:rsidR="00000000">
        <w:tc>
          <w:tcPr>
            <w:tcW w:w="0" w:type="auto"/>
            <w:shd w:val="clear" w:color="auto" w:fill="FFFF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4.1</w:t>
            </w:r>
          </w:p>
        </w:tc>
        <w:tc>
          <w:tcPr>
            <w:tcW w:w="0" w:type="auto"/>
            <w:shd w:val="clear" w:color="auto" w:fill="FFFF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0" w:type="dxa"/>
              <w:right w:w="5" w:type="dxa"/>
            </w:tcMar>
            <w:hideMark/>
          </w:tcPr>
          <w:p w:rsidR="00000000" w:rsidRDefault="00CE32AE">
            <w:pPr>
              <w:jc w:val="both"/>
              <w:rPr>
                <w:rFonts w:eastAsia="Times New Roman"/>
                <w:sz w:val="20"/>
                <w:szCs w:val="20"/>
              </w:rPr>
            </w:pPr>
            <w:hyperlink r:id="rId5" w:history="1">
              <w:r>
                <w:rPr>
                  <w:rStyle w:val="a4"/>
                  <w:rFonts w:eastAsia="Times New Roman"/>
                  <w:sz w:val="20"/>
                  <w:szCs w:val="20"/>
                </w:rPr>
                <w:t>Warrant Agreement, dated as of February 16, 2021, between Continental Stock Transfer &amp; Trust Company and the Company</w:t>
              </w:r>
              <w:r>
                <w:rPr>
                  <w:rStyle w:val="a4"/>
                  <w:rFonts w:eastAsia="Times New Roman"/>
                  <w:sz w:val="20"/>
                  <w:szCs w:val="20"/>
                  <w:vertAlign w:val="superscript"/>
                </w:rPr>
                <w:t>(1)</w:t>
              </w:r>
            </w:hyperlink>
          </w:p>
        </w:tc>
      </w:tr>
      <w:tr w:rsidR="00000000">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10.1</w:t>
            </w:r>
          </w:p>
        </w:tc>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0" w:type="dxa"/>
              <w:right w:w="5" w:type="dxa"/>
            </w:tcMar>
            <w:hideMark/>
          </w:tcPr>
          <w:p w:rsidR="00000000" w:rsidRDefault="00CE32AE">
            <w:pPr>
              <w:jc w:val="both"/>
              <w:rPr>
                <w:rFonts w:eastAsia="Times New Roman"/>
                <w:sz w:val="20"/>
                <w:szCs w:val="20"/>
              </w:rPr>
            </w:pPr>
            <w:hyperlink r:id="rId6" w:history="1">
              <w:r>
                <w:rPr>
                  <w:rStyle w:val="a4"/>
                  <w:rFonts w:eastAsia="Times New Roman"/>
                  <w:sz w:val="20"/>
                  <w:szCs w:val="20"/>
                </w:rPr>
                <w:t>Private Placement Warrants Purchase Agreement, dated as of February 16, 2021, between the Company and the Sponsor</w:t>
              </w:r>
              <w:r>
                <w:rPr>
                  <w:rStyle w:val="a4"/>
                  <w:rFonts w:eastAsia="Times New Roman"/>
                  <w:sz w:val="20"/>
                  <w:szCs w:val="20"/>
                  <w:vertAlign w:val="superscript"/>
                </w:rPr>
                <w:t>(1)</w:t>
              </w:r>
            </w:hyperlink>
          </w:p>
        </w:tc>
      </w:tr>
      <w:tr w:rsidR="00000000">
        <w:tc>
          <w:tcPr>
            <w:tcW w:w="0" w:type="auto"/>
            <w:shd w:val="clear" w:color="auto" w:fill="FFFF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10.2</w:t>
            </w:r>
          </w:p>
        </w:tc>
        <w:tc>
          <w:tcPr>
            <w:tcW w:w="0" w:type="auto"/>
            <w:shd w:val="clear" w:color="auto" w:fill="FFFF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0" w:type="dxa"/>
              <w:right w:w="5" w:type="dxa"/>
            </w:tcMar>
            <w:hideMark/>
          </w:tcPr>
          <w:p w:rsidR="00000000" w:rsidRDefault="00CE32AE">
            <w:pPr>
              <w:jc w:val="both"/>
              <w:rPr>
                <w:rFonts w:eastAsia="Times New Roman"/>
                <w:sz w:val="20"/>
                <w:szCs w:val="20"/>
              </w:rPr>
            </w:pPr>
            <w:hyperlink r:id="rId7" w:history="1">
              <w:r>
                <w:rPr>
                  <w:rStyle w:val="a4"/>
                  <w:rFonts w:eastAsia="Times New Roman"/>
                  <w:sz w:val="20"/>
                  <w:szCs w:val="20"/>
                </w:rPr>
                <w:t>Investment Management Trust Account Agreement, dated as of February 16, 2021, between Continental Stock Transfer &amp; Trust Company and the Company</w:t>
              </w:r>
              <w:r>
                <w:rPr>
                  <w:rStyle w:val="a4"/>
                  <w:rFonts w:eastAsia="Times New Roman"/>
                  <w:sz w:val="20"/>
                  <w:szCs w:val="20"/>
                  <w:vertAlign w:val="superscript"/>
                </w:rPr>
                <w:t>(1)</w:t>
              </w:r>
            </w:hyperlink>
          </w:p>
        </w:tc>
      </w:tr>
      <w:tr w:rsidR="00000000">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10.3</w:t>
            </w:r>
          </w:p>
        </w:tc>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0" w:type="dxa"/>
              <w:right w:w="5" w:type="dxa"/>
            </w:tcMar>
            <w:hideMark/>
          </w:tcPr>
          <w:p w:rsidR="00000000" w:rsidRDefault="00CE32AE">
            <w:pPr>
              <w:jc w:val="both"/>
              <w:rPr>
                <w:rFonts w:eastAsia="Times New Roman"/>
                <w:sz w:val="20"/>
                <w:szCs w:val="20"/>
              </w:rPr>
            </w:pPr>
            <w:hyperlink r:id="rId8" w:history="1">
              <w:r>
                <w:rPr>
                  <w:rStyle w:val="a4"/>
                  <w:rFonts w:eastAsia="Times New Roman"/>
                  <w:sz w:val="20"/>
                  <w:szCs w:val="20"/>
                </w:rPr>
                <w:t>Registration and Shareholder Rights Agreement, dated as of February 16, 2021, among the Company, the Sponsor and certain other equityholders nam</w:t>
              </w:r>
              <w:r>
                <w:rPr>
                  <w:rStyle w:val="a4"/>
                  <w:rFonts w:eastAsia="Times New Roman"/>
                  <w:sz w:val="20"/>
                  <w:szCs w:val="20"/>
                </w:rPr>
                <w:t>ed therein</w:t>
              </w:r>
              <w:r>
                <w:rPr>
                  <w:rStyle w:val="a4"/>
                  <w:rFonts w:eastAsia="Times New Roman"/>
                  <w:sz w:val="20"/>
                  <w:szCs w:val="20"/>
                  <w:vertAlign w:val="superscript"/>
                </w:rPr>
                <w:t>(1)</w:t>
              </w:r>
            </w:hyperlink>
          </w:p>
        </w:tc>
      </w:tr>
      <w:tr w:rsidR="00000000">
        <w:tc>
          <w:tcPr>
            <w:tcW w:w="0" w:type="auto"/>
            <w:shd w:val="clear" w:color="auto" w:fill="FFFF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10.4</w:t>
            </w:r>
          </w:p>
        </w:tc>
        <w:tc>
          <w:tcPr>
            <w:tcW w:w="0" w:type="auto"/>
            <w:shd w:val="clear" w:color="auto" w:fill="FFFF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0" w:type="dxa"/>
              <w:right w:w="5" w:type="dxa"/>
            </w:tcMar>
            <w:hideMark/>
          </w:tcPr>
          <w:p w:rsidR="00000000" w:rsidRDefault="00CE32AE">
            <w:pPr>
              <w:jc w:val="both"/>
              <w:rPr>
                <w:rFonts w:eastAsia="Times New Roman"/>
                <w:sz w:val="20"/>
                <w:szCs w:val="20"/>
              </w:rPr>
            </w:pPr>
            <w:hyperlink r:id="rId9" w:history="1">
              <w:r>
                <w:rPr>
                  <w:rStyle w:val="a4"/>
                  <w:rFonts w:eastAsia="Times New Roman"/>
                  <w:sz w:val="20"/>
                  <w:szCs w:val="20"/>
                </w:rPr>
                <w:t>Letter Agreement, dated as of February 16, 2021, among the Company, the Sponsor and the Company’s officers and directors</w:t>
              </w:r>
              <w:r>
                <w:rPr>
                  <w:rStyle w:val="a4"/>
                  <w:rFonts w:eastAsia="Times New Roman"/>
                  <w:sz w:val="20"/>
                  <w:szCs w:val="20"/>
                  <w:vertAlign w:val="superscript"/>
                </w:rPr>
                <w:t>(1</w:t>
              </w:r>
              <w:r>
                <w:rPr>
                  <w:rStyle w:val="a4"/>
                  <w:rFonts w:eastAsia="Times New Roman"/>
                  <w:sz w:val="20"/>
                  <w:szCs w:val="20"/>
                  <w:vertAlign w:val="superscript"/>
                </w:rPr>
                <w:t>)</w:t>
              </w:r>
            </w:hyperlink>
          </w:p>
        </w:tc>
      </w:tr>
      <w:tr w:rsidR="00000000">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10.5</w:t>
            </w:r>
          </w:p>
        </w:tc>
        <w:tc>
          <w:tcPr>
            <w:tcW w:w="0" w:type="auto"/>
            <w:shd w:val="clear" w:color="auto" w:fill="CCEEFF"/>
            <w:tcMar>
              <w:top w:w="5" w:type="dxa"/>
              <w:left w:w="5" w:type="dxa"/>
              <w:bottom w:w="0"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0" w:type="dxa"/>
              <w:right w:w="5" w:type="dxa"/>
            </w:tcMar>
            <w:hideMark/>
          </w:tcPr>
          <w:p w:rsidR="00000000" w:rsidRDefault="00CE32AE">
            <w:pPr>
              <w:jc w:val="both"/>
              <w:rPr>
                <w:rFonts w:eastAsia="Times New Roman"/>
                <w:sz w:val="20"/>
                <w:szCs w:val="20"/>
              </w:rPr>
            </w:pPr>
            <w:hyperlink r:id="rId10" w:history="1">
              <w:r>
                <w:rPr>
                  <w:rStyle w:val="a4"/>
                  <w:rFonts w:eastAsia="Times New Roman"/>
                  <w:sz w:val="20"/>
                  <w:szCs w:val="20"/>
                </w:rPr>
                <w:t>Administrative Services Agreement, dated as of February 16, 2021, between the Company and the Sponsor</w:t>
              </w:r>
              <w:r>
                <w:rPr>
                  <w:rStyle w:val="a4"/>
                  <w:rFonts w:eastAsia="Times New Roman"/>
                  <w:sz w:val="20"/>
                  <w:szCs w:val="20"/>
                  <w:vertAlign w:val="superscript"/>
                </w:rPr>
                <w:t>(1)</w:t>
              </w:r>
            </w:hyperlink>
          </w:p>
        </w:tc>
      </w:tr>
      <w:tr w:rsidR="00000000">
        <w:tc>
          <w:tcPr>
            <w:tcW w:w="450" w:type="pct"/>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31.1</w:t>
            </w:r>
          </w:p>
        </w:tc>
        <w:tc>
          <w:tcPr>
            <w:tcW w:w="50" w:type="pct"/>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4500" w:type="pct"/>
            <w:shd w:val="clear" w:color="auto" w:fill="FFFFFF"/>
            <w:tcMar>
              <w:top w:w="5" w:type="dxa"/>
              <w:left w:w="5" w:type="dxa"/>
              <w:bottom w:w="5" w:type="dxa"/>
              <w:right w:w="5" w:type="dxa"/>
            </w:tcMar>
            <w:hideMark/>
          </w:tcPr>
          <w:p w:rsidR="00000000" w:rsidRDefault="00CE32AE">
            <w:pPr>
              <w:jc w:val="both"/>
              <w:rPr>
                <w:rFonts w:eastAsia="Times New Roman"/>
                <w:sz w:val="20"/>
                <w:szCs w:val="20"/>
              </w:rPr>
            </w:pPr>
            <w:hyperlink r:id="rId11" w:history="1">
              <w:r>
                <w:rPr>
                  <w:rStyle w:val="a4"/>
                  <w:rFonts w:eastAsia="Times New Roman"/>
                  <w:sz w:val="20"/>
                  <w:szCs w:val="20"/>
                </w:rPr>
                <w:t>Certification of Chief Executive Officer (Principal Executive Officer) Pursuant to Rules 13a-14(a) and 15d-14(a) under the Securities Exchange Act of 1934, as Adopted Pursuant to Section 302 of the Sarbanes-Oxley Act of 2002.</w:t>
              </w:r>
            </w:hyperlink>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31.2</w:t>
            </w:r>
          </w:p>
        </w:tc>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both"/>
              <w:rPr>
                <w:rFonts w:eastAsia="Times New Roman"/>
                <w:sz w:val="20"/>
                <w:szCs w:val="20"/>
              </w:rPr>
            </w:pPr>
            <w:hyperlink r:id="rId12" w:history="1">
              <w:r>
                <w:rPr>
                  <w:rStyle w:val="a4"/>
                  <w:rFonts w:eastAsia="Times New Roman"/>
                  <w:sz w:val="20"/>
                  <w:szCs w:val="20"/>
                </w:rPr>
                <w:t xml:space="preserve">Certification of Chief Financial Officer (Principal Financial and Accounting Officer) Pursuant to Rules 13a-14(a) and 15d-14(a) under the Securities Exchange Act of 1934, as Adopted Pursuant to Section 302 of the Sarbanes-Oxley Act </w:t>
              </w:r>
              <w:r>
                <w:rPr>
                  <w:rStyle w:val="a4"/>
                  <w:rFonts w:eastAsia="Times New Roman"/>
                  <w:sz w:val="20"/>
                  <w:szCs w:val="20"/>
                </w:rPr>
                <w:t>of 2002.</w:t>
              </w:r>
            </w:hyperlink>
          </w:p>
        </w:tc>
      </w:tr>
      <w:tr w:rsidR="00000000">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32.1*</w:t>
            </w:r>
          </w:p>
        </w:tc>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hideMark/>
          </w:tcPr>
          <w:p w:rsidR="00000000" w:rsidRDefault="00CE32AE">
            <w:pPr>
              <w:jc w:val="both"/>
              <w:rPr>
                <w:rFonts w:eastAsia="Times New Roman"/>
                <w:sz w:val="20"/>
                <w:szCs w:val="20"/>
              </w:rPr>
            </w:pPr>
            <w:hyperlink r:id="rId13" w:history="1">
              <w:r>
                <w:rPr>
                  <w:rStyle w:val="a4"/>
                  <w:rFonts w:eastAsia="Times New Roman"/>
                  <w:sz w:val="20"/>
                  <w:szCs w:val="20"/>
                </w:rPr>
                <w:t>Certification of Chief Executive Officer (Principal Executive Officer) Pursuant to 18 U.S.C. Section 1350, as Adopted Pursuant to Section 906 of the Sarbanes-Oxley Act of 2002.</w:t>
              </w:r>
            </w:hyperlink>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32.2*</w:t>
            </w:r>
          </w:p>
        </w:tc>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both"/>
              <w:rPr>
                <w:rFonts w:eastAsia="Times New Roman"/>
                <w:sz w:val="20"/>
                <w:szCs w:val="20"/>
              </w:rPr>
            </w:pPr>
            <w:hyperlink r:id="rId14" w:history="1">
              <w:r>
                <w:rPr>
                  <w:rStyle w:val="a4"/>
                  <w:rFonts w:eastAsia="Times New Roman"/>
                  <w:sz w:val="20"/>
                  <w:szCs w:val="20"/>
                </w:rPr>
                <w:t>Certification of Chief Financial Officer (Principal Financial and Accounting Officer) Pursuant to 18 U.S.C. Section 1350, as Adopted Pursuant to Section 906 of the Sarbanes-Oxley Act of 2002.</w:t>
              </w:r>
            </w:hyperlink>
          </w:p>
        </w:tc>
      </w:tr>
      <w:tr w:rsidR="00000000">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101.INS</w:t>
            </w:r>
          </w:p>
        </w:tc>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hideMark/>
          </w:tcPr>
          <w:p w:rsidR="00000000" w:rsidRDefault="00CE32AE">
            <w:pPr>
              <w:jc w:val="both"/>
              <w:rPr>
                <w:rFonts w:eastAsia="Times New Roman"/>
                <w:sz w:val="20"/>
                <w:szCs w:val="20"/>
              </w:rPr>
            </w:pPr>
            <w:r>
              <w:rPr>
                <w:rFonts w:eastAsia="Times New Roman"/>
                <w:sz w:val="20"/>
                <w:szCs w:val="20"/>
              </w:rPr>
              <w:t xml:space="preserve">XBRL </w:t>
            </w:r>
            <w:r>
              <w:rPr>
                <w:rFonts w:eastAsia="Times New Roman"/>
                <w:sz w:val="20"/>
                <w:szCs w:val="20"/>
              </w:rPr>
              <w:t>Instance Document</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101.SCH</w:t>
            </w:r>
          </w:p>
        </w:tc>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both"/>
              <w:rPr>
                <w:rFonts w:eastAsia="Times New Roman"/>
                <w:sz w:val="20"/>
                <w:szCs w:val="20"/>
              </w:rPr>
            </w:pPr>
            <w:r>
              <w:rPr>
                <w:rFonts w:eastAsia="Times New Roman"/>
                <w:sz w:val="20"/>
                <w:szCs w:val="20"/>
              </w:rPr>
              <w:t>XBRL Taxonomy Extension Schema Document</w:t>
            </w:r>
          </w:p>
        </w:tc>
      </w:tr>
      <w:tr w:rsidR="00000000">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101.CAL</w:t>
            </w:r>
          </w:p>
        </w:tc>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hideMark/>
          </w:tcPr>
          <w:p w:rsidR="00000000" w:rsidRDefault="00CE32AE">
            <w:pPr>
              <w:jc w:val="both"/>
              <w:rPr>
                <w:rFonts w:eastAsia="Times New Roman"/>
                <w:sz w:val="20"/>
                <w:szCs w:val="20"/>
              </w:rPr>
            </w:pPr>
            <w:r>
              <w:rPr>
                <w:rFonts w:eastAsia="Times New Roman"/>
                <w:sz w:val="20"/>
                <w:szCs w:val="20"/>
              </w:rPr>
              <w:t>XBRL Taxonomy Extension Calculation Linkbase Document</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101.DEF</w:t>
            </w:r>
          </w:p>
        </w:tc>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both"/>
              <w:rPr>
                <w:rFonts w:eastAsia="Times New Roman"/>
                <w:sz w:val="20"/>
                <w:szCs w:val="20"/>
              </w:rPr>
            </w:pPr>
            <w:r>
              <w:rPr>
                <w:rFonts w:eastAsia="Times New Roman"/>
                <w:sz w:val="20"/>
                <w:szCs w:val="20"/>
              </w:rPr>
              <w:t>XBRL Taxonomy Extension Definition Linkbase Document</w:t>
            </w:r>
          </w:p>
        </w:tc>
      </w:tr>
      <w:tr w:rsidR="00000000">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101.LAB</w:t>
            </w:r>
          </w:p>
        </w:tc>
        <w:tc>
          <w:tcPr>
            <w:tcW w:w="0" w:type="auto"/>
            <w:shd w:val="clear" w:color="auto" w:fill="FFFF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FFFFFF"/>
            <w:tcMar>
              <w:top w:w="5" w:type="dxa"/>
              <w:left w:w="5" w:type="dxa"/>
              <w:bottom w:w="5" w:type="dxa"/>
              <w:right w:w="5" w:type="dxa"/>
            </w:tcMar>
            <w:hideMark/>
          </w:tcPr>
          <w:p w:rsidR="00000000" w:rsidRDefault="00CE32AE">
            <w:pPr>
              <w:jc w:val="both"/>
              <w:rPr>
                <w:rFonts w:eastAsia="Times New Roman"/>
                <w:sz w:val="20"/>
                <w:szCs w:val="20"/>
              </w:rPr>
            </w:pPr>
            <w:r>
              <w:rPr>
                <w:rFonts w:eastAsia="Times New Roman"/>
                <w:sz w:val="20"/>
                <w:szCs w:val="20"/>
              </w:rPr>
              <w:t>XBRL Taxonomy Extension Label Linkbase Document</w:t>
            </w:r>
          </w:p>
        </w:tc>
      </w:tr>
      <w:tr w:rsidR="00000000">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101.PRE</w:t>
            </w:r>
          </w:p>
        </w:tc>
        <w:tc>
          <w:tcPr>
            <w:tcW w:w="0" w:type="auto"/>
            <w:shd w:val="clear" w:color="auto" w:fill="CCEEFF"/>
            <w:tcMar>
              <w:top w:w="5" w:type="dxa"/>
              <w:left w:w="5" w:type="dxa"/>
              <w:bottom w:w="5" w:type="dxa"/>
              <w:right w:w="5" w:type="dxa"/>
            </w:tcMar>
            <w:hideMark/>
          </w:tcPr>
          <w:p w:rsidR="00000000" w:rsidRDefault="00CE32AE">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rsidR="00000000" w:rsidRDefault="00CE32AE">
            <w:pPr>
              <w:jc w:val="both"/>
              <w:rPr>
                <w:rFonts w:eastAsia="Times New Roman"/>
                <w:sz w:val="20"/>
                <w:szCs w:val="20"/>
              </w:rPr>
            </w:pPr>
            <w:r>
              <w:rPr>
                <w:rFonts w:eastAsia="Times New Roman"/>
                <w:sz w:val="20"/>
                <w:szCs w:val="20"/>
              </w:rPr>
              <w:t>XBRL Taxonomy Extension Presentation Linkbase Document</w:t>
            </w:r>
          </w:p>
        </w:tc>
      </w:tr>
    </w:tbl>
    <w:p w:rsidR="00000000" w:rsidRDefault="00CE32AE">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CE32AE">
            <w:pPr>
              <w:rPr>
                <w:rFonts w:eastAsia="Times New Roman"/>
                <w:sz w:val="20"/>
                <w:szCs w:val="20"/>
              </w:rPr>
            </w:pPr>
            <w:r>
              <w:rPr>
                <w:rFonts w:eastAsia="Times New Roman"/>
                <w:i/>
                <w:iCs/>
                <w:sz w:val="20"/>
                <w:szCs w:val="20"/>
              </w:rPr>
              <w:t>*</w:t>
            </w:r>
          </w:p>
        </w:tc>
        <w:tc>
          <w:tcPr>
            <w:tcW w:w="0" w:type="auto"/>
            <w:hideMark/>
          </w:tcPr>
          <w:p w:rsidR="00000000" w:rsidRDefault="00CE32AE">
            <w:pPr>
              <w:jc w:val="both"/>
              <w:rPr>
                <w:rFonts w:eastAsia="Times New Roman"/>
                <w:sz w:val="20"/>
                <w:szCs w:val="20"/>
              </w:rPr>
            </w:pPr>
            <w:r>
              <w:rPr>
                <w:rFonts w:eastAsia="Times New Roman"/>
                <w:sz w:val="20"/>
                <w:szCs w:val="20"/>
              </w:rPr>
              <w:t xml:space="preserve">These </w:t>
            </w:r>
            <w:r>
              <w:rPr>
                <w:rFonts w:eastAsia="Times New Roman"/>
                <w:sz w:val="20"/>
                <w:szCs w:val="20"/>
              </w:rPr>
              <w:t xml:space="preserve">certifications are furnished to the SEC pursuant to Section 906 of the Sarbanes-Oxley Act of 2002 and are deemed not filed for purposes of Section 18 of the Securities Exchange Act of 1934, as amended, nor shall they be deemed incorporated by reference in </w:t>
            </w:r>
            <w:r>
              <w:rPr>
                <w:rFonts w:eastAsia="Times New Roman"/>
                <w:sz w:val="20"/>
                <w:szCs w:val="20"/>
              </w:rPr>
              <w:t>any filing under the Securities Act of 1933, except as shall be expressly set forth by specific reference in such filing.</w:t>
            </w:r>
          </w:p>
        </w:tc>
      </w:tr>
      <w:tr w:rsidR="00000000">
        <w:trPr>
          <w:tblCellSpacing w:w="0" w:type="dxa"/>
        </w:trPr>
        <w:tc>
          <w:tcPr>
            <w:tcW w:w="0" w:type="auto"/>
            <w:hideMark/>
          </w:tcPr>
          <w:p w:rsidR="00000000" w:rsidRDefault="00CE32AE">
            <w:pPr>
              <w:rPr>
                <w:rFonts w:eastAsia="Times New Roman"/>
                <w:sz w:val="20"/>
                <w:szCs w:val="20"/>
              </w:rPr>
            </w:pPr>
            <w:r>
              <w:rPr>
                <w:rFonts w:eastAsia="Times New Roman"/>
                <w:sz w:val="20"/>
                <w:szCs w:val="20"/>
              </w:rPr>
              <w:t>(1)</w:t>
            </w:r>
          </w:p>
        </w:tc>
        <w:tc>
          <w:tcPr>
            <w:tcW w:w="0" w:type="auto"/>
            <w:hideMark/>
          </w:tcPr>
          <w:p w:rsidR="00000000" w:rsidRDefault="00CE32AE">
            <w:pPr>
              <w:pStyle w:val="a3"/>
              <w:spacing w:before="0" w:beforeAutospacing="0" w:after="0" w:afterAutospacing="0"/>
              <w:jc w:val="both"/>
              <w:rPr>
                <w:sz w:val="20"/>
                <w:szCs w:val="20"/>
              </w:rPr>
            </w:pPr>
            <w:r>
              <w:rPr>
                <w:sz w:val="20"/>
                <w:szCs w:val="20"/>
              </w:rPr>
              <w:t>Previously filed as an exhibit to our Current Report on Form 8-K filed on February 22, 2021 and incorporated by reference herein.</w:t>
            </w:r>
          </w:p>
        </w:tc>
      </w:tr>
    </w:tbl>
    <w:p w:rsidR="00000000" w:rsidRDefault="00CE32AE">
      <w:pPr>
        <w:pStyle w:val="a3"/>
        <w:spacing w:before="0" w:beforeAutospacing="0" w:after="0" w:afterAutospacing="0"/>
        <w:jc w:val="center"/>
        <w:rPr>
          <w:sz w:val="20"/>
          <w:szCs w:val="20"/>
        </w:rPr>
      </w:pPr>
      <w:r>
        <w:rPr>
          <w:sz w:val="20"/>
          <w:szCs w:val="20"/>
        </w:rPr>
        <w:t> </w:t>
      </w:r>
    </w:p>
    <w:p w:rsidR="00000000" w:rsidRDefault="00CE32AE">
      <w:pPr>
        <w:pStyle w:val="a3"/>
        <w:spacing w:before="0" w:beforeAutospacing="0" w:after="0" w:afterAutospacing="0"/>
        <w:jc w:val="center"/>
        <w:divId w:val="206383062"/>
        <w:rPr>
          <w:sz w:val="20"/>
          <w:szCs w:val="20"/>
        </w:rPr>
      </w:pPr>
      <w:r>
        <w:rPr>
          <w:sz w:val="20"/>
          <w:szCs w:val="20"/>
        </w:rPr>
        <w:t>2</w:t>
      </w:r>
      <w:r>
        <w:rPr>
          <w:sz w:val="20"/>
          <w:szCs w:val="20"/>
        </w:rPr>
        <w:t>5</w:t>
      </w:r>
    </w:p>
    <w:p w:rsidR="00000000" w:rsidRDefault="00CE32AE">
      <w:pPr>
        <w:pStyle w:val="a3"/>
        <w:spacing w:before="0" w:beforeAutospacing="0" w:after="0" w:afterAutospacing="0"/>
        <w:divId w:val="1317761591"/>
        <w:rPr>
          <w:sz w:val="20"/>
          <w:szCs w:val="20"/>
        </w:rPr>
      </w:pPr>
      <w:r>
        <w:rPr>
          <w:sz w:val="20"/>
          <w:szCs w:val="20"/>
        </w:rPr>
        <w:t> </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center"/>
        <w:rPr>
          <w:sz w:val="20"/>
          <w:szCs w:val="20"/>
        </w:rPr>
      </w:pPr>
      <w:r>
        <w:rPr>
          <w:b/>
          <w:bCs/>
          <w:sz w:val="20"/>
          <w:szCs w:val="20"/>
        </w:rPr>
        <w:t>SIGNATURE</w:t>
      </w:r>
    </w:p>
    <w:p w:rsidR="00000000" w:rsidRDefault="00CE32AE">
      <w:pPr>
        <w:pStyle w:val="a3"/>
        <w:spacing w:before="0" w:beforeAutospacing="0" w:after="0" w:afterAutospacing="0"/>
        <w:jc w:val="center"/>
        <w:rPr>
          <w:sz w:val="20"/>
          <w:szCs w:val="20"/>
        </w:rPr>
      </w:pPr>
      <w:r>
        <w:rPr>
          <w:b/>
          <w:bCs/>
          <w:sz w:val="20"/>
          <w:szCs w:val="20"/>
        </w:rPr>
        <w:t> </w:t>
      </w:r>
    </w:p>
    <w:p w:rsidR="00000000" w:rsidRDefault="00CE32AE">
      <w:pPr>
        <w:pStyle w:val="a3"/>
        <w:spacing w:before="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hereunto duly authorized.</w:t>
      </w:r>
    </w:p>
    <w:p w:rsidR="00000000" w:rsidRDefault="00CE32A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24"/>
        <w:gridCol w:w="534"/>
        <w:gridCol w:w="2848"/>
      </w:tblGrid>
      <w:tr w:rsidR="00000000">
        <w:tc>
          <w:tcPr>
            <w:tcW w:w="0" w:type="auto"/>
            <w:hideMark/>
          </w:tcPr>
          <w:p w:rsidR="00000000" w:rsidRDefault="00CE32AE">
            <w:pPr>
              <w:rPr>
                <w:rFonts w:eastAsia="Times New Roman"/>
                <w:sz w:val="20"/>
                <w:szCs w:val="20"/>
              </w:rPr>
            </w:pPr>
            <w:r>
              <w:rPr>
                <w:rFonts w:eastAsia="Times New Roman"/>
                <w:sz w:val="20"/>
                <w:szCs w:val="20"/>
              </w:rPr>
              <w:t>Dated: June 4, 2021</w:t>
            </w:r>
          </w:p>
        </w:tc>
        <w:tc>
          <w:tcPr>
            <w:tcW w:w="0" w:type="auto"/>
            <w:gridSpan w:val="2"/>
            <w:hideMark/>
          </w:tcPr>
          <w:p w:rsidR="00000000" w:rsidRDefault="00CE32AE">
            <w:pPr>
              <w:rPr>
                <w:rFonts w:eastAsia="Times New Roman"/>
                <w:sz w:val="20"/>
                <w:szCs w:val="20"/>
              </w:rPr>
            </w:pPr>
            <w:r>
              <w:rPr>
                <w:rFonts w:eastAsia="Times New Roman"/>
                <w:b/>
                <w:bCs/>
                <w:sz w:val="20"/>
                <w:szCs w:val="20"/>
              </w:rPr>
              <w:t xml:space="preserve">PATHFINDER </w:t>
            </w:r>
            <w:r>
              <w:rPr>
                <w:rFonts w:eastAsia="Times New Roman"/>
                <w:b/>
                <w:bCs/>
                <w:sz w:val="20"/>
                <w:szCs w:val="20"/>
              </w:rPr>
              <w:t xml:space="preserve">ACQUISITION CORPORATION </w:t>
            </w:r>
          </w:p>
        </w:tc>
      </w:tr>
      <w:tr w:rsidR="00000000">
        <w:tc>
          <w:tcPr>
            <w:tcW w:w="3000" w:type="pct"/>
            <w:hideMark/>
          </w:tcPr>
          <w:p w:rsidR="00000000" w:rsidRDefault="00CE32AE">
            <w:pPr>
              <w:rPr>
                <w:rFonts w:eastAsia="Times New Roman"/>
                <w:sz w:val="20"/>
                <w:szCs w:val="20"/>
              </w:rPr>
            </w:pPr>
            <w:r>
              <w:rPr>
                <w:rFonts w:eastAsia="Times New Roman"/>
                <w:sz w:val="20"/>
                <w:szCs w:val="20"/>
              </w:rPr>
              <w:t> </w:t>
            </w:r>
          </w:p>
        </w:tc>
        <w:tc>
          <w:tcPr>
            <w:tcW w:w="250" w:type="pct"/>
            <w:hideMark/>
          </w:tcPr>
          <w:p w:rsidR="00000000" w:rsidRDefault="00CE32AE">
            <w:pPr>
              <w:rPr>
                <w:rFonts w:eastAsia="Times New Roman"/>
                <w:sz w:val="20"/>
                <w:szCs w:val="20"/>
              </w:rPr>
            </w:pPr>
            <w:r>
              <w:rPr>
                <w:rFonts w:eastAsia="Times New Roman"/>
                <w:sz w:val="20"/>
                <w:szCs w:val="20"/>
              </w:rPr>
              <w:t> </w:t>
            </w:r>
          </w:p>
        </w:tc>
        <w:tc>
          <w:tcPr>
            <w:tcW w:w="1750" w:type="pct"/>
            <w:hideMark/>
          </w:tcPr>
          <w:p w:rsidR="00000000" w:rsidRDefault="00CE32AE">
            <w:pPr>
              <w:rPr>
                <w:rFonts w:eastAsia="Times New Roman"/>
                <w:sz w:val="20"/>
                <w:szCs w:val="20"/>
              </w:rPr>
            </w:pPr>
            <w:r>
              <w:rPr>
                <w:rFonts w:eastAsia="Times New Roman"/>
                <w:sz w:val="20"/>
                <w:szCs w:val="20"/>
              </w:rPr>
              <w:t> </w:t>
            </w:r>
          </w:p>
        </w:tc>
      </w:tr>
      <w:tr w:rsidR="00000000">
        <w:tc>
          <w:tcPr>
            <w:tcW w:w="0" w:type="auto"/>
            <w:hideMark/>
          </w:tcPr>
          <w:p w:rsidR="00000000" w:rsidRDefault="00CE32AE">
            <w:pPr>
              <w:rPr>
                <w:rFonts w:eastAsia="Times New Roman"/>
                <w:sz w:val="20"/>
                <w:szCs w:val="20"/>
              </w:rPr>
            </w:pPr>
            <w:r>
              <w:rPr>
                <w:rFonts w:eastAsia="Times New Roman"/>
                <w:sz w:val="20"/>
                <w:szCs w:val="20"/>
              </w:rPr>
              <w:t> </w:t>
            </w:r>
          </w:p>
        </w:tc>
        <w:tc>
          <w:tcPr>
            <w:tcW w:w="0" w:type="auto"/>
            <w:hideMark/>
          </w:tcPr>
          <w:p w:rsidR="00000000" w:rsidRDefault="00CE32AE">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CE32AE">
            <w:pPr>
              <w:rPr>
                <w:rFonts w:eastAsia="Times New Roman"/>
                <w:sz w:val="20"/>
                <w:szCs w:val="20"/>
              </w:rPr>
            </w:pPr>
            <w:r>
              <w:rPr>
                <w:rFonts w:eastAsia="Times New Roman"/>
                <w:sz w:val="20"/>
                <w:szCs w:val="20"/>
              </w:rPr>
              <w:t>/s/ David Chung</w:t>
            </w:r>
          </w:p>
        </w:tc>
      </w:tr>
      <w:tr w:rsidR="00000000">
        <w:tc>
          <w:tcPr>
            <w:tcW w:w="0" w:type="auto"/>
            <w:hideMark/>
          </w:tcPr>
          <w:p w:rsidR="00000000" w:rsidRDefault="00CE32AE">
            <w:pPr>
              <w:rPr>
                <w:rFonts w:eastAsia="Times New Roman"/>
                <w:sz w:val="20"/>
                <w:szCs w:val="20"/>
              </w:rPr>
            </w:pPr>
            <w:r>
              <w:rPr>
                <w:rFonts w:eastAsia="Times New Roman"/>
                <w:sz w:val="20"/>
                <w:szCs w:val="20"/>
              </w:rPr>
              <w:t> </w:t>
            </w:r>
          </w:p>
        </w:tc>
        <w:tc>
          <w:tcPr>
            <w:tcW w:w="0" w:type="auto"/>
            <w:hideMark/>
          </w:tcPr>
          <w:p w:rsidR="00000000" w:rsidRDefault="00CE32AE">
            <w:pPr>
              <w:rPr>
                <w:rFonts w:eastAsia="Times New Roman"/>
                <w:sz w:val="20"/>
                <w:szCs w:val="20"/>
              </w:rPr>
            </w:pPr>
            <w:r>
              <w:rPr>
                <w:rFonts w:eastAsia="Times New Roman"/>
                <w:sz w:val="20"/>
                <w:szCs w:val="20"/>
              </w:rPr>
              <w:t>Name:</w:t>
            </w:r>
          </w:p>
        </w:tc>
        <w:tc>
          <w:tcPr>
            <w:tcW w:w="0" w:type="auto"/>
            <w:hideMark/>
          </w:tcPr>
          <w:p w:rsidR="00000000" w:rsidRDefault="00CE32AE">
            <w:pPr>
              <w:rPr>
                <w:rFonts w:eastAsia="Times New Roman"/>
                <w:sz w:val="20"/>
                <w:szCs w:val="20"/>
              </w:rPr>
            </w:pPr>
            <w:r>
              <w:rPr>
                <w:rFonts w:eastAsia="Times New Roman"/>
                <w:sz w:val="20"/>
                <w:szCs w:val="20"/>
              </w:rPr>
              <w:t>David Chung</w:t>
            </w:r>
          </w:p>
        </w:tc>
      </w:tr>
      <w:tr w:rsidR="00000000">
        <w:tc>
          <w:tcPr>
            <w:tcW w:w="0" w:type="auto"/>
            <w:hideMark/>
          </w:tcPr>
          <w:p w:rsidR="00000000" w:rsidRDefault="00CE32AE">
            <w:pPr>
              <w:rPr>
                <w:rFonts w:eastAsia="Times New Roman"/>
                <w:sz w:val="20"/>
                <w:szCs w:val="20"/>
              </w:rPr>
            </w:pPr>
            <w:r>
              <w:rPr>
                <w:rFonts w:eastAsia="Times New Roman"/>
                <w:sz w:val="20"/>
                <w:szCs w:val="20"/>
              </w:rPr>
              <w:t> </w:t>
            </w:r>
          </w:p>
        </w:tc>
        <w:tc>
          <w:tcPr>
            <w:tcW w:w="0" w:type="auto"/>
            <w:hideMark/>
          </w:tcPr>
          <w:p w:rsidR="00000000" w:rsidRDefault="00CE32AE">
            <w:pPr>
              <w:rPr>
                <w:rFonts w:eastAsia="Times New Roman"/>
                <w:sz w:val="20"/>
                <w:szCs w:val="20"/>
              </w:rPr>
            </w:pPr>
            <w:r>
              <w:rPr>
                <w:rFonts w:eastAsia="Times New Roman"/>
                <w:sz w:val="20"/>
                <w:szCs w:val="20"/>
              </w:rPr>
              <w:t>Title:</w:t>
            </w:r>
          </w:p>
        </w:tc>
        <w:tc>
          <w:tcPr>
            <w:tcW w:w="0" w:type="auto"/>
            <w:hideMark/>
          </w:tcPr>
          <w:p w:rsidR="00000000" w:rsidRDefault="00CE32AE">
            <w:pPr>
              <w:rPr>
                <w:rFonts w:eastAsia="Times New Roman"/>
                <w:sz w:val="20"/>
                <w:szCs w:val="20"/>
              </w:rPr>
            </w:pPr>
            <w:r>
              <w:rPr>
                <w:rFonts w:eastAsia="Times New Roman"/>
                <w:sz w:val="20"/>
                <w:szCs w:val="20"/>
              </w:rPr>
              <w:t>Chief Executive Officer</w:t>
            </w:r>
          </w:p>
        </w:tc>
      </w:tr>
    </w:tbl>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rPr>
          <w:sz w:val="20"/>
          <w:szCs w:val="20"/>
        </w:rPr>
      </w:pPr>
      <w:r>
        <w:rPr>
          <w:sz w:val="20"/>
          <w:szCs w:val="20"/>
        </w:rPr>
        <w:t> </w:t>
      </w:r>
    </w:p>
    <w:p w:rsidR="00000000" w:rsidRDefault="00CE32AE">
      <w:pPr>
        <w:pStyle w:val="a3"/>
        <w:spacing w:before="0" w:beforeAutospacing="0" w:after="0" w:afterAutospacing="0"/>
        <w:jc w:val="center"/>
        <w:rPr>
          <w:sz w:val="20"/>
          <w:szCs w:val="20"/>
        </w:rPr>
      </w:pPr>
      <w:r>
        <w:rPr>
          <w:sz w:val="20"/>
          <w:szCs w:val="20"/>
        </w:rPr>
        <w:t>26</w:t>
      </w:r>
    </w:p>
    <w:p w:rsidR="00CE32AE" w:rsidRDefault="00CE32AE">
      <w:pPr>
        <w:divId w:val="1313364784"/>
        <w:rPr>
          <w:rFonts w:eastAsia="Times New Roman"/>
          <w:sz w:val="2"/>
          <w:szCs w:val="2"/>
        </w:rPr>
      </w:pPr>
      <w:r>
        <w:rPr>
          <w:rFonts w:eastAsia="Times New Roman"/>
          <w:sz w:val="2"/>
          <w:szCs w:val="2"/>
        </w:rPr>
        <w:t> </w:t>
      </w:r>
    </w:p>
    <w:sectPr w:rsidR="00CE32A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32AE"/>
    <w:rsid w:val="00CE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361">
      <w:marLeft w:val="0"/>
      <w:marRight w:val="0"/>
      <w:marTop w:val="120"/>
      <w:marBottom w:val="240"/>
      <w:divBdr>
        <w:top w:val="none" w:sz="0" w:space="0" w:color="auto"/>
        <w:left w:val="none" w:sz="0" w:space="0" w:color="auto"/>
        <w:bottom w:val="none" w:sz="0" w:space="0" w:color="auto"/>
        <w:right w:val="none" w:sz="0" w:space="0" w:color="auto"/>
      </w:divBdr>
    </w:div>
    <w:div w:id="129831504">
      <w:marLeft w:val="0"/>
      <w:marRight w:val="0"/>
      <w:marTop w:val="120"/>
      <w:marBottom w:val="240"/>
      <w:divBdr>
        <w:top w:val="none" w:sz="0" w:space="0" w:color="auto"/>
        <w:left w:val="none" w:sz="0" w:space="0" w:color="auto"/>
        <w:bottom w:val="none" w:sz="0" w:space="0" w:color="auto"/>
        <w:right w:val="none" w:sz="0" w:space="0" w:color="auto"/>
      </w:divBdr>
    </w:div>
    <w:div w:id="205459048">
      <w:marLeft w:val="0"/>
      <w:marRight w:val="0"/>
      <w:marTop w:val="120"/>
      <w:marBottom w:val="240"/>
      <w:divBdr>
        <w:top w:val="none" w:sz="0" w:space="0" w:color="auto"/>
        <w:left w:val="none" w:sz="0" w:space="0" w:color="auto"/>
        <w:bottom w:val="none" w:sz="0" w:space="0" w:color="auto"/>
        <w:right w:val="none" w:sz="0" w:space="0" w:color="auto"/>
      </w:divBdr>
    </w:div>
    <w:div w:id="206383062">
      <w:marLeft w:val="0"/>
      <w:marRight w:val="0"/>
      <w:marTop w:val="240"/>
      <w:marBottom w:val="120"/>
      <w:divBdr>
        <w:top w:val="none" w:sz="0" w:space="0" w:color="auto"/>
        <w:left w:val="none" w:sz="0" w:space="0" w:color="auto"/>
        <w:bottom w:val="single" w:sz="12" w:space="0" w:color="000000"/>
        <w:right w:val="none" w:sz="0" w:space="0" w:color="auto"/>
      </w:divBdr>
    </w:div>
    <w:div w:id="236980653">
      <w:marLeft w:val="0"/>
      <w:marRight w:val="0"/>
      <w:marTop w:val="240"/>
      <w:marBottom w:val="120"/>
      <w:divBdr>
        <w:top w:val="none" w:sz="0" w:space="0" w:color="auto"/>
        <w:left w:val="none" w:sz="0" w:space="0" w:color="auto"/>
        <w:bottom w:val="single" w:sz="12" w:space="0" w:color="000000"/>
        <w:right w:val="none" w:sz="0" w:space="0" w:color="auto"/>
      </w:divBdr>
    </w:div>
    <w:div w:id="298464884">
      <w:marLeft w:val="0"/>
      <w:marRight w:val="0"/>
      <w:marTop w:val="120"/>
      <w:marBottom w:val="240"/>
      <w:divBdr>
        <w:top w:val="none" w:sz="0" w:space="0" w:color="auto"/>
        <w:left w:val="none" w:sz="0" w:space="0" w:color="auto"/>
        <w:bottom w:val="none" w:sz="0" w:space="0" w:color="auto"/>
        <w:right w:val="none" w:sz="0" w:space="0" w:color="auto"/>
      </w:divBdr>
    </w:div>
    <w:div w:id="344986973">
      <w:marLeft w:val="0"/>
      <w:marRight w:val="0"/>
      <w:marTop w:val="120"/>
      <w:marBottom w:val="240"/>
      <w:divBdr>
        <w:top w:val="none" w:sz="0" w:space="0" w:color="auto"/>
        <w:left w:val="none" w:sz="0" w:space="0" w:color="auto"/>
        <w:bottom w:val="none" w:sz="0" w:space="0" w:color="auto"/>
        <w:right w:val="none" w:sz="0" w:space="0" w:color="auto"/>
      </w:divBdr>
    </w:div>
    <w:div w:id="353969020">
      <w:marLeft w:val="0"/>
      <w:marRight w:val="0"/>
      <w:marTop w:val="120"/>
      <w:marBottom w:val="240"/>
      <w:divBdr>
        <w:top w:val="none" w:sz="0" w:space="0" w:color="auto"/>
        <w:left w:val="none" w:sz="0" w:space="0" w:color="auto"/>
        <w:bottom w:val="none" w:sz="0" w:space="0" w:color="auto"/>
        <w:right w:val="none" w:sz="0" w:space="0" w:color="auto"/>
      </w:divBdr>
    </w:div>
    <w:div w:id="356083068">
      <w:marLeft w:val="0"/>
      <w:marRight w:val="0"/>
      <w:marTop w:val="120"/>
      <w:marBottom w:val="240"/>
      <w:divBdr>
        <w:top w:val="none" w:sz="0" w:space="0" w:color="auto"/>
        <w:left w:val="none" w:sz="0" w:space="0" w:color="auto"/>
        <w:bottom w:val="none" w:sz="0" w:space="0" w:color="auto"/>
        <w:right w:val="none" w:sz="0" w:space="0" w:color="auto"/>
      </w:divBdr>
    </w:div>
    <w:div w:id="472333326">
      <w:marLeft w:val="0"/>
      <w:marRight w:val="0"/>
      <w:marTop w:val="120"/>
      <w:marBottom w:val="240"/>
      <w:divBdr>
        <w:top w:val="none" w:sz="0" w:space="0" w:color="auto"/>
        <w:left w:val="none" w:sz="0" w:space="0" w:color="auto"/>
        <w:bottom w:val="none" w:sz="0" w:space="0" w:color="auto"/>
        <w:right w:val="none" w:sz="0" w:space="0" w:color="auto"/>
      </w:divBdr>
    </w:div>
    <w:div w:id="490756078">
      <w:marLeft w:val="0"/>
      <w:marRight w:val="0"/>
      <w:marTop w:val="0"/>
      <w:marBottom w:val="0"/>
      <w:divBdr>
        <w:top w:val="none" w:sz="0" w:space="0" w:color="auto"/>
        <w:left w:val="none" w:sz="0" w:space="0" w:color="auto"/>
        <w:bottom w:val="none" w:sz="0" w:space="0" w:color="auto"/>
        <w:right w:val="none" w:sz="0" w:space="0" w:color="auto"/>
      </w:divBdr>
      <w:divsChild>
        <w:div w:id="264727020">
          <w:marLeft w:val="0"/>
          <w:marRight w:val="0"/>
          <w:marTop w:val="0"/>
          <w:marBottom w:val="0"/>
          <w:divBdr>
            <w:top w:val="single" w:sz="18" w:space="0" w:color="000000"/>
            <w:left w:val="none" w:sz="0" w:space="0" w:color="auto"/>
            <w:bottom w:val="single" w:sz="8" w:space="0" w:color="000000"/>
            <w:right w:val="none" w:sz="0" w:space="0" w:color="auto"/>
          </w:divBdr>
        </w:div>
      </w:divsChild>
    </w:div>
    <w:div w:id="502822969">
      <w:marLeft w:val="0"/>
      <w:marRight w:val="0"/>
      <w:marTop w:val="120"/>
      <w:marBottom w:val="240"/>
      <w:divBdr>
        <w:top w:val="none" w:sz="0" w:space="0" w:color="auto"/>
        <w:left w:val="none" w:sz="0" w:space="0" w:color="auto"/>
        <w:bottom w:val="none" w:sz="0" w:space="0" w:color="auto"/>
        <w:right w:val="none" w:sz="0" w:space="0" w:color="auto"/>
      </w:divBdr>
    </w:div>
    <w:div w:id="508062105">
      <w:marLeft w:val="0"/>
      <w:marRight w:val="0"/>
      <w:marTop w:val="240"/>
      <w:marBottom w:val="120"/>
      <w:divBdr>
        <w:top w:val="none" w:sz="0" w:space="0" w:color="auto"/>
        <w:left w:val="none" w:sz="0" w:space="0" w:color="auto"/>
        <w:bottom w:val="single" w:sz="12" w:space="0" w:color="000000"/>
        <w:right w:val="none" w:sz="0" w:space="0" w:color="auto"/>
      </w:divBdr>
    </w:div>
    <w:div w:id="562569467">
      <w:marLeft w:val="0"/>
      <w:marRight w:val="0"/>
      <w:marTop w:val="240"/>
      <w:marBottom w:val="120"/>
      <w:divBdr>
        <w:top w:val="none" w:sz="0" w:space="0" w:color="auto"/>
        <w:left w:val="none" w:sz="0" w:space="0" w:color="auto"/>
        <w:bottom w:val="single" w:sz="12" w:space="0" w:color="000000"/>
        <w:right w:val="none" w:sz="0" w:space="0" w:color="auto"/>
      </w:divBdr>
    </w:div>
    <w:div w:id="578758174">
      <w:marLeft w:val="0"/>
      <w:marRight w:val="0"/>
      <w:marTop w:val="240"/>
      <w:marBottom w:val="120"/>
      <w:divBdr>
        <w:top w:val="none" w:sz="0" w:space="0" w:color="auto"/>
        <w:left w:val="none" w:sz="0" w:space="0" w:color="auto"/>
        <w:bottom w:val="single" w:sz="12" w:space="0" w:color="000000"/>
        <w:right w:val="none" w:sz="0" w:space="0" w:color="auto"/>
      </w:divBdr>
    </w:div>
    <w:div w:id="584998809">
      <w:marLeft w:val="0"/>
      <w:marRight w:val="0"/>
      <w:marTop w:val="120"/>
      <w:marBottom w:val="240"/>
      <w:divBdr>
        <w:top w:val="none" w:sz="0" w:space="0" w:color="auto"/>
        <w:left w:val="none" w:sz="0" w:space="0" w:color="auto"/>
        <w:bottom w:val="none" w:sz="0" w:space="0" w:color="auto"/>
        <w:right w:val="none" w:sz="0" w:space="0" w:color="auto"/>
      </w:divBdr>
    </w:div>
    <w:div w:id="673803313">
      <w:marLeft w:val="0"/>
      <w:marRight w:val="0"/>
      <w:marTop w:val="240"/>
      <w:marBottom w:val="120"/>
      <w:divBdr>
        <w:top w:val="none" w:sz="0" w:space="0" w:color="auto"/>
        <w:left w:val="none" w:sz="0" w:space="0" w:color="auto"/>
        <w:bottom w:val="single" w:sz="12" w:space="0" w:color="000000"/>
        <w:right w:val="none" w:sz="0" w:space="0" w:color="auto"/>
      </w:divBdr>
    </w:div>
    <w:div w:id="748428967">
      <w:marLeft w:val="0"/>
      <w:marRight w:val="0"/>
      <w:marTop w:val="240"/>
      <w:marBottom w:val="120"/>
      <w:divBdr>
        <w:top w:val="none" w:sz="0" w:space="0" w:color="auto"/>
        <w:left w:val="none" w:sz="0" w:space="0" w:color="auto"/>
        <w:bottom w:val="single" w:sz="12" w:space="0" w:color="000000"/>
        <w:right w:val="none" w:sz="0" w:space="0" w:color="auto"/>
      </w:divBdr>
    </w:div>
    <w:div w:id="826047534">
      <w:marLeft w:val="0"/>
      <w:marRight w:val="0"/>
      <w:marTop w:val="120"/>
      <w:marBottom w:val="240"/>
      <w:divBdr>
        <w:top w:val="none" w:sz="0" w:space="0" w:color="auto"/>
        <w:left w:val="none" w:sz="0" w:space="0" w:color="auto"/>
        <w:bottom w:val="none" w:sz="0" w:space="0" w:color="auto"/>
        <w:right w:val="none" w:sz="0" w:space="0" w:color="auto"/>
      </w:divBdr>
    </w:div>
    <w:div w:id="886796098">
      <w:marLeft w:val="0"/>
      <w:marRight w:val="0"/>
      <w:marTop w:val="120"/>
      <w:marBottom w:val="240"/>
      <w:divBdr>
        <w:top w:val="none" w:sz="0" w:space="0" w:color="auto"/>
        <w:left w:val="none" w:sz="0" w:space="0" w:color="auto"/>
        <w:bottom w:val="none" w:sz="0" w:space="0" w:color="auto"/>
        <w:right w:val="none" w:sz="0" w:space="0" w:color="auto"/>
      </w:divBdr>
    </w:div>
    <w:div w:id="919674035">
      <w:marLeft w:val="0"/>
      <w:marRight w:val="0"/>
      <w:marTop w:val="240"/>
      <w:marBottom w:val="120"/>
      <w:divBdr>
        <w:top w:val="none" w:sz="0" w:space="0" w:color="auto"/>
        <w:left w:val="none" w:sz="0" w:space="0" w:color="auto"/>
        <w:bottom w:val="single" w:sz="12" w:space="0" w:color="000000"/>
        <w:right w:val="none" w:sz="0" w:space="0" w:color="auto"/>
      </w:divBdr>
    </w:div>
    <w:div w:id="921450036">
      <w:marLeft w:val="0"/>
      <w:marRight w:val="0"/>
      <w:marTop w:val="120"/>
      <w:marBottom w:val="240"/>
      <w:divBdr>
        <w:top w:val="none" w:sz="0" w:space="0" w:color="auto"/>
        <w:left w:val="none" w:sz="0" w:space="0" w:color="auto"/>
        <w:bottom w:val="none" w:sz="0" w:space="0" w:color="auto"/>
        <w:right w:val="none" w:sz="0" w:space="0" w:color="auto"/>
      </w:divBdr>
    </w:div>
    <w:div w:id="932473865">
      <w:marLeft w:val="0"/>
      <w:marRight w:val="0"/>
      <w:marTop w:val="120"/>
      <w:marBottom w:val="240"/>
      <w:divBdr>
        <w:top w:val="none" w:sz="0" w:space="0" w:color="auto"/>
        <w:left w:val="none" w:sz="0" w:space="0" w:color="auto"/>
        <w:bottom w:val="none" w:sz="0" w:space="0" w:color="auto"/>
        <w:right w:val="none" w:sz="0" w:space="0" w:color="auto"/>
      </w:divBdr>
    </w:div>
    <w:div w:id="944583620">
      <w:marLeft w:val="0"/>
      <w:marRight w:val="0"/>
      <w:marTop w:val="120"/>
      <w:marBottom w:val="240"/>
      <w:divBdr>
        <w:top w:val="none" w:sz="0" w:space="0" w:color="auto"/>
        <w:left w:val="none" w:sz="0" w:space="0" w:color="auto"/>
        <w:bottom w:val="none" w:sz="0" w:space="0" w:color="auto"/>
        <w:right w:val="none" w:sz="0" w:space="0" w:color="auto"/>
      </w:divBdr>
    </w:div>
    <w:div w:id="951716216">
      <w:marLeft w:val="0"/>
      <w:marRight w:val="0"/>
      <w:marTop w:val="240"/>
      <w:marBottom w:val="120"/>
      <w:divBdr>
        <w:top w:val="none" w:sz="0" w:space="0" w:color="auto"/>
        <w:left w:val="none" w:sz="0" w:space="0" w:color="auto"/>
        <w:bottom w:val="single" w:sz="12" w:space="0" w:color="000000"/>
        <w:right w:val="none" w:sz="0" w:space="0" w:color="auto"/>
      </w:divBdr>
    </w:div>
    <w:div w:id="990057971">
      <w:marLeft w:val="0"/>
      <w:marRight w:val="0"/>
      <w:marTop w:val="240"/>
      <w:marBottom w:val="120"/>
      <w:divBdr>
        <w:top w:val="none" w:sz="0" w:space="0" w:color="auto"/>
        <w:left w:val="none" w:sz="0" w:space="0" w:color="auto"/>
        <w:bottom w:val="single" w:sz="12" w:space="0" w:color="000000"/>
        <w:right w:val="none" w:sz="0" w:space="0" w:color="auto"/>
      </w:divBdr>
    </w:div>
    <w:div w:id="998341567">
      <w:marLeft w:val="0"/>
      <w:marRight w:val="0"/>
      <w:marTop w:val="120"/>
      <w:marBottom w:val="240"/>
      <w:divBdr>
        <w:top w:val="none" w:sz="0" w:space="0" w:color="auto"/>
        <w:left w:val="none" w:sz="0" w:space="0" w:color="auto"/>
        <w:bottom w:val="none" w:sz="0" w:space="0" w:color="auto"/>
        <w:right w:val="none" w:sz="0" w:space="0" w:color="auto"/>
      </w:divBdr>
    </w:div>
    <w:div w:id="1014070299">
      <w:marLeft w:val="0"/>
      <w:marRight w:val="0"/>
      <w:marTop w:val="120"/>
      <w:marBottom w:val="240"/>
      <w:divBdr>
        <w:top w:val="none" w:sz="0" w:space="0" w:color="auto"/>
        <w:left w:val="none" w:sz="0" w:space="0" w:color="auto"/>
        <w:bottom w:val="none" w:sz="0" w:space="0" w:color="auto"/>
        <w:right w:val="none" w:sz="0" w:space="0" w:color="auto"/>
      </w:divBdr>
    </w:div>
    <w:div w:id="1024601415">
      <w:marLeft w:val="0"/>
      <w:marRight w:val="0"/>
      <w:marTop w:val="240"/>
      <w:marBottom w:val="120"/>
      <w:divBdr>
        <w:top w:val="none" w:sz="0" w:space="0" w:color="auto"/>
        <w:left w:val="none" w:sz="0" w:space="0" w:color="auto"/>
        <w:bottom w:val="single" w:sz="12" w:space="0" w:color="000000"/>
        <w:right w:val="none" w:sz="0" w:space="0" w:color="auto"/>
      </w:divBdr>
    </w:div>
    <w:div w:id="1040712175">
      <w:marLeft w:val="0"/>
      <w:marRight w:val="0"/>
      <w:marTop w:val="120"/>
      <w:marBottom w:val="240"/>
      <w:divBdr>
        <w:top w:val="none" w:sz="0" w:space="0" w:color="auto"/>
        <w:left w:val="none" w:sz="0" w:space="0" w:color="auto"/>
        <w:bottom w:val="none" w:sz="0" w:space="0" w:color="auto"/>
        <w:right w:val="none" w:sz="0" w:space="0" w:color="auto"/>
      </w:divBdr>
    </w:div>
    <w:div w:id="1067456567">
      <w:marLeft w:val="0"/>
      <w:marRight w:val="0"/>
      <w:marTop w:val="240"/>
      <w:marBottom w:val="120"/>
      <w:divBdr>
        <w:top w:val="none" w:sz="0" w:space="0" w:color="auto"/>
        <w:left w:val="none" w:sz="0" w:space="0" w:color="auto"/>
        <w:bottom w:val="single" w:sz="12" w:space="0" w:color="000000"/>
        <w:right w:val="none" w:sz="0" w:space="0" w:color="auto"/>
      </w:divBdr>
    </w:div>
    <w:div w:id="1168910911">
      <w:marLeft w:val="0"/>
      <w:marRight w:val="0"/>
      <w:marTop w:val="120"/>
      <w:marBottom w:val="240"/>
      <w:divBdr>
        <w:top w:val="none" w:sz="0" w:space="0" w:color="auto"/>
        <w:left w:val="none" w:sz="0" w:space="0" w:color="auto"/>
        <w:bottom w:val="none" w:sz="0" w:space="0" w:color="auto"/>
        <w:right w:val="none" w:sz="0" w:space="0" w:color="auto"/>
      </w:divBdr>
    </w:div>
    <w:div w:id="1169907832">
      <w:marLeft w:val="0"/>
      <w:marRight w:val="0"/>
      <w:marTop w:val="240"/>
      <w:marBottom w:val="120"/>
      <w:divBdr>
        <w:top w:val="none" w:sz="0" w:space="0" w:color="auto"/>
        <w:left w:val="none" w:sz="0" w:space="0" w:color="auto"/>
        <w:bottom w:val="single" w:sz="12" w:space="0" w:color="000000"/>
        <w:right w:val="none" w:sz="0" w:space="0" w:color="auto"/>
      </w:divBdr>
    </w:div>
    <w:div w:id="1308586349">
      <w:marLeft w:val="0"/>
      <w:marRight w:val="0"/>
      <w:marTop w:val="240"/>
      <w:marBottom w:val="120"/>
      <w:divBdr>
        <w:top w:val="none" w:sz="0" w:space="0" w:color="auto"/>
        <w:left w:val="none" w:sz="0" w:space="0" w:color="auto"/>
        <w:bottom w:val="single" w:sz="12" w:space="0" w:color="000000"/>
        <w:right w:val="none" w:sz="0" w:space="0" w:color="auto"/>
      </w:divBdr>
    </w:div>
    <w:div w:id="1317761591">
      <w:marLeft w:val="0"/>
      <w:marRight w:val="0"/>
      <w:marTop w:val="120"/>
      <w:marBottom w:val="240"/>
      <w:divBdr>
        <w:top w:val="none" w:sz="0" w:space="0" w:color="auto"/>
        <w:left w:val="none" w:sz="0" w:space="0" w:color="auto"/>
        <w:bottom w:val="none" w:sz="0" w:space="0" w:color="auto"/>
        <w:right w:val="none" w:sz="0" w:space="0" w:color="auto"/>
      </w:divBdr>
    </w:div>
    <w:div w:id="1340036190">
      <w:marLeft w:val="0"/>
      <w:marRight w:val="0"/>
      <w:marTop w:val="240"/>
      <w:marBottom w:val="120"/>
      <w:divBdr>
        <w:top w:val="none" w:sz="0" w:space="0" w:color="auto"/>
        <w:left w:val="none" w:sz="0" w:space="0" w:color="auto"/>
        <w:bottom w:val="single" w:sz="12" w:space="0" w:color="000000"/>
        <w:right w:val="none" w:sz="0" w:space="0" w:color="auto"/>
      </w:divBdr>
    </w:div>
    <w:div w:id="1390492659">
      <w:marLeft w:val="0"/>
      <w:marRight w:val="0"/>
      <w:marTop w:val="120"/>
      <w:marBottom w:val="240"/>
      <w:divBdr>
        <w:top w:val="none" w:sz="0" w:space="0" w:color="auto"/>
        <w:left w:val="none" w:sz="0" w:space="0" w:color="auto"/>
        <w:bottom w:val="none" w:sz="0" w:space="0" w:color="auto"/>
        <w:right w:val="none" w:sz="0" w:space="0" w:color="auto"/>
      </w:divBdr>
    </w:div>
    <w:div w:id="1412387193">
      <w:marLeft w:val="0"/>
      <w:marRight w:val="0"/>
      <w:marTop w:val="240"/>
      <w:marBottom w:val="120"/>
      <w:divBdr>
        <w:top w:val="none" w:sz="0" w:space="0" w:color="auto"/>
        <w:left w:val="none" w:sz="0" w:space="0" w:color="auto"/>
        <w:bottom w:val="single" w:sz="12" w:space="0" w:color="000000"/>
        <w:right w:val="none" w:sz="0" w:space="0" w:color="auto"/>
      </w:divBdr>
    </w:div>
    <w:div w:id="1430007279">
      <w:marLeft w:val="0"/>
      <w:marRight w:val="0"/>
      <w:marTop w:val="240"/>
      <w:marBottom w:val="120"/>
      <w:divBdr>
        <w:top w:val="none" w:sz="0" w:space="0" w:color="auto"/>
        <w:left w:val="none" w:sz="0" w:space="0" w:color="auto"/>
        <w:bottom w:val="single" w:sz="12" w:space="0" w:color="000000"/>
        <w:right w:val="none" w:sz="0" w:space="0" w:color="auto"/>
      </w:divBdr>
    </w:div>
    <w:div w:id="1452506280">
      <w:marLeft w:val="0"/>
      <w:marRight w:val="0"/>
      <w:marTop w:val="0"/>
      <w:marBottom w:val="0"/>
      <w:divBdr>
        <w:top w:val="none" w:sz="0" w:space="0" w:color="auto"/>
        <w:left w:val="none" w:sz="0" w:space="0" w:color="auto"/>
        <w:bottom w:val="none" w:sz="0" w:space="0" w:color="auto"/>
        <w:right w:val="none" w:sz="0" w:space="0" w:color="auto"/>
      </w:divBdr>
      <w:divsChild>
        <w:div w:id="1313364784">
          <w:marLeft w:val="0"/>
          <w:marRight w:val="0"/>
          <w:marTop w:val="0"/>
          <w:marBottom w:val="0"/>
          <w:divBdr>
            <w:top w:val="single" w:sz="12" w:space="0" w:color="000000"/>
            <w:left w:val="none" w:sz="0" w:space="0" w:color="auto"/>
            <w:bottom w:val="none" w:sz="0" w:space="0" w:color="auto"/>
            <w:right w:val="none" w:sz="0" w:space="0" w:color="auto"/>
          </w:divBdr>
        </w:div>
      </w:divsChild>
    </w:div>
    <w:div w:id="1479296483">
      <w:marLeft w:val="0"/>
      <w:marRight w:val="0"/>
      <w:marTop w:val="240"/>
      <w:marBottom w:val="120"/>
      <w:divBdr>
        <w:top w:val="none" w:sz="0" w:space="0" w:color="auto"/>
        <w:left w:val="none" w:sz="0" w:space="0" w:color="auto"/>
        <w:bottom w:val="single" w:sz="12" w:space="0" w:color="000000"/>
        <w:right w:val="none" w:sz="0" w:space="0" w:color="auto"/>
      </w:divBdr>
    </w:div>
    <w:div w:id="1500004321">
      <w:marLeft w:val="0"/>
      <w:marRight w:val="0"/>
      <w:marTop w:val="120"/>
      <w:marBottom w:val="240"/>
      <w:divBdr>
        <w:top w:val="none" w:sz="0" w:space="0" w:color="auto"/>
        <w:left w:val="none" w:sz="0" w:space="0" w:color="auto"/>
        <w:bottom w:val="none" w:sz="0" w:space="0" w:color="auto"/>
        <w:right w:val="none" w:sz="0" w:space="0" w:color="auto"/>
      </w:divBdr>
    </w:div>
    <w:div w:id="1520926591">
      <w:marLeft w:val="0"/>
      <w:marRight w:val="0"/>
      <w:marTop w:val="240"/>
      <w:marBottom w:val="120"/>
      <w:divBdr>
        <w:top w:val="none" w:sz="0" w:space="0" w:color="auto"/>
        <w:left w:val="none" w:sz="0" w:space="0" w:color="auto"/>
        <w:bottom w:val="single" w:sz="12" w:space="0" w:color="000000"/>
        <w:right w:val="none" w:sz="0" w:space="0" w:color="auto"/>
      </w:divBdr>
    </w:div>
    <w:div w:id="1589464858">
      <w:marLeft w:val="0"/>
      <w:marRight w:val="0"/>
      <w:marTop w:val="120"/>
      <w:marBottom w:val="240"/>
      <w:divBdr>
        <w:top w:val="none" w:sz="0" w:space="0" w:color="auto"/>
        <w:left w:val="none" w:sz="0" w:space="0" w:color="auto"/>
        <w:bottom w:val="none" w:sz="0" w:space="0" w:color="auto"/>
        <w:right w:val="none" w:sz="0" w:space="0" w:color="auto"/>
      </w:divBdr>
    </w:div>
    <w:div w:id="1721708449">
      <w:marLeft w:val="0"/>
      <w:marRight w:val="0"/>
      <w:marTop w:val="0"/>
      <w:marBottom w:val="0"/>
      <w:divBdr>
        <w:top w:val="none" w:sz="0" w:space="0" w:color="auto"/>
        <w:left w:val="none" w:sz="0" w:space="0" w:color="auto"/>
        <w:bottom w:val="none" w:sz="0" w:space="0" w:color="auto"/>
        <w:right w:val="none" w:sz="0" w:space="0" w:color="auto"/>
      </w:divBdr>
      <w:divsChild>
        <w:div w:id="1340501759">
          <w:marLeft w:val="0"/>
          <w:marRight w:val="0"/>
          <w:marTop w:val="0"/>
          <w:marBottom w:val="0"/>
          <w:divBdr>
            <w:top w:val="single" w:sz="8" w:space="0" w:color="000000"/>
            <w:left w:val="none" w:sz="0" w:space="0" w:color="auto"/>
            <w:bottom w:val="single" w:sz="18" w:space="0" w:color="000000"/>
            <w:right w:val="none" w:sz="0" w:space="0" w:color="auto"/>
          </w:divBdr>
        </w:div>
      </w:divsChild>
    </w:div>
    <w:div w:id="1760591551">
      <w:marLeft w:val="0"/>
      <w:marRight w:val="0"/>
      <w:marTop w:val="120"/>
      <w:marBottom w:val="240"/>
      <w:divBdr>
        <w:top w:val="none" w:sz="0" w:space="0" w:color="auto"/>
        <w:left w:val="none" w:sz="0" w:space="0" w:color="auto"/>
        <w:bottom w:val="none" w:sz="0" w:space="0" w:color="auto"/>
        <w:right w:val="none" w:sz="0" w:space="0" w:color="auto"/>
      </w:divBdr>
    </w:div>
    <w:div w:id="1782725476">
      <w:marLeft w:val="0"/>
      <w:marRight w:val="0"/>
      <w:marTop w:val="240"/>
      <w:marBottom w:val="120"/>
      <w:divBdr>
        <w:top w:val="none" w:sz="0" w:space="0" w:color="auto"/>
        <w:left w:val="none" w:sz="0" w:space="0" w:color="auto"/>
        <w:bottom w:val="single" w:sz="12" w:space="0" w:color="000000"/>
        <w:right w:val="none" w:sz="0" w:space="0" w:color="auto"/>
      </w:divBdr>
    </w:div>
    <w:div w:id="1787457011">
      <w:marLeft w:val="0"/>
      <w:marRight w:val="0"/>
      <w:marTop w:val="120"/>
      <w:marBottom w:val="240"/>
      <w:divBdr>
        <w:top w:val="none" w:sz="0" w:space="0" w:color="auto"/>
        <w:left w:val="none" w:sz="0" w:space="0" w:color="auto"/>
        <w:bottom w:val="none" w:sz="0" w:space="0" w:color="auto"/>
        <w:right w:val="none" w:sz="0" w:space="0" w:color="auto"/>
      </w:divBdr>
    </w:div>
    <w:div w:id="1800144166">
      <w:marLeft w:val="0"/>
      <w:marRight w:val="0"/>
      <w:marTop w:val="240"/>
      <w:marBottom w:val="120"/>
      <w:divBdr>
        <w:top w:val="none" w:sz="0" w:space="0" w:color="auto"/>
        <w:left w:val="none" w:sz="0" w:space="0" w:color="auto"/>
        <w:bottom w:val="single" w:sz="12" w:space="0" w:color="000000"/>
        <w:right w:val="none" w:sz="0" w:space="0" w:color="auto"/>
      </w:divBdr>
    </w:div>
    <w:div w:id="1874658967">
      <w:marLeft w:val="0"/>
      <w:marRight w:val="0"/>
      <w:marTop w:val="240"/>
      <w:marBottom w:val="120"/>
      <w:divBdr>
        <w:top w:val="none" w:sz="0" w:space="0" w:color="auto"/>
        <w:left w:val="none" w:sz="0" w:space="0" w:color="auto"/>
        <w:bottom w:val="single" w:sz="12" w:space="0" w:color="000000"/>
        <w:right w:val="none" w:sz="0" w:space="0" w:color="auto"/>
      </w:divBdr>
    </w:div>
    <w:div w:id="1961035147">
      <w:marLeft w:val="0"/>
      <w:marRight w:val="0"/>
      <w:marTop w:val="240"/>
      <w:marBottom w:val="120"/>
      <w:divBdr>
        <w:top w:val="none" w:sz="0" w:space="0" w:color="auto"/>
        <w:left w:val="none" w:sz="0" w:space="0" w:color="auto"/>
        <w:bottom w:val="single" w:sz="12" w:space="0" w:color="000000"/>
        <w:right w:val="none" w:sz="0" w:space="0" w:color="auto"/>
      </w:divBdr>
    </w:div>
    <w:div w:id="1988241211">
      <w:marLeft w:val="0"/>
      <w:marRight w:val="0"/>
      <w:marTop w:val="240"/>
      <w:marBottom w:val="120"/>
      <w:divBdr>
        <w:top w:val="none" w:sz="0" w:space="0" w:color="auto"/>
        <w:left w:val="none" w:sz="0" w:space="0" w:color="auto"/>
        <w:bottom w:val="single" w:sz="12" w:space="0" w:color="000000"/>
        <w:right w:val="none" w:sz="0" w:space="0" w:color="auto"/>
      </w:divBdr>
    </w:div>
    <w:div w:id="1992634165">
      <w:marLeft w:val="0"/>
      <w:marRight w:val="0"/>
      <w:marTop w:val="120"/>
      <w:marBottom w:val="240"/>
      <w:divBdr>
        <w:top w:val="none" w:sz="0" w:space="0" w:color="auto"/>
        <w:left w:val="none" w:sz="0" w:space="0" w:color="auto"/>
        <w:bottom w:val="none" w:sz="0" w:space="0" w:color="auto"/>
        <w:right w:val="none" w:sz="0" w:space="0" w:color="auto"/>
      </w:divBdr>
    </w:div>
    <w:div w:id="1994411676">
      <w:marLeft w:val="0"/>
      <w:marRight w:val="0"/>
      <w:marTop w:val="120"/>
      <w:marBottom w:val="240"/>
      <w:divBdr>
        <w:top w:val="none" w:sz="0" w:space="0" w:color="auto"/>
        <w:left w:val="none" w:sz="0" w:space="0" w:color="auto"/>
        <w:bottom w:val="none" w:sz="0" w:space="0" w:color="auto"/>
        <w:right w:val="none" w:sz="0" w:space="0" w:color="auto"/>
      </w:divBdr>
    </w:div>
    <w:div w:id="2001618981">
      <w:marLeft w:val="0"/>
      <w:marRight w:val="0"/>
      <w:marTop w:val="240"/>
      <w:marBottom w:val="120"/>
      <w:divBdr>
        <w:top w:val="none" w:sz="0" w:space="0" w:color="auto"/>
        <w:left w:val="none" w:sz="0" w:space="0" w:color="auto"/>
        <w:bottom w:val="single" w:sz="12" w:space="0" w:color="000000"/>
        <w:right w:val="none" w:sz="0" w:space="0" w:color="auto"/>
      </w:divBdr>
    </w:div>
    <w:div w:id="2119061249">
      <w:marLeft w:val="0"/>
      <w:marRight w:val="0"/>
      <w:marTop w:val="240"/>
      <w:marBottom w:val="120"/>
      <w:divBdr>
        <w:top w:val="none" w:sz="0" w:space="0" w:color="auto"/>
        <w:left w:val="none" w:sz="0" w:space="0" w:color="auto"/>
        <w:bottom w:val="single" w:sz="12" w:space="0" w:color="000000"/>
        <w:right w:val="none" w:sz="0" w:space="0" w:color="auto"/>
      </w:divBdr>
    </w:div>
    <w:div w:id="2119792314">
      <w:marLeft w:val="0"/>
      <w:marRight w:val="0"/>
      <w:marTop w:val="24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839132/000121390021010881/ea136153ex10-3_pathfinder.htm" TargetMode="External"/><Relationship Id="rId13" Type="http://schemas.openxmlformats.org/officeDocument/2006/relationships/hyperlink" Target="f10q0321ex32-1_pathfinder.htm" TargetMode="External"/><Relationship Id="rId3" Type="http://schemas.openxmlformats.org/officeDocument/2006/relationships/webSettings" Target="webSettings.xml"/><Relationship Id="rId7" Type="http://schemas.openxmlformats.org/officeDocument/2006/relationships/hyperlink" Target="http://www.sec.gov/Archives/edgar/data/1839132/000121390021010881/ea136153ex10-2_pathfinder.htm" TargetMode="External"/><Relationship Id="rId12" Type="http://schemas.openxmlformats.org/officeDocument/2006/relationships/hyperlink" Target="f10q0321ex31-2_pathfinder.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839132/000121390021010881/ea136153ex10-1_pathfinder.htm" TargetMode="External"/><Relationship Id="rId11" Type="http://schemas.openxmlformats.org/officeDocument/2006/relationships/hyperlink" Target="f10q0321ex31-1_pathfinder.htm" TargetMode="External"/><Relationship Id="rId5" Type="http://schemas.openxmlformats.org/officeDocument/2006/relationships/hyperlink" Target="http://www.sec.gov/Archives/edgar/data/1839132/000121390021010881/ea136153ex4-1_pathfinder.htm" TargetMode="External"/><Relationship Id="rId15" Type="http://schemas.openxmlformats.org/officeDocument/2006/relationships/fontTable" Target="fontTable.xml"/><Relationship Id="rId10" Type="http://schemas.openxmlformats.org/officeDocument/2006/relationships/hyperlink" Target="http://www.sec.gov/Archives/edgar/data/1839132/000121390021010881/ea136153ex10-5_pathfinder.htm" TargetMode="External"/><Relationship Id="rId4" Type="http://schemas.openxmlformats.org/officeDocument/2006/relationships/hyperlink" Target="https://www.sec.gov/Archives/edgar/data/1839132/000121390021010881/ea136153ex3-1_pathfinder.htm" TargetMode="External"/><Relationship Id="rId9" Type="http://schemas.openxmlformats.org/officeDocument/2006/relationships/hyperlink" Target="http://www.sec.gov/Archives/edgar/data/1839132/000121390021010881/ea136153ex10-4_pathfinder.htm" TargetMode="External"/><Relationship Id="rId14" Type="http://schemas.openxmlformats.org/officeDocument/2006/relationships/hyperlink" Target="f10q0321ex32-2_pathfinde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16537</Words>
  <Characters>94263</Characters>
  <Application>Microsoft Office Word</Application>
  <DocSecurity>0</DocSecurity>
  <Lines>785</Lines>
  <Paragraphs>221</Paragraphs>
  <ScaleCrop>false</ScaleCrop>
  <Company/>
  <LinksUpToDate>false</LinksUpToDate>
  <CharactersWithSpaces>110579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