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3C089" w14:textId="77777777" w:rsidR="00000000" w:rsidRDefault="006549D2">
      <w:pPr>
        <w:divId w:val="438109536"/>
        <w:rPr>
          <w:rFonts w:eastAsia="Times New Roman"/>
          <w:sz w:val="2"/>
          <w:szCs w:val="2"/>
        </w:rPr>
      </w:pPr>
      <w:r>
        <w:rPr>
          <w:rFonts w:eastAsia="Times New Roman"/>
          <w:sz w:val="2"/>
          <w:szCs w:val="2"/>
        </w:rPr>
        <w:t> </w:t>
      </w:r>
    </w:p>
    <w:p w14:paraId="116E1E04" w14:textId="77777777" w:rsidR="00000000" w:rsidRDefault="006549D2">
      <w:pPr>
        <w:pStyle w:val="a3"/>
        <w:spacing w:before="0" w:beforeAutospacing="0" w:after="0" w:afterAutospacing="0"/>
        <w:rPr>
          <w:sz w:val="20"/>
          <w:szCs w:val="20"/>
        </w:rPr>
      </w:pPr>
      <w:r>
        <w:rPr>
          <w:sz w:val="20"/>
          <w:szCs w:val="20"/>
        </w:rPr>
        <w:t> </w:t>
      </w:r>
    </w:p>
    <w:p w14:paraId="4882358D" w14:textId="77777777" w:rsidR="00000000" w:rsidRDefault="006549D2">
      <w:pPr>
        <w:pStyle w:val="a3"/>
        <w:spacing w:before="0" w:beforeAutospacing="0" w:after="0" w:afterAutospacing="0"/>
        <w:jc w:val="center"/>
        <w:rPr>
          <w:sz w:val="20"/>
          <w:szCs w:val="20"/>
        </w:rPr>
      </w:pPr>
      <w:r>
        <w:rPr>
          <w:b/>
          <w:bCs/>
          <w:sz w:val="20"/>
          <w:szCs w:val="20"/>
        </w:rPr>
        <w:t>UNITED STATES </w:t>
      </w:r>
    </w:p>
    <w:p w14:paraId="464D419B" w14:textId="77777777" w:rsidR="00000000" w:rsidRDefault="006549D2">
      <w:pPr>
        <w:pStyle w:val="a3"/>
        <w:spacing w:before="0" w:beforeAutospacing="0" w:after="0" w:afterAutospacing="0"/>
        <w:jc w:val="center"/>
        <w:rPr>
          <w:sz w:val="20"/>
          <w:szCs w:val="20"/>
        </w:rPr>
      </w:pPr>
      <w:r>
        <w:rPr>
          <w:b/>
          <w:bCs/>
          <w:sz w:val="20"/>
          <w:szCs w:val="20"/>
        </w:rPr>
        <w:t>SECURITIES AND EXCHANGE COMMISSION</w:t>
      </w:r>
    </w:p>
    <w:p w14:paraId="1CDAB9EB" w14:textId="77777777" w:rsidR="00000000" w:rsidRDefault="006549D2">
      <w:pPr>
        <w:pStyle w:val="a3"/>
        <w:spacing w:before="0" w:beforeAutospacing="0" w:after="0" w:afterAutospacing="0"/>
        <w:jc w:val="center"/>
        <w:rPr>
          <w:sz w:val="20"/>
          <w:szCs w:val="20"/>
        </w:rPr>
      </w:pPr>
      <w:r>
        <w:rPr>
          <w:b/>
          <w:bCs/>
          <w:sz w:val="20"/>
          <w:szCs w:val="20"/>
        </w:rPr>
        <w:t>Washington, D.C. 20549</w:t>
      </w:r>
    </w:p>
    <w:p w14:paraId="0E1B2159" w14:textId="77777777" w:rsidR="00000000" w:rsidRDefault="006549D2">
      <w:pPr>
        <w:pStyle w:val="a3"/>
        <w:spacing w:before="0" w:beforeAutospacing="0" w:after="0" w:afterAutospacing="0"/>
        <w:jc w:val="center"/>
        <w:rPr>
          <w:sz w:val="20"/>
          <w:szCs w:val="20"/>
        </w:rPr>
      </w:pPr>
      <w:r>
        <w:rPr>
          <w:sz w:val="20"/>
          <w:szCs w:val="20"/>
        </w:rPr>
        <w:t> </w:t>
      </w:r>
    </w:p>
    <w:p w14:paraId="41DB16EB" w14:textId="77777777" w:rsidR="00000000" w:rsidRDefault="006549D2">
      <w:pPr>
        <w:pStyle w:val="a3"/>
        <w:spacing w:before="0" w:beforeAutospacing="0" w:after="0" w:afterAutospacing="0"/>
        <w:jc w:val="center"/>
        <w:rPr>
          <w:sz w:val="20"/>
          <w:szCs w:val="20"/>
        </w:rPr>
      </w:pPr>
      <w:r>
        <w:rPr>
          <w:b/>
          <w:bCs/>
          <w:sz w:val="20"/>
          <w:szCs w:val="20"/>
        </w:rPr>
        <w:t>FORM 10-Q</w:t>
      </w:r>
    </w:p>
    <w:p w14:paraId="0D0B0912" w14:textId="77777777" w:rsidR="00000000" w:rsidRDefault="006549D2">
      <w:pPr>
        <w:pStyle w:val="a3"/>
        <w:spacing w:before="0" w:beforeAutospacing="0" w:after="0" w:afterAutospacing="0"/>
        <w:jc w:val="center"/>
        <w:rPr>
          <w:sz w:val="20"/>
          <w:szCs w:val="20"/>
        </w:rPr>
      </w:pPr>
      <w:r>
        <w:rPr>
          <w:sz w:val="20"/>
          <w:szCs w:val="20"/>
        </w:rPr>
        <w:t> </w:t>
      </w:r>
    </w:p>
    <w:p w14:paraId="7B67A6E4" w14:textId="77777777" w:rsidR="00000000" w:rsidRDefault="006549D2">
      <w:pPr>
        <w:pStyle w:val="a3"/>
        <w:spacing w:before="0" w:beforeAutospacing="0" w:after="0" w:afterAutospacing="0"/>
        <w:jc w:val="center"/>
        <w:rPr>
          <w:sz w:val="20"/>
          <w:szCs w:val="20"/>
        </w:rPr>
      </w:pPr>
      <w:r>
        <w:rPr>
          <w:b/>
          <w:bCs/>
          <w:sz w:val="20"/>
          <w:szCs w:val="20"/>
        </w:rPr>
        <w:t>(MARK ONE)</w:t>
      </w:r>
    </w:p>
    <w:p w14:paraId="527A713D" w14:textId="77777777" w:rsidR="00000000" w:rsidRDefault="006549D2">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9"/>
        <w:gridCol w:w="8057"/>
      </w:tblGrid>
      <w:tr w:rsidR="00000000" w14:paraId="59FDAD8F" w14:textId="77777777">
        <w:tc>
          <w:tcPr>
            <w:tcW w:w="150" w:type="pct"/>
            <w:tcMar>
              <w:top w:w="0" w:type="dxa"/>
              <w:left w:w="0" w:type="dxa"/>
              <w:bottom w:w="0" w:type="dxa"/>
              <w:right w:w="16" w:type="dxa"/>
            </w:tcMar>
            <w:hideMark/>
          </w:tcPr>
          <w:p w14:paraId="3E57071A" w14:textId="77777777" w:rsidR="00000000" w:rsidRDefault="006549D2">
            <w:pPr>
              <w:rPr>
                <w:rFonts w:eastAsia="Times New Roman"/>
                <w:sz w:val="20"/>
                <w:szCs w:val="20"/>
              </w:rPr>
            </w:pPr>
            <w:r>
              <w:rPr>
                <w:rFonts w:ascii="Wingdings" w:eastAsia="Times New Roman" w:hAnsi="Wingdings"/>
                <w:sz w:val="20"/>
                <w:szCs w:val="20"/>
              </w:rPr>
              <w:t>x</w:t>
            </w:r>
          </w:p>
        </w:tc>
        <w:tc>
          <w:tcPr>
            <w:tcW w:w="4850" w:type="pct"/>
            <w:tcMar>
              <w:top w:w="0" w:type="dxa"/>
              <w:left w:w="0" w:type="dxa"/>
              <w:bottom w:w="0" w:type="dxa"/>
              <w:right w:w="16" w:type="dxa"/>
            </w:tcMar>
            <w:hideMark/>
          </w:tcPr>
          <w:p w14:paraId="2BB85766" w14:textId="77777777" w:rsidR="00000000" w:rsidRDefault="006549D2">
            <w:pPr>
              <w:jc w:val="both"/>
              <w:rPr>
                <w:rFonts w:eastAsia="Times New Roman"/>
                <w:sz w:val="20"/>
                <w:szCs w:val="20"/>
              </w:rPr>
            </w:pPr>
            <w:r>
              <w:rPr>
                <w:rFonts w:eastAsia="Times New Roman"/>
                <w:b/>
                <w:bCs/>
                <w:sz w:val="20"/>
                <w:szCs w:val="20"/>
              </w:rPr>
              <w:t>QUARTERLY REPORT PURSUANT TO SECTION 13 OR 15(d) OF THE SECURITIES EXCHANGE ACT OF 1934</w:t>
            </w:r>
          </w:p>
        </w:tc>
      </w:tr>
    </w:tbl>
    <w:p w14:paraId="73F8280E" w14:textId="77777777" w:rsidR="00000000" w:rsidRDefault="006549D2">
      <w:pPr>
        <w:pStyle w:val="a3"/>
        <w:spacing w:before="0" w:beforeAutospacing="0" w:after="0" w:afterAutospacing="0"/>
        <w:jc w:val="center"/>
        <w:rPr>
          <w:sz w:val="20"/>
          <w:szCs w:val="20"/>
        </w:rPr>
      </w:pPr>
      <w:r>
        <w:rPr>
          <w:sz w:val="20"/>
          <w:szCs w:val="20"/>
        </w:rPr>
        <w:t> </w:t>
      </w:r>
    </w:p>
    <w:p w14:paraId="12258A83" w14:textId="77777777" w:rsidR="00000000" w:rsidRDefault="006549D2">
      <w:pPr>
        <w:pStyle w:val="a3"/>
        <w:spacing w:before="0" w:beforeAutospacing="0" w:after="0" w:afterAutospacing="0"/>
        <w:jc w:val="center"/>
        <w:rPr>
          <w:sz w:val="20"/>
          <w:szCs w:val="20"/>
        </w:rPr>
      </w:pPr>
      <w:r>
        <w:rPr>
          <w:b/>
          <w:bCs/>
          <w:sz w:val="20"/>
          <w:szCs w:val="20"/>
        </w:rPr>
        <w:t>For the quarter ended June 30, 2020</w:t>
      </w:r>
    </w:p>
    <w:p w14:paraId="453F8CF2" w14:textId="77777777" w:rsidR="00000000" w:rsidRDefault="006549D2">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9"/>
        <w:gridCol w:w="8057"/>
      </w:tblGrid>
      <w:tr w:rsidR="00000000" w14:paraId="777E5223" w14:textId="77777777">
        <w:tc>
          <w:tcPr>
            <w:tcW w:w="150" w:type="pct"/>
            <w:tcMar>
              <w:top w:w="0" w:type="dxa"/>
              <w:left w:w="0" w:type="dxa"/>
              <w:bottom w:w="0" w:type="dxa"/>
              <w:right w:w="16" w:type="dxa"/>
            </w:tcMar>
            <w:hideMark/>
          </w:tcPr>
          <w:p w14:paraId="320EF316" w14:textId="77777777" w:rsidR="00000000" w:rsidRDefault="006549D2">
            <w:pPr>
              <w:rPr>
                <w:rFonts w:eastAsia="Times New Roman"/>
                <w:sz w:val="20"/>
                <w:szCs w:val="20"/>
              </w:rPr>
            </w:pPr>
            <w:r>
              <w:rPr>
                <w:rFonts w:ascii="Wingdings" w:eastAsia="Times New Roman" w:hAnsi="Wingdings"/>
                <w:sz w:val="20"/>
                <w:szCs w:val="20"/>
              </w:rPr>
              <w:t>¨</w:t>
            </w:r>
          </w:p>
        </w:tc>
        <w:tc>
          <w:tcPr>
            <w:tcW w:w="4850" w:type="pct"/>
            <w:tcMar>
              <w:top w:w="0" w:type="dxa"/>
              <w:left w:w="0" w:type="dxa"/>
              <w:bottom w:w="0" w:type="dxa"/>
              <w:right w:w="16" w:type="dxa"/>
            </w:tcMar>
            <w:hideMark/>
          </w:tcPr>
          <w:p w14:paraId="02905E4D" w14:textId="77777777" w:rsidR="00000000" w:rsidRDefault="006549D2">
            <w:pPr>
              <w:jc w:val="both"/>
              <w:rPr>
                <w:rFonts w:eastAsia="Times New Roman"/>
                <w:sz w:val="20"/>
                <w:szCs w:val="20"/>
              </w:rPr>
            </w:pPr>
            <w:r>
              <w:rPr>
                <w:rFonts w:eastAsia="Times New Roman"/>
                <w:b/>
                <w:bCs/>
                <w:sz w:val="20"/>
                <w:szCs w:val="20"/>
              </w:rPr>
              <w:t>TRANSITION REPORT PURSUANT TO SECTION 13 OR 15(d) OF THE SECURITIES EXCHANGE ACT OF 1934</w:t>
            </w:r>
          </w:p>
        </w:tc>
      </w:tr>
    </w:tbl>
    <w:p w14:paraId="44220253" w14:textId="77777777" w:rsidR="00000000" w:rsidRDefault="006549D2">
      <w:pPr>
        <w:pStyle w:val="a3"/>
        <w:spacing w:before="0" w:beforeAutospacing="0" w:after="0" w:afterAutospacing="0"/>
        <w:jc w:val="center"/>
        <w:rPr>
          <w:sz w:val="20"/>
          <w:szCs w:val="20"/>
        </w:rPr>
      </w:pPr>
      <w:r>
        <w:rPr>
          <w:sz w:val="20"/>
          <w:szCs w:val="20"/>
        </w:rPr>
        <w:t> </w:t>
      </w:r>
    </w:p>
    <w:p w14:paraId="67C0136D" w14:textId="77777777" w:rsidR="00000000" w:rsidRDefault="006549D2">
      <w:pPr>
        <w:pStyle w:val="a3"/>
        <w:spacing w:before="0" w:beforeAutospacing="0" w:after="0" w:afterAutospacing="0"/>
        <w:jc w:val="center"/>
        <w:rPr>
          <w:sz w:val="20"/>
          <w:szCs w:val="20"/>
        </w:rPr>
      </w:pPr>
      <w:r>
        <w:rPr>
          <w:b/>
          <w:bCs/>
          <w:sz w:val="20"/>
          <w:szCs w:val="20"/>
        </w:rPr>
        <w:t>For the transition period from                    to</w:t>
      </w:r>
    </w:p>
    <w:p w14:paraId="4EB61E4E" w14:textId="77777777" w:rsidR="00000000" w:rsidRDefault="006549D2">
      <w:pPr>
        <w:pStyle w:val="a3"/>
        <w:spacing w:before="0" w:beforeAutospacing="0" w:after="0" w:afterAutospacing="0"/>
        <w:jc w:val="center"/>
        <w:rPr>
          <w:sz w:val="20"/>
          <w:szCs w:val="20"/>
        </w:rPr>
      </w:pPr>
      <w:r>
        <w:rPr>
          <w:sz w:val="20"/>
          <w:szCs w:val="20"/>
        </w:rPr>
        <w:t> </w:t>
      </w:r>
    </w:p>
    <w:p w14:paraId="3BB56AC8" w14:textId="77777777" w:rsidR="00000000" w:rsidRDefault="006549D2">
      <w:pPr>
        <w:pStyle w:val="a3"/>
        <w:spacing w:before="0" w:beforeAutospacing="0" w:after="0" w:afterAutospacing="0"/>
        <w:jc w:val="center"/>
        <w:rPr>
          <w:sz w:val="20"/>
          <w:szCs w:val="20"/>
        </w:rPr>
      </w:pPr>
      <w:r>
        <w:rPr>
          <w:b/>
          <w:bCs/>
          <w:sz w:val="20"/>
          <w:szCs w:val="20"/>
        </w:rPr>
        <w:t xml:space="preserve">Commission file number: </w:t>
      </w:r>
      <w:r>
        <w:rPr>
          <w:b/>
          <w:bCs/>
          <w:sz w:val="20"/>
          <w:szCs w:val="20"/>
          <w:u w:val="single"/>
        </w:rPr>
        <w:t>001-39228</w:t>
      </w:r>
    </w:p>
    <w:p w14:paraId="39CE4955" w14:textId="77777777" w:rsidR="00000000" w:rsidRDefault="006549D2">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3FC05E1" w14:textId="77777777">
        <w:tc>
          <w:tcPr>
            <w:tcW w:w="5000" w:type="pct"/>
            <w:tcMar>
              <w:top w:w="0" w:type="dxa"/>
              <w:left w:w="0" w:type="dxa"/>
              <w:bottom w:w="0" w:type="dxa"/>
              <w:right w:w="16" w:type="dxa"/>
            </w:tcMar>
            <w:hideMark/>
          </w:tcPr>
          <w:p w14:paraId="39E01114" w14:textId="77777777" w:rsidR="00000000" w:rsidRDefault="006549D2">
            <w:pPr>
              <w:jc w:val="center"/>
              <w:rPr>
                <w:rFonts w:eastAsia="Times New Roman"/>
                <w:sz w:val="20"/>
                <w:szCs w:val="20"/>
              </w:rPr>
            </w:pPr>
            <w:r>
              <w:rPr>
                <w:rFonts w:eastAsia="Times New Roman"/>
                <w:b/>
                <w:bCs/>
                <w:sz w:val="28"/>
                <w:szCs w:val="28"/>
              </w:rPr>
              <w:t>CHURCHILL CAPITAL CORP III</w:t>
            </w:r>
          </w:p>
        </w:tc>
      </w:tr>
      <w:tr w:rsidR="00000000" w14:paraId="31890967" w14:textId="77777777">
        <w:tc>
          <w:tcPr>
            <w:tcW w:w="0" w:type="auto"/>
            <w:tcMar>
              <w:top w:w="0" w:type="dxa"/>
              <w:left w:w="0" w:type="dxa"/>
              <w:bottom w:w="0" w:type="dxa"/>
              <w:right w:w="16" w:type="dxa"/>
            </w:tcMar>
            <w:hideMark/>
          </w:tcPr>
          <w:p w14:paraId="567A6BDE" w14:textId="77777777" w:rsidR="00000000" w:rsidRDefault="006549D2">
            <w:pPr>
              <w:jc w:val="center"/>
              <w:rPr>
                <w:rFonts w:eastAsia="Times New Roman"/>
                <w:sz w:val="20"/>
                <w:szCs w:val="20"/>
              </w:rPr>
            </w:pPr>
            <w:r>
              <w:rPr>
                <w:rFonts w:eastAsia="Times New Roman"/>
                <w:sz w:val="20"/>
                <w:szCs w:val="20"/>
              </w:rPr>
              <w:t>(Exact Name of Registrant as Specified in Its Charter) </w:t>
            </w:r>
          </w:p>
        </w:tc>
      </w:tr>
    </w:tbl>
    <w:p w14:paraId="713A8184" w14:textId="77777777" w:rsidR="00000000" w:rsidRDefault="006549D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52D2DBB9" w14:textId="77777777">
        <w:tc>
          <w:tcPr>
            <w:tcW w:w="2450" w:type="pct"/>
            <w:tcBorders>
              <w:bottom w:val="single" w:sz="8" w:space="0" w:color="000000"/>
            </w:tcBorders>
            <w:tcMar>
              <w:top w:w="0" w:type="dxa"/>
              <w:left w:w="0" w:type="dxa"/>
              <w:bottom w:w="0" w:type="dxa"/>
              <w:right w:w="16" w:type="dxa"/>
            </w:tcMar>
            <w:hideMark/>
          </w:tcPr>
          <w:p w14:paraId="6C87A1A2" w14:textId="77777777" w:rsidR="00000000" w:rsidRDefault="006549D2">
            <w:pPr>
              <w:jc w:val="center"/>
              <w:rPr>
                <w:rFonts w:eastAsia="Times New Roman"/>
                <w:sz w:val="20"/>
                <w:szCs w:val="20"/>
              </w:rPr>
            </w:pPr>
            <w:r>
              <w:rPr>
                <w:rFonts w:eastAsia="Times New Roman"/>
                <w:b/>
                <w:bCs/>
                <w:sz w:val="20"/>
                <w:szCs w:val="20"/>
              </w:rPr>
              <w:t>Delaware</w:t>
            </w:r>
          </w:p>
        </w:tc>
        <w:tc>
          <w:tcPr>
            <w:tcW w:w="100" w:type="pct"/>
            <w:tcMar>
              <w:top w:w="0" w:type="dxa"/>
              <w:left w:w="0" w:type="dxa"/>
              <w:bottom w:w="0" w:type="dxa"/>
              <w:right w:w="16" w:type="dxa"/>
            </w:tcMar>
            <w:hideMark/>
          </w:tcPr>
          <w:p w14:paraId="2A50A748" w14:textId="77777777" w:rsidR="00000000" w:rsidRDefault="006549D2">
            <w:pPr>
              <w:jc w:val="center"/>
              <w:rPr>
                <w:rFonts w:eastAsia="Times New Roman"/>
                <w:sz w:val="20"/>
                <w:szCs w:val="20"/>
              </w:rPr>
            </w:pPr>
            <w:r>
              <w:rPr>
                <w:rFonts w:eastAsia="Times New Roman"/>
                <w:sz w:val="20"/>
                <w:szCs w:val="20"/>
              </w:rPr>
              <w:t> </w:t>
            </w:r>
          </w:p>
        </w:tc>
        <w:tc>
          <w:tcPr>
            <w:tcW w:w="2450" w:type="pct"/>
            <w:tcBorders>
              <w:bottom w:val="single" w:sz="8" w:space="0" w:color="000000"/>
            </w:tcBorders>
            <w:tcMar>
              <w:top w:w="0" w:type="dxa"/>
              <w:left w:w="0" w:type="dxa"/>
              <w:bottom w:w="0" w:type="dxa"/>
              <w:right w:w="16" w:type="dxa"/>
            </w:tcMar>
            <w:hideMark/>
          </w:tcPr>
          <w:p w14:paraId="732E507E" w14:textId="77777777" w:rsidR="00000000" w:rsidRDefault="006549D2">
            <w:pPr>
              <w:jc w:val="center"/>
              <w:rPr>
                <w:rFonts w:eastAsia="Times New Roman"/>
                <w:sz w:val="20"/>
                <w:szCs w:val="20"/>
              </w:rPr>
            </w:pPr>
            <w:r>
              <w:rPr>
                <w:rFonts w:eastAsia="Times New Roman"/>
                <w:b/>
                <w:bCs/>
                <w:sz w:val="20"/>
                <w:szCs w:val="20"/>
              </w:rPr>
              <w:t>83-3536151</w:t>
            </w:r>
          </w:p>
        </w:tc>
      </w:tr>
      <w:tr w:rsidR="00000000" w14:paraId="6241C1BE" w14:textId="77777777">
        <w:tc>
          <w:tcPr>
            <w:tcW w:w="0" w:type="auto"/>
            <w:hideMark/>
          </w:tcPr>
          <w:p w14:paraId="7E441C0C" w14:textId="77777777" w:rsidR="00000000" w:rsidRDefault="006549D2">
            <w:pPr>
              <w:pStyle w:val="a3"/>
              <w:spacing w:before="0" w:beforeAutospacing="0" w:after="0" w:afterAutospacing="0"/>
              <w:ind w:right="64"/>
              <w:jc w:val="center"/>
              <w:rPr>
                <w:sz w:val="20"/>
                <w:szCs w:val="20"/>
              </w:rPr>
            </w:pPr>
            <w:r>
              <w:rPr>
                <w:sz w:val="20"/>
                <w:szCs w:val="20"/>
              </w:rPr>
              <w:t>(State or other jurisdiction of</w:t>
            </w:r>
          </w:p>
          <w:p w14:paraId="15F50261" w14:textId="77777777" w:rsidR="00000000" w:rsidRDefault="006549D2">
            <w:pPr>
              <w:pStyle w:val="a3"/>
              <w:spacing w:before="0" w:beforeAutospacing="0" w:after="0" w:afterAutospacing="0"/>
              <w:ind w:right="64"/>
              <w:jc w:val="center"/>
              <w:rPr>
                <w:sz w:val="20"/>
                <w:szCs w:val="20"/>
              </w:rPr>
            </w:pPr>
            <w:r>
              <w:rPr>
                <w:sz w:val="20"/>
                <w:szCs w:val="20"/>
              </w:rPr>
              <w:t>incorporation or organi</w:t>
            </w:r>
            <w:r>
              <w:rPr>
                <w:sz w:val="20"/>
                <w:szCs w:val="20"/>
              </w:rPr>
              <w:t>zation)</w:t>
            </w:r>
          </w:p>
        </w:tc>
        <w:tc>
          <w:tcPr>
            <w:tcW w:w="0" w:type="auto"/>
            <w:tcMar>
              <w:top w:w="0" w:type="dxa"/>
              <w:left w:w="0" w:type="dxa"/>
              <w:bottom w:w="0" w:type="dxa"/>
              <w:right w:w="16" w:type="dxa"/>
            </w:tcMar>
            <w:hideMark/>
          </w:tcPr>
          <w:p w14:paraId="73690D31" w14:textId="77777777" w:rsidR="00000000" w:rsidRDefault="006549D2">
            <w:pPr>
              <w:jc w:val="center"/>
              <w:rPr>
                <w:rFonts w:eastAsia="Times New Roman"/>
                <w:sz w:val="20"/>
                <w:szCs w:val="20"/>
              </w:rPr>
            </w:pPr>
            <w:r>
              <w:rPr>
                <w:rFonts w:eastAsia="Times New Roman"/>
                <w:sz w:val="20"/>
                <w:szCs w:val="20"/>
              </w:rPr>
              <w:t> </w:t>
            </w:r>
          </w:p>
        </w:tc>
        <w:tc>
          <w:tcPr>
            <w:tcW w:w="0" w:type="auto"/>
            <w:hideMark/>
          </w:tcPr>
          <w:p w14:paraId="202BF55B" w14:textId="77777777" w:rsidR="00000000" w:rsidRDefault="006549D2">
            <w:pPr>
              <w:pStyle w:val="a3"/>
              <w:spacing w:before="0" w:beforeAutospacing="0" w:after="0" w:afterAutospacing="0"/>
              <w:ind w:right="64"/>
              <w:jc w:val="center"/>
              <w:rPr>
                <w:sz w:val="20"/>
                <w:szCs w:val="20"/>
              </w:rPr>
            </w:pPr>
            <w:r>
              <w:rPr>
                <w:sz w:val="20"/>
                <w:szCs w:val="20"/>
              </w:rPr>
              <w:t>(I.R.S. Employer</w:t>
            </w:r>
          </w:p>
          <w:p w14:paraId="517074E8" w14:textId="77777777" w:rsidR="00000000" w:rsidRDefault="006549D2">
            <w:pPr>
              <w:pStyle w:val="a3"/>
              <w:spacing w:before="0" w:beforeAutospacing="0" w:after="0" w:afterAutospacing="0"/>
              <w:ind w:right="64"/>
              <w:jc w:val="center"/>
              <w:rPr>
                <w:sz w:val="20"/>
                <w:szCs w:val="20"/>
              </w:rPr>
            </w:pPr>
            <w:r>
              <w:rPr>
                <w:sz w:val="20"/>
                <w:szCs w:val="20"/>
              </w:rPr>
              <w:t>Identification No.)</w:t>
            </w:r>
          </w:p>
        </w:tc>
      </w:tr>
    </w:tbl>
    <w:p w14:paraId="0FB29195" w14:textId="77777777" w:rsidR="00000000" w:rsidRDefault="006549D2">
      <w:pPr>
        <w:pStyle w:val="a3"/>
        <w:spacing w:before="0" w:beforeAutospacing="0" w:after="0" w:afterAutospacing="0"/>
        <w:jc w:val="center"/>
        <w:rPr>
          <w:sz w:val="20"/>
          <w:szCs w:val="20"/>
        </w:rPr>
      </w:pPr>
      <w:r>
        <w:rPr>
          <w:sz w:val="20"/>
          <w:szCs w:val="20"/>
        </w:rPr>
        <w:t> </w:t>
      </w:r>
    </w:p>
    <w:p w14:paraId="5087C8C2" w14:textId="77777777" w:rsidR="00000000" w:rsidRDefault="006549D2">
      <w:pPr>
        <w:pStyle w:val="a3"/>
        <w:spacing w:before="0" w:beforeAutospacing="0" w:after="0" w:afterAutospacing="0"/>
        <w:jc w:val="center"/>
        <w:rPr>
          <w:sz w:val="20"/>
          <w:szCs w:val="20"/>
        </w:rPr>
      </w:pPr>
      <w:r>
        <w:rPr>
          <w:b/>
          <w:bCs/>
          <w:sz w:val="20"/>
          <w:szCs w:val="20"/>
        </w:rPr>
        <w:t>640 Fifth Avenue, 12</w:t>
      </w:r>
      <w:r>
        <w:rPr>
          <w:b/>
          <w:bCs/>
          <w:sz w:val="20"/>
          <w:szCs w:val="20"/>
          <w:vertAlign w:val="superscript"/>
        </w:rPr>
        <w:t>th</w:t>
      </w:r>
      <w:r>
        <w:rPr>
          <w:b/>
          <w:bCs/>
          <w:sz w:val="20"/>
          <w:szCs w:val="20"/>
        </w:rPr>
        <w:t xml:space="preserve"> Floor</w:t>
      </w:r>
    </w:p>
    <w:p w14:paraId="042DAD32" w14:textId="77777777" w:rsidR="00000000" w:rsidRDefault="006549D2">
      <w:pPr>
        <w:pStyle w:val="a3"/>
        <w:spacing w:before="0" w:beforeAutospacing="0" w:after="0" w:afterAutospacing="0"/>
        <w:jc w:val="center"/>
        <w:rPr>
          <w:sz w:val="20"/>
          <w:szCs w:val="20"/>
        </w:rPr>
      </w:pPr>
      <w:r>
        <w:rPr>
          <w:b/>
          <w:bCs/>
          <w:sz w:val="20"/>
          <w:szCs w:val="20"/>
        </w:rPr>
        <w:t>New York, NY 10019</w:t>
      </w:r>
      <w:r>
        <w:rPr>
          <w:sz w:val="20"/>
          <w:szCs w:val="20"/>
        </w:rPr>
        <w:t xml:space="preserve">  </w:t>
      </w:r>
    </w:p>
    <w:p w14:paraId="675A0E29" w14:textId="77777777" w:rsidR="00000000" w:rsidRDefault="006549D2">
      <w:pPr>
        <w:pStyle w:val="a3"/>
        <w:spacing w:before="0" w:beforeAutospacing="0" w:after="0" w:afterAutospacing="0"/>
        <w:jc w:val="center"/>
        <w:rPr>
          <w:sz w:val="20"/>
          <w:szCs w:val="20"/>
        </w:rPr>
      </w:pPr>
      <w:r>
        <w:rPr>
          <w:sz w:val="20"/>
          <w:szCs w:val="20"/>
        </w:rPr>
        <w:t>(Address of principal executive offices)</w:t>
      </w:r>
    </w:p>
    <w:p w14:paraId="04DE212D" w14:textId="77777777" w:rsidR="00000000" w:rsidRDefault="006549D2">
      <w:pPr>
        <w:pStyle w:val="a3"/>
        <w:spacing w:before="0" w:beforeAutospacing="0" w:after="0" w:afterAutospacing="0"/>
        <w:jc w:val="center"/>
        <w:rPr>
          <w:sz w:val="20"/>
          <w:szCs w:val="20"/>
        </w:rPr>
      </w:pPr>
      <w:r>
        <w:rPr>
          <w:sz w:val="20"/>
          <w:szCs w:val="20"/>
        </w:rPr>
        <w:t> </w:t>
      </w:r>
    </w:p>
    <w:p w14:paraId="58AB6C80" w14:textId="77777777" w:rsidR="00000000" w:rsidRDefault="006549D2">
      <w:pPr>
        <w:pStyle w:val="a3"/>
        <w:spacing w:before="0" w:beforeAutospacing="0" w:after="0" w:afterAutospacing="0"/>
        <w:jc w:val="center"/>
        <w:rPr>
          <w:sz w:val="20"/>
          <w:szCs w:val="20"/>
        </w:rPr>
      </w:pPr>
      <w:r>
        <w:rPr>
          <w:b/>
          <w:bCs/>
          <w:sz w:val="20"/>
          <w:szCs w:val="20"/>
        </w:rPr>
        <w:t>(212) 380-7500</w:t>
      </w:r>
    </w:p>
    <w:p w14:paraId="436E4A55" w14:textId="77777777" w:rsidR="00000000" w:rsidRDefault="006549D2">
      <w:pPr>
        <w:pStyle w:val="a3"/>
        <w:spacing w:before="0" w:beforeAutospacing="0" w:after="0" w:afterAutospacing="0"/>
        <w:jc w:val="center"/>
        <w:rPr>
          <w:sz w:val="20"/>
          <w:szCs w:val="20"/>
        </w:rPr>
      </w:pPr>
      <w:r>
        <w:rPr>
          <w:sz w:val="20"/>
          <w:szCs w:val="20"/>
        </w:rPr>
        <w:t>(Issuer’s telephone number)</w:t>
      </w:r>
    </w:p>
    <w:p w14:paraId="792684EE" w14:textId="77777777" w:rsidR="00000000" w:rsidRDefault="006549D2">
      <w:pPr>
        <w:pStyle w:val="a3"/>
        <w:spacing w:before="0" w:beforeAutospacing="0" w:after="0" w:afterAutospacing="0"/>
        <w:jc w:val="center"/>
        <w:rPr>
          <w:sz w:val="20"/>
          <w:szCs w:val="20"/>
        </w:rPr>
      </w:pPr>
      <w:r>
        <w:rPr>
          <w:sz w:val="20"/>
          <w:szCs w:val="20"/>
        </w:rPr>
        <w:t> </w:t>
      </w:r>
    </w:p>
    <w:p w14:paraId="55C6876F" w14:textId="77777777" w:rsidR="00000000" w:rsidRDefault="006549D2">
      <w:pPr>
        <w:pStyle w:val="a3"/>
        <w:spacing w:before="0" w:beforeAutospacing="0" w:after="0" w:afterAutospacing="0"/>
        <w:jc w:val="both"/>
        <w:rPr>
          <w:sz w:val="20"/>
          <w:szCs w:val="20"/>
        </w:rPr>
      </w:pPr>
      <w:r>
        <w:rPr>
          <w:sz w:val="20"/>
          <w:szCs w:val="20"/>
        </w:rPr>
        <w:t>Securities registered pursuant to Section 12(b) of the Act:</w:t>
      </w:r>
    </w:p>
    <w:p w14:paraId="3C469999" w14:textId="77777777" w:rsidR="00000000" w:rsidRDefault="006549D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24"/>
        <w:gridCol w:w="166"/>
        <w:gridCol w:w="2575"/>
        <w:gridCol w:w="166"/>
        <w:gridCol w:w="2575"/>
      </w:tblGrid>
      <w:tr w:rsidR="00000000" w14:paraId="5697519F" w14:textId="77777777">
        <w:tc>
          <w:tcPr>
            <w:tcW w:w="1700" w:type="pct"/>
            <w:tcBorders>
              <w:bottom w:val="single" w:sz="8" w:space="0" w:color="000000"/>
            </w:tcBorders>
            <w:tcMar>
              <w:top w:w="0" w:type="dxa"/>
              <w:left w:w="0" w:type="dxa"/>
              <w:bottom w:w="0" w:type="dxa"/>
              <w:right w:w="16" w:type="dxa"/>
            </w:tcMar>
            <w:vAlign w:val="bottom"/>
            <w:hideMark/>
          </w:tcPr>
          <w:p w14:paraId="7B7F481D" w14:textId="77777777" w:rsidR="00000000" w:rsidRDefault="006549D2">
            <w:pPr>
              <w:jc w:val="center"/>
              <w:rPr>
                <w:rFonts w:eastAsia="Times New Roman"/>
                <w:sz w:val="20"/>
                <w:szCs w:val="20"/>
              </w:rPr>
            </w:pPr>
            <w:r>
              <w:rPr>
                <w:rFonts w:eastAsia="Times New Roman"/>
                <w:b/>
                <w:bCs/>
                <w:sz w:val="20"/>
                <w:szCs w:val="20"/>
              </w:rPr>
              <w:t>Title of each class</w:t>
            </w:r>
          </w:p>
        </w:tc>
        <w:tc>
          <w:tcPr>
            <w:tcW w:w="100" w:type="pct"/>
            <w:tcMar>
              <w:top w:w="0" w:type="dxa"/>
              <w:left w:w="0" w:type="dxa"/>
              <w:bottom w:w="0" w:type="dxa"/>
              <w:right w:w="16" w:type="dxa"/>
            </w:tcMar>
            <w:vAlign w:val="bottom"/>
            <w:hideMark/>
          </w:tcPr>
          <w:p w14:paraId="5CFE6FF4" w14:textId="77777777" w:rsidR="00000000" w:rsidRDefault="006549D2">
            <w:pPr>
              <w:jc w:val="center"/>
              <w:rPr>
                <w:rFonts w:eastAsia="Times New Roman"/>
                <w:sz w:val="20"/>
                <w:szCs w:val="20"/>
              </w:rPr>
            </w:pPr>
            <w:r>
              <w:rPr>
                <w:rFonts w:eastAsia="Times New Roman"/>
                <w:sz w:val="20"/>
                <w:szCs w:val="20"/>
              </w:rPr>
              <w:t> </w:t>
            </w:r>
          </w:p>
        </w:tc>
        <w:tc>
          <w:tcPr>
            <w:tcW w:w="1550" w:type="pct"/>
            <w:tcBorders>
              <w:bottom w:val="single" w:sz="8" w:space="0" w:color="000000"/>
            </w:tcBorders>
            <w:tcMar>
              <w:top w:w="0" w:type="dxa"/>
              <w:left w:w="0" w:type="dxa"/>
              <w:bottom w:w="0" w:type="dxa"/>
              <w:right w:w="16" w:type="dxa"/>
            </w:tcMar>
            <w:vAlign w:val="bottom"/>
            <w:hideMark/>
          </w:tcPr>
          <w:p w14:paraId="2819C161" w14:textId="77777777" w:rsidR="00000000" w:rsidRDefault="006549D2">
            <w:pPr>
              <w:jc w:val="center"/>
              <w:rPr>
                <w:rFonts w:eastAsia="Times New Roman"/>
                <w:sz w:val="20"/>
                <w:szCs w:val="20"/>
              </w:rPr>
            </w:pPr>
            <w:r>
              <w:rPr>
                <w:rFonts w:eastAsia="Times New Roman"/>
                <w:b/>
                <w:bCs/>
                <w:sz w:val="20"/>
                <w:szCs w:val="20"/>
              </w:rPr>
              <w:t>Trading Symbol(s)</w:t>
            </w:r>
          </w:p>
        </w:tc>
        <w:tc>
          <w:tcPr>
            <w:tcW w:w="100" w:type="pct"/>
            <w:tcMar>
              <w:top w:w="0" w:type="dxa"/>
              <w:left w:w="0" w:type="dxa"/>
              <w:bottom w:w="0" w:type="dxa"/>
              <w:right w:w="16" w:type="dxa"/>
            </w:tcMar>
            <w:vAlign w:val="bottom"/>
            <w:hideMark/>
          </w:tcPr>
          <w:p w14:paraId="7F1C62A1" w14:textId="77777777" w:rsidR="00000000" w:rsidRDefault="006549D2">
            <w:pPr>
              <w:jc w:val="center"/>
              <w:rPr>
                <w:rFonts w:eastAsia="Times New Roman"/>
                <w:sz w:val="20"/>
                <w:szCs w:val="20"/>
              </w:rPr>
            </w:pPr>
            <w:r>
              <w:rPr>
                <w:rFonts w:eastAsia="Times New Roman"/>
                <w:sz w:val="20"/>
                <w:szCs w:val="20"/>
              </w:rPr>
              <w:t> </w:t>
            </w:r>
          </w:p>
        </w:tc>
        <w:tc>
          <w:tcPr>
            <w:tcW w:w="1550" w:type="pct"/>
            <w:tcBorders>
              <w:bottom w:val="single" w:sz="8" w:space="0" w:color="000000"/>
            </w:tcBorders>
            <w:tcMar>
              <w:top w:w="0" w:type="dxa"/>
              <w:left w:w="0" w:type="dxa"/>
              <w:bottom w:w="0" w:type="dxa"/>
              <w:right w:w="16" w:type="dxa"/>
            </w:tcMar>
            <w:vAlign w:val="bottom"/>
            <w:hideMark/>
          </w:tcPr>
          <w:p w14:paraId="7F00A3C2" w14:textId="77777777" w:rsidR="00000000" w:rsidRDefault="006549D2">
            <w:pPr>
              <w:jc w:val="center"/>
              <w:rPr>
                <w:rFonts w:eastAsia="Times New Roman"/>
                <w:sz w:val="20"/>
                <w:szCs w:val="20"/>
              </w:rPr>
            </w:pPr>
            <w:r>
              <w:rPr>
                <w:rFonts w:eastAsia="Times New Roman"/>
                <w:b/>
                <w:bCs/>
                <w:sz w:val="20"/>
                <w:szCs w:val="20"/>
              </w:rPr>
              <w:t>Name of each exchange on which</w:t>
            </w:r>
            <w:r>
              <w:rPr>
                <w:rFonts w:eastAsia="Times New Roman"/>
                <w:b/>
                <w:bCs/>
                <w:sz w:val="20"/>
                <w:szCs w:val="20"/>
              </w:rPr>
              <w:br/>
              <w:t>registered</w:t>
            </w:r>
          </w:p>
        </w:tc>
      </w:tr>
      <w:tr w:rsidR="00000000" w14:paraId="3ADA6D84" w14:textId="77777777">
        <w:tc>
          <w:tcPr>
            <w:tcW w:w="0" w:type="auto"/>
            <w:tcMar>
              <w:top w:w="0" w:type="dxa"/>
              <w:left w:w="0" w:type="dxa"/>
              <w:bottom w:w="0" w:type="dxa"/>
              <w:right w:w="16" w:type="dxa"/>
            </w:tcMar>
            <w:vAlign w:val="center"/>
            <w:hideMark/>
          </w:tcPr>
          <w:p w14:paraId="06231C41" w14:textId="77777777" w:rsidR="00000000" w:rsidRDefault="006549D2">
            <w:pPr>
              <w:jc w:val="center"/>
              <w:rPr>
                <w:rFonts w:eastAsia="Times New Roman"/>
                <w:sz w:val="20"/>
                <w:szCs w:val="20"/>
              </w:rPr>
            </w:pPr>
            <w:r>
              <w:rPr>
                <w:rFonts w:eastAsia="Times New Roman"/>
                <w:sz w:val="20"/>
                <w:szCs w:val="20"/>
              </w:rPr>
              <w:t>Units, each consisting of one share of  </w:t>
            </w:r>
            <w:r>
              <w:rPr>
                <w:rFonts w:eastAsia="Times New Roman"/>
                <w:sz w:val="20"/>
                <w:szCs w:val="20"/>
              </w:rPr>
              <w:t>Class A common stock, $0.0001 par value, and one-fourth of one warrant</w:t>
            </w:r>
          </w:p>
        </w:tc>
        <w:tc>
          <w:tcPr>
            <w:tcW w:w="0" w:type="auto"/>
            <w:tcMar>
              <w:top w:w="0" w:type="dxa"/>
              <w:left w:w="0" w:type="dxa"/>
              <w:bottom w:w="0" w:type="dxa"/>
              <w:right w:w="16" w:type="dxa"/>
            </w:tcMar>
            <w:vAlign w:val="center"/>
            <w:hideMark/>
          </w:tcPr>
          <w:p w14:paraId="0BFF94C7" w14:textId="77777777" w:rsidR="00000000" w:rsidRDefault="006549D2">
            <w:pPr>
              <w:jc w:val="cente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vAlign w:val="center"/>
            <w:hideMark/>
          </w:tcPr>
          <w:p w14:paraId="66FB3B61" w14:textId="77777777" w:rsidR="00000000" w:rsidRDefault="006549D2">
            <w:pPr>
              <w:jc w:val="center"/>
              <w:rPr>
                <w:rFonts w:eastAsia="Times New Roman"/>
                <w:sz w:val="20"/>
                <w:szCs w:val="20"/>
              </w:rPr>
            </w:pPr>
            <w:r>
              <w:rPr>
                <w:rFonts w:eastAsia="Times New Roman"/>
                <w:sz w:val="20"/>
                <w:szCs w:val="20"/>
              </w:rPr>
              <w:t>CCXX.U</w:t>
            </w:r>
          </w:p>
        </w:tc>
        <w:tc>
          <w:tcPr>
            <w:tcW w:w="0" w:type="auto"/>
            <w:tcMar>
              <w:top w:w="0" w:type="dxa"/>
              <w:left w:w="0" w:type="dxa"/>
              <w:bottom w:w="0" w:type="dxa"/>
              <w:right w:w="16" w:type="dxa"/>
            </w:tcMar>
            <w:vAlign w:val="center"/>
            <w:hideMark/>
          </w:tcPr>
          <w:p w14:paraId="4F21F511" w14:textId="77777777" w:rsidR="00000000" w:rsidRDefault="006549D2">
            <w:pPr>
              <w:jc w:val="cente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vAlign w:val="center"/>
            <w:hideMark/>
          </w:tcPr>
          <w:p w14:paraId="64C37E8A" w14:textId="77777777" w:rsidR="00000000" w:rsidRDefault="006549D2">
            <w:pPr>
              <w:jc w:val="center"/>
              <w:rPr>
                <w:rFonts w:eastAsia="Times New Roman"/>
                <w:sz w:val="20"/>
                <w:szCs w:val="20"/>
              </w:rPr>
            </w:pPr>
            <w:r>
              <w:rPr>
                <w:rFonts w:eastAsia="Times New Roman"/>
                <w:sz w:val="20"/>
                <w:szCs w:val="20"/>
              </w:rPr>
              <w:t>New York Stock Exchange</w:t>
            </w:r>
          </w:p>
        </w:tc>
      </w:tr>
      <w:tr w:rsidR="00000000" w14:paraId="21FBF6AA" w14:textId="77777777">
        <w:tc>
          <w:tcPr>
            <w:tcW w:w="0" w:type="auto"/>
            <w:tcMar>
              <w:top w:w="0" w:type="dxa"/>
              <w:left w:w="0" w:type="dxa"/>
              <w:bottom w:w="0" w:type="dxa"/>
              <w:right w:w="16" w:type="dxa"/>
            </w:tcMar>
            <w:vAlign w:val="center"/>
            <w:hideMark/>
          </w:tcPr>
          <w:p w14:paraId="68A844AE" w14:textId="77777777" w:rsidR="00000000" w:rsidRDefault="006549D2">
            <w:pPr>
              <w:jc w:val="center"/>
              <w:rPr>
                <w:rFonts w:eastAsia="Times New Roman"/>
                <w:sz w:val="20"/>
                <w:szCs w:val="20"/>
              </w:rPr>
            </w:pPr>
            <w:r>
              <w:rPr>
                <w:rFonts w:eastAsia="Times New Roman"/>
                <w:sz w:val="20"/>
                <w:szCs w:val="20"/>
              </w:rPr>
              <w:t>Shares of Class A common stock</w:t>
            </w:r>
          </w:p>
        </w:tc>
        <w:tc>
          <w:tcPr>
            <w:tcW w:w="0" w:type="auto"/>
            <w:tcMar>
              <w:top w:w="0" w:type="dxa"/>
              <w:left w:w="0" w:type="dxa"/>
              <w:bottom w:w="0" w:type="dxa"/>
              <w:right w:w="16" w:type="dxa"/>
            </w:tcMar>
            <w:vAlign w:val="center"/>
            <w:hideMark/>
          </w:tcPr>
          <w:p w14:paraId="1A5FBE59" w14:textId="77777777" w:rsidR="00000000" w:rsidRDefault="006549D2">
            <w:pPr>
              <w:jc w:val="cente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vAlign w:val="center"/>
            <w:hideMark/>
          </w:tcPr>
          <w:p w14:paraId="66162ED3" w14:textId="77777777" w:rsidR="00000000" w:rsidRDefault="006549D2">
            <w:pPr>
              <w:jc w:val="center"/>
              <w:rPr>
                <w:rFonts w:eastAsia="Times New Roman"/>
                <w:sz w:val="20"/>
                <w:szCs w:val="20"/>
              </w:rPr>
            </w:pPr>
            <w:r>
              <w:rPr>
                <w:rFonts w:eastAsia="Times New Roman"/>
                <w:sz w:val="20"/>
                <w:szCs w:val="20"/>
              </w:rPr>
              <w:t>CCXX</w:t>
            </w:r>
          </w:p>
        </w:tc>
        <w:tc>
          <w:tcPr>
            <w:tcW w:w="0" w:type="auto"/>
            <w:tcMar>
              <w:top w:w="0" w:type="dxa"/>
              <w:left w:w="0" w:type="dxa"/>
              <w:bottom w:w="0" w:type="dxa"/>
              <w:right w:w="16" w:type="dxa"/>
            </w:tcMar>
            <w:vAlign w:val="center"/>
            <w:hideMark/>
          </w:tcPr>
          <w:p w14:paraId="7C0F5454" w14:textId="77777777" w:rsidR="00000000" w:rsidRDefault="006549D2">
            <w:pPr>
              <w:jc w:val="cente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vAlign w:val="center"/>
            <w:hideMark/>
          </w:tcPr>
          <w:p w14:paraId="73230822" w14:textId="77777777" w:rsidR="00000000" w:rsidRDefault="006549D2">
            <w:pPr>
              <w:jc w:val="center"/>
              <w:rPr>
                <w:rFonts w:eastAsia="Times New Roman"/>
                <w:sz w:val="20"/>
                <w:szCs w:val="20"/>
              </w:rPr>
            </w:pPr>
            <w:r>
              <w:rPr>
                <w:rFonts w:eastAsia="Times New Roman"/>
                <w:sz w:val="20"/>
                <w:szCs w:val="20"/>
              </w:rPr>
              <w:t>New York Stock Exchange</w:t>
            </w:r>
          </w:p>
        </w:tc>
      </w:tr>
      <w:tr w:rsidR="00000000" w14:paraId="015BA4A3" w14:textId="77777777">
        <w:tc>
          <w:tcPr>
            <w:tcW w:w="0" w:type="auto"/>
            <w:tcMar>
              <w:top w:w="0" w:type="dxa"/>
              <w:left w:w="0" w:type="dxa"/>
              <w:bottom w:w="0" w:type="dxa"/>
              <w:right w:w="16" w:type="dxa"/>
            </w:tcMar>
            <w:vAlign w:val="center"/>
            <w:hideMark/>
          </w:tcPr>
          <w:p w14:paraId="5A32AA67" w14:textId="77777777" w:rsidR="00000000" w:rsidRDefault="006549D2">
            <w:pPr>
              <w:jc w:val="center"/>
              <w:rPr>
                <w:rFonts w:eastAsia="Times New Roman"/>
                <w:sz w:val="20"/>
                <w:szCs w:val="20"/>
              </w:rPr>
            </w:pPr>
            <w:r>
              <w:rPr>
                <w:rFonts w:eastAsia="Times New Roman"/>
                <w:sz w:val="20"/>
                <w:szCs w:val="20"/>
              </w:rPr>
              <w:t>Warrants included as part of the units</w:t>
            </w:r>
          </w:p>
        </w:tc>
        <w:tc>
          <w:tcPr>
            <w:tcW w:w="0" w:type="auto"/>
            <w:tcMar>
              <w:top w:w="0" w:type="dxa"/>
              <w:left w:w="0" w:type="dxa"/>
              <w:bottom w:w="0" w:type="dxa"/>
              <w:right w:w="16" w:type="dxa"/>
            </w:tcMar>
            <w:vAlign w:val="center"/>
            <w:hideMark/>
          </w:tcPr>
          <w:p w14:paraId="64C018AB" w14:textId="77777777" w:rsidR="00000000" w:rsidRDefault="006549D2">
            <w:pPr>
              <w:jc w:val="cente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vAlign w:val="center"/>
            <w:hideMark/>
          </w:tcPr>
          <w:p w14:paraId="387F3D80" w14:textId="77777777" w:rsidR="00000000" w:rsidRDefault="006549D2">
            <w:pPr>
              <w:jc w:val="center"/>
              <w:rPr>
                <w:rFonts w:eastAsia="Times New Roman"/>
                <w:sz w:val="20"/>
                <w:szCs w:val="20"/>
              </w:rPr>
            </w:pPr>
            <w:r>
              <w:rPr>
                <w:rFonts w:eastAsia="Times New Roman"/>
                <w:sz w:val="20"/>
                <w:szCs w:val="20"/>
              </w:rPr>
              <w:t>CCXX WS</w:t>
            </w:r>
          </w:p>
        </w:tc>
        <w:tc>
          <w:tcPr>
            <w:tcW w:w="0" w:type="auto"/>
            <w:tcMar>
              <w:top w:w="0" w:type="dxa"/>
              <w:left w:w="0" w:type="dxa"/>
              <w:bottom w:w="0" w:type="dxa"/>
              <w:right w:w="16" w:type="dxa"/>
            </w:tcMar>
            <w:vAlign w:val="center"/>
            <w:hideMark/>
          </w:tcPr>
          <w:p w14:paraId="04672820" w14:textId="77777777" w:rsidR="00000000" w:rsidRDefault="006549D2">
            <w:pPr>
              <w:jc w:val="cente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vAlign w:val="center"/>
            <w:hideMark/>
          </w:tcPr>
          <w:p w14:paraId="047B1830" w14:textId="77777777" w:rsidR="00000000" w:rsidRDefault="006549D2">
            <w:pPr>
              <w:jc w:val="center"/>
              <w:rPr>
                <w:rFonts w:eastAsia="Times New Roman"/>
                <w:sz w:val="20"/>
                <w:szCs w:val="20"/>
              </w:rPr>
            </w:pPr>
            <w:r>
              <w:rPr>
                <w:rFonts w:eastAsia="Times New Roman"/>
                <w:sz w:val="20"/>
                <w:szCs w:val="20"/>
              </w:rPr>
              <w:t>New York Stock Exchange</w:t>
            </w:r>
          </w:p>
        </w:tc>
      </w:tr>
    </w:tbl>
    <w:p w14:paraId="33C7A15C" w14:textId="77777777" w:rsidR="00000000" w:rsidRDefault="006549D2">
      <w:pPr>
        <w:pStyle w:val="a3"/>
        <w:spacing w:before="0" w:beforeAutospacing="0" w:after="0" w:afterAutospacing="0"/>
        <w:jc w:val="both"/>
        <w:rPr>
          <w:sz w:val="20"/>
          <w:szCs w:val="20"/>
        </w:rPr>
      </w:pPr>
      <w:r>
        <w:rPr>
          <w:sz w:val="20"/>
          <w:szCs w:val="20"/>
        </w:rPr>
        <w:t> </w:t>
      </w:r>
    </w:p>
    <w:p w14:paraId="0C861D58" w14:textId="77777777" w:rsidR="00000000" w:rsidRDefault="006549D2">
      <w:pPr>
        <w:pStyle w:val="a3"/>
        <w:spacing w:before="0" w:beforeAutospacing="0" w:after="0" w:afterAutospacing="0"/>
        <w:jc w:val="both"/>
        <w:rPr>
          <w:sz w:val="20"/>
          <w:szCs w:val="20"/>
        </w:rPr>
      </w:pPr>
      <w:r>
        <w:rPr>
          <w:sz w:val="20"/>
          <w:szCs w:val="20"/>
        </w:rPr>
        <w:t>Check whether the issuer (1) filed all reports required to be filed by Section 13 or 15(d) of the Exchange Act during the past 12 months (or for such shorter period that the registrant was required to file such reports), and (2) has been subject to such fi</w:t>
      </w:r>
      <w:r>
        <w:rPr>
          <w:sz w:val="20"/>
          <w:szCs w:val="20"/>
        </w:rPr>
        <w:t xml:space="preserve">ling requirements for the past 90 days. Yes   </w:t>
      </w:r>
      <w:r>
        <w:rPr>
          <w:rFonts w:ascii="Wingdings" w:hAnsi="Wingdings"/>
          <w:sz w:val="20"/>
          <w:szCs w:val="20"/>
        </w:rPr>
        <w:t>x</w:t>
      </w:r>
      <w:r>
        <w:rPr>
          <w:sz w:val="20"/>
          <w:szCs w:val="20"/>
        </w:rPr>
        <w:t xml:space="preserve">  No  </w:t>
      </w:r>
      <w:r>
        <w:rPr>
          <w:rFonts w:ascii="Wingdings" w:hAnsi="Wingdings"/>
          <w:sz w:val="20"/>
          <w:szCs w:val="20"/>
        </w:rPr>
        <w:t>¨</w:t>
      </w:r>
    </w:p>
    <w:p w14:paraId="10206C8F" w14:textId="77777777" w:rsidR="00000000" w:rsidRDefault="006549D2">
      <w:pPr>
        <w:pStyle w:val="a3"/>
        <w:spacing w:before="0" w:beforeAutospacing="0" w:after="0" w:afterAutospacing="0"/>
        <w:jc w:val="both"/>
        <w:rPr>
          <w:sz w:val="20"/>
          <w:szCs w:val="20"/>
        </w:rPr>
      </w:pPr>
      <w:r>
        <w:rPr>
          <w:sz w:val="20"/>
          <w:szCs w:val="20"/>
        </w:rPr>
        <w:t> </w:t>
      </w:r>
    </w:p>
    <w:p w14:paraId="46F172E4" w14:textId="77777777" w:rsidR="00000000" w:rsidRDefault="006549D2">
      <w:pPr>
        <w:pStyle w:val="a3"/>
        <w:spacing w:before="0" w:beforeAutospacing="0" w:after="0" w:afterAutospacing="0"/>
        <w:jc w:val="both"/>
        <w:rPr>
          <w:sz w:val="20"/>
          <w:szCs w:val="20"/>
        </w:rPr>
      </w:pPr>
      <w:r>
        <w:rPr>
          <w:sz w:val="20"/>
          <w:szCs w:val="20"/>
        </w:rPr>
        <w:t>Indicate by check mark whether the registrant has submitted electronically every Interactive Data File required to be submitted pursuant to Rule 405 of Regulation S-T (§232.405 of this chapter) durin</w:t>
      </w:r>
      <w:r>
        <w:rPr>
          <w:sz w:val="20"/>
          <w:szCs w:val="20"/>
        </w:rPr>
        <w:t xml:space="preserve">g the preceding 12 months (or for such shorter period that the registrant was required to submit such files). Yes   </w:t>
      </w:r>
      <w:r>
        <w:rPr>
          <w:rFonts w:ascii="Wingdings" w:hAnsi="Wingdings"/>
          <w:sz w:val="20"/>
          <w:szCs w:val="20"/>
        </w:rPr>
        <w:t>x</w:t>
      </w:r>
      <w:r>
        <w:rPr>
          <w:sz w:val="20"/>
          <w:szCs w:val="20"/>
        </w:rPr>
        <w:t xml:space="preserve">  No   </w:t>
      </w:r>
      <w:r>
        <w:rPr>
          <w:rFonts w:ascii="Wingdings" w:hAnsi="Wingdings"/>
          <w:sz w:val="20"/>
          <w:szCs w:val="20"/>
        </w:rPr>
        <w:t>¨</w:t>
      </w:r>
    </w:p>
    <w:p w14:paraId="37D17B38" w14:textId="77777777" w:rsidR="00000000" w:rsidRDefault="006549D2">
      <w:pPr>
        <w:pStyle w:val="a3"/>
        <w:spacing w:before="0" w:beforeAutospacing="0" w:after="0" w:afterAutospacing="0"/>
        <w:jc w:val="both"/>
        <w:rPr>
          <w:sz w:val="20"/>
          <w:szCs w:val="20"/>
        </w:rPr>
      </w:pPr>
      <w:r>
        <w:rPr>
          <w:sz w:val="20"/>
          <w:szCs w:val="20"/>
        </w:rPr>
        <w:t> </w:t>
      </w:r>
    </w:p>
    <w:p w14:paraId="7A70E22A" w14:textId="77777777" w:rsidR="00000000" w:rsidRDefault="006549D2">
      <w:pPr>
        <w:pStyle w:val="a3"/>
        <w:spacing w:before="0" w:beforeAutospacing="0" w:after="0" w:afterAutospacing="0"/>
        <w:jc w:val="both"/>
        <w:rPr>
          <w:sz w:val="20"/>
          <w:szCs w:val="20"/>
        </w:rPr>
      </w:pPr>
      <w:r>
        <w:rPr>
          <w:sz w:val="20"/>
          <w:szCs w:val="20"/>
        </w:rPr>
        <w:t>Indicate by check mark whether the registrant is a large accelerated filer, an accelerated filer, a non-accelerated filer, a sma</w:t>
      </w:r>
      <w:r>
        <w:rPr>
          <w:sz w:val="20"/>
          <w:szCs w:val="20"/>
        </w:rPr>
        <w:t xml:space="preserve">ller reporting company or an emerging growth company. See definitions of “large </w:t>
      </w:r>
      <w:r>
        <w:rPr>
          <w:sz w:val="20"/>
          <w:szCs w:val="20"/>
        </w:rPr>
        <w:lastRenderedPageBreak/>
        <w:t>accelerated filer”, “accelerated filer”, “smaller reporting company”, and “emerging growth company” in Rule 12b-2 of the Exchange Act.</w:t>
      </w:r>
    </w:p>
    <w:p w14:paraId="57A168C1" w14:textId="77777777" w:rsidR="00000000" w:rsidRDefault="006549D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405"/>
        <w:gridCol w:w="1246"/>
        <w:gridCol w:w="2409"/>
        <w:gridCol w:w="1246"/>
      </w:tblGrid>
      <w:tr w:rsidR="00000000" w14:paraId="68B1E27F" w14:textId="77777777">
        <w:tc>
          <w:tcPr>
            <w:tcW w:w="2050" w:type="pct"/>
            <w:tcMar>
              <w:top w:w="0" w:type="dxa"/>
              <w:left w:w="0" w:type="dxa"/>
              <w:bottom w:w="0" w:type="dxa"/>
              <w:right w:w="16" w:type="dxa"/>
            </w:tcMar>
            <w:hideMark/>
          </w:tcPr>
          <w:p w14:paraId="663CABEC" w14:textId="77777777" w:rsidR="00000000" w:rsidRDefault="006549D2">
            <w:pPr>
              <w:rPr>
                <w:rFonts w:eastAsia="Times New Roman"/>
                <w:sz w:val="20"/>
                <w:szCs w:val="20"/>
              </w:rPr>
            </w:pPr>
            <w:r>
              <w:rPr>
                <w:rFonts w:eastAsia="Times New Roman"/>
                <w:sz w:val="20"/>
                <w:szCs w:val="20"/>
              </w:rPr>
              <w:t>Large accelerated filer</w:t>
            </w:r>
          </w:p>
        </w:tc>
        <w:tc>
          <w:tcPr>
            <w:tcW w:w="750" w:type="pct"/>
            <w:tcMar>
              <w:top w:w="0" w:type="dxa"/>
              <w:left w:w="0" w:type="dxa"/>
              <w:bottom w:w="0" w:type="dxa"/>
              <w:right w:w="16" w:type="dxa"/>
            </w:tcMar>
            <w:hideMark/>
          </w:tcPr>
          <w:p w14:paraId="409C6795" w14:textId="77777777" w:rsidR="00000000" w:rsidRDefault="006549D2">
            <w:pPr>
              <w:rPr>
                <w:rFonts w:eastAsia="Times New Roman"/>
                <w:sz w:val="20"/>
                <w:szCs w:val="20"/>
              </w:rPr>
            </w:pPr>
            <w:r>
              <w:rPr>
                <w:rFonts w:ascii="Wingdings" w:eastAsia="Times New Roman" w:hAnsi="Wingdings"/>
                <w:sz w:val="20"/>
                <w:szCs w:val="20"/>
              </w:rPr>
              <w:t>¨</w:t>
            </w:r>
          </w:p>
        </w:tc>
        <w:tc>
          <w:tcPr>
            <w:tcW w:w="1450" w:type="pct"/>
            <w:tcMar>
              <w:top w:w="0" w:type="dxa"/>
              <w:left w:w="0" w:type="dxa"/>
              <w:bottom w:w="0" w:type="dxa"/>
              <w:right w:w="16" w:type="dxa"/>
            </w:tcMar>
            <w:hideMark/>
          </w:tcPr>
          <w:p w14:paraId="4B3E99B8" w14:textId="77777777" w:rsidR="00000000" w:rsidRDefault="006549D2">
            <w:pPr>
              <w:rPr>
                <w:rFonts w:eastAsia="Times New Roman"/>
                <w:sz w:val="20"/>
                <w:szCs w:val="20"/>
              </w:rPr>
            </w:pPr>
            <w:r>
              <w:rPr>
                <w:rFonts w:eastAsia="Times New Roman"/>
                <w:sz w:val="20"/>
                <w:szCs w:val="20"/>
              </w:rPr>
              <w:t>Accelerated filer</w:t>
            </w:r>
          </w:p>
        </w:tc>
        <w:tc>
          <w:tcPr>
            <w:tcW w:w="750" w:type="pct"/>
            <w:tcMar>
              <w:top w:w="0" w:type="dxa"/>
              <w:left w:w="0" w:type="dxa"/>
              <w:bottom w:w="0" w:type="dxa"/>
              <w:right w:w="16" w:type="dxa"/>
            </w:tcMar>
            <w:hideMark/>
          </w:tcPr>
          <w:p w14:paraId="3B9BF279" w14:textId="77777777" w:rsidR="00000000" w:rsidRDefault="006549D2">
            <w:pPr>
              <w:rPr>
                <w:rFonts w:eastAsia="Times New Roman"/>
                <w:sz w:val="20"/>
                <w:szCs w:val="20"/>
              </w:rPr>
            </w:pPr>
            <w:r>
              <w:rPr>
                <w:rFonts w:ascii="Wingdings" w:eastAsia="Times New Roman" w:hAnsi="Wingdings"/>
                <w:sz w:val="20"/>
                <w:szCs w:val="20"/>
              </w:rPr>
              <w:t>¨</w:t>
            </w:r>
          </w:p>
        </w:tc>
      </w:tr>
      <w:tr w:rsidR="00000000" w14:paraId="79E402FA" w14:textId="77777777">
        <w:tc>
          <w:tcPr>
            <w:tcW w:w="0" w:type="auto"/>
            <w:tcMar>
              <w:top w:w="0" w:type="dxa"/>
              <w:left w:w="0" w:type="dxa"/>
              <w:bottom w:w="0" w:type="dxa"/>
              <w:right w:w="16" w:type="dxa"/>
            </w:tcMar>
            <w:hideMark/>
          </w:tcPr>
          <w:p w14:paraId="0B4B1A7A" w14:textId="77777777" w:rsidR="00000000" w:rsidRDefault="006549D2">
            <w:pPr>
              <w:rPr>
                <w:rFonts w:eastAsia="Times New Roman"/>
                <w:sz w:val="20"/>
                <w:szCs w:val="20"/>
              </w:rPr>
            </w:pPr>
            <w:r>
              <w:rPr>
                <w:rFonts w:eastAsia="Times New Roman"/>
                <w:sz w:val="20"/>
                <w:szCs w:val="20"/>
              </w:rPr>
              <w:t>Non-accelerated filer</w:t>
            </w:r>
          </w:p>
        </w:tc>
        <w:tc>
          <w:tcPr>
            <w:tcW w:w="0" w:type="auto"/>
            <w:tcMar>
              <w:top w:w="0" w:type="dxa"/>
              <w:left w:w="0" w:type="dxa"/>
              <w:bottom w:w="0" w:type="dxa"/>
              <w:right w:w="16" w:type="dxa"/>
            </w:tcMar>
            <w:hideMark/>
          </w:tcPr>
          <w:p w14:paraId="5B4362DB" w14:textId="77777777" w:rsidR="00000000" w:rsidRDefault="006549D2">
            <w:pPr>
              <w:rPr>
                <w:rFonts w:eastAsia="Times New Roman"/>
                <w:sz w:val="20"/>
                <w:szCs w:val="20"/>
              </w:rPr>
            </w:pPr>
            <w:r>
              <w:rPr>
                <w:rFonts w:ascii="Wingdings" w:eastAsia="Times New Roman" w:hAnsi="Wingdings"/>
                <w:sz w:val="20"/>
                <w:szCs w:val="20"/>
              </w:rPr>
              <w:t>x</w:t>
            </w:r>
          </w:p>
        </w:tc>
        <w:tc>
          <w:tcPr>
            <w:tcW w:w="0" w:type="auto"/>
            <w:tcMar>
              <w:top w:w="0" w:type="dxa"/>
              <w:left w:w="0" w:type="dxa"/>
              <w:bottom w:w="0" w:type="dxa"/>
              <w:right w:w="16" w:type="dxa"/>
            </w:tcMar>
            <w:hideMark/>
          </w:tcPr>
          <w:p w14:paraId="43344FAA" w14:textId="77777777" w:rsidR="00000000" w:rsidRDefault="006549D2">
            <w:pPr>
              <w:rPr>
                <w:rFonts w:eastAsia="Times New Roman"/>
                <w:sz w:val="20"/>
                <w:szCs w:val="20"/>
              </w:rPr>
            </w:pPr>
            <w:r>
              <w:rPr>
                <w:rFonts w:eastAsia="Times New Roman"/>
                <w:sz w:val="20"/>
                <w:szCs w:val="20"/>
              </w:rPr>
              <w:t>Smaller reporting company</w:t>
            </w:r>
          </w:p>
        </w:tc>
        <w:tc>
          <w:tcPr>
            <w:tcW w:w="0" w:type="auto"/>
            <w:tcMar>
              <w:top w:w="0" w:type="dxa"/>
              <w:left w:w="0" w:type="dxa"/>
              <w:bottom w:w="0" w:type="dxa"/>
              <w:right w:w="16" w:type="dxa"/>
            </w:tcMar>
            <w:hideMark/>
          </w:tcPr>
          <w:p w14:paraId="48E0FA02" w14:textId="77777777" w:rsidR="00000000" w:rsidRDefault="006549D2">
            <w:pPr>
              <w:rPr>
                <w:rFonts w:eastAsia="Times New Roman"/>
                <w:sz w:val="20"/>
                <w:szCs w:val="20"/>
              </w:rPr>
            </w:pPr>
            <w:r>
              <w:rPr>
                <w:rFonts w:ascii="Wingdings" w:eastAsia="Times New Roman" w:hAnsi="Wingdings"/>
                <w:sz w:val="20"/>
                <w:szCs w:val="20"/>
              </w:rPr>
              <w:t>¨</w:t>
            </w:r>
          </w:p>
        </w:tc>
      </w:tr>
      <w:tr w:rsidR="00000000" w14:paraId="56AFEE42" w14:textId="77777777">
        <w:tc>
          <w:tcPr>
            <w:tcW w:w="0" w:type="auto"/>
            <w:gridSpan w:val="2"/>
            <w:tcMar>
              <w:top w:w="0" w:type="dxa"/>
              <w:left w:w="0" w:type="dxa"/>
              <w:bottom w:w="0" w:type="dxa"/>
              <w:right w:w="36" w:type="dxa"/>
            </w:tcMar>
            <w:hideMark/>
          </w:tcPr>
          <w:p w14:paraId="3B53325F" w14:textId="77777777" w:rsidR="00000000" w:rsidRDefault="006549D2">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14:paraId="01C0429A" w14:textId="77777777" w:rsidR="00000000" w:rsidRDefault="006549D2">
            <w:pPr>
              <w:rPr>
                <w:rFonts w:eastAsia="Times New Roman"/>
                <w:sz w:val="20"/>
                <w:szCs w:val="20"/>
              </w:rPr>
            </w:pPr>
            <w:r>
              <w:rPr>
                <w:rFonts w:eastAsia="Times New Roman"/>
                <w:sz w:val="20"/>
                <w:szCs w:val="20"/>
              </w:rPr>
              <w:t>Emerging growth company</w:t>
            </w:r>
          </w:p>
        </w:tc>
        <w:tc>
          <w:tcPr>
            <w:tcW w:w="0" w:type="auto"/>
            <w:tcMar>
              <w:top w:w="0" w:type="dxa"/>
              <w:left w:w="0" w:type="dxa"/>
              <w:bottom w:w="0" w:type="dxa"/>
              <w:right w:w="16" w:type="dxa"/>
            </w:tcMar>
            <w:hideMark/>
          </w:tcPr>
          <w:p w14:paraId="47C7CA7D" w14:textId="77777777" w:rsidR="00000000" w:rsidRDefault="006549D2">
            <w:pPr>
              <w:rPr>
                <w:rFonts w:eastAsia="Times New Roman"/>
                <w:sz w:val="20"/>
                <w:szCs w:val="20"/>
              </w:rPr>
            </w:pPr>
            <w:r>
              <w:rPr>
                <w:rFonts w:ascii="Wingdings" w:eastAsia="Times New Roman" w:hAnsi="Wingdings"/>
                <w:sz w:val="20"/>
                <w:szCs w:val="20"/>
              </w:rPr>
              <w:t>x</w:t>
            </w:r>
          </w:p>
        </w:tc>
      </w:tr>
    </w:tbl>
    <w:p w14:paraId="36544A72" w14:textId="77777777" w:rsidR="00000000" w:rsidRDefault="006549D2">
      <w:pPr>
        <w:pStyle w:val="a3"/>
        <w:spacing w:before="0" w:beforeAutospacing="0" w:after="0" w:afterAutospacing="0"/>
        <w:jc w:val="both"/>
        <w:rPr>
          <w:sz w:val="20"/>
          <w:szCs w:val="20"/>
        </w:rPr>
      </w:pPr>
      <w:r>
        <w:rPr>
          <w:sz w:val="20"/>
          <w:szCs w:val="20"/>
        </w:rPr>
        <w:t> </w:t>
      </w:r>
    </w:p>
    <w:p w14:paraId="5AB8C38A" w14:textId="77777777" w:rsidR="00000000" w:rsidRDefault="006549D2">
      <w:pPr>
        <w:pStyle w:val="a3"/>
        <w:spacing w:before="0" w:beforeAutospacing="0" w:after="0" w:afterAutospacing="0"/>
        <w:jc w:val="both"/>
        <w:rPr>
          <w:sz w:val="20"/>
          <w:szCs w:val="20"/>
        </w:rPr>
      </w:pPr>
      <w:r>
        <w:rPr>
          <w:sz w:val="20"/>
          <w:szCs w:val="20"/>
        </w:rPr>
        <w:t xml:space="preserve">If </w:t>
      </w:r>
      <w:r>
        <w:rPr>
          <w:sz w:val="20"/>
          <w:szCs w:val="20"/>
        </w:rPr>
        <w:t xml:space="preserve">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hAnsi="Wingdings"/>
          <w:sz w:val="20"/>
          <w:szCs w:val="20"/>
        </w:rPr>
        <w:t>¨</w:t>
      </w:r>
    </w:p>
    <w:p w14:paraId="7D3273F3" w14:textId="77777777" w:rsidR="00000000" w:rsidRDefault="006549D2">
      <w:pPr>
        <w:pStyle w:val="a3"/>
        <w:spacing w:before="0" w:beforeAutospacing="0" w:after="0" w:afterAutospacing="0"/>
        <w:jc w:val="both"/>
        <w:rPr>
          <w:sz w:val="20"/>
          <w:szCs w:val="20"/>
        </w:rPr>
      </w:pPr>
      <w:r>
        <w:rPr>
          <w:sz w:val="20"/>
          <w:szCs w:val="20"/>
        </w:rPr>
        <w:t> </w:t>
      </w:r>
    </w:p>
    <w:p w14:paraId="139723EC" w14:textId="77777777" w:rsidR="00000000" w:rsidRDefault="006549D2">
      <w:pPr>
        <w:pStyle w:val="a3"/>
        <w:spacing w:before="0" w:beforeAutospacing="0" w:after="0" w:afterAutospacing="0"/>
        <w:jc w:val="both"/>
        <w:rPr>
          <w:sz w:val="20"/>
          <w:szCs w:val="20"/>
        </w:rPr>
      </w:pPr>
      <w:r>
        <w:rPr>
          <w:sz w:val="20"/>
          <w:szCs w:val="20"/>
        </w:rPr>
        <w:t>Ind</w:t>
      </w:r>
      <w:r>
        <w:rPr>
          <w:sz w:val="20"/>
          <w:szCs w:val="20"/>
        </w:rPr>
        <w:t xml:space="preserve">icate by check mark whether the registrant is a shell company (as defined in Rule 12b-2 of the Exchange Act). Yes </w:t>
      </w:r>
      <w:r>
        <w:rPr>
          <w:rFonts w:ascii="Wingdings" w:hAnsi="Wingdings"/>
          <w:sz w:val="20"/>
          <w:szCs w:val="20"/>
        </w:rPr>
        <w:t>x</w:t>
      </w:r>
      <w:r>
        <w:rPr>
          <w:sz w:val="20"/>
          <w:szCs w:val="20"/>
        </w:rPr>
        <w:t xml:space="preserve">   No </w:t>
      </w:r>
      <w:r>
        <w:rPr>
          <w:rFonts w:ascii="Wingdings" w:hAnsi="Wingdings"/>
          <w:sz w:val="20"/>
          <w:szCs w:val="20"/>
        </w:rPr>
        <w:t>¨</w:t>
      </w:r>
    </w:p>
    <w:p w14:paraId="2849C4EA" w14:textId="77777777" w:rsidR="00000000" w:rsidRDefault="006549D2">
      <w:pPr>
        <w:pStyle w:val="a3"/>
        <w:spacing w:before="0" w:beforeAutospacing="0" w:after="0" w:afterAutospacing="0"/>
        <w:jc w:val="both"/>
        <w:rPr>
          <w:sz w:val="20"/>
          <w:szCs w:val="20"/>
        </w:rPr>
      </w:pPr>
      <w:r>
        <w:rPr>
          <w:sz w:val="20"/>
          <w:szCs w:val="20"/>
        </w:rPr>
        <w:t> </w:t>
      </w:r>
    </w:p>
    <w:p w14:paraId="311416FB" w14:textId="77777777" w:rsidR="00000000" w:rsidRDefault="006549D2">
      <w:pPr>
        <w:pStyle w:val="a3"/>
        <w:spacing w:before="0" w:beforeAutospacing="0" w:after="0" w:afterAutospacing="0"/>
        <w:jc w:val="both"/>
        <w:rPr>
          <w:sz w:val="20"/>
          <w:szCs w:val="20"/>
        </w:rPr>
      </w:pPr>
      <w:r>
        <w:rPr>
          <w:sz w:val="20"/>
          <w:szCs w:val="20"/>
        </w:rPr>
        <w:t>As of August 12, 2020, 110,000,000 shares of Class A common stock, par value $0.0001 per share, and 27,500,000 shares of Class B co</w:t>
      </w:r>
      <w:r>
        <w:rPr>
          <w:sz w:val="20"/>
          <w:szCs w:val="20"/>
        </w:rPr>
        <w:t>mmon stock, par value $0.0001 per share, were issued and outstanding.</w:t>
      </w:r>
    </w:p>
    <w:p w14:paraId="6AC26A15" w14:textId="77777777" w:rsidR="00000000" w:rsidRDefault="006549D2">
      <w:pPr>
        <w:pStyle w:val="a3"/>
        <w:spacing w:before="0" w:beforeAutospacing="0" w:after="0" w:afterAutospacing="0"/>
        <w:jc w:val="both"/>
        <w:rPr>
          <w:sz w:val="20"/>
          <w:szCs w:val="20"/>
        </w:rPr>
      </w:pPr>
      <w:r>
        <w:rPr>
          <w:sz w:val="20"/>
          <w:szCs w:val="20"/>
        </w:rPr>
        <w:t> </w:t>
      </w:r>
    </w:p>
    <w:p w14:paraId="3F6C8BBC" w14:textId="77777777" w:rsidR="00000000" w:rsidRDefault="006549D2">
      <w:pPr>
        <w:divId w:val="970011572"/>
        <w:rPr>
          <w:rFonts w:eastAsia="Times New Roman"/>
          <w:sz w:val="2"/>
          <w:szCs w:val="2"/>
        </w:rPr>
      </w:pPr>
      <w:r>
        <w:rPr>
          <w:rFonts w:eastAsia="Times New Roman"/>
          <w:sz w:val="2"/>
          <w:szCs w:val="2"/>
        </w:rPr>
        <w:t> </w:t>
      </w:r>
    </w:p>
    <w:p w14:paraId="4239788C" w14:textId="77777777" w:rsidR="00000000" w:rsidRDefault="006549D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A2DBF47" w14:textId="77777777">
        <w:trPr>
          <w:divId w:val="2091154569"/>
        </w:trPr>
        <w:tc>
          <w:tcPr>
            <w:tcW w:w="1650" w:type="pct"/>
            <w:hideMark/>
          </w:tcPr>
          <w:p w14:paraId="31D2771D" w14:textId="77777777" w:rsidR="00000000" w:rsidRDefault="006549D2">
            <w:pPr>
              <w:rPr>
                <w:rFonts w:eastAsia="Times New Roman"/>
                <w:sz w:val="20"/>
                <w:szCs w:val="20"/>
              </w:rPr>
            </w:pPr>
            <w:r>
              <w:rPr>
                <w:rFonts w:eastAsia="Times New Roman"/>
                <w:sz w:val="20"/>
                <w:szCs w:val="20"/>
              </w:rPr>
              <w:t> </w:t>
            </w:r>
          </w:p>
        </w:tc>
        <w:tc>
          <w:tcPr>
            <w:tcW w:w="1700" w:type="pct"/>
            <w:hideMark/>
          </w:tcPr>
          <w:p w14:paraId="72306EB8" w14:textId="77777777" w:rsidR="00000000" w:rsidRDefault="006549D2">
            <w:pPr>
              <w:rPr>
                <w:rFonts w:eastAsia="Times New Roman"/>
                <w:sz w:val="20"/>
                <w:szCs w:val="20"/>
              </w:rPr>
            </w:pPr>
          </w:p>
        </w:tc>
        <w:tc>
          <w:tcPr>
            <w:tcW w:w="1650" w:type="pct"/>
            <w:hideMark/>
          </w:tcPr>
          <w:p w14:paraId="47148B38" w14:textId="77777777" w:rsidR="00000000" w:rsidRDefault="006549D2">
            <w:pPr>
              <w:jc w:val="right"/>
              <w:rPr>
                <w:rFonts w:eastAsia="Times New Roman"/>
                <w:sz w:val="20"/>
                <w:szCs w:val="20"/>
              </w:rPr>
            </w:pPr>
            <w:r>
              <w:rPr>
                <w:rFonts w:eastAsia="Times New Roman"/>
                <w:sz w:val="20"/>
                <w:szCs w:val="20"/>
              </w:rPr>
              <w:t> </w:t>
            </w:r>
          </w:p>
        </w:tc>
      </w:tr>
    </w:tbl>
    <w:p w14:paraId="48100220" w14:textId="77777777" w:rsidR="00000000" w:rsidRDefault="006549D2">
      <w:pPr>
        <w:pStyle w:val="a3"/>
        <w:pageBreakBefore/>
        <w:spacing w:before="0" w:beforeAutospacing="0" w:after="0" w:afterAutospacing="0"/>
        <w:divId w:val="1408696875"/>
        <w:rPr>
          <w:sz w:val="20"/>
          <w:szCs w:val="20"/>
        </w:rPr>
      </w:pPr>
      <w:r>
        <w:rPr>
          <w:sz w:val="20"/>
          <w:szCs w:val="20"/>
        </w:rPr>
        <w:lastRenderedPageBreak/>
        <w:t> </w:t>
      </w:r>
    </w:p>
    <w:p w14:paraId="292E5EDE" w14:textId="77777777" w:rsidR="00000000" w:rsidRDefault="006549D2">
      <w:pPr>
        <w:pStyle w:val="a3"/>
        <w:spacing w:before="0" w:beforeAutospacing="0" w:after="0" w:afterAutospacing="0"/>
        <w:jc w:val="center"/>
        <w:rPr>
          <w:sz w:val="20"/>
          <w:szCs w:val="20"/>
        </w:rPr>
      </w:pPr>
      <w:r>
        <w:rPr>
          <w:sz w:val="20"/>
          <w:szCs w:val="20"/>
        </w:rPr>
        <w:t> </w:t>
      </w:r>
    </w:p>
    <w:p w14:paraId="72FA2AEF" w14:textId="77777777" w:rsidR="00000000" w:rsidRDefault="006549D2">
      <w:pPr>
        <w:pStyle w:val="a3"/>
        <w:spacing w:before="0" w:beforeAutospacing="0" w:after="0" w:afterAutospacing="0"/>
        <w:jc w:val="center"/>
        <w:rPr>
          <w:sz w:val="20"/>
          <w:szCs w:val="20"/>
        </w:rPr>
      </w:pPr>
      <w:r>
        <w:rPr>
          <w:b/>
          <w:bCs/>
          <w:sz w:val="20"/>
          <w:szCs w:val="20"/>
        </w:rPr>
        <w:t>CHURCHILL CAPITAL CORP III</w:t>
      </w:r>
    </w:p>
    <w:p w14:paraId="024E0D30" w14:textId="77777777" w:rsidR="00000000" w:rsidRDefault="006549D2">
      <w:pPr>
        <w:pStyle w:val="a3"/>
        <w:spacing w:before="0" w:beforeAutospacing="0" w:after="0" w:afterAutospacing="0"/>
        <w:jc w:val="center"/>
        <w:rPr>
          <w:sz w:val="20"/>
          <w:szCs w:val="20"/>
        </w:rPr>
      </w:pPr>
      <w:r>
        <w:rPr>
          <w:sz w:val="20"/>
          <w:szCs w:val="20"/>
        </w:rPr>
        <w:t> </w:t>
      </w:r>
    </w:p>
    <w:p w14:paraId="075C8F62" w14:textId="77777777" w:rsidR="00000000" w:rsidRDefault="006549D2">
      <w:pPr>
        <w:pStyle w:val="a3"/>
        <w:spacing w:before="0" w:beforeAutospacing="0" w:after="0" w:afterAutospacing="0"/>
        <w:jc w:val="center"/>
        <w:rPr>
          <w:sz w:val="20"/>
          <w:szCs w:val="20"/>
        </w:rPr>
      </w:pPr>
      <w:r>
        <w:rPr>
          <w:b/>
          <w:bCs/>
          <w:sz w:val="20"/>
          <w:szCs w:val="20"/>
        </w:rPr>
        <w:t>FORM 10-Q FOR THE QUARTER ENDED JUNE 30, 2020 </w:t>
      </w:r>
    </w:p>
    <w:p w14:paraId="04F544C6" w14:textId="77777777" w:rsidR="00000000" w:rsidRDefault="006549D2">
      <w:pPr>
        <w:pStyle w:val="a3"/>
        <w:spacing w:before="0" w:beforeAutospacing="0" w:after="0" w:afterAutospacing="0"/>
        <w:jc w:val="center"/>
        <w:rPr>
          <w:sz w:val="20"/>
          <w:szCs w:val="20"/>
        </w:rPr>
      </w:pPr>
      <w:r>
        <w:rPr>
          <w:b/>
          <w:bCs/>
          <w:sz w:val="20"/>
          <w:szCs w:val="20"/>
        </w:rPr>
        <w:t>TABLE OF CONTENTS</w:t>
      </w:r>
    </w:p>
    <w:p w14:paraId="505C23CE" w14:textId="77777777" w:rsidR="00000000" w:rsidRDefault="006549D2">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475"/>
        <w:gridCol w:w="831"/>
      </w:tblGrid>
      <w:tr w:rsidR="00000000" w14:paraId="37BA4B12" w14:textId="77777777">
        <w:tc>
          <w:tcPr>
            <w:tcW w:w="4500" w:type="pct"/>
            <w:tcMar>
              <w:top w:w="0" w:type="dxa"/>
              <w:left w:w="0" w:type="dxa"/>
              <w:bottom w:w="0" w:type="dxa"/>
              <w:right w:w="16" w:type="dxa"/>
            </w:tcMar>
            <w:hideMark/>
          </w:tcPr>
          <w:p w14:paraId="79D67625" w14:textId="77777777" w:rsidR="00000000" w:rsidRDefault="006549D2">
            <w:pPr>
              <w:rPr>
                <w:rFonts w:eastAsia="Times New Roman"/>
                <w:sz w:val="20"/>
                <w:szCs w:val="20"/>
              </w:rPr>
            </w:pPr>
            <w:r>
              <w:rPr>
                <w:rFonts w:eastAsia="Times New Roman"/>
                <w:sz w:val="20"/>
                <w:szCs w:val="20"/>
              </w:rPr>
              <w:t> </w:t>
            </w:r>
          </w:p>
        </w:tc>
        <w:tc>
          <w:tcPr>
            <w:tcW w:w="500" w:type="pct"/>
            <w:tcBorders>
              <w:bottom w:val="single" w:sz="8" w:space="0" w:color="000000"/>
            </w:tcBorders>
            <w:tcMar>
              <w:top w:w="0" w:type="dxa"/>
              <w:left w:w="0" w:type="dxa"/>
              <w:bottom w:w="0" w:type="dxa"/>
              <w:right w:w="16" w:type="dxa"/>
            </w:tcMar>
            <w:hideMark/>
          </w:tcPr>
          <w:p w14:paraId="337F5A5C" w14:textId="77777777" w:rsidR="00000000" w:rsidRDefault="006549D2">
            <w:pPr>
              <w:jc w:val="center"/>
              <w:rPr>
                <w:rFonts w:eastAsia="Times New Roman"/>
                <w:sz w:val="20"/>
                <w:szCs w:val="20"/>
              </w:rPr>
            </w:pPr>
            <w:r>
              <w:rPr>
                <w:rFonts w:eastAsia="Times New Roman"/>
                <w:b/>
                <w:bCs/>
                <w:sz w:val="20"/>
                <w:szCs w:val="20"/>
              </w:rPr>
              <w:t>Page</w:t>
            </w:r>
          </w:p>
        </w:tc>
      </w:tr>
      <w:tr w:rsidR="00000000" w14:paraId="291BA256" w14:textId="77777777">
        <w:tc>
          <w:tcPr>
            <w:tcW w:w="0" w:type="auto"/>
            <w:shd w:val="clear" w:color="auto" w:fill="CCEEFF"/>
            <w:tcMar>
              <w:top w:w="0" w:type="dxa"/>
              <w:left w:w="0" w:type="dxa"/>
              <w:bottom w:w="0" w:type="dxa"/>
              <w:right w:w="16" w:type="dxa"/>
            </w:tcMar>
            <w:hideMark/>
          </w:tcPr>
          <w:p w14:paraId="00DECE9B" w14:textId="77777777" w:rsidR="00000000" w:rsidRDefault="006549D2">
            <w:pPr>
              <w:rPr>
                <w:rFonts w:eastAsia="Times New Roman"/>
                <w:sz w:val="20"/>
                <w:szCs w:val="20"/>
              </w:rPr>
            </w:pPr>
            <w:hyperlink w:anchor="PartI" w:history="1">
              <w:r>
                <w:rPr>
                  <w:rStyle w:val="a4"/>
                  <w:rFonts w:eastAsia="Times New Roman"/>
                  <w:sz w:val="20"/>
                  <w:szCs w:val="20"/>
                </w:rPr>
                <w:t>Part I. Financial Information</w:t>
              </w:r>
            </w:hyperlink>
          </w:p>
        </w:tc>
        <w:tc>
          <w:tcPr>
            <w:tcW w:w="0" w:type="auto"/>
            <w:shd w:val="clear" w:color="auto" w:fill="CCEEFF"/>
            <w:tcMar>
              <w:top w:w="0" w:type="dxa"/>
              <w:left w:w="0" w:type="dxa"/>
              <w:bottom w:w="0" w:type="dxa"/>
              <w:right w:w="16" w:type="dxa"/>
            </w:tcMar>
            <w:hideMark/>
          </w:tcPr>
          <w:p w14:paraId="7EA8B458" w14:textId="77777777" w:rsidR="00000000" w:rsidRDefault="006549D2">
            <w:pPr>
              <w:rPr>
                <w:rFonts w:eastAsia="Times New Roman"/>
                <w:sz w:val="20"/>
                <w:szCs w:val="20"/>
              </w:rPr>
            </w:pPr>
            <w:r>
              <w:rPr>
                <w:rFonts w:eastAsia="Times New Roman"/>
                <w:sz w:val="20"/>
                <w:szCs w:val="20"/>
              </w:rPr>
              <w:t> </w:t>
            </w:r>
          </w:p>
        </w:tc>
      </w:tr>
      <w:tr w:rsidR="00000000" w14:paraId="257069F2" w14:textId="77777777">
        <w:tc>
          <w:tcPr>
            <w:tcW w:w="0" w:type="auto"/>
            <w:shd w:val="clear" w:color="auto" w:fill="FFFFFF"/>
            <w:tcMar>
              <w:top w:w="0" w:type="dxa"/>
              <w:left w:w="200" w:type="dxa"/>
              <w:bottom w:w="0" w:type="dxa"/>
              <w:right w:w="0" w:type="dxa"/>
            </w:tcMar>
            <w:hideMark/>
          </w:tcPr>
          <w:p w14:paraId="242F80C1" w14:textId="77777777" w:rsidR="00000000" w:rsidRDefault="006549D2">
            <w:pPr>
              <w:rPr>
                <w:rFonts w:eastAsia="Times New Roman"/>
                <w:sz w:val="20"/>
                <w:szCs w:val="20"/>
              </w:rPr>
            </w:pPr>
            <w:hyperlink w:anchor="item1" w:history="1">
              <w:r>
                <w:rPr>
                  <w:rStyle w:val="a4"/>
                  <w:rFonts w:eastAsia="Times New Roman"/>
                  <w:sz w:val="20"/>
                  <w:szCs w:val="20"/>
                </w:rPr>
                <w:t>Item 1. Financial Statements</w:t>
              </w:r>
            </w:hyperlink>
          </w:p>
        </w:tc>
        <w:tc>
          <w:tcPr>
            <w:tcW w:w="0" w:type="auto"/>
            <w:shd w:val="clear" w:color="auto" w:fill="FFFFFF"/>
            <w:tcMar>
              <w:top w:w="0" w:type="dxa"/>
              <w:left w:w="0" w:type="dxa"/>
              <w:bottom w:w="0" w:type="dxa"/>
              <w:right w:w="16" w:type="dxa"/>
            </w:tcMar>
            <w:hideMark/>
          </w:tcPr>
          <w:p w14:paraId="4D6B38D7" w14:textId="77777777" w:rsidR="00000000" w:rsidRDefault="006549D2">
            <w:pPr>
              <w:jc w:val="center"/>
              <w:rPr>
                <w:rFonts w:eastAsia="Times New Roman"/>
                <w:sz w:val="20"/>
                <w:szCs w:val="20"/>
              </w:rPr>
            </w:pPr>
            <w:r>
              <w:rPr>
                <w:rFonts w:eastAsia="Times New Roman"/>
                <w:sz w:val="20"/>
                <w:szCs w:val="20"/>
              </w:rPr>
              <w:t> </w:t>
            </w:r>
          </w:p>
        </w:tc>
      </w:tr>
      <w:tr w:rsidR="00000000" w14:paraId="0E9A5D54" w14:textId="77777777">
        <w:tc>
          <w:tcPr>
            <w:tcW w:w="0" w:type="auto"/>
            <w:shd w:val="clear" w:color="auto" w:fill="CCEEFF"/>
            <w:tcMar>
              <w:top w:w="0" w:type="dxa"/>
              <w:left w:w="400" w:type="dxa"/>
              <w:bottom w:w="0" w:type="dxa"/>
              <w:right w:w="0" w:type="dxa"/>
            </w:tcMar>
            <w:hideMark/>
          </w:tcPr>
          <w:p w14:paraId="649D3A96" w14:textId="77777777" w:rsidR="00000000" w:rsidRDefault="006549D2">
            <w:pPr>
              <w:rPr>
                <w:rFonts w:eastAsia="Times New Roman"/>
                <w:sz w:val="20"/>
                <w:szCs w:val="20"/>
              </w:rPr>
            </w:pPr>
            <w:hyperlink w:anchor="condensedbalancesheet" w:history="1">
              <w:r>
                <w:rPr>
                  <w:rStyle w:val="a4"/>
                  <w:rFonts w:eastAsia="Times New Roman"/>
                  <w:sz w:val="20"/>
                  <w:szCs w:val="20"/>
                </w:rPr>
                <w:t>Condensed Balance Sheets</w:t>
              </w:r>
            </w:hyperlink>
          </w:p>
        </w:tc>
        <w:tc>
          <w:tcPr>
            <w:tcW w:w="0" w:type="auto"/>
            <w:shd w:val="clear" w:color="auto" w:fill="CCEEFF"/>
            <w:tcMar>
              <w:top w:w="0" w:type="dxa"/>
              <w:left w:w="0" w:type="dxa"/>
              <w:bottom w:w="0" w:type="dxa"/>
              <w:right w:w="16" w:type="dxa"/>
            </w:tcMar>
            <w:hideMark/>
          </w:tcPr>
          <w:p w14:paraId="7EDD65E1" w14:textId="77777777" w:rsidR="00000000" w:rsidRDefault="006549D2">
            <w:pPr>
              <w:jc w:val="center"/>
              <w:rPr>
                <w:rFonts w:eastAsia="Times New Roman"/>
                <w:sz w:val="20"/>
                <w:szCs w:val="20"/>
              </w:rPr>
            </w:pPr>
            <w:hyperlink w:anchor="condensedbalancesheet" w:history="1">
              <w:r>
                <w:rPr>
                  <w:rStyle w:val="a4"/>
                  <w:rFonts w:eastAsia="Times New Roman"/>
                  <w:sz w:val="20"/>
                  <w:szCs w:val="20"/>
                </w:rPr>
                <w:t>1</w:t>
              </w:r>
            </w:hyperlink>
          </w:p>
        </w:tc>
      </w:tr>
      <w:tr w:rsidR="00000000" w14:paraId="0C9C00E2" w14:textId="77777777">
        <w:tc>
          <w:tcPr>
            <w:tcW w:w="0" w:type="auto"/>
            <w:shd w:val="clear" w:color="auto" w:fill="FFFFFF"/>
            <w:tcMar>
              <w:top w:w="0" w:type="dxa"/>
              <w:left w:w="400" w:type="dxa"/>
              <w:bottom w:w="0" w:type="dxa"/>
              <w:right w:w="0" w:type="dxa"/>
            </w:tcMar>
            <w:hideMark/>
          </w:tcPr>
          <w:p w14:paraId="52FB2B44" w14:textId="77777777" w:rsidR="00000000" w:rsidRDefault="006549D2">
            <w:pPr>
              <w:rPr>
                <w:rFonts w:eastAsia="Times New Roman"/>
                <w:sz w:val="20"/>
                <w:szCs w:val="20"/>
              </w:rPr>
            </w:pPr>
            <w:hyperlink w:anchor="condensedstatementofoperation" w:history="1">
              <w:r>
                <w:rPr>
                  <w:rStyle w:val="a4"/>
                  <w:rFonts w:eastAsia="Times New Roman"/>
                  <w:sz w:val="20"/>
                  <w:szCs w:val="20"/>
                </w:rPr>
                <w:t>Condensed Statement of Operations</w:t>
              </w:r>
            </w:hyperlink>
          </w:p>
        </w:tc>
        <w:tc>
          <w:tcPr>
            <w:tcW w:w="0" w:type="auto"/>
            <w:shd w:val="clear" w:color="auto" w:fill="FFFFFF"/>
            <w:tcMar>
              <w:top w:w="0" w:type="dxa"/>
              <w:left w:w="0" w:type="dxa"/>
              <w:bottom w:w="0" w:type="dxa"/>
              <w:right w:w="16" w:type="dxa"/>
            </w:tcMar>
            <w:hideMark/>
          </w:tcPr>
          <w:p w14:paraId="08B7C20C" w14:textId="77777777" w:rsidR="00000000" w:rsidRDefault="006549D2">
            <w:pPr>
              <w:jc w:val="center"/>
              <w:rPr>
                <w:rFonts w:eastAsia="Times New Roman"/>
                <w:sz w:val="20"/>
                <w:szCs w:val="20"/>
              </w:rPr>
            </w:pPr>
            <w:hyperlink w:anchor="condensedstatementofoperation" w:history="1">
              <w:r>
                <w:rPr>
                  <w:rStyle w:val="a4"/>
                  <w:rFonts w:eastAsia="Times New Roman"/>
                  <w:sz w:val="20"/>
                  <w:szCs w:val="20"/>
                </w:rPr>
                <w:t>2</w:t>
              </w:r>
            </w:hyperlink>
          </w:p>
        </w:tc>
      </w:tr>
      <w:tr w:rsidR="00000000" w14:paraId="19CFBFD8" w14:textId="77777777">
        <w:tc>
          <w:tcPr>
            <w:tcW w:w="0" w:type="auto"/>
            <w:shd w:val="clear" w:color="auto" w:fill="CCEEFF"/>
            <w:tcMar>
              <w:top w:w="0" w:type="dxa"/>
              <w:left w:w="400" w:type="dxa"/>
              <w:bottom w:w="0" w:type="dxa"/>
              <w:right w:w="0" w:type="dxa"/>
            </w:tcMar>
            <w:hideMark/>
          </w:tcPr>
          <w:p w14:paraId="57DA8C42" w14:textId="77777777" w:rsidR="00000000" w:rsidRDefault="006549D2">
            <w:pPr>
              <w:rPr>
                <w:rFonts w:eastAsia="Times New Roman"/>
                <w:sz w:val="20"/>
                <w:szCs w:val="20"/>
              </w:rPr>
            </w:pPr>
            <w:hyperlink w:anchor="condensedstatementofchanges" w:history="1">
              <w:r>
                <w:rPr>
                  <w:rStyle w:val="a4"/>
                  <w:rFonts w:eastAsia="Times New Roman"/>
                  <w:sz w:val="20"/>
                  <w:szCs w:val="20"/>
                </w:rPr>
                <w:t>Condensed Statement of Changes in Stockholders’ Equity</w:t>
              </w:r>
            </w:hyperlink>
          </w:p>
        </w:tc>
        <w:tc>
          <w:tcPr>
            <w:tcW w:w="0" w:type="auto"/>
            <w:shd w:val="clear" w:color="auto" w:fill="CCEEFF"/>
            <w:tcMar>
              <w:top w:w="0" w:type="dxa"/>
              <w:left w:w="0" w:type="dxa"/>
              <w:bottom w:w="0" w:type="dxa"/>
              <w:right w:w="16" w:type="dxa"/>
            </w:tcMar>
            <w:hideMark/>
          </w:tcPr>
          <w:p w14:paraId="7643959E" w14:textId="77777777" w:rsidR="00000000" w:rsidRDefault="006549D2">
            <w:pPr>
              <w:jc w:val="center"/>
              <w:rPr>
                <w:rFonts w:eastAsia="Times New Roman"/>
                <w:sz w:val="20"/>
                <w:szCs w:val="20"/>
              </w:rPr>
            </w:pPr>
            <w:hyperlink w:anchor="condensedstatementofchanges" w:history="1">
              <w:r>
                <w:rPr>
                  <w:rStyle w:val="a4"/>
                  <w:rFonts w:eastAsia="Times New Roman"/>
                  <w:sz w:val="20"/>
                  <w:szCs w:val="20"/>
                </w:rPr>
                <w:t>3</w:t>
              </w:r>
            </w:hyperlink>
          </w:p>
        </w:tc>
      </w:tr>
      <w:tr w:rsidR="00000000" w14:paraId="0465B073" w14:textId="77777777">
        <w:tc>
          <w:tcPr>
            <w:tcW w:w="0" w:type="auto"/>
            <w:shd w:val="clear" w:color="auto" w:fill="FFFFFF"/>
            <w:tcMar>
              <w:top w:w="0" w:type="dxa"/>
              <w:left w:w="400" w:type="dxa"/>
              <w:bottom w:w="0" w:type="dxa"/>
              <w:right w:w="0" w:type="dxa"/>
            </w:tcMar>
            <w:hideMark/>
          </w:tcPr>
          <w:p w14:paraId="51FF753E" w14:textId="77777777" w:rsidR="00000000" w:rsidRDefault="006549D2">
            <w:pPr>
              <w:rPr>
                <w:rFonts w:eastAsia="Times New Roman"/>
                <w:sz w:val="20"/>
                <w:szCs w:val="20"/>
              </w:rPr>
            </w:pPr>
            <w:hyperlink w:anchor="condensedstatementsofcashflows" w:history="1">
              <w:r>
                <w:rPr>
                  <w:rStyle w:val="a4"/>
                  <w:rFonts w:eastAsia="Times New Roman"/>
                  <w:sz w:val="20"/>
                  <w:szCs w:val="20"/>
                </w:rPr>
                <w:t>Condensed Statement of Cash Flows</w:t>
              </w:r>
            </w:hyperlink>
          </w:p>
        </w:tc>
        <w:tc>
          <w:tcPr>
            <w:tcW w:w="0" w:type="auto"/>
            <w:shd w:val="clear" w:color="auto" w:fill="FFFFFF"/>
            <w:tcMar>
              <w:top w:w="0" w:type="dxa"/>
              <w:left w:w="0" w:type="dxa"/>
              <w:bottom w:w="0" w:type="dxa"/>
              <w:right w:w="16" w:type="dxa"/>
            </w:tcMar>
            <w:hideMark/>
          </w:tcPr>
          <w:p w14:paraId="5041B911" w14:textId="77777777" w:rsidR="00000000" w:rsidRDefault="006549D2">
            <w:pPr>
              <w:jc w:val="center"/>
              <w:rPr>
                <w:rFonts w:eastAsia="Times New Roman"/>
                <w:sz w:val="20"/>
                <w:szCs w:val="20"/>
              </w:rPr>
            </w:pPr>
            <w:hyperlink w:anchor="condensedstatementsofcashflows" w:history="1">
              <w:r>
                <w:rPr>
                  <w:rStyle w:val="a4"/>
                  <w:rFonts w:eastAsia="Times New Roman"/>
                  <w:sz w:val="20"/>
                  <w:szCs w:val="20"/>
                </w:rPr>
                <w:t>4</w:t>
              </w:r>
            </w:hyperlink>
          </w:p>
        </w:tc>
      </w:tr>
      <w:tr w:rsidR="00000000" w14:paraId="70D1FCAB" w14:textId="77777777">
        <w:tc>
          <w:tcPr>
            <w:tcW w:w="0" w:type="auto"/>
            <w:shd w:val="clear" w:color="auto" w:fill="CCEEFF"/>
            <w:tcMar>
              <w:top w:w="0" w:type="dxa"/>
              <w:left w:w="400" w:type="dxa"/>
              <w:bottom w:w="0" w:type="dxa"/>
              <w:right w:w="0" w:type="dxa"/>
            </w:tcMar>
            <w:hideMark/>
          </w:tcPr>
          <w:p w14:paraId="4C2ED523" w14:textId="77777777" w:rsidR="00000000" w:rsidRDefault="006549D2">
            <w:pPr>
              <w:rPr>
                <w:rFonts w:eastAsia="Times New Roman"/>
                <w:sz w:val="20"/>
                <w:szCs w:val="20"/>
              </w:rPr>
            </w:pPr>
            <w:hyperlink w:anchor="notestocondensed" w:history="1">
              <w:r>
                <w:rPr>
                  <w:rStyle w:val="a4"/>
                  <w:rFonts w:eastAsia="Times New Roman"/>
                  <w:sz w:val="20"/>
                  <w:szCs w:val="20"/>
                </w:rPr>
                <w:t>Notes to Unaudited Condensed Financial Statements</w:t>
              </w:r>
            </w:hyperlink>
          </w:p>
        </w:tc>
        <w:tc>
          <w:tcPr>
            <w:tcW w:w="0" w:type="auto"/>
            <w:shd w:val="clear" w:color="auto" w:fill="CCEEFF"/>
            <w:tcMar>
              <w:top w:w="0" w:type="dxa"/>
              <w:left w:w="0" w:type="dxa"/>
              <w:bottom w:w="0" w:type="dxa"/>
              <w:right w:w="16" w:type="dxa"/>
            </w:tcMar>
            <w:hideMark/>
          </w:tcPr>
          <w:p w14:paraId="3BB383BF" w14:textId="77777777" w:rsidR="00000000" w:rsidRDefault="006549D2">
            <w:pPr>
              <w:jc w:val="center"/>
              <w:rPr>
                <w:rFonts w:eastAsia="Times New Roman"/>
                <w:sz w:val="20"/>
                <w:szCs w:val="20"/>
              </w:rPr>
            </w:pPr>
            <w:hyperlink w:anchor="notestocondensed" w:history="1">
              <w:r>
                <w:rPr>
                  <w:rStyle w:val="a4"/>
                  <w:rFonts w:eastAsia="Times New Roman"/>
                  <w:sz w:val="20"/>
                  <w:szCs w:val="20"/>
                </w:rPr>
                <w:t>5</w:t>
              </w:r>
            </w:hyperlink>
          </w:p>
        </w:tc>
      </w:tr>
      <w:tr w:rsidR="00000000" w14:paraId="61F7F7AE" w14:textId="77777777">
        <w:tc>
          <w:tcPr>
            <w:tcW w:w="0" w:type="auto"/>
            <w:shd w:val="clear" w:color="auto" w:fill="FFFFFF"/>
            <w:tcMar>
              <w:top w:w="0" w:type="dxa"/>
              <w:left w:w="200" w:type="dxa"/>
              <w:bottom w:w="0" w:type="dxa"/>
              <w:right w:w="0" w:type="dxa"/>
            </w:tcMar>
            <w:hideMark/>
          </w:tcPr>
          <w:p w14:paraId="42D7147F" w14:textId="77777777" w:rsidR="00000000" w:rsidRDefault="006549D2">
            <w:pPr>
              <w:rPr>
                <w:rFonts w:eastAsia="Times New Roman"/>
                <w:sz w:val="20"/>
                <w:szCs w:val="20"/>
              </w:rPr>
            </w:pPr>
            <w:hyperlink w:anchor="item2managementdiscussion" w:history="1">
              <w:r>
                <w:rPr>
                  <w:rStyle w:val="a4"/>
                  <w:rFonts w:eastAsia="Times New Roman"/>
                  <w:sz w:val="20"/>
                  <w:szCs w:val="20"/>
                </w:rPr>
                <w:t>Item 2. Management’s Discussion and Analysis of Financial Condition and Results of Operations</w:t>
              </w:r>
            </w:hyperlink>
          </w:p>
        </w:tc>
        <w:tc>
          <w:tcPr>
            <w:tcW w:w="0" w:type="auto"/>
            <w:shd w:val="clear" w:color="auto" w:fill="FFFFFF"/>
            <w:tcMar>
              <w:top w:w="0" w:type="dxa"/>
              <w:left w:w="0" w:type="dxa"/>
              <w:bottom w:w="0" w:type="dxa"/>
              <w:right w:w="16" w:type="dxa"/>
            </w:tcMar>
            <w:hideMark/>
          </w:tcPr>
          <w:p w14:paraId="503A2706" w14:textId="77777777" w:rsidR="00000000" w:rsidRDefault="006549D2">
            <w:pPr>
              <w:jc w:val="center"/>
              <w:rPr>
                <w:rFonts w:eastAsia="Times New Roman"/>
                <w:sz w:val="20"/>
                <w:szCs w:val="20"/>
              </w:rPr>
            </w:pPr>
            <w:hyperlink w:anchor="item2managementdiscussion" w:history="1">
              <w:r>
                <w:rPr>
                  <w:rStyle w:val="a4"/>
                  <w:rFonts w:eastAsia="Times New Roman"/>
                  <w:sz w:val="20"/>
                  <w:szCs w:val="20"/>
                </w:rPr>
                <w:t>14</w:t>
              </w:r>
            </w:hyperlink>
          </w:p>
        </w:tc>
      </w:tr>
      <w:tr w:rsidR="00000000" w14:paraId="0E20ACF8" w14:textId="77777777">
        <w:tc>
          <w:tcPr>
            <w:tcW w:w="0" w:type="auto"/>
            <w:shd w:val="clear" w:color="auto" w:fill="CCEEFF"/>
            <w:tcMar>
              <w:top w:w="0" w:type="dxa"/>
              <w:left w:w="200" w:type="dxa"/>
              <w:bottom w:w="0" w:type="dxa"/>
              <w:right w:w="0" w:type="dxa"/>
            </w:tcMar>
            <w:hideMark/>
          </w:tcPr>
          <w:p w14:paraId="00E5BAA3" w14:textId="77777777" w:rsidR="00000000" w:rsidRDefault="006549D2">
            <w:pPr>
              <w:rPr>
                <w:rFonts w:eastAsia="Times New Roman"/>
                <w:sz w:val="20"/>
                <w:szCs w:val="20"/>
              </w:rPr>
            </w:pPr>
            <w:hyperlink w:anchor="item3quqntitativeandquantitative" w:history="1">
              <w:r>
                <w:rPr>
                  <w:rStyle w:val="a4"/>
                  <w:rFonts w:eastAsia="Times New Roman"/>
                  <w:sz w:val="20"/>
                  <w:szCs w:val="20"/>
                </w:rPr>
                <w:t>Item 3. Quantitative and Qualitative Disclosures Regarding Market Risk</w:t>
              </w:r>
            </w:hyperlink>
          </w:p>
        </w:tc>
        <w:tc>
          <w:tcPr>
            <w:tcW w:w="0" w:type="auto"/>
            <w:shd w:val="clear" w:color="auto" w:fill="CCEEFF"/>
            <w:tcMar>
              <w:top w:w="0" w:type="dxa"/>
              <w:left w:w="0" w:type="dxa"/>
              <w:bottom w:w="0" w:type="dxa"/>
              <w:right w:w="16" w:type="dxa"/>
            </w:tcMar>
            <w:hideMark/>
          </w:tcPr>
          <w:p w14:paraId="0835AC53" w14:textId="77777777" w:rsidR="00000000" w:rsidRDefault="006549D2">
            <w:pPr>
              <w:jc w:val="center"/>
              <w:rPr>
                <w:rFonts w:eastAsia="Times New Roman"/>
                <w:sz w:val="20"/>
                <w:szCs w:val="20"/>
              </w:rPr>
            </w:pPr>
            <w:hyperlink w:anchor="item3quqntitativeandquantitative" w:history="1">
              <w:r>
                <w:rPr>
                  <w:rStyle w:val="a4"/>
                  <w:rFonts w:eastAsia="Times New Roman"/>
                  <w:sz w:val="20"/>
                  <w:szCs w:val="20"/>
                </w:rPr>
                <w:t>17</w:t>
              </w:r>
            </w:hyperlink>
          </w:p>
        </w:tc>
      </w:tr>
      <w:tr w:rsidR="00000000" w14:paraId="2181640E" w14:textId="77777777">
        <w:tc>
          <w:tcPr>
            <w:tcW w:w="0" w:type="auto"/>
            <w:shd w:val="clear" w:color="auto" w:fill="FFFFFF"/>
            <w:tcMar>
              <w:top w:w="0" w:type="dxa"/>
              <w:left w:w="200" w:type="dxa"/>
              <w:bottom w:w="0" w:type="dxa"/>
              <w:right w:w="0" w:type="dxa"/>
            </w:tcMar>
            <w:hideMark/>
          </w:tcPr>
          <w:p w14:paraId="169869A5" w14:textId="77777777" w:rsidR="00000000" w:rsidRDefault="006549D2">
            <w:pPr>
              <w:rPr>
                <w:rFonts w:eastAsia="Times New Roman"/>
                <w:sz w:val="20"/>
                <w:szCs w:val="20"/>
              </w:rPr>
            </w:pPr>
            <w:hyperlink w:anchor="item4controlsandprocedures" w:history="1">
              <w:r>
                <w:rPr>
                  <w:rStyle w:val="a4"/>
                  <w:rFonts w:eastAsia="Times New Roman"/>
                  <w:sz w:val="20"/>
                  <w:szCs w:val="20"/>
                </w:rPr>
                <w:t>Item 4. Controls and Procedures</w:t>
              </w:r>
            </w:hyperlink>
          </w:p>
        </w:tc>
        <w:tc>
          <w:tcPr>
            <w:tcW w:w="0" w:type="auto"/>
            <w:shd w:val="clear" w:color="auto" w:fill="FFFFFF"/>
            <w:tcMar>
              <w:top w:w="0" w:type="dxa"/>
              <w:left w:w="0" w:type="dxa"/>
              <w:bottom w:w="0" w:type="dxa"/>
              <w:right w:w="16" w:type="dxa"/>
            </w:tcMar>
            <w:hideMark/>
          </w:tcPr>
          <w:p w14:paraId="70199BF8" w14:textId="77777777" w:rsidR="00000000" w:rsidRDefault="006549D2">
            <w:pPr>
              <w:jc w:val="center"/>
              <w:rPr>
                <w:rFonts w:eastAsia="Times New Roman"/>
                <w:sz w:val="20"/>
                <w:szCs w:val="20"/>
              </w:rPr>
            </w:pPr>
            <w:hyperlink w:anchor="item4controlsandprocedures" w:history="1">
              <w:r>
                <w:rPr>
                  <w:rStyle w:val="a4"/>
                  <w:rFonts w:eastAsia="Times New Roman"/>
                  <w:sz w:val="20"/>
                  <w:szCs w:val="20"/>
                </w:rPr>
                <w:t>17</w:t>
              </w:r>
            </w:hyperlink>
          </w:p>
        </w:tc>
      </w:tr>
      <w:tr w:rsidR="00000000" w14:paraId="7E3C5D8B" w14:textId="77777777">
        <w:tc>
          <w:tcPr>
            <w:tcW w:w="0" w:type="auto"/>
            <w:shd w:val="clear" w:color="auto" w:fill="CCEEFF"/>
            <w:tcMar>
              <w:top w:w="0" w:type="dxa"/>
              <w:left w:w="0" w:type="dxa"/>
              <w:bottom w:w="0" w:type="dxa"/>
              <w:right w:w="16" w:type="dxa"/>
            </w:tcMar>
            <w:hideMark/>
          </w:tcPr>
          <w:p w14:paraId="7BE83EFB" w14:textId="77777777" w:rsidR="00000000" w:rsidRDefault="006549D2">
            <w:pPr>
              <w:rPr>
                <w:rFonts w:eastAsia="Times New Roman"/>
                <w:sz w:val="20"/>
                <w:szCs w:val="20"/>
              </w:rPr>
            </w:pPr>
            <w:hyperlink w:anchor="partIIotherinformation" w:history="1">
              <w:r>
                <w:rPr>
                  <w:rStyle w:val="a4"/>
                  <w:rFonts w:eastAsia="Times New Roman"/>
                  <w:sz w:val="20"/>
                  <w:szCs w:val="20"/>
                </w:rPr>
                <w:t>Part II. Other Information</w:t>
              </w:r>
            </w:hyperlink>
          </w:p>
        </w:tc>
        <w:tc>
          <w:tcPr>
            <w:tcW w:w="0" w:type="auto"/>
            <w:shd w:val="clear" w:color="auto" w:fill="CCEEFF"/>
            <w:tcMar>
              <w:top w:w="0" w:type="dxa"/>
              <w:left w:w="0" w:type="dxa"/>
              <w:bottom w:w="0" w:type="dxa"/>
              <w:right w:w="16" w:type="dxa"/>
            </w:tcMar>
            <w:hideMark/>
          </w:tcPr>
          <w:p w14:paraId="17C5117B" w14:textId="77777777" w:rsidR="00000000" w:rsidRDefault="006549D2">
            <w:pPr>
              <w:rPr>
                <w:rFonts w:eastAsia="Times New Roman"/>
                <w:sz w:val="20"/>
                <w:szCs w:val="20"/>
              </w:rPr>
            </w:pPr>
            <w:r>
              <w:rPr>
                <w:rFonts w:eastAsia="Times New Roman"/>
                <w:sz w:val="20"/>
                <w:szCs w:val="20"/>
              </w:rPr>
              <w:t> </w:t>
            </w:r>
          </w:p>
        </w:tc>
      </w:tr>
      <w:tr w:rsidR="00000000" w14:paraId="0F3FB627" w14:textId="77777777">
        <w:tc>
          <w:tcPr>
            <w:tcW w:w="0" w:type="auto"/>
            <w:shd w:val="clear" w:color="auto" w:fill="FFFFFF"/>
            <w:tcMar>
              <w:top w:w="0" w:type="dxa"/>
              <w:left w:w="200" w:type="dxa"/>
              <w:bottom w:w="0" w:type="dxa"/>
              <w:right w:w="0" w:type="dxa"/>
            </w:tcMar>
            <w:hideMark/>
          </w:tcPr>
          <w:p w14:paraId="6CDD90BC" w14:textId="77777777" w:rsidR="00000000" w:rsidRDefault="006549D2">
            <w:pPr>
              <w:rPr>
                <w:rFonts w:eastAsia="Times New Roman"/>
                <w:sz w:val="20"/>
                <w:szCs w:val="20"/>
              </w:rPr>
            </w:pPr>
            <w:hyperlink w:anchor="item1legalproceedings" w:history="1">
              <w:r>
                <w:rPr>
                  <w:rStyle w:val="a4"/>
                  <w:rFonts w:eastAsia="Times New Roman"/>
                  <w:sz w:val="20"/>
                  <w:szCs w:val="20"/>
                </w:rPr>
                <w:t>Item 1. Legal Proceedings</w:t>
              </w:r>
            </w:hyperlink>
          </w:p>
        </w:tc>
        <w:tc>
          <w:tcPr>
            <w:tcW w:w="0" w:type="auto"/>
            <w:shd w:val="clear" w:color="auto" w:fill="FFFFFF"/>
            <w:tcMar>
              <w:top w:w="0" w:type="dxa"/>
              <w:left w:w="0" w:type="dxa"/>
              <w:bottom w:w="0" w:type="dxa"/>
              <w:right w:w="16" w:type="dxa"/>
            </w:tcMar>
            <w:hideMark/>
          </w:tcPr>
          <w:p w14:paraId="0B06643A" w14:textId="77777777" w:rsidR="00000000" w:rsidRDefault="006549D2">
            <w:pPr>
              <w:jc w:val="center"/>
              <w:rPr>
                <w:rFonts w:eastAsia="Times New Roman"/>
                <w:sz w:val="20"/>
                <w:szCs w:val="20"/>
              </w:rPr>
            </w:pPr>
            <w:hyperlink w:anchor="item1legalproceedings" w:history="1">
              <w:r>
                <w:rPr>
                  <w:rStyle w:val="a4"/>
                  <w:rFonts w:eastAsia="Times New Roman"/>
                  <w:sz w:val="20"/>
                  <w:szCs w:val="20"/>
                </w:rPr>
                <w:t>17</w:t>
              </w:r>
            </w:hyperlink>
          </w:p>
        </w:tc>
      </w:tr>
      <w:tr w:rsidR="00000000" w14:paraId="2C732FD9" w14:textId="77777777">
        <w:tc>
          <w:tcPr>
            <w:tcW w:w="0" w:type="auto"/>
            <w:shd w:val="clear" w:color="auto" w:fill="CCEEFF"/>
            <w:tcMar>
              <w:top w:w="0" w:type="dxa"/>
              <w:left w:w="200" w:type="dxa"/>
              <w:bottom w:w="0" w:type="dxa"/>
              <w:right w:w="0" w:type="dxa"/>
            </w:tcMar>
            <w:hideMark/>
          </w:tcPr>
          <w:p w14:paraId="1A3BA8AC" w14:textId="77777777" w:rsidR="00000000" w:rsidRDefault="006549D2">
            <w:pPr>
              <w:rPr>
                <w:rFonts w:eastAsia="Times New Roman"/>
                <w:sz w:val="20"/>
                <w:szCs w:val="20"/>
              </w:rPr>
            </w:pPr>
            <w:hyperlink w:anchor="item1ariskfactors" w:history="1">
              <w:r>
                <w:rPr>
                  <w:rStyle w:val="a4"/>
                  <w:rFonts w:eastAsia="Times New Roman"/>
                  <w:sz w:val="20"/>
                  <w:szCs w:val="20"/>
                </w:rPr>
                <w:t>Item 1A. Risk Factors</w:t>
              </w:r>
            </w:hyperlink>
          </w:p>
        </w:tc>
        <w:tc>
          <w:tcPr>
            <w:tcW w:w="0" w:type="auto"/>
            <w:shd w:val="clear" w:color="auto" w:fill="CCEEFF"/>
            <w:tcMar>
              <w:top w:w="0" w:type="dxa"/>
              <w:left w:w="0" w:type="dxa"/>
              <w:bottom w:w="0" w:type="dxa"/>
              <w:right w:w="16" w:type="dxa"/>
            </w:tcMar>
            <w:hideMark/>
          </w:tcPr>
          <w:p w14:paraId="7DC2924B" w14:textId="77777777" w:rsidR="00000000" w:rsidRDefault="006549D2">
            <w:pPr>
              <w:jc w:val="center"/>
              <w:rPr>
                <w:rFonts w:eastAsia="Times New Roman"/>
                <w:sz w:val="20"/>
                <w:szCs w:val="20"/>
              </w:rPr>
            </w:pPr>
            <w:hyperlink w:anchor="item1ariskfactors" w:history="1">
              <w:r>
                <w:rPr>
                  <w:rStyle w:val="a4"/>
                  <w:rFonts w:eastAsia="Times New Roman"/>
                  <w:sz w:val="20"/>
                  <w:szCs w:val="20"/>
                </w:rPr>
                <w:t>17</w:t>
              </w:r>
            </w:hyperlink>
          </w:p>
        </w:tc>
      </w:tr>
      <w:tr w:rsidR="00000000" w14:paraId="7D21C8F9" w14:textId="77777777">
        <w:tc>
          <w:tcPr>
            <w:tcW w:w="0" w:type="auto"/>
            <w:shd w:val="clear" w:color="auto" w:fill="FFFFFF"/>
            <w:tcMar>
              <w:top w:w="0" w:type="dxa"/>
              <w:left w:w="200" w:type="dxa"/>
              <w:bottom w:w="0" w:type="dxa"/>
              <w:right w:w="0" w:type="dxa"/>
            </w:tcMar>
            <w:hideMark/>
          </w:tcPr>
          <w:p w14:paraId="59FF6130" w14:textId="77777777" w:rsidR="00000000" w:rsidRDefault="006549D2">
            <w:pPr>
              <w:rPr>
                <w:rFonts w:eastAsia="Times New Roman"/>
                <w:sz w:val="20"/>
                <w:szCs w:val="20"/>
              </w:rPr>
            </w:pPr>
            <w:hyperlink w:anchor="item2unregisteredsales" w:history="1">
              <w:r>
                <w:rPr>
                  <w:rStyle w:val="a4"/>
                  <w:rFonts w:eastAsia="Times New Roman"/>
                  <w:sz w:val="20"/>
                  <w:szCs w:val="20"/>
                </w:rPr>
                <w:t>Item 2. Unregistered Sales of E</w:t>
              </w:r>
              <w:r>
                <w:rPr>
                  <w:rStyle w:val="a4"/>
                  <w:rFonts w:eastAsia="Times New Roman"/>
                  <w:sz w:val="20"/>
                  <w:szCs w:val="20"/>
                </w:rPr>
                <w:t>quity Securities and Use of Proceeds</w:t>
              </w:r>
            </w:hyperlink>
          </w:p>
        </w:tc>
        <w:tc>
          <w:tcPr>
            <w:tcW w:w="0" w:type="auto"/>
            <w:shd w:val="clear" w:color="auto" w:fill="FFFFFF"/>
            <w:tcMar>
              <w:top w:w="0" w:type="dxa"/>
              <w:left w:w="0" w:type="dxa"/>
              <w:bottom w:w="0" w:type="dxa"/>
              <w:right w:w="16" w:type="dxa"/>
            </w:tcMar>
            <w:hideMark/>
          </w:tcPr>
          <w:p w14:paraId="3540419C" w14:textId="77777777" w:rsidR="00000000" w:rsidRDefault="006549D2">
            <w:pPr>
              <w:jc w:val="center"/>
              <w:rPr>
                <w:rFonts w:eastAsia="Times New Roman"/>
                <w:sz w:val="20"/>
                <w:szCs w:val="20"/>
              </w:rPr>
            </w:pPr>
            <w:hyperlink w:anchor="item2unregisteredsales" w:history="1">
              <w:r>
                <w:rPr>
                  <w:rStyle w:val="a4"/>
                  <w:rFonts w:eastAsia="Times New Roman"/>
                  <w:sz w:val="20"/>
                  <w:szCs w:val="20"/>
                </w:rPr>
                <w:t>18</w:t>
              </w:r>
            </w:hyperlink>
          </w:p>
        </w:tc>
      </w:tr>
      <w:tr w:rsidR="00000000" w14:paraId="7D5901D2" w14:textId="77777777">
        <w:tc>
          <w:tcPr>
            <w:tcW w:w="0" w:type="auto"/>
            <w:shd w:val="clear" w:color="auto" w:fill="CCEEFF"/>
            <w:tcMar>
              <w:top w:w="0" w:type="dxa"/>
              <w:left w:w="200" w:type="dxa"/>
              <w:bottom w:w="0" w:type="dxa"/>
              <w:right w:w="0" w:type="dxa"/>
            </w:tcMar>
            <w:hideMark/>
          </w:tcPr>
          <w:p w14:paraId="1427E75B" w14:textId="77777777" w:rsidR="00000000" w:rsidRDefault="006549D2">
            <w:pPr>
              <w:rPr>
                <w:rFonts w:eastAsia="Times New Roman"/>
                <w:sz w:val="20"/>
                <w:szCs w:val="20"/>
              </w:rPr>
            </w:pPr>
            <w:hyperlink w:anchor="item3defaultsupon" w:history="1">
              <w:r>
                <w:rPr>
                  <w:rStyle w:val="a4"/>
                  <w:rFonts w:eastAsia="Times New Roman"/>
                  <w:sz w:val="20"/>
                  <w:szCs w:val="20"/>
                </w:rPr>
                <w:t>Item 3. Defaults Upon Senior Securities</w:t>
              </w:r>
            </w:hyperlink>
          </w:p>
        </w:tc>
        <w:tc>
          <w:tcPr>
            <w:tcW w:w="0" w:type="auto"/>
            <w:shd w:val="clear" w:color="auto" w:fill="CCEEFF"/>
            <w:tcMar>
              <w:top w:w="0" w:type="dxa"/>
              <w:left w:w="0" w:type="dxa"/>
              <w:bottom w:w="0" w:type="dxa"/>
              <w:right w:w="16" w:type="dxa"/>
            </w:tcMar>
            <w:hideMark/>
          </w:tcPr>
          <w:p w14:paraId="59E33AF0" w14:textId="77777777" w:rsidR="00000000" w:rsidRDefault="006549D2">
            <w:pPr>
              <w:jc w:val="center"/>
              <w:rPr>
                <w:rFonts w:eastAsia="Times New Roman"/>
                <w:sz w:val="20"/>
                <w:szCs w:val="20"/>
              </w:rPr>
            </w:pPr>
            <w:hyperlink w:anchor="item3defaultsupon" w:history="1">
              <w:r>
                <w:rPr>
                  <w:rStyle w:val="a4"/>
                  <w:rFonts w:eastAsia="Times New Roman"/>
                  <w:sz w:val="20"/>
                  <w:szCs w:val="20"/>
                </w:rPr>
                <w:t>18</w:t>
              </w:r>
            </w:hyperlink>
          </w:p>
        </w:tc>
      </w:tr>
      <w:tr w:rsidR="00000000" w14:paraId="7893C5F1" w14:textId="77777777">
        <w:tc>
          <w:tcPr>
            <w:tcW w:w="0" w:type="auto"/>
            <w:shd w:val="clear" w:color="auto" w:fill="FFFFFF"/>
            <w:tcMar>
              <w:top w:w="0" w:type="dxa"/>
              <w:left w:w="200" w:type="dxa"/>
              <w:bottom w:w="0" w:type="dxa"/>
              <w:right w:w="0" w:type="dxa"/>
            </w:tcMar>
            <w:hideMark/>
          </w:tcPr>
          <w:p w14:paraId="5AA7C010" w14:textId="77777777" w:rsidR="00000000" w:rsidRDefault="006549D2">
            <w:pPr>
              <w:rPr>
                <w:rFonts w:eastAsia="Times New Roman"/>
                <w:sz w:val="20"/>
                <w:szCs w:val="20"/>
              </w:rPr>
            </w:pPr>
            <w:hyperlink w:anchor="item4minesafety" w:history="1">
              <w:r>
                <w:rPr>
                  <w:rStyle w:val="a4"/>
                  <w:rFonts w:eastAsia="Times New Roman"/>
                  <w:sz w:val="20"/>
                  <w:szCs w:val="20"/>
                </w:rPr>
                <w:t>Item 4. Mine Safety Disclosures</w:t>
              </w:r>
            </w:hyperlink>
          </w:p>
        </w:tc>
        <w:tc>
          <w:tcPr>
            <w:tcW w:w="0" w:type="auto"/>
            <w:shd w:val="clear" w:color="auto" w:fill="FFFFFF"/>
            <w:tcMar>
              <w:top w:w="0" w:type="dxa"/>
              <w:left w:w="0" w:type="dxa"/>
              <w:bottom w:w="0" w:type="dxa"/>
              <w:right w:w="16" w:type="dxa"/>
            </w:tcMar>
            <w:hideMark/>
          </w:tcPr>
          <w:p w14:paraId="707FF981" w14:textId="77777777" w:rsidR="00000000" w:rsidRDefault="006549D2">
            <w:pPr>
              <w:jc w:val="center"/>
              <w:rPr>
                <w:rFonts w:eastAsia="Times New Roman"/>
                <w:sz w:val="20"/>
                <w:szCs w:val="20"/>
              </w:rPr>
            </w:pPr>
            <w:hyperlink w:anchor="item4minesafety" w:history="1">
              <w:r>
                <w:rPr>
                  <w:rStyle w:val="a4"/>
                  <w:rFonts w:eastAsia="Times New Roman"/>
                  <w:sz w:val="20"/>
                  <w:szCs w:val="20"/>
                </w:rPr>
                <w:t>18</w:t>
              </w:r>
            </w:hyperlink>
          </w:p>
        </w:tc>
      </w:tr>
      <w:tr w:rsidR="00000000" w14:paraId="498E1AA7" w14:textId="77777777">
        <w:tc>
          <w:tcPr>
            <w:tcW w:w="0" w:type="auto"/>
            <w:shd w:val="clear" w:color="auto" w:fill="CCEEFF"/>
            <w:tcMar>
              <w:top w:w="0" w:type="dxa"/>
              <w:left w:w="200" w:type="dxa"/>
              <w:bottom w:w="0" w:type="dxa"/>
              <w:right w:w="0" w:type="dxa"/>
            </w:tcMar>
            <w:hideMark/>
          </w:tcPr>
          <w:p w14:paraId="581DA6F6" w14:textId="77777777" w:rsidR="00000000" w:rsidRDefault="006549D2">
            <w:pPr>
              <w:rPr>
                <w:rFonts w:eastAsia="Times New Roman"/>
                <w:sz w:val="20"/>
                <w:szCs w:val="20"/>
              </w:rPr>
            </w:pPr>
            <w:hyperlink w:anchor="item5otherinformation" w:history="1">
              <w:r>
                <w:rPr>
                  <w:rStyle w:val="a4"/>
                  <w:rFonts w:eastAsia="Times New Roman"/>
                  <w:sz w:val="20"/>
                  <w:szCs w:val="20"/>
                </w:rPr>
                <w:t>Item 5. Other Information</w:t>
              </w:r>
            </w:hyperlink>
          </w:p>
        </w:tc>
        <w:tc>
          <w:tcPr>
            <w:tcW w:w="0" w:type="auto"/>
            <w:shd w:val="clear" w:color="auto" w:fill="CCEEFF"/>
            <w:tcMar>
              <w:top w:w="0" w:type="dxa"/>
              <w:left w:w="0" w:type="dxa"/>
              <w:bottom w:w="0" w:type="dxa"/>
              <w:right w:w="16" w:type="dxa"/>
            </w:tcMar>
            <w:hideMark/>
          </w:tcPr>
          <w:p w14:paraId="049B0150" w14:textId="77777777" w:rsidR="00000000" w:rsidRDefault="006549D2">
            <w:pPr>
              <w:jc w:val="center"/>
              <w:rPr>
                <w:rFonts w:eastAsia="Times New Roman"/>
                <w:sz w:val="20"/>
                <w:szCs w:val="20"/>
              </w:rPr>
            </w:pPr>
            <w:hyperlink w:anchor="item5otherinformation" w:history="1">
              <w:r>
                <w:rPr>
                  <w:rStyle w:val="a4"/>
                  <w:rFonts w:eastAsia="Times New Roman"/>
                  <w:sz w:val="20"/>
                  <w:szCs w:val="20"/>
                </w:rPr>
                <w:t>18</w:t>
              </w:r>
            </w:hyperlink>
          </w:p>
        </w:tc>
      </w:tr>
      <w:tr w:rsidR="00000000" w14:paraId="227022C8" w14:textId="77777777">
        <w:tc>
          <w:tcPr>
            <w:tcW w:w="0" w:type="auto"/>
            <w:shd w:val="clear" w:color="auto" w:fill="FFFFFF"/>
            <w:tcMar>
              <w:top w:w="0" w:type="dxa"/>
              <w:left w:w="200" w:type="dxa"/>
              <w:bottom w:w="0" w:type="dxa"/>
              <w:right w:w="0" w:type="dxa"/>
            </w:tcMar>
            <w:hideMark/>
          </w:tcPr>
          <w:p w14:paraId="6BA1422C" w14:textId="77777777" w:rsidR="00000000" w:rsidRDefault="006549D2">
            <w:pPr>
              <w:rPr>
                <w:rFonts w:eastAsia="Times New Roman"/>
                <w:sz w:val="20"/>
                <w:szCs w:val="20"/>
              </w:rPr>
            </w:pPr>
            <w:hyperlink w:anchor="item6" w:history="1">
              <w:r>
                <w:rPr>
                  <w:rStyle w:val="a4"/>
                  <w:rFonts w:eastAsia="Times New Roman"/>
                  <w:sz w:val="20"/>
                  <w:szCs w:val="20"/>
                </w:rPr>
                <w:t>Item 6. Exhibits</w:t>
              </w:r>
            </w:hyperlink>
          </w:p>
        </w:tc>
        <w:tc>
          <w:tcPr>
            <w:tcW w:w="0" w:type="auto"/>
            <w:shd w:val="clear" w:color="auto" w:fill="FFFFFF"/>
            <w:tcMar>
              <w:top w:w="0" w:type="dxa"/>
              <w:left w:w="0" w:type="dxa"/>
              <w:bottom w:w="0" w:type="dxa"/>
              <w:right w:w="16" w:type="dxa"/>
            </w:tcMar>
            <w:hideMark/>
          </w:tcPr>
          <w:p w14:paraId="24747318" w14:textId="77777777" w:rsidR="00000000" w:rsidRDefault="006549D2">
            <w:pPr>
              <w:jc w:val="center"/>
              <w:rPr>
                <w:rFonts w:eastAsia="Times New Roman"/>
                <w:sz w:val="20"/>
                <w:szCs w:val="20"/>
              </w:rPr>
            </w:pPr>
            <w:hyperlink w:anchor="item6" w:history="1">
              <w:r>
                <w:rPr>
                  <w:rStyle w:val="a4"/>
                  <w:rFonts w:eastAsia="Times New Roman"/>
                  <w:sz w:val="20"/>
                  <w:szCs w:val="20"/>
                </w:rPr>
                <w:t>19</w:t>
              </w:r>
            </w:hyperlink>
          </w:p>
        </w:tc>
      </w:tr>
      <w:tr w:rsidR="00000000" w14:paraId="6993D5C0" w14:textId="77777777">
        <w:tc>
          <w:tcPr>
            <w:tcW w:w="0" w:type="auto"/>
            <w:shd w:val="clear" w:color="auto" w:fill="CCEEFF"/>
            <w:tcMar>
              <w:top w:w="0" w:type="dxa"/>
              <w:left w:w="0" w:type="dxa"/>
              <w:bottom w:w="0" w:type="dxa"/>
              <w:right w:w="16" w:type="dxa"/>
            </w:tcMar>
            <w:hideMark/>
          </w:tcPr>
          <w:p w14:paraId="42F31BF0" w14:textId="77777777" w:rsidR="00000000" w:rsidRDefault="006549D2">
            <w:pPr>
              <w:rPr>
                <w:rFonts w:eastAsia="Times New Roman"/>
                <w:sz w:val="20"/>
                <w:szCs w:val="20"/>
              </w:rPr>
            </w:pPr>
            <w:hyperlink w:anchor="signatures" w:history="1">
              <w:r>
                <w:rPr>
                  <w:rStyle w:val="a4"/>
                  <w:rFonts w:eastAsia="Times New Roman"/>
                  <w:sz w:val="20"/>
                  <w:szCs w:val="20"/>
                </w:rPr>
                <w:t>Part III. Signatures</w:t>
              </w:r>
            </w:hyperlink>
          </w:p>
        </w:tc>
        <w:tc>
          <w:tcPr>
            <w:tcW w:w="0" w:type="auto"/>
            <w:shd w:val="clear" w:color="auto" w:fill="CCEEFF"/>
            <w:tcMar>
              <w:top w:w="0" w:type="dxa"/>
              <w:left w:w="0" w:type="dxa"/>
              <w:bottom w:w="0" w:type="dxa"/>
              <w:right w:w="16" w:type="dxa"/>
            </w:tcMar>
            <w:hideMark/>
          </w:tcPr>
          <w:p w14:paraId="03839265" w14:textId="77777777" w:rsidR="00000000" w:rsidRDefault="006549D2">
            <w:pPr>
              <w:jc w:val="center"/>
              <w:rPr>
                <w:rFonts w:eastAsia="Times New Roman"/>
                <w:sz w:val="20"/>
                <w:szCs w:val="20"/>
              </w:rPr>
            </w:pPr>
            <w:hyperlink w:anchor="signatures" w:history="1">
              <w:r>
                <w:rPr>
                  <w:rStyle w:val="a4"/>
                  <w:rFonts w:eastAsia="Times New Roman"/>
                  <w:sz w:val="20"/>
                  <w:szCs w:val="20"/>
                </w:rPr>
                <w:t>20</w:t>
              </w:r>
            </w:hyperlink>
          </w:p>
        </w:tc>
      </w:tr>
    </w:tbl>
    <w:p w14:paraId="677C1544" w14:textId="77777777" w:rsidR="00000000" w:rsidRDefault="006549D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C95BCD2" w14:textId="77777777">
        <w:trPr>
          <w:divId w:val="1878812197"/>
        </w:trPr>
        <w:tc>
          <w:tcPr>
            <w:tcW w:w="1650" w:type="pct"/>
            <w:hideMark/>
          </w:tcPr>
          <w:p w14:paraId="1E48CED6" w14:textId="77777777" w:rsidR="00000000" w:rsidRDefault="006549D2">
            <w:pPr>
              <w:rPr>
                <w:rFonts w:eastAsia="Times New Roman"/>
                <w:sz w:val="20"/>
                <w:szCs w:val="20"/>
              </w:rPr>
            </w:pPr>
            <w:r>
              <w:rPr>
                <w:rFonts w:eastAsia="Times New Roman"/>
                <w:sz w:val="20"/>
                <w:szCs w:val="20"/>
              </w:rPr>
              <w:t> </w:t>
            </w:r>
          </w:p>
        </w:tc>
        <w:tc>
          <w:tcPr>
            <w:tcW w:w="1700" w:type="pct"/>
            <w:hideMark/>
          </w:tcPr>
          <w:p w14:paraId="6A33A841" w14:textId="77777777" w:rsidR="00000000" w:rsidRDefault="006549D2">
            <w:pPr>
              <w:rPr>
                <w:rFonts w:eastAsia="Times New Roman"/>
                <w:sz w:val="20"/>
                <w:szCs w:val="20"/>
              </w:rPr>
            </w:pPr>
          </w:p>
        </w:tc>
        <w:tc>
          <w:tcPr>
            <w:tcW w:w="1650" w:type="pct"/>
            <w:hideMark/>
          </w:tcPr>
          <w:p w14:paraId="5ACAAE83" w14:textId="77777777" w:rsidR="00000000" w:rsidRDefault="006549D2">
            <w:pPr>
              <w:jc w:val="right"/>
              <w:rPr>
                <w:rFonts w:eastAsia="Times New Roman"/>
                <w:sz w:val="20"/>
                <w:szCs w:val="20"/>
              </w:rPr>
            </w:pPr>
            <w:r>
              <w:rPr>
                <w:rFonts w:eastAsia="Times New Roman"/>
                <w:sz w:val="20"/>
                <w:szCs w:val="20"/>
              </w:rPr>
              <w:t> </w:t>
            </w:r>
          </w:p>
        </w:tc>
      </w:tr>
    </w:tbl>
    <w:p w14:paraId="077986FB" w14:textId="77777777" w:rsidR="00000000" w:rsidRDefault="006549D2">
      <w:pPr>
        <w:pStyle w:val="a3"/>
        <w:pageBreakBefore/>
        <w:spacing w:before="0" w:beforeAutospacing="0" w:after="0" w:afterAutospacing="0"/>
        <w:divId w:val="1358921251"/>
        <w:rPr>
          <w:sz w:val="20"/>
          <w:szCs w:val="20"/>
        </w:rPr>
      </w:pPr>
      <w:r>
        <w:rPr>
          <w:sz w:val="20"/>
          <w:szCs w:val="20"/>
        </w:rPr>
        <w:lastRenderedPageBreak/>
        <w:t> </w:t>
      </w:r>
    </w:p>
    <w:p w14:paraId="5C3BF19F" w14:textId="77777777" w:rsidR="00000000" w:rsidRDefault="006549D2">
      <w:pPr>
        <w:pStyle w:val="a3"/>
        <w:spacing w:before="0" w:beforeAutospacing="0" w:after="0" w:afterAutospacing="0"/>
        <w:rPr>
          <w:sz w:val="20"/>
          <w:szCs w:val="20"/>
        </w:rPr>
      </w:pPr>
      <w:r>
        <w:rPr>
          <w:sz w:val="20"/>
          <w:szCs w:val="20"/>
        </w:rPr>
        <w:t> </w:t>
      </w:r>
    </w:p>
    <w:p w14:paraId="02B14193" w14:textId="77777777" w:rsidR="00000000" w:rsidRDefault="006549D2">
      <w:pPr>
        <w:pStyle w:val="a3"/>
        <w:spacing w:before="0" w:beforeAutospacing="0" w:after="0" w:afterAutospacing="0"/>
        <w:rPr>
          <w:sz w:val="20"/>
          <w:szCs w:val="20"/>
        </w:rPr>
      </w:pPr>
      <w:bookmarkStart w:id="0" w:name="PartI"/>
      <w:bookmarkEnd w:id="0"/>
      <w:r>
        <w:rPr>
          <w:b/>
          <w:bCs/>
          <w:sz w:val="20"/>
          <w:szCs w:val="20"/>
        </w:rPr>
        <w:t>PART I - FINANCIAL INFORMATION</w:t>
      </w:r>
    </w:p>
    <w:p w14:paraId="652D4B97" w14:textId="77777777" w:rsidR="00000000" w:rsidRDefault="006549D2">
      <w:pPr>
        <w:pStyle w:val="a3"/>
        <w:spacing w:before="0" w:beforeAutospacing="0" w:after="0" w:afterAutospacing="0"/>
        <w:rPr>
          <w:sz w:val="20"/>
          <w:szCs w:val="20"/>
        </w:rPr>
      </w:pPr>
      <w:r>
        <w:rPr>
          <w:sz w:val="20"/>
          <w:szCs w:val="20"/>
        </w:rPr>
        <w:t> </w:t>
      </w:r>
    </w:p>
    <w:p w14:paraId="15B9B9A0" w14:textId="77777777" w:rsidR="00000000" w:rsidRDefault="006549D2">
      <w:pPr>
        <w:pStyle w:val="a3"/>
        <w:spacing w:before="0" w:beforeAutospacing="0" w:after="0" w:afterAutospacing="0"/>
        <w:rPr>
          <w:sz w:val="20"/>
          <w:szCs w:val="20"/>
        </w:rPr>
      </w:pPr>
      <w:bookmarkStart w:id="1" w:name="item1"/>
      <w:bookmarkEnd w:id="1"/>
      <w:r>
        <w:rPr>
          <w:b/>
          <w:bCs/>
          <w:sz w:val="20"/>
          <w:szCs w:val="20"/>
        </w:rPr>
        <w:t>Item 1. Interim Financial Statements.</w:t>
      </w:r>
    </w:p>
    <w:p w14:paraId="1112EA79" w14:textId="77777777" w:rsidR="00000000" w:rsidRDefault="006549D2">
      <w:pPr>
        <w:pStyle w:val="a3"/>
        <w:spacing w:before="0" w:beforeAutospacing="0" w:after="0" w:afterAutospacing="0"/>
        <w:rPr>
          <w:sz w:val="20"/>
          <w:szCs w:val="20"/>
        </w:rPr>
      </w:pPr>
      <w:r>
        <w:rPr>
          <w:sz w:val="20"/>
          <w:szCs w:val="20"/>
        </w:rPr>
        <w:t> </w:t>
      </w:r>
    </w:p>
    <w:p w14:paraId="1DB9D20A" w14:textId="77777777" w:rsidR="00000000" w:rsidRDefault="006549D2">
      <w:pPr>
        <w:pStyle w:val="a3"/>
        <w:spacing w:before="0" w:beforeAutospacing="0" w:after="0" w:afterAutospacing="0"/>
        <w:jc w:val="center"/>
        <w:rPr>
          <w:sz w:val="20"/>
          <w:szCs w:val="20"/>
        </w:rPr>
      </w:pPr>
      <w:r>
        <w:rPr>
          <w:b/>
          <w:bCs/>
          <w:sz w:val="20"/>
          <w:szCs w:val="20"/>
        </w:rPr>
        <w:t>CHURCHILL CAPITAL CORP III</w:t>
      </w:r>
    </w:p>
    <w:p w14:paraId="7CBB984E" w14:textId="77777777" w:rsidR="00000000" w:rsidRDefault="006549D2">
      <w:pPr>
        <w:pStyle w:val="a3"/>
        <w:spacing w:before="0" w:beforeAutospacing="0" w:after="0" w:afterAutospacing="0"/>
        <w:jc w:val="center"/>
        <w:rPr>
          <w:sz w:val="20"/>
          <w:szCs w:val="20"/>
        </w:rPr>
      </w:pPr>
      <w:bookmarkStart w:id="2" w:name="condensedbalancesheet"/>
      <w:bookmarkEnd w:id="2"/>
      <w:r>
        <w:rPr>
          <w:b/>
          <w:bCs/>
          <w:sz w:val="20"/>
          <w:szCs w:val="20"/>
        </w:rPr>
        <w:t>CONDENSED BALANCE SHEETS</w:t>
      </w:r>
    </w:p>
    <w:p w14:paraId="43CEDDE6" w14:textId="77777777" w:rsidR="00000000" w:rsidRDefault="006549D2">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918"/>
        <w:gridCol w:w="50"/>
        <w:gridCol w:w="100"/>
        <w:gridCol w:w="1150"/>
        <w:gridCol w:w="50"/>
        <w:gridCol w:w="50"/>
        <w:gridCol w:w="101"/>
        <w:gridCol w:w="820"/>
        <w:gridCol w:w="67"/>
      </w:tblGrid>
      <w:tr w:rsidR="00000000" w14:paraId="3091D6DC" w14:textId="77777777">
        <w:tc>
          <w:tcPr>
            <w:tcW w:w="0" w:type="auto"/>
            <w:vAlign w:val="bottom"/>
            <w:hideMark/>
          </w:tcPr>
          <w:p w14:paraId="72239A3E" w14:textId="77777777" w:rsidR="00000000" w:rsidRDefault="006549D2">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5AE1269F" w14:textId="77777777" w:rsidR="00000000" w:rsidRDefault="006549D2">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0A938366" w14:textId="77777777" w:rsidR="00000000" w:rsidRDefault="006549D2">
            <w:pPr>
              <w:pStyle w:val="a3"/>
              <w:spacing w:before="0" w:beforeAutospacing="0" w:after="0" w:afterAutospacing="0"/>
              <w:ind w:right="72"/>
              <w:jc w:val="center"/>
              <w:rPr>
                <w:sz w:val="20"/>
                <w:szCs w:val="20"/>
              </w:rPr>
            </w:pPr>
            <w:r>
              <w:rPr>
                <w:b/>
                <w:bCs/>
                <w:sz w:val="20"/>
                <w:szCs w:val="20"/>
              </w:rPr>
              <w:t>June 30,</w:t>
            </w:r>
          </w:p>
          <w:p w14:paraId="5824872B" w14:textId="77777777" w:rsidR="00000000" w:rsidRDefault="006549D2">
            <w:pPr>
              <w:pStyle w:val="a3"/>
              <w:spacing w:before="0" w:beforeAutospacing="0" w:after="0" w:afterAutospacing="0"/>
              <w:ind w:right="72"/>
              <w:jc w:val="center"/>
              <w:rPr>
                <w:sz w:val="20"/>
                <w:szCs w:val="20"/>
              </w:rPr>
            </w:pPr>
            <w:r>
              <w:rPr>
                <w:b/>
                <w:bCs/>
                <w:sz w:val="20"/>
                <w:szCs w:val="20"/>
              </w:rPr>
              <w:t>2020</w:t>
            </w:r>
          </w:p>
        </w:tc>
        <w:tc>
          <w:tcPr>
            <w:tcW w:w="0" w:type="auto"/>
            <w:tcMar>
              <w:top w:w="0" w:type="dxa"/>
              <w:left w:w="0" w:type="dxa"/>
              <w:bottom w:w="20" w:type="dxa"/>
              <w:right w:w="0" w:type="dxa"/>
            </w:tcMar>
            <w:vAlign w:val="bottom"/>
            <w:hideMark/>
          </w:tcPr>
          <w:p w14:paraId="0C624F6C" w14:textId="77777777" w:rsidR="00000000" w:rsidRDefault="006549D2">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328D8AB2" w14:textId="77777777" w:rsidR="00000000" w:rsidRDefault="006549D2">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7B0EABCC" w14:textId="77777777" w:rsidR="00000000" w:rsidRDefault="006549D2">
            <w:pPr>
              <w:pStyle w:val="a3"/>
              <w:spacing w:before="0" w:beforeAutospacing="0" w:after="0" w:afterAutospacing="0"/>
              <w:ind w:right="36"/>
              <w:jc w:val="center"/>
              <w:rPr>
                <w:sz w:val="20"/>
                <w:szCs w:val="20"/>
              </w:rPr>
            </w:pPr>
            <w:r>
              <w:rPr>
                <w:b/>
                <w:bCs/>
                <w:sz w:val="20"/>
                <w:szCs w:val="20"/>
              </w:rPr>
              <w:t>December 31,</w:t>
            </w:r>
          </w:p>
          <w:p w14:paraId="7CE1A8D7" w14:textId="77777777" w:rsidR="00000000" w:rsidRDefault="006549D2">
            <w:pPr>
              <w:pStyle w:val="a3"/>
              <w:spacing w:before="0" w:beforeAutospacing="0" w:after="0" w:afterAutospacing="0"/>
              <w:ind w:right="36"/>
              <w:jc w:val="center"/>
              <w:rPr>
                <w:sz w:val="20"/>
                <w:szCs w:val="20"/>
              </w:rPr>
            </w:pPr>
            <w:r>
              <w:rPr>
                <w:b/>
                <w:bCs/>
                <w:sz w:val="20"/>
                <w:szCs w:val="20"/>
              </w:rPr>
              <w:t>2019</w:t>
            </w:r>
          </w:p>
        </w:tc>
        <w:tc>
          <w:tcPr>
            <w:tcW w:w="0" w:type="auto"/>
            <w:tcMar>
              <w:top w:w="0" w:type="dxa"/>
              <w:left w:w="0" w:type="dxa"/>
              <w:bottom w:w="20" w:type="dxa"/>
              <w:right w:w="0" w:type="dxa"/>
            </w:tcMar>
            <w:vAlign w:val="bottom"/>
            <w:hideMark/>
          </w:tcPr>
          <w:p w14:paraId="78174A7F" w14:textId="77777777" w:rsidR="00000000" w:rsidRDefault="006549D2">
            <w:pPr>
              <w:rPr>
                <w:rFonts w:eastAsia="Times New Roman"/>
                <w:sz w:val="20"/>
                <w:szCs w:val="20"/>
              </w:rPr>
            </w:pPr>
            <w:r>
              <w:rPr>
                <w:rFonts w:eastAsia="Times New Roman"/>
                <w:sz w:val="20"/>
                <w:szCs w:val="20"/>
              </w:rPr>
              <w:t> </w:t>
            </w:r>
          </w:p>
        </w:tc>
      </w:tr>
      <w:tr w:rsidR="00000000" w14:paraId="257DD6A1" w14:textId="77777777">
        <w:tc>
          <w:tcPr>
            <w:tcW w:w="0" w:type="auto"/>
            <w:vAlign w:val="bottom"/>
            <w:hideMark/>
          </w:tcPr>
          <w:p w14:paraId="65EC7EFA" w14:textId="77777777" w:rsidR="00000000" w:rsidRDefault="006549D2">
            <w:pPr>
              <w:rPr>
                <w:rFonts w:eastAsia="Times New Roman"/>
                <w:sz w:val="20"/>
                <w:szCs w:val="20"/>
              </w:rPr>
            </w:pPr>
            <w:r>
              <w:rPr>
                <w:rFonts w:eastAsia="Times New Roman"/>
                <w:sz w:val="20"/>
                <w:szCs w:val="20"/>
              </w:rPr>
              <w:t> </w:t>
            </w:r>
          </w:p>
        </w:tc>
        <w:tc>
          <w:tcPr>
            <w:tcW w:w="0" w:type="auto"/>
            <w:vAlign w:val="bottom"/>
            <w:hideMark/>
          </w:tcPr>
          <w:p w14:paraId="3CD01A7B" w14:textId="77777777" w:rsidR="00000000" w:rsidRDefault="006549D2">
            <w:pPr>
              <w:rPr>
                <w:rFonts w:eastAsia="Times New Roman"/>
                <w:sz w:val="20"/>
                <w:szCs w:val="20"/>
              </w:rPr>
            </w:pPr>
            <w:r>
              <w:rPr>
                <w:rFonts w:eastAsia="Times New Roman"/>
                <w:sz w:val="20"/>
                <w:szCs w:val="20"/>
              </w:rPr>
              <w:t> </w:t>
            </w:r>
          </w:p>
        </w:tc>
        <w:tc>
          <w:tcPr>
            <w:tcW w:w="0" w:type="auto"/>
            <w:gridSpan w:val="2"/>
            <w:vAlign w:val="bottom"/>
            <w:hideMark/>
          </w:tcPr>
          <w:p w14:paraId="1694BC79" w14:textId="77777777" w:rsidR="00000000" w:rsidRDefault="006549D2">
            <w:pPr>
              <w:jc w:val="center"/>
              <w:rPr>
                <w:rFonts w:eastAsia="Times New Roman"/>
                <w:sz w:val="20"/>
                <w:szCs w:val="20"/>
              </w:rPr>
            </w:pPr>
            <w:r>
              <w:rPr>
                <w:rFonts w:eastAsia="Times New Roman"/>
                <w:sz w:val="20"/>
                <w:szCs w:val="20"/>
              </w:rPr>
              <w:t>(unaudited)</w:t>
            </w:r>
          </w:p>
        </w:tc>
        <w:tc>
          <w:tcPr>
            <w:tcW w:w="0" w:type="auto"/>
            <w:vAlign w:val="bottom"/>
            <w:hideMark/>
          </w:tcPr>
          <w:p w14:paraId="630F34FD" w14:textId="77777777" w:rsidR="00000000" w:rsidRDefault="006549D2">
            <w:pPr>
              <w:rPr>
                <w:rFonts w:eastAsia="Times New Roman"/>
                <w:sz w:val="20"/>
                <w:szCs w:val="20"/>
              </w:rPr>
            </w:pPr>
            <w:r>
              <w:rPr>
                <w:rFonts w:eastAsia="Times New Roman"/>
                <w:sz w:val="20"/>
                <w:szCs w:val="20"/>
              </w:rPr>
              <w:t> </w:t>
            </w:r>
          </w:p>
        </w:tc>
        <w:tc>
          <w:tcPr>
            <w:tcW w:w="0" w:type="auto"/>
            <w:vAlign w:val="bottom"/>
            <w:hideMark/>
          </w:tcPr>
          <w:p w14:paraId="5970AF3E" w14:textId="77777777" w:rsidR="00000000" w:rsidRDefault="006549D2">
            <w:pPr>
              <w:rPr>
                <w:rFonts w:eastAsia="Times New Roman"/>
                <w:sz w:val="20"/>
                <w:szCs w:val="20"/>
              </w:rPr>
            </w:pPr>
            <w:r>
              <w:rPr>
                <w:rFonts w:eastAsia="Times New Roman"/>
                <w:sz w:val="20"/>
                <w:szCs w:val="20"/>
              </w:rPr>
              <w:t> </w:t>
            </w:r>
          </w:p>
        </w:tc>
        <w:tc>
          <w:tcPr>
            <w:tcW w:w="0" w:type="auto"/>
            <w:gridSpan w:val="2"/>
            <w:vAlign w:val="bottom"/>
            <w:hideMark/>
          </w:tcPr>
          <w:p w14:paraId="52FFB57D" w14:textId="77777777" w:rsidR="00000000" w:rsidRDefault="006549D2">
            <w:pPr>
              <w:jc w:val="right"/>
              <w:rPr>
                <w:rFonts w:eastAsia="Times New Roman"/>
                <w:sz w:val="20"/>
                <w:szCs w:val="20"/>
              </w:rPr>
            </w:pPr>
            <w:r>
              <w:rPr>
                <w:rFonts w:eastAsia="Times New Roman"/>
                <w:sz w:val="20"/>
                <w:szCs w:val="20"/>
              </w:rPr>
              <w:t> </w:t>
            </w:r>
          </w:p>
        </w:tc>
        <w:tc>
          <w:tcPr>
            <w:tcW w:w="0" w:type="auto"/>
            <w:vAlign w:val="bottom"/>
            <w:hideMark/>
          </w:tcPr>
          <w:p w14:paraId="36E25FB1" w14:textId="77777777" w:rsidR="00000000" w:rsidRDefault="006549D2">
            <w:pPr>
              <w:rPr>
                <w:rFonts w:eastAsia="Times New Roman"/>
                <w:sz w:val="20"/>
                <w:szCs w:val="20"/>
              </w:rPr>
            </w:pPr>
            <w:r>
              <w:rPr>
                <w:rFonts w:eastAsia="Times New Roman"/>
                <w:sz w:val="20"/>
                <w:szCs w:val="20"/>
              </w:rPr>
              <w:t> </w:t>
            </w:r>
          </w:p>
        </w:tc>
      </w:tr>
      <w:tr w:rsidR="00000000" w14:paraId="1A632484" w14:textId="77777777">
        <w:tc>
          <w:tcPr>
            <w:tcW w:w="0" w:type="auto"/>
            <w:shd w:val="clear" w:color="auto" w:fill="CCEEFF"/>
            <w:vAlign w:val="bottom"/>
            <w:hideMark/>
          </w:tcPr>
          <w:p w14:paraId="679FA358" w14:textId="77777777" w:rsidR="00000000" w:rsidRDefault="006549D2">
            <w:pPr>
              <w:rPr>
                <w:rFonts w:eastAsia="Times New Roman"/>
                <w:b/>
                <w:bCs/>
                <w:sz w:val="20"/>
                <w:szCs w:val="20"/>
              </w:rPr>
            </w:pPr>
            <w:r>
              <w:rPr>
                <w:rFonts w:eastAsia="Times New Roman"/>
                <w:b/>
                <w:bCs/>
                <w:sz w:val="20"/>
                <w:szCs w:val="20"/>
              </w:rPr>
              <w:t>ASSETS</w:t>
            </w:r>
          </w:p>
        </w:tc>
        <w:tc>
          <w:tcPr>
            <w:tcW w:w="0" w:type="auto"/>
            <w:shd w:val="clear" w:color="auto" w:fill="CCEEFF"/>
            <w:vAlign w:val="bottom"/>
            <w:hideMark/>
          </w:tcPr>
          <w:p w14:paraId="724A6465"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2AFA7971"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611BC8A" w14:textId="77777777" w:rsidR="00000000" w:rsidRDefault="006549D2">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517AE7D4"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31C86DB"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6E6D68"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67ED59"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1093C82" w14:textId="77777777" w:rsidR="00000000" w:rsidRDefault="006549D2">
            <w:pPr>
              <w:rPr>
                <w:rFonts w:eastAsia="Times New Roman"/>
                <w:sz w:val="20"/>
                <w:szCs w:val="20"/>
              </w:rPr>
            </w:pPr>
            <w:r>
              <w:rPr>
                <w:rFonts w:eastAsia="Times New Roman"/>
                <w:sz w:val="20"/>
                <w:szCs w:val="20"/>
              </w:rPr>
              <w:t> </w:t>
            </w:r>
          </w:p>
        </w:tc>
      </w:tr>
      <w:tr w:rsidR="00000000" w14:paraId="5D032E05" w14:textId="77777777">
        <w:tc>
          <w:tcPr>
            <w:tcW w:w="0" w:type="auto"/>
            <w:shd w:val="clear" w:color="auto" w:fill="FFFFFF"/>
            <w:tcMar>
              <w:top w:w="0" w:type="dxa"/>
              <w:left w:w="180" w:type="dxa"/>
              <w:bottom w:w="0" w:type="dxa"/>
              <w:right w:w="0" w:type="dxa"/>
            </w:tcMar>
            <w:vAlign w:val="bottom"/>
            <w:hideMark/>
          </w:tcPr>
          <w:p w14:paraId="687C94E6" w14:textId="77777777" w:rsidR="00000000" w:rsidRDefault="006549D2">
            <w:pPr>
              <w:ind w:hanging="166"/>
              <w:rPr>
                <w:rFonts w:eastAsia="Times New Roman"/>
                <w:sz w:val="20"/>
                <w:szCs w:val="20"/>
              </w:rPr>
            </w:pPr>
            <w:r>
              <w:rPr>
                <w:rFonts w:eastAsia="Times New Roman"/>
                <w:sz w:val="20"/>
                <w:szCs w:val="20"/>
              </w:rPr>
              <w:t>Current assets</w:t>
            </w:r>
          </w:p>
        </w:tc>
        <w:tc>
          <w:tcPr>
            <w:tcW w:w="0" w:type="auto"/>
            <w:shd w:val="clear" w:color="auto" w:fill="FFFFFF"/>
            <w:vAlign w:val="bottom"/>
            <w:hideMark/>
          </w:tcPr>
          <w:p w14:paraId="0E69173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AB924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16D78E"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4581383"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F179E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DDAA9E"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E74F3C"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DD7707C" w14:textId="77777777" w:rsidR="00000000" w:rsidRDefault="006549D2">
            <w:pPr>
              <w:rPr>
                <w:rFonts w:eastAsia="Times New Roman"/>
                <w:sz w:val="20"/>
                <w:szCs w:val="20"/>
              </w:rPr>
            </w:pPr>
            <w:r>
              <w:rPr>
                <w:rFonts w:eastAsia="Times New Roman"/>
                <w:sz w:val="20"/>
                <w:szCs w:val="20"/>
              </w:rPr>
              <w:t> </w:t>
            </w:r>
          </w:p>
        </w:tc>
      </w:tr>
      <w:tr w:rsidR="00000000" w14:paraId="038B8A0F" w14:textId="77777777">
        <w:tc>
          <w:tcPr>
            <w:tcW w:w="3700" w:type="pct"/>
            <w:shd w:val="clear" w:color="auto" w:fill="CCEEFF"/>
            <w:tcMar>
              <w:top w:w="0" w:type="dxa"/>
              <w:left w:w="360" w:type="dxa"/>
              <w:bottom w:w="0" w:type="dxa"/>
              <w:right w:w="0" w:type="dxa"/>
            </w:tcMar>
            <w:vAlign w:val="bottom"/>
            <w:hideMark/>
          </w:tcPr>
          <w:p w14:paraId="5E096203" w14:textId="77777777" w:rsidR="00000000" w:rsidRDefault="006549D2">
            <w:pPr>
              <w:ind w:hanging="166"/>
              <w:rPr>
                <w:rFonts w:eastAsia="Times New Roman"/>
                <w:sz w:val="20"/>
                <w:szCs w:val="20"/>
              </w:rPr>
            </w:pPr>
            <w:r>
              <w:rPr>
                <w:rFonts w:eastAsia="Times New Roman"/>
                <w:sz w:val="20"/>
                <w:szCs w:val="20"/>
              </w:rPr>
              <w:t>Cash</w:t>
            </w:r>
          </w:p>
        </w:tc>
        <w:tc>
          <w:tcPr>
            <w:tcW w:w="50" w:type="pct"/>
            <w:shd w:val="clear" w:color="auto" w:fill="CCEEFF"/>
            <w:vAlign w:val="bottom"/>
            <w:hideMark/>
          </w:tcPr>
          <w:p w14:paraId="2901F205" w14:textId="77777777" w:rsidR="00000000" w:rsidRDefault="006549D2">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AE76FE" w14:textId="77777777" w:rsidR="00000000" w:rsidRDefault="006549D2">
            <w:pPr>
              <w:rPr>
                <w:rFonts w:eastAsia="Times New Roman"/>
                <w:sz w:val="20"/>
                <w:szCs w:val="20"/>
              </w:rPr>
            </w:pPr>
            <w:r>
              <w:rPr>
                <w:rFonts w:eastAsia="Times New Roman"/>
                <w:sz w:val="20"/>
                <w:szCs w:val="20"/>
              </w:rPr>
              <w:t>$</w:t>
            </w:r>
          </w:p>
        </w:tc>
        <w:tc>
          <w:tcPr>
            <w:tcW w:w="500" w:type="pct"/>
            <w:shd w:val="clear" w:color="auto" w:fill="CCEEFF"/>
            <w:vAlign w:val="bottom"/>
            <w:hideMark/>
          </w:tcPr>
          <w:p w14:paraId="2217CB90" w14:textId="77777777" w:rsidR="00000000" w:rsidRDefault="006549D2">
            <w:pPr>
              <w:jc w:val="right"/>
              <w:rPr>
                <w:rFonts w:eastAsia="Times New Roman"/>
                <w:sz w:val="20"/>
                <w:szCs w:val="20"/>
              </w:rPr>
            </w:pPr>
            <w:r>
              <w:rPr>
                <w:rFonts w:eastAsia="Times New Roman"/>
                <w:sz w:val="20"/>
                <w:szCs w:val="20"/>
              </w:rPr>
              <w:t>2,955,367</w:t>
            </w:r>
          </w:p>
        </w:tc>
        <w:tc>
          <w:tcPr>
            <w:tcW w:w="50" w:type="pct"/>
            <w:shd w:val="clear" w:color="auto" w:fill="CCEEFF"/>
            <w:vAlign w:val="bottom"/>
            <w:hideMark/>
          </w:tcPr>
          <w:p w14:paraId="05E90C43" w14:textId="77777777" w:rsidR="00000000" w:rsidRDefault="006549D2">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881B9D" w14:textId="77777777" w:rsidR="00000000" w:rsidRDefault="006549D2">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98357E" w14:textId="77777777" w:rsidR="00000000" w:rsidRDefault="006549D2">
            <w:pPr>
              <w:rPr>
                <w:rFonts w:eastAsia="Times New Roman"/>
                <w:sz w:val="20"/>
                <w:szCs w:val="20"/>
              </w:rPr>
            </w:pPr>
            <w:r>
              <w:rPr>
                <w:rFonts w:eastAsia="Times New Roman"/>
                <w:sz w:val="20"/>
                <w:szCs w:val="20"/>
              </w:rPr>
              <w:t>$</w:t>
            </w:r>
          </w:p>
        </w:tc>
        <w:tc>
          <w:tcPr>
            <w:tcW w:w="500" w:type="pct"/>
            <w:shd w:val="clear" w:color="auto" w:fill="CCEEFF"/>
            <w:vAlign w:val="bottom"/>
            <w:hideMark/>
          </w:tcPr>
          <w:p w14:paraId="02490C5A" w14:textId="77777777" w:rsidR="00000000" w:rsidRDefault="006549D2">
            <w:pPr>
              <w:jc w:val="right"/>
              <w:rPr>
                <w:rFonts w:eastAsia="Times New Roman"/>
                <w:sz w:val="20"/>
                <w:szCs w:val="20"/>
              </w:rPr>
            </w:pPr>
            <w:r>
              <w:rPr>
                <w:rFonts w:eastAsia="Times New Roman"/>
                <w:sz w:val="20"/>
                <w:szCs w:val="20"/>
              </w:rPr>
              <w:t>34,000</w:t>
            </w:r>
          </w:p>
        </w:tc>
        <w:tc>
          <w:tcPr>
            <w:tcW w:w="50" w:type="pct"/>
            <w:shd w:val="clear" w:color="auto" w:fill="CCEEFF"/>
            <w:vAlign w:val="bottom"/>
            <w:hideMark/>
          </w:tcPr>
          <w:p w14:paraId="476B89A0" w14:textId="77777777" w:rsidR="00000000" w:rsidRDefault="006549D2">
            <w:pPr>
              <w:rPr>
                <w:rFonts w:eastAsia="Times New Roman"/>
                <w:sz w:val="20"/>
                <w:szCs w:val="20"/>
              </w:rPr>
            </w:pPr>
            <w:r>
              <w:rPr>
                <w:rFonts w:eastAsia="Times New Roman"/>
                <w:sz w:val="20"/>
                <w:szCs w:val="20"/>
              </w:rPr>
              <w:t> </w:t>
            </w:r>
          </w:p>
        </w:tc>
      </w:tr>
      <w:tr w:rsidR="00000000" w14:paraId="3E6B82E0" w14:textId="77777777">
        <w:tc>
          <w:tcPr>
            <w:tcW w:w="0" w:type="auto"/>
            <w:shd w:val="clear" w:color="auto" w:fill="FFFFFF"/>
            <w:tcMar>
              <w:top w:w="0" w:type="dxa"/>
              <w:left w:w="360" w:type="dxa"/>
              <w:bottom w:w="20" w:type="dxa"/>
              <w:right w:w="0" w:type="dxa"/>
            </w:tcMar>
            <w:vAlign w:val="bottom"/>
            <w:hideMark/>
          </w:tcPr>
          <w:p w14:paraId="1B3C1E25" w14:textId="77777777" w:rsidR="00000000" w:rsidRDefault="006549D2">
            <w:pPr>
              <w:ind w:hanging="166"/>
              <w:rPr>
                <w:rFonts w:eastAsia="Times New Roman"/>
                <w:sz w:val="20"/>
                <w:szCs w:val="20"/>
              </w:rPr>
            </w:pPr>
            <w:r>
              <w:rPr>
                <w:rFonts w:eastAsia="Times New Roman"/>
                <w:sz w:val="20"/>
                <w:szCs w:val="20"/>
              </w:rPr>
              <w:t>Prepaid expenses</w:t>
            </w:r>
          </w:p>
        </w:tc>
        <w:tc>
          <w:tcPr>
            <w:tcW w:w="0" w:type="auto"/>
            <w:shd w:val="clear" w:color="auto" w:fill="FFFFFF"/>
            <w:tcMar>
              <w:top w:w="0" w:type="dxa"/>
              <w:left w:w="0" w:type="dxa"/>
              <w:bottom w:w="20" w:type="dxa"/>
              <w:right w:w="0" w:type="dxa"/>
            </w:tcMar>
            <w:vAlign w:val="bottom"/>
            <w:hideMark/>
          </w:tcPr>
          <w:p w14:paraId="6C5D29DC"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4D1BD482"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3FB4552B" w14:textId="77777777" w:rsidR="00000000" w:rsidRDefault="006549D2">
            <w:pPr>
              <w:jc w:val="right"/>
              <w:rPr>
                <w:rFonts w:eastAsia="Times New Roman"/>
                <w:sz w:val="20"/>
                <w:szCs w:val="20"/>
              </w:rPr>
            </w:pPr>
            <w:r>
              <w:rPr>
                <w:rFonts w:eastAsia="Times New Roman"/>
                <w:sz w:val="20"/>
                <w:szCs w:val="20"/>
              </w:rPr>
              <w:t>398,322</w:t>
            </w:r>
          </w:p>
        </w:tc>
        <w:tc>
          <w:tcPr>
            <w:tcW w:w="0" w:type="auto"/>
            <w:shd w:val="clear" w:color="auto" w:fill="FFFFFF"/>
            <w:tcMar>
              <w:top w:w="0" w:type="dxa"/>
              <w:left w:w="0" w:type="dxa"/>
              <w:bottom w:w="20" w:type="dxa"/>
              <w:right w:w="0" w:type="dxa"/>
            </w:tcMar>
            <w:vAlign w:val="bottom"/>
            <w:hideMark/>
          </w:tcPr>
          <w:p w14:paraId="0434399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629185E8"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03CAF664"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1C5B1D64"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6E834E9B" w14:textId="77777777" w:rsidR="00000000" w:rsidRDefault="006549D2">
            <w:pPr>
              <w:rPr>
                <w:rFonts w:eastAsia="Times New Roman"/>
                <w:sz w:val="20"/>
                <w:szCs w:val="20"/>
              </w:rPr>
            </w:pPr>
            <w:r>
              <w:rPr>
                <w:rFonts w:eastAsia="Times New Roman"/>
                <w:sz w:val="20"/>
                <w:szCs w:val="20"/>
              </w:rPr>
              <w:t> </w:t>
            </w:r>
          </w:p>
        </w:tc>
      </w:tr>
      <w:tr w:rsidR="00000000" w14:paraId="59DCF4BC" w14:textId="77777777">
        <w:tc>
          <w:tcPr>
            <w:tcW w:w="0" w:type="auto"/>
            <w:shd w:val="clear" w:color="auto" w:fill="CCEEFF"/>
            <w:tcMar>
              <w:top w:w="0" w:type="dxa"/>
              <w:left w:w="540" w:type="dxa"/>
              <w:bottom w:w="0" w:type="dxa"/>
              <w:right w:w="0" w:type="dxa"/>
            </w:tcMar>
            <w:vAlign w:val="bottom"/>
            <w:hideMark/>
          </w:tcPr>
          <w:p w14:paraId="3D889AE0" w14:textId="77777777" w:rsidR="00000000" w:rsidRDefault="006549D2">
            <w:pPr>
              <w:ind w:hanging="166"/>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14:paraId="3CAA528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2BCB2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1D31B1" w14:textId="77777777" w:rsidR="00000000" w:rsidRDefault="006549D2">
            <w:pPr>
              <w:jc w:val="right"/>
              <w:rPr>
                <w:rFonts w:eastAsia="Times New Roman"/>
                <w:sz w:val="20"/>
                <w:szCs w:val="20"/>
              </w:rPr>
            </w:pPr>
            <w:r>
              <w:rPr>
                <w:rFonts w:eastAsia="Times New Roman"/>
                <w:sz w:val="20"/>
                <w:szCs w:val="20"/>
              </w:rPr>
              <w:t>3,353,689</w:t>
            </w:r>
          </w:p>
        </w:tc>
        <w:tc>
          <w:tcPr>
            <w:tcW w:w="0" w:type="auto"/>
            <w:shd w:val="clear" w:color="auto" w:fill="CCEEFF"/>
            <w:vAlign w:val="bottom"/>
            <w:hideMark/>
          </w:tcPr>
          <w:p w14:paraId="2F0838D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78FB93"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58191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C71CF0" w14:textId="77777777" w:rsidR="00000000" w:rsidRDefault="006549D2">
            <w:pPr>
              <w:jc w:val="right"/>
              <w:rPr>
                <w:rFonts w:eastAsia="Times New Roman"/>
                <w:sz w:val="20"/>
                <w:szCs w:val="20"/>
              </w:rPr>
            </w:pPr>
            <w:r>
              <w:rPr>
                <w:rFonts w:eastAsia="Times New Roman"/>
                <w:sz w:val="20"/>
                <w:szCs w:val="20"/>
              </w:rPr>
              <w:t>34,000</w:t>
            </w:r>
          </w:p>
        </w:tc>
        <w:tc>
          <w:tcPr>
            <w:tcW w:w="0" w:type="auto"/>
            <w:shd w:val="clear" w:color="auto" w:fill="CCEEFF"/>
            <w:vAlign w:val="bottom"/>
            <w:hideMark/>
          </w:tcPr>
          <w:p w14:paraId="70ADE2A6" w14:textId="77777777" w:rsidR="00000000" w:rsidRDefault="006549D2">
            <w:pPr>
              <w:rPr>
                <w:rFonts w:eastAsia="Times New Roman"/>
                <w:sz w:val="20"/>
                <w:szCs w:val="20"/>
              </w:rPr>
            </w:pPr>
            <w:r>
              <w:rPr>
                <w:rFonts w:eastAsia="Times New Roman"/>
                <w:sz w:val="20"/>
                <w:szCs w:val="20"/>
              </w:rPr>
              <w:t> </w:t>
            </w:r>
          </w:p>
        </w:tc>
      </w:tr>
      <w:tr w:rsidR="00000000" w14:paraId="228543B6" w14:textId="77777777">
        <w:tc>
          <w:tcPr>
            <w:tcW w:w="0" w:type="auto"/>
            <w:shd w:val="clear" w:color="auto" w:fill="FFFFFF"/>
            <w:tcMar>
              <w:top w:w="0" w:type="dxa"/>
              <w:left w:w="180" w:type="dxa"/>
              <w:bottom w:w="0" w:type="dxa"/>
              <w:right w:w="0" w:type="dxa"/>
            </w:tcMar>
            <w:vAlign w:val="bottom"/>
            <w:hideMark/>
          </w:tcPr>
          <w:p w14:paraId="0CA5C903" w14:textId="77777777" w:rsidR="00000000" w:rsidRDefault="006549D2">
            <w:pPr>
              <w:ind w:hanging="166"/>
              <w:rPr>
                <w:rFonts w:eastAsia="Times New Roman"/>
                <w:sz w:val="20"/>
                <w:szCs w:val="20"/>
              </w:rPr>
            </w:pPr>
            <w:r>
              <w:rPr>
                <w:rFonts w:eastAsia="Times New Roman"/>
                <w:sz w:val="20"/>
                <w:szCs w:val="20"/>
              </w:rPr>
              <w:t> </w:t>
            </w:r>
          </w:p>
        </w:tc>
        <w:tc>
          <w:tcPr>
            <w:tcW w:w="0" w:type="auto"/>
            <w:shd w:val="clear" w:color="auto" w:fill="FFFFFF"/>
            <w:vAlign w:val="bottom"/>
            <w:hideMark/>
          </w:tcPr>
          <w:p w14:paraId="4F1D1D1B"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F2644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FEF9D3"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3C2E64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09D8D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D1554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C23B98"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2752124" w14:textId="77777777" w:rsidR="00000000" w:rsidRDefault="006549D2">
            <w:pPr>
              <w:rPr>
                <w:rFonts w:eastAsia="Times New Roman"/>
                <w:sz w:val="20"/>
                <w:szCs w:val="20"/>
              </w:rPr>
            </w:pPr>
            <w:r>
              <w:rPr>
                <w:rFonts w:eastAsia="Times New Roman"/>
                <w:sz w:val="20"/>
                <w:szCs w:val="20"/>
              </w:rPr>
              <w:t> </w:t>
            </w:r>
          </w:p>
        </w:tc>
      </w:tr>
      <w:tr w:rsidR="00000000" w14:paraId="459CC4C9" w14:textId="77777777">
        <w:tc>
          <w:tcPr>
            <w:tcW w:w="0" w:type="auto"/>
            <w:shd w:val="clear" w:color="auto" w:fill="CCEEFF"/>
            <w:tcMar>
              <w:top w:w="0" w:type="dxa"/>
              <w:left w:w="180" w:type="dxa"/>
              <w:bottom w:w="0" w:type="dxa"/>
              <w:right w:w="0" w:type="dxa"/>
            </w:tcMar>
            <w:vAlign w:val="bottom"/>
            <w:hideMark/>
          </w:tcPr>
          <w:p w14:paraId="6D836A97" w14:textId="77777777" w:rsidR="00000000" w:rsidRDefault="006549D2">
            <w:pPr>
              <w:ind w:hanging="166"/>
              <w:rPr>
                <w:rFonts w:eastAsia="Times New Roman"/>
                <w:sz w:val="20"/>
                <w:szCs w:val="20"/>
              </w:rPr>
            </w:pPr>
            <w:r>
              <w:rPr>
                <w:rFonts w:eastAsia="Times New Roman"/>
                <w:sz w:val="20"/>
                <w:szCs w:val="20"/>
              </w:rPr>
              <w:t>Marketable securities held in Trust Account</w:t>
            </w:r>
          </w:p>
        </w:tc>
        <w:tc>
          <w:tcPr>
            <w:tcW w:w="0" w:type="auto"/>
            <w:shd w:val="clear" w:color="auto" w:fill="CCEEFF"/>
            <w:vAlign w:val="bottom"/>
            <w:hideMark/>
          </w:tcPr>
          <w:p w14:paraId="659D1C03"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48945A"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7024CD" w14:textId="77777777" w:rsidR="00000000" w:rsidRDefault="006549D2">
            <w:pPr>
              <w:jc w:val="right"/>
              <w:rPr>
                <w:rFonts w:eastAsia="Times New Roman"/>
                <w:sz w:val="20"/>
                <w:szCs w:val="20"/>
              </w:rPr>
            </w:pPr>
            <w:r>
              <w:rPr>
                <w:rFonts w:eastAsia="Times New Roman"/>
                <w:sz w:val="20"/>
                <w:szCs w:val="20"/>
              </w:rPr>
              <w:t>1,104,209,313</w:t>
            </w:r>
          </w:p>
        </w:tc>
        <w:tc>
          <w:tcPr>
            <w:tcW w:w="0" w:type="auto"/>
            <w:shd w:val="clear" w:color="auto" w:fill="CCEEFF"/>
            <w:vAlign w:val="bottom"/>
            <w:hideMark/>
          </w:tcPr>
          <w:p w14:paraId="674099B9"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563276"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DAB40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3A591A"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778F006" w14:textId="77777777" w:rsidR="00000000" w:rsidRDefault="006549D2">
            <w:pPr>
              <w:rPr>
                <w:rFonts w:eastAsia="Times New Roman"/>
                <w:sz w:val="20"/>
                <w:szCs w:val="20"/>
              </w:rPr>
            </w:pPr>
            <w:r>
              <w:rPr>
                <w:rFonts w:eastAsia="Times New Roman"/>
                <w:sz w:val="20"/>
                <w:szCs w:val="20"/>
              </w:rPr>
              <w:t> </w:t>
            </w:r>
          </w:p>
        </w:tc>
      </w:tr>
      <w:tr w:rsidR="00000000" w14:paraId="608DE267" w14:textId="77777777">
        <w:tc>
          <w:tcPr>
            <w:tcW w:w="0" w:type="auto"/>
            <w:shd w:val="clear" w:color="auto" w:fill="FFFFFF"/>
            <w:tcMar>
              <w:top w:w="0" w:type="dxa"/>
              <w:left w:w="180" w:type="dxa"/>
              <w:bottom w:w="0" w:type="dxa"/>
              <w:right w:w="0" w:type="dxa"/>
            </w:tcMar>
            <w:vAlign w:val="bottom"/>
            <w:hideMark/>
          </w:tcPr>
          <w:p w14:paraId="2A362C1C" w14:textId="77777777" w:rsidR="00000000" w:rsidRDefault="006549D2">
            <w:pPr>
              <w:ind w:hanging="166"/>
              <w:rPr>
                <w:rFonts w:eastAsia="Times New Roman"/>
                <w:sz w:val="20"/>
                <w:szCs w:val="20"/>
              </w:rPr>
            </w:pPr>
            <w:r>
              <w:rPr>
                <w:rFonts w:eastAsia="Times New Roman"/>
                <w:sz w:val="20"/>
                <w:szCs w:val="20"/>
              </w:rPr>
              <w:t>Deferred tax asset</w:t>
            </w:r>
          </w:p>
        </w:tc>
        <w:tc>
          <w:tcPr>
            <w:tcW w:w="0" w:type="auto"/>
            <w:shd w:val="clear" w:color="auto" w:fill="FFFFFF"/>
            <w:vAlign w:val="bottom"/>
            <w:hideMark/>
          </w:tcPr>
          <w:p w14:paraId="7B4706E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E00EB3"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A0D9F2" w14:textId="77777777" w:rsidR="00000000" w:rsidRDefault="006549D2">
            <w:pPr>
              <w:jc w:val="right"/>
              <w:rPr>
                <w:rFonts w:eastAsia="Times New Roman"/>
                <w:sz w:val="20"/>
                <w:szCs w:val="20"/>
              </w:rPr>
            </w:pPr>
            <w:r>
              <w:rPr>
                <w:rFonts w:eastAsia="Times New Roman"/>
                <w:sz w:val="20"/>
                <w:szCs w:val="20"/>
              </w:rPr>
              <w:t>1,337</w:t>
            </w:r>
          </w:p>
        </w:tc>
        <w:tc>
          <w:tcPr>
            <w:tcW w:w="0" w:type="auto"/>
            <w:shd w:val="clear" w:color="auto" w:fill="FFFFFF"/>
            <w:vAlign w:val="bottom"/>
            <w:hideMark/>
          </w:tcPr>
          <w:p w14:paraId="49D5E89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47B96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9F6248"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8A25CB"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7D8BB15" w14:textId="77777777" w:rsidR="00000000" w:rsidRDefault="006549D2">
            <w:pPr>
              <w:rPr>
                <w:rFonts w:eastAsia="Times New Roman"/>
                <w:sz w:val="20"/>
                <w:szCs w:val="20"/>
              </w:rPr>
            </w:pPr>
            <w:r>
              <w:rPr>
                <w:rFonts w:eastAsia="Times New Roman"/>
                <w:sz w:val="20"/>
                <w:szCs w:val="20"/>
              </w:rPr>
              <w:t> </w:t>
            </w:r>
          </w:p>
        </w:tc>
      </w:tr>
      <w:tr w:rsidR="00000000" w14:paraId="0762165A" w14:textId="77777777">
        <w:tc>
          <w:tcPr>
            <w:tcW w:w="0" w:type="auto"/>
            <w:shd w:val="clear" w:color="auto" w:fill="CCEEFF"/>
            <w:tcMar>
              <w:top w:w="0" w:type="dxa"/>
              <w:left w:w="180" w:type="dxa"/>
              <w:bottom w:w="20" w:type="dxa"/>
              <w:right w:w="0" w:type="dxa"/>
            </w:tcMar>
            <w:vAlign w:val="bottom"/>
            <w:hideMark/>
          </w:tcPr>
          <w:p w14:paraId="3E337816" w14:textId="77777777" w:rsidR="00000000" w:rsidRDefault="006549D2">
            <w:pPr>
              <w:ind w:hanging="166"/>
              <w:rPr>
                <w:rFonts w:eastAsia="Times New Roman"/>
                <w:sz w:val="20"/>
                <w:szCs w:val="20"/>
              </w:rPr>
            </w:pPr>
            <w:r>
              <w:rPr>
                <w:rFonts w:eastAsia="Times New Roman"/>
                <w:sz w:val="20"/>
                <w:szCs w:val="20"/>
              </w:rPr>
              <w:t>Deferred offering costs</w:t>
            </w:r>
          </w:p>
        </w:tc>
        <w:tc>
          <w:tcPr>
            <w:tcW w:w="0" w:type="auto"/>
            <w:shd w:val="clear" w:color="auto" w:fill="CCEEFF"/>
            <w:tcMar>
              <w:top w:w="0" w:type="dxa"/>
              <w:left w:w="0" w:type="dxa"/>
              <w:bottom w:w="20" w:type="dxa"/>
              <w:right w:w="0" w:type="dxa"/>
            </w:tcMar>
            <w:vAlign w:val="bottom"/>
            <w:hideMark/>
          </w:tcPr>
          <w:p w14:paraId="5792C8B2"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352A334D"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2EFED442"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0121C62A"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07BBF91A"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515004A1"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05CE83F3" w14:textId="77777777" w:rsidR="00000000" w:rsidRDefault="006549D2">
            <w:pPr>
              <w:jc w:val="right"/>
              <w:rPr>
                <w:rFonts w:eastAsia="Times New Roman"/>
                <w:sz w:val="20"/>
                <w:szCs w:val="20"/>
              </w:rPr>
            </w:pPr>
            <w:r>
              <w:rPr>
                <w:rFonts w:eastAsia="Times New Roman"/>
                <w:sz w:val="20"/>
                <w:szCs w:val="20"/>
              </w:rPr>
              <w:t>284,930</w:t>
            </w:r>
          </w:p>
        </w:tc>
        <w:tc>
          <w:tcPr>
            <w:tcW w:w="0" w:type="auto"/>
            <w:shd w:val="clear" w:color="auto" w:fill="CCEEFF"/>
            <w:tcMar>
              <w:top w:w="0" w:type="dxa"/>
              <w:left w:w="0" w:type="dxa"/>
              <w:bottom w:w="20" w:type="dxa"/>
              <w:right w:w="0" w:type="dxa"/>
            </w:tcMar>
            <w:vAlign w:val="bottom"/>
            <w:hideMark/>
          </w:tcPr>
          <w:p w14:paraId="5EA8A8D7" w14:textId="77777777" w:rsidR="00000000" w:rsidRDefault="006549D2">
            <w:pPr>
              <w:rPr>
                <w:rFonts w:eastAsia="Times New Roman"/>
                <w:sz w:val="20"/>
                <w:szCs w:val="20"/>
              </w:rPr>
            </w:pPr>
            <w:r>
              <w:rPr>
                <w:rFonts w:eastAsia="Times New Roman"/>
                <w:sz w:val="20"/>
                <w:szCs w:val="20"/>
              </w:rPr>
              <w:t> </w:t>
            </w:r>
          </w:p>
        </w:tc>
      </w:tr>
      <w:tr w:rsidR="00000000" w14:paraId="0E8FF4CE" w14:textId="77777777">
        <w:tc>
          <w:tcPr>
            <w:tcW w:w="0" w:type="auto"/>
            <w:shd w:val="clear" w:color="auto" w:fill="FFFFFF"/>
            <w:tcMar>
              <w:top w:w="0" w:type="dxa"/>
              <w:left w:w="180" w:type="dxa"/>
              <w:bottom w:w="50" w:type="dxa"/>
              <w:right w:w="0" w:type="dxa"/>
            </w:tcMar>
            <w:vAlign w:val="bottom"/>
            <w:hideMark/>
          </w:tcPr>
          <w:p w14:paraId="590030CB" w14:textId="77777777" w:rsidR="00000000" w:rsidRDefault="006549D2">
            <w:pPr>
              <w:ind w:hanging="166"/>
              <w:rPr>
                <w:rFonts w:eastAsia="Times New Roman"/>
                <w:b/>
                <w:bCs/>
                <w:sz w:val="20"/>
                <w:szCs w:val="20"/>
              </w:rPr>
            </w:pPr>
            <w:r>
              <w:rPr>
                <w:rFonts w:eastAsia="Times New Roman"/>
                <w:b/>
                <w:bCs/>
                <w:sz w:val="20"/>
                <w:szCs w:val="20"/>
              </w:rPr>
              <w:t>TOTAL ASSETS</w:t>
            </w:r>
          </w:p>
        </w:tc>
        <w:tc>
          <w:tcPr>
            <w:tcW w:w="0" w:type="auto"/>
            <w:shd w:val="clear" w:color="auto" w:fill="FFFFFF"/>
            <w:tcMar>
              <w:top w:w="0" w:type="dxa"/>
              <w:left w:w="0" w:type="dxa"/>
              <w:bottom w:w="50" w:type="dxa"/>
              <w:right w:w="0" w:type="dxa"/>
            </w:tcMar>
            <w:vAlign w:val="bottom"/>
            <w:hideMark/>
          </w:tcPr>
          <w:p w14:paraId="775CBB20"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3B83C398" w14:textId="77777777" w:rsidR="00000000" w:rsidRDefault="006549D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48F3798E" w14:textId="77777777" w:rsidR="00000000" w:rsidRDefault="006549D2">
            <w:pPr>
              <w:jc w:val="right"/>
              <w:rPr>
                <w:rFonts w:eastAsia="Times New Roman"/>
                <w:b/>
                <w:bCs/>
                <w:sz w:val="20"/>
                <w:szCs w:val="20"/>
              </w:rPr>
            </w:pPr>
            <w:r>
              <w:rPr>
                <w:rFonts w:eastAsia="Times New Roman"/>
                <w:b/>
                <w:bCs/>
                <w:sz w:val="20"/>
                <w:szCs w:val="20"/>
              </w:rPr>
              <w:t>1,107,564,339</w:t>
            </w:r>
          </w:p>
        </w:tc>
        <w:tc>
          <w:tcPr>
            <w:tcW w:w="0" w:type="auto"/>
            <w:shd w:val="clear" w:color="auto" w:fill="FFFFFF"/>
            <w:tcMar>
              <w:top w:w="0" w:type="dxa"/>
              <w:left w:w="0" w:type="dxa"/>
              <w:bottom w:w="50" w:type="dxa"/>
              <w:right w:w="0" w:type="dxa"/>
            </w:tcMar>
            <w:vAlign w:val="bottom"/>
            <w:hideMark/>
          </w:tcPr>
          <w:p w14:paraId="3F8B2689"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58522977"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630D8FF2" w14:textId="77777777" w:rsidR="00000000" w:rsidRDefault="006549D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1A582F54" w14:textId="77777777" w:rsidR="00000000" w:rsidRDefault="006549D2">
            <w:pPr>
              <w:jc w:val="right"/>
              <w:rPr>
                <w:rFonts w:eastAsia="Times New Roman"/>
                <w:b/>
                <w:bCs/>
                <w:sz w:val="20"/>
                <w:szCs w:val="20"/>
              </w:rPr>
            </w:pPr>
            <w:r>
              <w:rPr>
                <w:rFonts w:eastAsia="Times New Roman"/>
                <w:b/>
                <w:bCs/>
                <w:sz w:val="20"/>
                <w:szCs w:val="20"/>
              </w:rPr>
              <w:t>318,930</w:t>
            </w:r>
          </w:p>
        </w:tc>
        <w:tc>
          <w:tcPr>
            <w:tcW w:w="0" w:type="auto"/>
            <w:shd w:val="clear" w:color="auto" w:fill="FFFFFF"/>
            <w:tcMar>
              <w:top w:w="0" w:type="dxa"/>
              <w:left w:w="0" w:type="dxa"/>
              <w:bottom w:w="50" w:type="dxa"/>
              <w:right w:w="0" w:type="dxa"/>
            </w:tcMar>
            <w:vAlign w:val="bottom"/>
            <w:hideMark/>
          </w:tcPr>
          <w:p w14:paraId="441C5905" w14:textId="77777777" w:rsidR="00000000" w:rsidRDefault="006549D2">
            <w:pPr>
              <w:rPr>
                <w:rFonts w:eastAsia="Times New Roman"/>
                <w:b/>
                <w:bCs/>
                <w:sz w:val="20"/>
                <w:szCs w:val="20"/>
              </w:rPr>
            </w:pPr>
            <w:r>
              <w:rPr>
                <w:rFonts w:eastAsia="Times New Roman"/>
                <w:b/>
                <w:bCs/>
                <w:sz w:val="20"/>
                <w:szCs w:val="20"/>
              </w:rPr>
              <w:t> </w:t>
            </w:r>
          </w:p>
        </w:tc>
      </w:tr>
      <w:tr w:rsidR="00000000" w14:paraId="4F68283F" w14:textId="77777777">
        <w:tc>
          <w:tcPr>
            <w:tcW w:w="0" w:type="auto"/>
            <w:shd w:val="clear" w:color="auto" w:fill="CCEEFF"/>
            <w:tcMar>
              <w:top w:w="0" w:type="dxa"/>
              <w:left w:w="180" w:type="dxa"/>
              <w:bottom w:w="0" w:type="dxa"/>
              <w:right w:w="0" w:type="dxa"/>
            </w:tcMar>
            <w:vAlign w:val="bottom"/>
            <w:hideMark/>
          </w:tcPr>
          <w:p w14:paraId="43AF2A19" w14:textId="77777777" w:rsidR="00000000" w:rsidRDefault="006549D2">
            <w:pPr>
              <w:ind w:hanging="166"/>
              <w:rPr>
                <w:rFonts w:eastAsia="Times New Roman"/>
                <w:sz w:val="20"/>
                <w:szCs w:val="20"/>
              </w:rPr>
            </w:pPr>
            <w:r>
              <w:rPr>
                <w:rFonts w:eastAsia="Times New Roman"/>
                <w:sz w:val="20"/>
                <w:szCs w:val="20"/>
              </w:rPr>
              <w:t> </w:t>
            </w:r>
          </w:p>
        </w:tc>
        <w:tc>
          <w:tcPr>
            <w:tcW w:w="0" w:type="auto"/>
            <w:shd w:val="clear" w:color="auto" w:fill="CCEEFF"/>
            <w:vAlign w:val="bottom"/>
            <w:hideMark/>
          </w:tcPr>
          <w:p w14:paraId="31EEE1D1"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59D58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60BA1C"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AD0B4DE"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B76351"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69FCE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173781"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3B91BB0" w14:textId="77777777" w:rsidR="00000000" w:rsidRDefault="006549D2">
            <w:pPr>
              <w:rPr>
                <w:rFonts w:eastAsia="Times New Roman"/>
                <w:sz w:val="20"/>
                <w:szCs w:val="20"/>
              </w:rPr>
            </w:pPr>
            <w:r>
              <w:rPr>
                <w:rFonts w:eastAsia="Times New Roman"/>
                <w:sz w:val="20"/>
                <w:szCs w:val="20"/>
              </w:rPr>
              <w:t> </w:t>
            </w:r>
          </w:p>
        </w:tc>
      </w:tr>
      <w:tr w:rsidR="00000000" w14:paraId="7609D009" w14:textId="77777777">
        <w:tc>
          <w:tcPr>
            <w:tcW w:w="0" w:type="auto"/>
            <w:shd w:val="clear" w:color="auto" w:fill="FFFFFF"/>
            <w:tcMar>
              <w:top w:w="0" w:type="dxa"/>
              <w:left w:w="180" w:type="dxa"/>
              <w:bottom w:w="0" w:type="dxa"/>
              <w:right w:w="0" w:type="dxa"/>
            </w:tcMar>
            <w:vAlign w:val="bottom"/>
            <w:hideMark/>
          </w:tcPr>
          <w:p w14:paraId="69DCD5A5" w14:textId="77777777" w:rsidR="00000000" w:rsidRDefault="006549D2">
            <w:pPr>
              <w:ind w:hanging="166"/>
              <w:rPr>
                <w:rFonts w:eastAsia="Times New Roman"/>
                <w:b/>
                <w:bCs/>
                <w:sz w:val="20"/>
                <w:szCs w:val="20"/>
              </w:rPr>
            </w:pPr>
            <w:r>
              <w:rPr>
                <w:rFonts w:eastAsia="Times New Roman"/>
                <w:b/>
                <w:bCs/>
                <w:sz w:val="20"/>
                <w:szCs w:val="20"/>
              </w:rPr>
              <w:t>LIABILITIES AND STOCKHOLDERS’ EQUITY</w:t>
            </w:r>
          </w:p>
        </w:tc>
        <w:tc>
          <w:tcPr>
            <w:tcW w:w="0" w:type="auto"/>
            <w:shd w:val="clear" w:color="auto" w:fill="FFFFFF"/>
            <w:vAlign w:val="bottom"/>
            <w:hideMark/>
          </w:tcPr>
          <w:p w14:paraId="57FD1633"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234974A7"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540CE124" w14:textId="77777777" w:rsidR="00000000" w:rsidRDefault="006549D2">
            <w:pPr>
              <w:jc w:val="right"/>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0D25FDF2"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058BD48E"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66026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7834AA"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2893D84" w14:textId="77777777" w:rsidR="00000000" w:rsidRDefault="006549D2">
            <w:pPr>
              <w:rPr>
                <w:rFonts w:eastAsia="Times New Roman"/>
                <w:sz w:val="20"/>
                <w:szCs w:val="20"/>
              </w:rPr>
            </w:pPr>
            <w:r>
              <w:rPr>
                <w:rFonts w:eastAsia="Times New Roman"/>
                <w:sz w:val="20"/>
                <w:szCs w:val="20"/>
              </w:rPr>
              <w:t> </w:t>
            </w:r>
          </w:p>
        </w:tc>
      </w:tr>
      <w:tr w:rsidR="00000000" w14:paraId="090E967F" w14:textId="77777777">
        <w:tc>
          <w:tcPr>
            <w:tcW w:w="0" w:type="auto"/>
            <w:shd w:val="clear" w:color="auto" w:fill="CCEEFF"/>
            <w:tcMar>
              <w:top w:w="0" w:type="dxa"/>
              <w:left w:w="180" w:type="dxa"/>
              <w:bottom w:w="0" w:type="dxa"/>
              <w:right w:w="0" w:type="dxa"/>
            </w:tcMar>
            <w:vAlign w:val="bottom"/>
            <w:hideMark/>
          </w:tcPr>
          <w:p w14:paraId="717ED65D" w14:textId="77777777" w:rsidR="00000000" w:rsidRDefault="006549D2">
            <w:pPr>
              <w:ind w:hanging="166"/>
              <w:rPr>
                <w:rFonts w:eastAsia="Times New Roman"/>
                <w:sz w:val="20"/>
                <w:szCs w:val="20"/>
              </w:rPr>
            </w:pPr>
            <w:r>
              <w:rPr>
                <w:rFonts w:eastAsia="Times New Roman"/>
                <w:sz w:val="20"/>
                <w:szCs w:val="20"/>
              </w:rPr>
              <w:t>Current liabilities</w:t>
            </w:r>
          </w:p>
        </w:tc>
        <w:tc>
          <w:tcPr>
            <w:tcW w:w="0" w:type="auto"/>
            <w:shd w:val="clear" w:color="auto" w:fill="CCEEFF"/>
            <w:vAlign w:val="bottom"/>
            <w:hideMark/>
          </w:tcPr>
          <w:p w14:paraId="29F2999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FBB7D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C84F22"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0907C4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FCA11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BC950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AEAEEB"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C796B19" w14:textId="77777777" w:rsidR="00000000" w:rsidRDefault="006549D2">
            <w:pPr>
              <w:rPr>
                <w:rFonts w:eastAsia="Times New Roman"/>
                <w:sz w:val="20"/>
                <w:szCs w:val="20"/>
              </w:rPr>
            </w:pPr>
            <w:r>
              <w:rPr>
                <w:rFonts w:eastAsia="Times New Roman"/>
                <w:sz w:val="20"/>
                <w:szCs w:val="20"/>
              </w:rPr>
              <w:t> </w:t>
            </w:r>
          </w:p>
        </w:tc>
      </w:tr>
      <w:tr w:rsidR="00000000" w14:paraId="5050C5A4" w14:textId="77777777">
        <w:tc>
          <w:tcPr>
            <w:tcW w:w="0" w:type="auto"/>
            <w:shd w:val="clear" w:color="auto" w:fill="FFFFFF"/>
            <w:tcMar>
              <w:top w:w="0" w:type="dxa"/>
              <w:left w:w="360" w:type="dxa"/>
              <w:bottom w:w="0" w:type="dxa"/>
              <w:right w:w="0" w:type="dxa"/>
            </w:tcMar>
            <w:vAlign w:val="bottom"/>
            <w:hideMark/>
          </w:tcPr>
          <w:p w14:paraId="0FB035B8" w14:textId="77777777" w:rsidR="00000000" w:rsidRDefault="006549D2">
            <w:pPr>
              <w:ind w:hanging="166"/>
              <w:rPr>
                <w:rFonts w:eastAsia="Times New Roman"/>
                <w:sz w:val="20"/>
                <w:szCs w:val="20"/>
              </w:rPr>
            </w:pPr>
            <w:r>
              <w:rPr>
                <w:rFonts w:eastAsia="Times New Roman"/>
                <w:sz w:val="20"/>
                <w:szCs w:val="20"/>
              </w:rPr>
              <w:t>Accrued expenses</w:t>
            </w:r>
          </w:p>
        </w:tc>
        <w:tc>
          <w:tcPr>
            <w:tcW w:w="0" w:type="auto"/>
            <w:shd w:val="clear" w:color="auto" w:fill="FFFFFF"/>
            <w:vAlign w:val="bottom"/>
            <w:hideMark/>
          </w:tcPr>
          <w:p w14:paraId="7609946E"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902FD4" w14:textId="77777777" w:rsidR="00000000" w:rsidRDefault="006549D2">
            <w:pPr>
              <w:rPr>
                <w:rFonts w:eastAsia="Times New Roman"/>
                <w:sz w:val="20"/>
                <w:szCs w:val="20"/>
              </w:rPr>
            </w:pPr>
            <w:r>
              <w:rPr>
                <w:rFonts w:eastAsia="Times New Roman"/>
                <w:sz w:val="20"/>
                <w:szCs w:val="20"/>
              </w:rPr>
              <w:t>$</w:t>
            </w:r>
          </w:p>
        </w:tc>
        <w:tc>
          <w:tcPr>
            <w:tcW w:w="0" w:type="auto"/>
            <w:shd w:val="clear" w:color="auto" w:fill="FFFFFF"/>
            <w:vAlign w:val="bottom"/>
            <w:hideMark/>
          </w:tcPr>
          <w:p w14:paraId="7E87B932" w14:textId="77777777" w:rsidR="00000000" w:rsidRDefault="006549D2">
            <w:pPr>
              <w:jc w:val="right"/>
              <w:rPr>
                <w:rFonts w:eastAsia="Times New Roman"/>
                <w:sz w:val="20"/>
                <w:szCs w:val="20"/>
              </w:rPr>
            </w:pPr>
            <w:r>
              <w:rPr>
                <w:rFonts w:eastAsia="Times New Roman"/>
                <w:sz w:val="20"/>
                <w:szCs w:val="20"/>
              </w:rPr>
              <w:t>1,512,006</w:t>
            </w:r>
          </w:p>
        </w:tc>
        <w:tc>
          <w:tcPr>
            <w:tcW w:w="0" w:type="auto"/>
            <w:shd w:val="clear" w:color="auto" w:fill="FFFFFF"/>
            <w:vAlign w:val="bottom"/>
            <w:hideMark/>
          </w:tcPr>
          <w:p w14:paraId="37D8A38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076A1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7E80BF" w14:textId="77777777" w:rsidR="00000000" w:rsidRDefault="006549D2">
            <w:pPr>
              <w:rPr>
                <w:rFonts w:eastAsia="Times New Roman"/>
                <w:sz w:val="20"/>
                <w:szCs w:val="20"/>
              </w:rPr>
            </w:pPr>
            <w:r>
              <w:rPr>
                <w:rFonts w:eastAsia="Times New Roman"/>
                <w:sz w:val="20"/>
                <w:szCs w:val="20"/>
              </w:rPr>
              <w:t>$</w:t>
            </w:r>
          </w:p>
        </w:tc>
        <w:tc>
          <w:tcPr>
            <w:tcW w:w="0" w:type="auto"/>
            <w:shd w:val="clear" w:color="auto" w:fill="FFFFFF"/>
            <w:vAlign w:val="bottom"/>
            <w:hideMark/>
          </w:tcPr>
          <w:p w14:paraId="401E11A7" w14:textId="77777777" w:rsidR="00000000" w:rsidRDefault="006549D2">
            <w:pPr>
              <w:jc w:val="right"/>
              <w:rPr>
                <w:rFonts w:eastAsia="Times New Roman"/>
                <w:sz w:val="20"/>
                <w:szCs w:val="20"/>
              </w:rPr>
            </w:pPr>
            <w:r>
              <w:rPr>
                <w:rFonts w:eastAsia="Times New Roman"/>
                <w:sz w:val="20"/>
                <w:szCs w:val="20"/>
              </w:rPr>
              <w:t>1,450</w:t>
            </w:r>
          </w:p>
        </w:tc>
        <w:tc>
          <w:tcPr>
            <w:tcW w:w="0" w:type="auto"/>
            <w:shd w:val="clear" w:color="auto" w:fill="FFFFFF"/>
            <w:vAlign w:val="bottom"/>
            <w:hideMark/>
          </w:tcPr>
          <w:p w14:paraId="5C980DA8" w14:textId="77777777" w:rsidR="00000000" w:rsidRDefault="006549D2">
            <w:pPr>
              <w:rPr>
                <w:rFonts w:eastAsia="Times New Roman"/>
                <w:sz w:val="20"/>
                <w:szCs w:val="20"/>
              </w:rPr>
            </w:pPr>
            <w:r>
              <w:rPr>
                <w:rFonts w:eastAsia="Times New Roman"/>
                <w:sz w:val="20"/>
                <w:szCs w:val="20"/>
              </w:rPr>
              <w:t> </w:t>
            </w:r>
          </w:p>
        </w:tc>
      </w:tr>
      <w:tr w:rsidR="00000000" w14:paraId="0C585ECD" w14:textId="77777777">
        <w:tc>
          <w:tcPr>
            <w:tcW w:w="0" w:type="auto"/>
            <w:shd w:val="clear" w:color="auto" w:fill="CCEEFF"/>
            <w:tcMar>
              <w:top w:w="0" w:type="dxa"/>
              <w:left w:w="360" w:type="dxa"/>
              <w:bottom w:w="0" w:type="dxa"/>
              <w:right w:w="0" w:type="dxa"/>
            </w:tcMar>
            <w:vAlign w:val="bottom"/>
            <w:hideMark/>
          </w:tcPr>
          <w:p w14:paraId="45BAF5BA" w14:textId="77777777" w:rsidR="00000000" w:rsidRDefault="006549D2">
            <w:pPr>
              <w:ind w:hanging="166"/>
              <w:rPr>
                <w:rFonts w:eastAsia="Times New Roman"/>
                <w:sz w:val="20"/>
                <w:szCs w:val="20"/>
              </w:rPr>
            </w:pPr>
            <w:r>
              <w:rPr>
                <w:rFonts w:eastAsia="Times New Roman"/>
                <w:sz w:val="20"/>
                <w:szCs w:val="20"/>
              </w:rPr>
              <w:t>Accrued offering costs</w:t>
            </w:r>
          </w:p>
        </w:tc>
        <w:tc>
          <w:tcPr>
            <w:tcW w:w="0" w:type="auto"/>
            <w:shd w:val="clear" w:color="auto" w:fill="CCEEFF"/>
            <w:vAlign w:val="bottom"/>
            <w:hideMark/>
          </w:tcPr>
          <w:p w14:paraId="3071AF8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68529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34742C"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4597A4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B3C0E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FCCA3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E78252" w14:textId="77777777" w:rsidR="00000000" w:rsidRDefault="006549D2">
            <w:pPr>
              <w:jc w:val="right"/>
              <w:rPr>
                <w:rFonts w:eastAsia="Times New Roman"/>
                <w:sz w:val="20"/>
                <w:szCs w:val="20"/>
              </w:rPr>
            </w:pPr>
            <w:r>
              <w:rPr>
                <w:rFonts w:eastAsia="Times New Roman"/>
                <w:sz w:val="20"/>
                <w:szCs w:val="20"/>
              </w:rPr>
              <w:t>168,930</w:t>
            </w:r>
          </w:p>
        </w:tc>
        <w:tc>
          <w:tcPr>
            <w:tcW w:w="0" w:type="auto"/>
            <w:shd w:val="clear" w:color="auto" w:fill="CCEEFF"/>
            <w:vAlign w:val="bottom"/>
            <w:hideMark/>
          </w:tcPr>
          <w:p w14:paraId="557F3671" w14:textId="77777777" w:rsidR="00000000" w:rsidRDefault="006549D2">
            <w:pPr>
              <w:rPr>
                <w:rFonts w:eastAsia="Times New Roman"/>
                <w:sz w:val="20"/>
                <w:szCs w:val="20"/>
              </w:rPr>
            </w:pPr>
            <w:r>
              <w:rPr>
                <w:rFonts w:eastAsia="Times New Roman"/>
                <w:sz w:val="20"/>
                <w:szCs w:val="20"/>
              </w:rPr>
              <w:t> </w:t>
            </w:r>
          </w:p>
        </w:tc>
      </w:tr>
      <w:tr w:rsidR="00000000" w14:paraId="51DBF7A7" w14:textId="77777777">
        <w:tc>
          <w:tcPr>
            <w:tcW w:w="0" w:type="auto"/>
            <w:shd w:val="clear" w:color="auto" w:fill="FFFFFF"/>
            <w:tcMar>
              <w:top w:w="0" w:type="dxa"/>
              <w:left w:w="360" w:type="dxa"/>
              <w:bottom w:w="0" w:type="dxa"/>
              <w:right w:w="0" w:type="dxa"/>
            </w:tcMar>
            <w:vAlign w:val="bottom"/>
            <w:hideMark/>
          </w:tcPr>
          <w:p w14:paraId="35399878" w14:textId="77777777" w:rsidR="00000000" w:rsidRDefault="006549D2">
            <w:pPr>
              <w:ind w:hanging="166"/>
              <w:rPr>
                <w:rFonts w:eastAsia="Times New Roman"/>
                <w:sz w:val="20"/>
                <w:szCs w:val="20"/>
              </w:rPr>
            </w:pPr>
            <w:r>
              <w:rPr>
                <w:rFonts w:eastAsia="Times New Roman"/>
                <w:sz w:val="20"/>
                <w:szCs w:val="20"/>
              </w:rPr>
              <w:t>Income taxes payable</w:t>
            </w:r>
          </w:p>
        </w:tc>
        <w:tc>
          <w:tcPr>
            <w:tcW w:w="0" w:type="auto"/>
            <w:shd w:val="clear" w:color="auto" w:fill="FFFFFF"/>
            <w:vAlign w:val="bottom"/>
            <w:hideMark/>
          </w:tcPr>
          <w:p w14:paraId="7D9AFDB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038828"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8B2EFD" w14:textId="77777777" w:rsidR="00000000" w:rsidRDefault="006549D2">
            <w:pPr>
              <w:jc w:val="right"/>
              <w:rPr>
                <w:rFonts w:eastAsia="Times New Roman"/>
                <w:sz w:val="20"/>
                <w:szCs w:val="20"/>
              </w:rPr>
            </w:pPr>
            <w:r>
              <w:rPr>
                <w:rFonts w:eastAsia="Times New Roman"/>
                <w:sz w:val="20"/>
                <w:szCs w:val="20"/>
              </w:rPr>
              <w:t>452,305</w:t>
            </w:r>
          </w:p>
        </w:tc>
        <w:tc>
          <w:tcPr>
            <w:tcW w:w="0" w:type="auto"/>
            <w:shd w:val="clear" w:color="auto" w:fill="FFFFFF"/>
            <w:vAlign w:val="bottom"/>
            <w:hideMark/>
          </w:tcPr>
          <w:p w14:paraId="7E966C2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C143D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54067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89C798"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ABAF87F" w14:textId="77777777" w:rsidR="00000000" w:rsidRDefault="006549D2">
            <w:pPr>
              <w:rPr>
                <w:rFonts w:eastAsia="Times New Roman"/>
                <w:sz w:val="20"/>
                <w:szCs w:val="20"/>
              </w:rPr>
            </w:pPr>
            <w:r>
              <w:rPr>
                <w:rFonts w:eastAsia="Times New Roman"/>
                <w:sz w:val="20"/>
                <w:szCs w:val="20"/>
              </w:rPr>
              <w:t> </w:t>
            </w:r>
          </w:p>
        </w:tc>
      </w:tr>
      <w:tr w:rsidR="00000000" w14:paraId="378272C6" w14:textId="77777777">
        <w:tc>
          <w:tcPr>
            <w:tcW w:w="0" w:type="auto"/>
            <w:shd w:val="clear" w:color="auto" w:fill="CCEEFF"/>
            <w:tcMar>
              <w:top w:w="0" w:type="dxa"/>
              <w:left w:w="360" w:type="dxa"/>
              <w:bottom w:w="20" w:type="dxa"/>
              <w:right w:w="0" w:type="dxa"/>
            </w:tcMar>
            <w:vAlign w:val="bottom"/>
            <w:hideMark/>
          </w:tcPr>
          <w:p w14:paraId="7EB8A17F" w14:textId="77777777" w:rsidR="00000000" w:rsidRDefault="006549D2">
            <w:pPr>
              <w:ind w:hanging="166"/>
              <w:rPr>
                <w:rFonts w:eastAsia="Times New Roman"/>
                <w:sz w:val="20"/>
                <w:szCs w:val="20"/>
              </w:rPr>
            </w:pPr>
            <w:r>
              <w:rPr>
                <w:rFonts w:eastAsia="Times New Roman"/>
                <w:sz w:val="20"/>
                <w:szCs w:val="20"/>
              </w:rPr>
              <w:t>Promissory note – related party</w:t>
            </w:r>
          </w:p>
        </w:tc>
        <w:tc>
          <w:tcPr>
            <w:tcW w:w="0" w:type="auto"/>
            <w:shd w:val="clear" w:color="auto" w:fill="CCEEFF"/>
            <w:tcMar>
              <w:top w:w="0" w:type="dxa"/>
              <w:left w:w="0" w:type="dxa"/>
              <w:bottom w:w="20" w:type="dxa"/>
              <w:right w:w="0" w:type="dxa"/>
            </w:tcMar>
            <w:vAlign w:val="bottom"/>
            <w:hideMark/>
          </w:tcPr>
          <w:p w14:paraId="0C18918E"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2594B759"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554AA51A"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2BACB32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1B60ED48"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707B9308"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4FC49CBB" w14:textId="77777777" w:rsidR="00000000" w:rsidRDefault="006549D2">
            <w:pPr>
              <w:jc w:val="right"/>
              <w:rPr>
                <w:rFonts w:eastAsia="Times New Roman"/>
                <w:sz w:val="20"/>
                <w:szCs w:val="20"/>
              </w:rPr>
            </w:pPr>
            <w:r>
              <w:rPr>
                <w:rFonts w:eastAsia="Times New Roman"/>
                <w:sz w:val="20"/>
                <w:szCs w:val="20"/>
              </w:rPr>
              <w:t>125,000</w:t>
            </w:r>
          </w:p>
        </w:tc>
        <w:tc>
          <w:tcPr>
            <w:tcW w:w="0" w:type="auto"/>
            <w:shd w:val="clear" w:color="auto" w:fill="CCEEFF"/>
            <w:tcMar>
              <w:top w:w="0" w:type="dxa"/>
              <w:left w:w="0" w:type="dxa"/>
              <w:bottom w:w="20" w:type="dxa"/>
              <w:right w:w="0" w:type="dxa"/>
            </w:tcMar>
            <w:vAlign w:val="bottom"/>
            <w:hideMark/>
          </w:tcPr>
          <w:p w14:paraId="44BD9178" w14:textId="77777777" w:rsidR="00000000" w:rsidRDefault="006549D2">
            <w:pPr>
              <w:rPr>
                <w:rFonts w:eastAsia="Times New Roman"/>
                <w:sz w:val="20"/>
                <w:szCs w:val="20"/>
              </w:rPr>
            </w:pPr>
            <w:r>
              <w:rPr>
                <w:rFonts w:eastAsia="Times New Roman"/>
                <w:sz w:val="20"/>
                <w:szCs w:val="20"/>
              </w:rPr>
              <w:t> </w:t>
            </w:r>
          </w:p>
        </w:tc>
      </w:tr>
      <w:tr w:rsidR="00000000" w14:paraId="53975473" w14:textId="77777777">
        <w:tc>
          <w:tcPr>
            <w:tcW w:w="0" w:type="auto"/>
            <w:shd w:val="clear" w:color="auto" w:fill="FFFFFF"/>
            <w:tcMar>
              <w:top w:w="0" w:type="dxa"/>
              <w:left w:w="540" w:type="dxa"/>
              <w:bottom w:w="0" w:type="dxa"/>
              <w:right w:w="0" w:type="dxa"/>
            </w:tcMar>
            <w:vAlign w:val="bottom"/>
            <w:hideMark/>
          </w:tcPr>
          <w:p w14:paraId="2279E907" w14:textId="77777777" w:rsidR="00000000" w:rsidRDefault="006549D2">
            <w:pPr>
              <w:ind w:hanging="166"/>
              <w:rPr>
                <w:rFonts w:eastAsia="Times New Roman"/>
                <w:sz w:val="20"/>
                <w:szCs w:val="20"/>
              </w:rPr>
            </w:pPr>
            <w:r>
              <w:rPr>
                <w:rFonts w:eastAsia="Times New Roman"/>
                <w:sz w:val="20"/>
                <w:szCs w:val="20"/>
              </w:rPr>
              <w:t>Total Current Liabilities</w:t>
            </w:r>
          </w:p>
        </w:tc>
        <w:tc>
          <w:tcPr>
            <w:tcW w:w="0" w:type="auto"/>
            <w:shd w:val="clear" w:color="auto" w:fill="FFFFFF"/>
            <w:vAlign w:val="bottom"/>
            <w:hideMark/>
          </w:tcPr>
          <w:p w14:paraId="39ED75E1"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D00563"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6BA032" w14:textId="77777777" w:rsidR="00000000" w:rsidRDefault="006549D2">
            <w:pPr>
              <w:jc w:val="right"/>
              <w:rPr>
                <w:rFonts w:eastAsia="Times New Roman"/>
                <w:sz w:val="20"/>
                <w:szCs w:val="20"/>
              </w:rPr>
            </w:pPr>
            <w:r>
              <w:rPr>
                <w:rFonts w:eastAsia="Times New Roman"/>
                <w:sz w:val="20"/>
                <w:szCs w:val="20"/>
              </w:rPr>
              <w:t>1,964,311</w:t>
            </w:r>
          </w:p>
        </w:tc>
        <w:tc>
          <w:tcPr>
            <w:tcW w:w="0" w:type="auto"/>
            <w:shd w:val="clear" w:color="auto" w:fill="FFFFFF"/>
            <w:vAlign w:val="bottom"/>
            <w:hideMark/>
          </w:tcPr>
          <w:p w14:paraId="53ED9A5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4614E1"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9BD47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324261" w14:textId="77777777" w:rsidR="00000000" w:rsidRDefault="006549D2">
            <w:pPr>
              <w:jc w:val="right"/>
              <w:rPr>
                <w:rFonts w:eastAsia="Times New Roman"/>
                <w:sz w:val="20"/>
                <w:szCs w:val="20"/>
              </w:rPr>
            </w:pPr>
            <w:r>
              <w:rPr>
                <w:rFonts w:eastAsia="Times New Roman"/>
                <w:sz w:val="20"/>
                <w:szCs w:val="20"/>
              </w:rPr>
              <w:t>295,380</w:t>
            </w:r>
          </w:p>
        </w:tc>
        <w:tc>
          <w:tcPr>
            <w:tcW w:w="0" w:type="auto"/>
            <w:shd w:val="clear" w:color="auto" w:fill="FFFFFF"/>
            <w:vAlign w:val="bottom"/>
            <w:hideMark/>
          </w:tcPr>
          <w:p w14:paraId="28294DB8" w14:textId="77777777" w:rsidR="00000000" w:rsidRDefault="006549D2">
            <w:pPr>
              <w:rPr>
                <w:rFonts w:eastAsia="Times New Roman"/>
                <w:sz w:val="20"/>
                <w:szCs w:val="20"/>
              </w:rPr>
            </w:pPr>
            <w:r>
              <w:rPr>
                <w:rFonts w:eastAsia="Times New Roman"/>
                <w:sz w:val="20"/>
                <w:szCs w:val="20"/>
              </w:rPr>
              <w:t> </w:t>
            </w:r>
          </w:p>
        </w:tc>
      </w:tr>
      <w:tr w:rsidR="00000000" w14:paraId="622B9247" w14:textId="77777777">
        <w:tc>
          <w:tcPr>
            <w:tcW w:w="0" w:type="auto"/>
            <w:shd w:val="clear" w:color="auto" w:fill="CCEEFF"/>
            <w:tcMar>
              <w:top w:w="0" w:type="dxa"/>
              <w:left w:w="180" w:type="dxa"/>
              <w:bottom w:w="0" w:type="dxa"/>
              <w:right w:w="0" w:type="dxa"/>
            </w:tcMar>
            <w:vAlign w:val="bottom"/>
            <w:hideMark/>
          </w:tcPr>
          <w:p w14:paraId="6F8F99FD" w14:textId="77777777" w:rsidR="00000000" w:rsidRDefault="006549D2">
            <w:pPr>
              <w:ind w:hanging="166"/>
              <w:rPr>
                <w:rFonts w:eastAsia="Times New Roman"/>
                <w:sz w:val="20"/>
                <w:szCs w:val="20"/>
              </w:rPr>
            </w:pPr>
            <w:r>
              <w:rPr>
                <w:rFonts w:eastAsia="Times New Roman"/>
                <w:sz w:val="20"/>
                <w:szCs w:val="20"/>
              </w:rPr>
              <w:t> </w:t>
            </w:r>
          </w:p>
        </w:tc>
        <w:tc>
          <w:tcPr>
            <w:tcW w:w="0" w:type="auto"/>
            <w:shd w:val="clear" w:color="auto" w:fill="CCEEFF"/>
            <w:vAlign w:val="bottom"/>
            <w:hideMark/>
          </w:tcPr>
          <w:p w14:paraId="7313736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3FE17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B91CA5"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D8CC94B"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133CE6"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14510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750442"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83130D8" w14:textId="77777777" w:rsidR="00000000" w:rsidRDefault="006549D2">
            <w:pPr>
              <w:rPr>
                <w:rFonts w:eastAsia="Times New Roman"/>
                <w:sz w:val="20"/>
                <w:szCs w:val="20"/>
              </w:rPr>
            </w:pPr>
            <w:r>
              <w:rPr>
                <w:rFonts w:eastAsia="Times New Roman"/>
                <w:sz w:val="20"/>
                <w:szCs w:val="20"/>
              </w:rPr>
              <w:t> </w:t>
            </w:r>
          </w:p>
        </w:tc>
      </w:tr>
      <w:tr w:rsidR="00000000" w14:paraId="3CA45B57" w14:textId="77777777">
        <w:tc>
          <w:tcPr>
            <w:tcW w:w="0" w:type="auto"/>
            <w:shd w:val="clear" w:color="auto" w:fill="FFFFFF"/>
            <w:tcMar>
              <w:top w:w="0" w:type="dxa"/>
              <w:left w:w="180" w:type="dxa"/>
              <w:bottom w:w="20" w:type="dxa"/>
              <w:right w:w="0" w:type="dxa"/>
            </w:tcMar>
            <w:vAlign w:val="bottom"/>
            <w:hideMark/>
          </w:tcPr>
          <w:p w14:paraId="3C979665" w14:textId="77777777" w:rsidR="00000000" w:rsidRDefault="006549D2">
            <w:pPr>
              <w:ind w:hanging="166"/>
              <w:rPr>
                <w:rFonts w:eastAsia="Times New Roman"/>
                <w:sz w:val="20"/>
                <w:szCs w:val="20"/>
              </w:rPr>
            </w:pPr>
            <w:r>
              <w:rPr>
                <w:rFonts w:eastAsia="Times New Roman"/>
                <w:sz w:val="20"/>
                <w:szCs w:val="20"/>
              </w:rPr>
              <w:t>Deferred underwriting fee payable</w:t>
            </w:r>
          </w:p>
        </w:tc>
        <w:tc>
          <w:tcPr>
            <w:tcW w:w="0" w:type="auto"/>
            <w:shd w:val="clear" w:color="auto" w:fill="FFFFFF"/>
            <w:tcMar>
              <w:top w:w="0" w:type="dxa"/>
              <w:left w:w="0" w:type="dxa"/>
              <w:bottom w:w="20" w:type="dxa"/>
              <w:right w:w="0" w:type="dxa"/>
            </w:tcMar>
            <w:vAlign w:val="bottom"/>
            <w:hideMark/>
          </w:tcPr>
          <w:p w14:paraId="1E716A0C"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7FFE2187"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535929B5" w14:textId="77777777" w:rsidR="00000000" w:rsidRDefault="006549D2">
            <w:pPr>
              <w:jc w:val="right"/>
              <w:rPr>
                <w:rFonts w:eastAsia="Times New Roman"/>
                <w:sz w:val="20"/>
                <w:szCs w:val="20"/>
              </w:rPr>
            </w:pPr>
            <w:r>
              <w:rPr>
                <w:rFonts w:eastAsia="Times New Roman"/>
                <w:sz w:val="20"/>
                <w:szCs w:val="20"/>
              </w:rPr>
              <w:t>38,500,000</w:t>
            </w:r>
          </w:p>
        </w:tc>
        <w:tc>
          <w:tcPr>
            <w:tcW w:w="0" w:type="auto"/>
            <w:shd w:val="clear" w:color="auto" w:fill="FFFFFF"/>
            <w:tcMar>
              <w:top w:w="0" w:type="dxa"/>
              <w:left w:w="0" w:type="dxa"/>
              <w:bottom w:w="20" w:type="dxa"/>
              <w:right w:w="0" w:type="dxa"/>
            </w:tcMar>
            <w:vAlign w:val="bottom"/>
            <w:hideMark/>
          </w:tcPr>
          <w:p w14:paraId="1EA1F3BA"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460FDA6C"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693B2F62"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1E95ADC0"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6F376ED9" w14:textId="77777777" w:rsidR="00000000" w:rsidRDefault="006549D2">
            <w:pPr>
              <w:rPr>
                <w:rFonts w:eastAsia="Times New Roman"/>
                <w:sz w:val="20"/>
                <w:szCs w:val="20"/>
              </w:rPr>
            </w:pPr>
            <w:r>
              <w:rPr>
                <w:rFonts w:eastAsia="Times New Roman"/>
                <w:sz w:val="20"/>
                <w:szCs w:val="20"/>
              </w:rPr>
              <w:t> </w:t>
            </w:r>
          </w:p>
        </w:tc>
      </w:tr>
      <w:tr w:rsidR="00000000" w14:paraId="01A9A4D3" w14:textId="77777777">
        <w:tc>
          <w:tcPr>
            <w:tcW w:w="0" w:type="auto"/>
            <w:shd w:val="clear" w:color="auto" w:fill="CCEEFF"/>
            <w:tcMar>
              <w:top w:w="0" w:type="dxa"/>
              <w:left w:w="180" w:type="dxa"/>
              <w:bottom w:w="20" w:type="dxa"/>
              <w:right w:w="0" w:type="dxa"/>
            </w:tcMar>
            <w:vAlign w:val="bottom"/>
            <w:hideMark/>
          </w:tcPr>
          <w:p w14:paraId="0850F0A6" w14:textId="77777777" w:rsidR="00000000" w:rsidRDefault="006549D2">
            <w:pPr>
              <w:ind w:hanging="166"/>
              <w:rPr>
                <w:rFonts w:eastAsia="Times New Roman"/>
                <w:b/>
                <w:bCs/>
                <w:sz w:val="20"/>
                <w:szCs w:val="20"/>
              </w:rPr>
            </w:pPr>
            <w:r>
              <w:rPr>
                <w:rFonts w:eastAsia="Times New Roman"/>
                <w:b/>
                <w:bCs/>
                <w:sz w:val="20"/>
                <w:szCs w:val="20"/>
              </w:rPr>
              <w:t>Total Liabilities</w:t>
            </w:r>
          </w:p>
        </w:tc>
        <w:tc>
          <w:tcPr>
            <w:tcW w:w="0" w:type="auto"/>
            <w:shd w:val="clear" w:color="auto" w:fill="CCEEFF"/>
            <w:tcMar>
              <w:top w:w="0" w:type="dxa"/>
              <w:left w:w="0" w:type="dxa"/>
              <w:bottom w:w="20" w:type="dxa"/>
              <w:right w:w="0" w:type="dxa"/>
            </w:tcMar>
            <w:vAlign w:val="bottom"/>
            <w:hideMark/>
          </w:tcPr>
          <w:p w14:paraId="242CD431"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14:paraId="66D52501"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14:paraId="19F982F7" w14:textId="77777777" w:rsidR="00000000" w:rsidRDefault="006549D2">
            <w:pPr>
              <w:jc w:val="right"/>
              <w:rPr>
                <w:rFonts w:eastAsia="Times New Roman"/>
                <w:b/>
                <w:bCs/>
                <w:sz w:val="20"/>
                <w:szCs w:val="20"/>
              </w:rPr>
            </w:pPr>
            <w:r>
              <w:rPr>
                <w:rFonts w:eastAsia="Times New Roman"/>
                <w:b/>
                <w:bCs/>
                <w:sz w:val="20"/>
                <w:szCs w:val="20"/>
              </w:rPr>
              <w:t>40,464,311</w:t>
            </w:r>
          </w:p>
        </w:tc>
        <w:tc>
          <w:tcPr>
            <w:tcW w:w="0" w:type="auto"/>
            <w:shd w:val="clear" w:color="auto" w:fill="CCEEFF"/>
            <w:tcMar>
              <w:top w:w="0" w:type="dxa"/>
              <w:left w:w="0" w:type="dxa"/>
              <w:bottom w:w="20" w:type="dxa"/>
              <w:right w:w="0" w:type="dxa"/>
            </w:tcMar>
            <w:vAlign w:val="bottom"/>
            <w:hideMark/>
          </w:tcPr>
          <w:p w14:paraId="1421EAEA"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20" w:type="dxa"/>
              <w:right w:w="0" w:type="dxa"/>
            </w:tcMar>
            <w:vAlign w:val="bottom"/>
            <w:hideMark/>
          </w:tcPr>
          <w:p w14:paraId="743DDAC9"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14:paraId="03FF51AD"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14:paraId="74ED08AD" w14:textId="77777777" w:rsidR="00000000" w:rsidRDefault="006549D2">
            <w:pPr>
              <w:jc w:val="right"/>
              <w:rPr>
                <w:rFonts w:eastAsia="Times New Roman"/>
                <w:b/>
                <w:bCs/>
                <w:sz w:val="20"/>
                <w:szCs w:val="20"/>
              </w:rPr>
            </w:pPr>
            <w:r>
              <w:rPr>
                <w:rFonts w:eastAsia="Times New Roman"/>
                <w:b/>
                <w:bCs/>
                <w:sz w:val="20"/>
                <w:szCs w:val="20"/>
              </w:rPr>
              <w:t>295,380</w:t>
            </w:r>
          </w:p>
        </w:tc>
        <w:tc>
          <w:tcPr>
            <w:tcW w:w="0" w:type="auto"/>
            <w:shd w:val="clear" w:color="auto" w:fill="CCEEFF"/>
            <w:tcMar>
              <w:top w:w="0" w:type="dxa"/>
              <w:left w:w="0" w:type="dxa"/>
              <w:bottom w:w="20" w:type="dxa"/>
              <w:right w:w="0" w:type="dxa"/>
            </w:tcMar>
            <w:vAlign w:val="bottom"/>
            <w:hideMark/>
          </w:tcPr>
          <w:p w14:paraId="4472C2D8" w14:textId="77777777" w:rsidR="00000000" w:rsidRDefault="006549D2">
            <w:pPr>
              <w:rPr>
                <w:rFonts w:eastAsia="Times New Roman"/>
                <w:b/>
                <w:bCs/>
                <w:sz w:val="20"/>
                <w:szCs w:val="20"/>
              </w:rPr>
            </w:pPr>
            <w:r>
              <w:rPr>
                <w:rFonts w:eastAsia="Times New Roman"/>
                <w:b/>
                <w:bCs/>
                <w:sz w:val="20"/>
                <w:szCs w:val="20"/>
              </w:rPr>
              <w:t> </w:t>
            </w:r>
          </w:p>
        </w:tc>
      </w:tr>
      <w:tr w:rsidR="00000000" w14:paraId="3EBEEE86" w14:textId="77777777">
        <w:tc>
          <w:tcPr>
            <w:tcW w:w="0" w:type="auto"/>
            <w:shd w:val="clear" w:color="auto" w:fill="FFFFFF"/>
            <w:tcMar>
              <w:top w:w="0" w:type="dxa"/>
              <w:left w:w="180" w:type="dxa"/>
              <w:bottom w:w="0" w:type="dxa"/>
              <w:right w:w="0" w:type="dxa"/>
            </w:tcMar>
            <w:vAlign w:val="bottom"/>
            <w:hideMark/>
          </w:tcPr>
          <w:p w14:paraId="6424E9A6" w14:textId="77777777" w:rsidR="00000000" w:rsidRDefault="006549D2">
            <w:pPr>
              <w:ind w:hanging="166"/>
              <w:rPr>
                <w:rFonts w:eastAsia="Times New Roman"/>
                <w:sz w:val="20"/>
                <w:szCs w:val="20"/>
              </w:rPr>
            </w:pPr>
            <w:r>
              <w:rPr>
                <w:rFonts w:eastAsia="Times New Roman"/>
                <w:sz w:val="20"/>
                <w:szCs w:val="20"/>
              </w:rPr>
              <w:t> </w:t>
            </w:r>
          </w:p>
        </w:tc>
        <w:tc>
          <w:tcPr>
            <w:tcW w:w="0" w:type="auto"/>
            <w:shd w:val="clear" w:color="auto" w:fill="FFFFFF"/>
            <w:vAlign w:val="bottom"/>
            <w:hideMark/>
          </w:tcPr>
          <w:p w14:paraId="77246B9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40161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9D080F"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74B2A2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9BDF13"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C9A063"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1AD08D"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CBFA237" w14:textId="77777777" w:rsidR="00000000" w:rsidRDefault="006549D2">
            <w:pPr>
              <w:rPr>
                <w:rFonts w:eastAsia="Times New Roman"/>
                <w:sz w:val="20"/>
                <w:szCs w:val="20"/>
              </w:rPr>
            </w:pPr>
            <w:r>
              <w:rPr>
                <w:rFonts w:eastAsia="Times New Roman"/>
                <w:sz w:val="20"/>
                <w:szCs w:val="20"/>
              </w:rPr>
              <w:t> </w:t>
            </w:r>
          </w:p>
        </w:tc>
      </w:tr>
      <w:tr w:rsidR="00000000" w14:paraId="51A7D3E7" w14:textId="77777777">
        <w:tc>
          <w:tcPr>
            <w:tcW w:w="0" w:type="auto"/>
            <w:shd w:val="clear" w:color="auto" w:fill="CCEEFF"/>
            <w:tcMar>
              <w:top w:w="0" w:type="dxa"/>
              <w:left w:w="180" w:type="dxa"/>
              <w:bottom w:w="0" w:type="dxa"/>
              <w:right w:w="0" w:type="dxa"/>
            </w:tcMar>
            <w:vAlign w:val="bottom"/>
            <w:hideMark/>
          </w:tcPr>
          <w:p w14:paraId="3DD15CA7" w14:textId="77777777" w:rsidR="00000000" w:rsidRDefault="006549D2">
            <w:pPr>
              <w:ind w:hanging="166"/>
              <w:rPr>
                <w:rFonts w:eastAsia="Times New Roman"/>
                <w:b/>
                <w:bCs/>
                <w:sz w:val="20"/>
                <w:szCs w:val="20"/>
              </w:rPr>
            </w:pPr>
            <w:r>
              <w:rPr>
                <w:rFonts w:eastAsia="Times New Roman"/>
                <w:b/>
                <w:bCs/>
                <w:sz w:val="20"/>
                <w:szCs w:val="20"/>
              </w:rPr>
              <w:t>Commitments</w:t>
            </w:r>
          </w:p>
        </w:tc>
        <w:tc>
          <w:tcPr>
            <w:tcW w:w="0" w:type="auto"/>
            <w:shd w:val="clear" w:color="auto" w:fill="CCEEFF"/>
            <w:vAlign w:val="bottom"/>
            <w:hideMark/>
          </w:tcPr>
          <w:p w14:paraId="23DC4192"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53CC3BC7"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5D1E34E8" w14:textId="77777777" w:rsidR="00000000" w:rsidRDefault="006549D2">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6AE08C88"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437C3EF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881918"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376A43"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8F45D2F" w14:textId="77777777" w:rsidR="00000000" w:rsidRDefault="006549D2">
            <w:pPr>
              <w:rPr>
                <w:rFonts w:eastAsia="Times New Roman"/>
                <w:sz w:val="20"/>
                <w:szCs w:val="20"/>
              </w:rPr>
            </w:pPr>
            <w:r>
              <w:rPr>
                <w:rFonts w:eastAsia="Times New Roman"/>
                <w:sz w:val="20"/>
                <w:szCs w:val="20"/>
              </w:rPr>
              <w:t> </w:t>
            </w:r>
          </w:p>
        </w:tc>
      </w:tr>
      <w:tr w:rsidR="00000000" w14:paraId="4F7930F6" w14:textId="77777777">
        <w:tc>
          <w:tcPr>
            <w:tcW w:w="0" w:type="auto"/>
            <w:shd w:val="clear" w:color="auto" w:fill="FFFFFF"/>
            <w:tcMar>
              <w:top w:w="0" w:type="dxa"/>
              <w:left w:w="180" w:type="dxa"/>
              <w:bottom w:w="0" w:type="dxa"/>
              <w:right w:w="0" w:type="dxa"/>
            </w:tcMar>
            <w:vAlign w:val="bottom"/>
            <w:hideMark/>
          </w:tcPr>
          <w:p w14:paraId="2E791A43" w14:textId="77777777" w:rsidR="00000000" w:rsidRDefault="006549D2">
            <w:pPr>
              <w:ind w:hanging="166"/>
              <w:rPr>
                <w:rFonts w:eastAsia="Times New Roman"/>
                <w:sz w:val="20"/>
                <w:szCs w:val="20"/>
              </w:rPr>
            </w:pPr>
            <w:r>
              <w:rPr>
                <w:rFonts w:eastAsia="Times New Roman"/>
                <w:sz w:val="20"/>
                <w:szCs w:val="20"/>
              </w:rPr>
              <w:t> </w:t>
            </w:r>
          </w:p>
        </w:tc>
        <w:tc>
          <w:tcPr>
            <w:tcW w:w="0" w:type="auto"/>
            <w:shd w:val="clear" w:color="auto" w:fill="FFFFFF"/>
            <w:vAlign w:val="bottom"/>
            <w:hideMark/>
          </w:tcPr>
          <w:p w14:paraId="76F151E8"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E01BC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95994D"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826DED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3EA21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DDF02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51E173"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C42F336" w14:textId="77777777" w:rsidR="00000000" w:rsidRDefault="006549D2">
            <w:pPr>
              <w:rPr>
                <w:rFonts w:eastAsia="Times New Roman"/>
                <w:sz w:val="20"/>
                <w:szCs w:val="20"/>
              </w:rPr>
            </w:pPr>
            <w:r>
              <w:rPr>
                <w:rFonts w:eastAsia="Times New Roman"/>
                <w:sz w:val="20"/>
                <w:szCs w:val="20"/>
              </w:rPr>
              <w:t> </w:t>
            </w:r>
          </w:p>
        </w:tc>
      </w:tr>
      <w:tr w:rsidR="00000000" w14:paraId="0C9BF529" w14:textId="77777777">
        <w:tc>
          <w:tcPr>
            <w:tcW w:w="0" w:type="auto"/>
            <w:shd w:val="clear" w:color="auto" w:fill="CCEEFF"/>
            <w:tcMar>
              <w:top w:w="0" w:type="dxa"/>
              <w:left w:w="180" w:type="dxa"/>
              <w:bottom w:w="0" w:type="dxa"/>
              <w:right w:w="0" w:type="dxa"/>
            </w:tcMar>
            <w:vAlign w:val="bottom"/>
            <w:hideMark/>
          </w:tcPr>
          <w:p w14:paraId="77583F1B" w14:textId="77777777" w:rsidR="00000000" w:rsidRDefault="006549D2">
            <w:pPr>
              <w:ind w:hanging="166"/>
              <w:rPr>
                <w:rFonts w:eastAsia="Times New Roman"/>
                <w:sz w:val="20"/>
                <w:szCs w:val="20"/>
              </w:rPr>
            </w:pPr>
            <w:r>
              <w:rPr>
                <w:rFonts w:eastAsia="Times New Roman"/>
                <w:sz w:val="20"/>
                <w:szCs w:val="20"/>
              </w:rPr>
              <w:t>Common stock subject to possible redemption, 105,858,072 and no shares at redemption value at June 30, 2020 and December 31, 2019, respectively</w:t>
            </w:r>
          </w:p>
        </w:tc>
        <w:tc>
          <w:tcPr>
            <w:tcW w:w="0" w:type="auto"/>
            <w:shd w:val="clear" w:color="auto" w:fill="CCEEFF"/>
            <w:vAlign w:val="bottom"/>
            <w:hideMark/>
          </w:tcPr>
          <w:p w14:paraId="0F79E4A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4669A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513830" w14:textId="77777777" w:rsidR="00000000" w:rsidRDefault="006549D2">
            <w:pPr>
              <w:jc w:val="right"/>
              <w:rPr>
                <w:rFonts w:eastAsia="Times New Roman"/>
                <w:sz w:val="20"/>
                <w:szCs w:val="20"/>
              </w:rPr>
            </w:pPr>
            <w:r>
              <w:rPr>
                <w:rFonts w:eastAsia="Times New Roman"/>
                <w:sz w:val="20"/>
                <w:szCs w:val="20"/>
              </w:rPr>
              <w:t>1,062,100,027</w:t>
            </w:r>
          </w:p>
        </w:tc>
        <w:tc>
          <w:tcPr>
            <w:tcW w:w="0" w:type="auto"/>
            <w:shd w:val="clear" w:color="auto" w:fill="CCEEFF"/>
            <w:vAlign w:val="bottom"/>
            <w:hideMark/>
          </w:tcPr>
          <w:p w14:paraId="30E56C9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82DC8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5214EE"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F9E72C"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4264E70" w14:textId="77777777" w:rsidR="00000000" w:rsidRDefault="006549D2">
            <w:pPr>
              <w:rPr>
                <w:rFonts w:eastAsia="Times New Roman"/>
                <w:sz w:val="20"/>
                <w:szCs w:val="20"/>
              </w:rPr>
            </w:pPr>
            <w:r>
              <w:rPr>
                <w:rFonts w:eastAsia="Times New Roman"/>
                <w:sz w:val="20"/>
                <w:szCs w:val="20"/>
              </w:rPr>
              <w:t> </w:t>
            </w:r>
          </w:p>
        </w:tc>
      </w:tr>
      <w:tr w:rsidR="00000000" w14:paraId="4946914D" w14:textId="77777777">
        <w:tc>
          <w:tcPr>
            <w:tcW w:w="0" w:type="auto"/>
            <w:shd w:val="clear" w:color="auto" w:fill="FFFFFF"/>
            <w:tcMar>
              <w:top w:w="0" w:type="dxa"/>
              <w:left w:w="180" w:type="dxa"/>
              <w:bottom w:w="0" w:type="dxa"/>
              <w:right w:w="0" w:type="dxa"/>
            </w:tcMar>
            <w:vAlign w:val="bottom"/>
            <w:hideMark/>
          </w:tcPr>
          <w:p w14:paraId="5618CA89" w14:textId="77777777" w:rsidR="00000000" w:rsidRDefault="006549D2">
            <w:pPr>
              <w:ind w:hanging="166"/>
              <w:rPr>
                <w:rFonts w:eastAsia="Times New Roman"/>
                <w:sz w:val="20"/>
                <w:szCs w:val="20"/>
              </w:rPr>
            </w:pPr>
            <w:r>
              <w:rPr>
                <w:rFonts w:eastAsia="Times New Roman"/>
                <w:sz w:val="20"/>
                <w:szCs w:val="20"/>
              </w:rPr>
              <w:t> </w:t>
            </w:r>
          </w:p>
        </w:tc>
        <w:tc>
          <w:tcPr>
            <w:tcW w:w="0" w:type="auto"/>
            <w:shd w:val="clear" w:color="auto" w:fill="FFFFFF"/>
            <w:vAlign w:val="bottom"/>
            <w:hideMark/>
          </w:tcPr>
          <w:p w14:paraId="101EBCCB"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3D751E"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C2AA4E"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D0C6B33"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79368E"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2EB3D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B4FE50"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98D3567" w14:textId="77777777" w:rsidR="00000000" w:rsidRDefault="006549D2">
            <w:pPr>
              <w:rPr>
                <w:rFonts w:eastAsia="Times New Roman"/>
                <w:sz w:val="20"/>
                <w:szCs w:val="20"/>
              </w:rPr>
            </w:pPr>
            <w:r>
              <w:rPr>
                <w:rFonts w:eastAsia="Times New Roman"/>
                <w:sz w:val="20"/>
                <w:szCs w:val="20"/>
              </w:rPr>
              <w:t> </w:t>
            </w:r>
          </w:p>
        </w:tc>
      </w:tr>
      <w:tr w:rsidR="00000000" w14:paraId="09D9547D" w14:textId="77777777">
        <w:tc>
          <w:tcPr>
            <w:tcW w:w="0" w:type="auto"/>
            <w:shd w:val="clear" w:color="auto" w:fill="CCEEFF"/>
            <w:tcMar>
              <w:top w:w="0" w:type="dxa"/>
              <w:left w:w="180" w:type="dxa"/>
              <w:bottom w:w="0" w:type="dxa"/>
              <w:right w:w="0" w:type="dxa"/>
            </w:tcMar>
            <w:vAlign w:val="bottom"/>
            <w:hideMark/>
          </w:tcPr>
          <w:p w14:paraId="33410B7E" w14:textId="77777777" w:rsidR="00000000" w:rsidRDefault="006549D2">
            <w:pPr>
              <w:ind w:hanging="166"/>
              <w:rPr>
                <w:rFonts w:eastAsia="Times New Roman"/>
                <w:b/>
                <w:bCs/>
                <w:sz w:val="20"/>
                <w:szCs w:val="20"/>
              </w:rPr>
            </w:pPr>
            <w:r>
              <w:rPr>
                <w:rFonts w:eastAsia="Times New Roman"/>
                <w:b/>
                <w:bCs/>
                <w:sz w:val="20"/>
                <w:szCs w:val="20"/>
              </w:rPr>
              <w:t>Stockholders’ Equity</w:t>
            </w:r>
          </w:p>
        </w:tc>
        <w:tc>
          <w:tcPr>
            <w:tcW w:w="0" w:type="auto"/>
            <w:shd w:val="clear" w:color="auto" w:fill="CCEEFF"/>
            <w:vAlign w:val="bottom"/>
            <w:hideMark/>
          </w:tcPr>
          <w:p w14:paraId="6162B66A"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22FCF1F4"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5CDAD144" w14:textId="77777777" w:rsidR="00000000" w:rsidRDefault="006549D2">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519AFD50"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41F4B736"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25619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1DC8EF"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6B21B97" w14:textId="77777777" w:rsidR="00000000" w:rsidRDefault="006549D2">
            <w:pPr>
              <w:rPr>
                <w:rFonts w:eastAsia="Times New Roman"/>
                <w:sz w:val="20"/>
                <w:szCs w:val="20"/>
              </w:rPr>
            </w:pPr>
            <w:r>
              <w:rPr>
                <w:rFonts w:eastAsia="Times New Roman"/>
                <w:sz w:val="20"/>
                <w:szCs w:val="20"/>
              </w:rPr>
              <w:t> </w:t>
            </w:r>
          </w:p>
        </w:tc>
      </w:tr>
      <w:tr w:rsidR="00000000" w14:paraId="6BFFB2E6" w14:textId="77777777">
        <w:tc>
          <w:tcPr>
            <w:tcW w:w="0" w:type="auto"/>
            <w:shd w:val="clear" w:color="auto" w:fill="FFFFFF"/>
            <w:tcMar>
              <w:top w:w="0" w:type="dxa"/>
              <w:left w:w="180" w:type="dxa"/>
              <w:bottom w:w="0" w:type="dxa"/>
              <w:right w:w="0" w:type="dxa"/>
            </w:tcMar>
            <w:vAlign w:val="bottom"/>
            <w:hideMark/>
          </w:tcPr>
          <w:p w14:paraId="718AF0B6" w14:textId="77777777" w:rsidR="00000000" w:rsidRDefault="006549D2">
            <w:pPr>
              <w:ind w:hanging="166"/>
              <w:rPr>
                <w:rFonts w:eastAsia="Times New Roman"/>
                <w:sz w:val="20"/>
                <w:szCs w:val="20"/>
              </w:rPr>
            </w:pPr>
            <w:r>
              <w:rPr>
                <w:rFonts w:eastAsia="Times New Roman"/>
                <w:sz w:val="20"/>
                <w:szCs w:val="20"/>
              </w:rPr>
              <w:t>Preferred stock, $0.0001 par value; 1,000,000 shares authorized; none issued and outstanding</w:t>
            </w:r>
          </w:p>
        </w:tc>
        <w:tc>
          <w:tcPr>
            <w:tcW w:w="0" w:type="auto"/>
            <w:shd w:val="clear" w:color="auto" w:fill="FFFFFF"/>
            <w:vAlign w:val="bottom"/>
            <w:hideMark/>
          </w:tcPr>
          <w:p w14:paraId="7A4163E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A1D95A"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1C1C1A"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E6ED31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A4AAF6"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3F939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0D8A7B"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08651DE" w14:textId="77777777" w:rsidR="00000000" w:rsidRDefault="006549D2">
            <w:pPr>
              <w:rPr>
                <w:rFonts w:eastAsia="Times New Roman"/>
                <w:sz w:val="20"/>
                <w:szCs w:val="20"/>
              </w:rPr>
            </w:pPr>
            <w:r>
              <w:rPr>
                <w:rFonts w:eastAsia="Times New Roman"/>
                <w:sz w:val="20"/>
                <w:szCs w:val="20"/>
              </w:rPr>
              <w:t> </w:t>
            </w:r>
          </w:p>
        </w:tc>
      </w:tr>
      <w:tr w:rsidR="00000000" w14:paraId="2ECCBBC3" w14:textId="77777777">
        <w:tc>
          <w:tcPr>
            <w:tcW w:w="0" w:type="auto"/>
            <w:shd w:val="clear" w:color="auto" w:fill="CCEEFF"/>
            <w:tcMar>
              <w:top w:w="0" w:type="dxa"/>
              <w:left w:w="180" w:type="dxa"/>
              <w:bottom w:w="0" w:type="dxa"/>
              <w:right w:w="0" w:type="dxa"/>
            </w:tcMar>
            <w:vAlign w:val="bottom"/>
            <w:hideMark/>
          </w:tcPr>
          <w:p w14:paraId="4B7F0822" w14:textId="77777777" w:rsidR="00000000" w:rsidRDefault="006549D2">
            <w:pPr>
              <w:ind w:hanging="166"/>
              <w:rPr>
                <w:rFonts w:eastAsia="Times New Roman"/>
                <w:sz w:val="20"/>
                <w:szCs w:val="20"/>
              </w:rPr>
            </w:pPr>
            <w:r>
              <w:rPr>
                <w:rFonts w:eastAsia="Times New Roman"/>
                <w:sz w:val="20"/>
                <w:szCs w:val="20"/>
              </w:rPr>
              <w:t xml:space="preserve">Class A common stock, $0.0001 par value; 250,000,000 shares authorized; 4,141,928 and no shares issued and outstanding (excluding 105,858,072 and </w:t>
            </w:r>
            <w:r>
              <w:rPr>
                <w:rFonts w:eastAsia="Times New Roman"/>
                <w:sz w:val="20"/>
                <w:szCs w:val="20"/>
              </w:rPr>
              <w:t>no shares subject to possible redemption) at June 30, 2020 and December 31, 2019, respectively</w:t>
            </w:r>
          </w:p>
        </w:tc>
        <w:tc>
          <w:tcPr>
            <w:tcW w:w="0" w:type="auto"/>
            <w:shd w:val="clear" w:color="auto" w:fill="CCEEFF"/>
            <w:vAlign w:val="bottom"/>
            <w:hideMark/>
          </w:tcPr>
          <w:p w14:paraId="6367CD73"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41B176"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41B8F0" w14:textId="77777777" w:rsidR="00000000" w:rsidRDefault="006549D2">
            <w:pPr>
              <w:jc w:val="right"/>
              <w:rPr>
                <w:rFonts w:eastAsia="Times New Roman"/>
                <w:sz w:val="20"/>
                <w:szCs w:val="20"/>
              </w:rPr>
            </w:pPr>
            <w:r>
              <w:rPr>
                <w:rFonts w:eastAsia="Times New Roman"/>
                <w:sz w:val="20"/>
                <w:szCs w:val="20"/>
              </w:rPr>
              <w:t>414</w:t>
            </w:r>
          </w:p>
        </w:tc>
        <w:tc>
          <w:tcPr>
            <w:tcW w:w="0" w:type="auto"/>
            <w:shd w:val="clear" w:color="auto" w:fill="CCEEFF"/>
            <w:vAlign w:val="bottom"/>
            <w:hideMark/>
          </w:tcPr>
          <w:p w14:paraId="5B608416"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B822FA"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228246"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EC8CC5"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6E15D80" w14:textId="77777777" w:rsidR="00000000" w:rsidRDefault="006549D2">
            <w:pPr>
              <w:rPr>
                <w:rFonts w:eastAsia="Times New Roman"/>
                <w:sz w:val="20"/>
                <w:szCs w:val="20"/>
              </w:rPr>
            </w:pPr>
            <w:r>
              <w:rPr>
                <w:rFonts w:eastAsia="Times New Roman"/>
                <w:sz w:val="20"/>
                <w:szCs w:val="20"/>
              </w:rPr>
              <w:t> </w:t>
            </w:r>
          </w:p>
        </w:tc>
      </w:tr>
      <w:tr w:rsidR="00000000" w14:paraId="2DE6E815" w14:textId="77777777">
        <w:tc>
          <w:tcPr>
            <w:tcW w:w="0" w:type="auto"/>
            <w:shd w:val="clear" w:color="auto" w:fill="FFFFFF"/>
            <w:tcMar>
              <w:top w:w="0" w:type="dxa"/>
              <w:left w:w="180" w:type="dxa"/>
              <w:bottom w:w="0" w:type="dxa"/>
              <w:right w:w="0" w:type="dxa"/>
            </w:tcMar>
            <w:vAlign w:val="bottom"/>
            <w:hideMark/>
          </w:tcPr>
          <w:p w14:paraId="7F4BED85" w14:textId="77777777" w:rsidR="00000000" w:rsidRDefault="006549D2">
            <w:pPr>
              <w:ind w:hanging="166"/>
              <w:rPr>
                <w:rFonts w:eastAsia="Times New Roman"/>
                <w:sz w:val="20"/>
                <w:szCs w:val="20"/>
              </w:rPr>
            </w:pPr>
            <w:r>
              <w:rPr>
                <w:rFonts w:eastAsia="Times New Roman"/>
                <w:sz w:val="20"/>
                <w:szCs w:val="20"/>
              </w:rPr>
              <w:t>Class </w:t>
            </w:r>
            <w:r>
              <w:rPr>
                <w:rFonts w:eastAsia="Times New Roman"/>
                <w:sz w:val="20"/>
                <w:szCs w:val="20"/>
              </w:rPr>
              <w:t xml:space="preserve">B common stock, $0.0001 par value; 50,000,000 shares authorized; 27,500,000 shares issued and outstanding at June 30, 2020 and December 31, 2019 </w:t>
            </w:r>
            <w:r>
              <w:rPr>
                <w:rFonts w:eastAsia="Times New Roman"/>
                <w:sz w:val="20"/>
                <w:szCs w:val="20"/>
                <w:vertAlign w:val="superscript"/>
              </w:rPr>
              <w:t>(1)</w:t>
            </w:r>
          </w:p>
        </w:tc>
        <w:tc>
          <w:tcPr>
            <w:tcW w:w="0" w:type="auto"/>
            <w:shd w:val="clear" w:color="auto" w:fill="FFFFFF"/>
            <w:vAlign w:val="bottom"/>
            <w:hideMark/>
          </w:tcPr>
          <w:p w14:paraId="1EE404A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940FFB"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35CD53" w14:textId="77777777" w:rsidR="00000000" w:rsidRDefault="006549D2">
            <w:pPr>
              <w:jc w:val="right"/>
              <w:rPr>
                <w:rFonts w:eastAsia="Times New Roman"/>
                <w:sz w:val="20"/>
                <w:szCs w:val="20"/>
              </w:rPr>
            </w:pPr>
            <w:r>
              <w:rPr>
                <w:rFonts w:eastAsia="Times New Roman"/>
                <w:sz w:val="20"/>
                <w:szCs w:val="20"/>
              </w:rPr>
              <w:t>2,750</w:t>
            </w:r>
          </w:p>
        </w:tc>
        <w:tc>
          <w:tcPr>
            <w:tcW w:w="0" w:type="auto"/>
            <w:shd w:val="clear" w:color="auto" w:fill="FFFFFF"/>
            <w:vAlign w:val="bottom"/>
            <w:hideMark/>
          </w:tcPr>
          <w:p w14:paraId="7612CB61"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114D76"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D58036"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A45103" w14:textId="77777777" w:rsidR="00000000" w:rsidRDefault="006549D2">
            <w:pPr>
              <w:jc w:val="right"/>
              <w:rPr>
                <w:rFonts w:eastAsia="Times New Roman"/>
                <w:sz w:val="20"/>
                <w:szCs w:val="20"/>
              </w:rPr>
            </w:pPr>
            <w:r>
              <w:rPr>
                <w:rFonts w:eastAsia="Times New Roman"/>
                <w:sz w:val="20"/>
                <w:szCs w:val="20"/>
              </w:rPr>
              <w:t>2,750</w:t>
            </w:r>
          </w:p>
        </w:tc>
        <w:tc>
          <w:tcPr>
            <w:tcW w:w="0" w:type="auto"/>
            <w:shd w:val="clear" w:color="auto" w:fill="FFFFFF"/>
            <w:vAlign w:val="bottom"/>
            <w:hideMark/>
          </w:tcPr>
          <w:p w14:paraId="03C4BF2E" w14:textId="77777777" w:rsidR="00000000" w:rsidRDefault="006549D2">
            <w:pPr>
              <w:rPr>
                <w:rFonts w:eastAsia="Times New Roman"/>
                <w:sz w:val="20"/>
                <w:szCs w:val="20"/>
              </w:rPr>
            </w:pPr>
            <w:r>
              <w:rPr>
                <w:rFonts w:eastAsia="Times New Roman"/>
                <w:sz w:val="20"/>
                <w:szCs w:val="20"/>
              </w:rPr>
              <w:t> </w:t>
            </w:r>
          </w:p>
        </w:tc>
      </w:tr>
      <w:tr w:rsidR="00000000" w14:paraId="3C56E442" w14:textId="77777777">
        <w:tc>
          <w:tcPr>
            <w:tcW w:w="0" w:type="auto"/>
            <w:shd w:val="clear" w:color="auto" w:fill="CCEEFF"/>
            <w:tcMar>
              <w:top w:w="0" w:type="dxa"/>
              <w:left w:w="180" w:type="dxa"/>
              <w:bottom w:w="0" w:type="dxa"/>
              <w:right w:w="0" w:type="dxa"/>
            </w:tcMar>
            <w:vAlign w:val="bottom"/>
            <w:hideMark/>
          </w:tcPr>
          <w:p w14:paraId="0E623317" w14:textId="77777777" w:rsidR="00000000" w:rsidRDefault="006549D2">
            <w:pPr>
              <w:ind w:hanging="166"/>
              <w:rPr>
                <w:rFonts w:eastAsia="Times New Roman"/>
                <w:sz w:val="20"/>
                <w:szCs w:val="20"/>
              </w:rPr>
            </w:pPr>
            <w:r>
              <w:rPr>
                <w:rFonts w:eastAsia="Times New Roman"/>
                <w:sz w:val="20"/>
                <w:szCs w:val="20"/>
              </w:rPr>
              <w:t>Additional paid-in capital</w:t>
            </w:r>
          </w:p>
        </w:tc>
        <w:tc>
          <w:tcPr>
            <w:tcW w:w="0" w:type="auto"/>
            <w:shd w:val="clear" w:color="auto" w:fill="CCEEFF"/>
            <w:vAlign w:val="bottom"/>
            <w:hideMark/>
          </w:tcPr>
          <w:p w14:paraId="684EBB71"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79BFD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C129CA" w14:textId="77777777" w:rsidR="00000000" w:rsidRDefault="006549D2">
            <w:pPr>
              <w:jc w:val="right"/>
              <w:rPr>
                <w:rFonts w:eastAsia="Times New Roman"/>
                <w:sz w:val="20"/>
                <w:szCs w:val="20"/>
              </w:rPr>
            </w:pPr>
            <w:r>
              <w:rPr>
                <w:rFonts w:eastAsia="Times New Roman"/>
                <w:sz w:val="20"/>
                <w:szCs w:val="20"/>
              </w:rPr>
              <w:t>3,301,789</w:t>
            </w:r>
          </w:p>
        </w:tc>
        <w:tc>
          <w:tcPr>
            <w:tcW w:w="0" w:type="auto"/>
            <w:shd w:val="clear" w:color="auto" w:fill="CCEEFF"/>
            <w:vAlign w:val="bottom"/>
            <w:hideMark/>
          </w:tcPr>
          <w:p w14:paraId="496D1B4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BD289E"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CC38D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ACC134" w14:textId="77777777" w:rsidR="00000000" w:rsidRDefault="006549D2">
            <w:pPr>
              <w:jc w:val="right"/>
              <w:rPr>
                <w:rFonts w:eastAsia="Times New Roman"/>
                <w:sz w:val="20"/>
                <w:szCs w:val="20"/>
              </w:rPr>
            </w:pPr>
            <w:r>
              <w:rPr>
                <w:rFonts w:eastAsia="Times New Roman"/>
                <w:sz w:val="20"/>
                <w:szCs w:val="20"/>
              </w:rPr>
              <w:t>22,250</w:t>
            </w:r>
          </w:p>
        </w:tc>
        <w:tc>
          <w:tcPr>
            <w:tcW w:w="0" w:type="auto"/>
            <w:shd w:val="clear" w:color="auto" w:fill="CCEEFF"/>
            <w:vAlign w:val="bottom"/>
            <w:hideMark/>
          </w:tcPr>
          <w:p w14:paraId="677CDDD3" w14:textId="77777777" w:rsidR="00000000" w:rsidRDefault="006549D2">
            <w:pPr>
              <w:rPr>
                <w:rFonts w:eastAsia="Times New Roman"/>
                <w:sz w:val="20"/>
                <w:szCs w:val="20"/>
              </w:rPr>
            </w:pPr>
            <w:r>
              <w:rPr>
                <w:rFonts w:eastAsia="Times New Roman"/>
                <w:sz w:val="20"/>
                <w:szCs w:val="20"/>
              </w:rPr>
              <w:t> </w:t>
            </w:r>
          </w:p>
        </w:tc>
      </w:tr>
      <w:tr w:rsidR="00000000" w14:paraId="415B79BE" w14:textId="77777777">
        <w:tc>
          <w:tcPr>
            <w:tcW w:w="0" w:type="auto"/>
            <w:shd w:val="clear" w:color="auto" w:fill="FFFFFF"/>
            <w:tcMar>
              <w:top w:w="0" w:type="dxa"/>
              <w:left w:w="180" w:type="dxa"/>
              <w:bottom w:w="20" w:type="dxa"/>
              <w:right w:w="0" w:type="dxa"/>
            </w:tcMar>
            <w:vAlign w:val="bottom"/>
            <w:hideMark/>
          </w:tcPr>
          <w:p w14:paraId="6C7F9470" w14:textId="77777777" w:rsidR="00000000" w:rsidRDefault="006549D2">
            <w:pPr>
              <w:ind w:hanging="166"/>
              <w:rPr>
                <w:rFonts w:eastAsia="Times New Roman"/>
                <w:sz w:val="20"/>
                <w:szCs w:val="20"/>
              </w:rPr>
            </w:pPr>
            <w:r>
              <w:rPr>
                <w:rFonts w:eastAsia="Times New Roman"/>
                <w:sz w:val="20"/>
                <w:szCs w:val="20"/>
              </w:rPr>
              <w:t>Retained earnings/(Accumulated deficit)</w:t>
            </w:r>
          </w:p>
        </w:tc>
        <w:tc>
          <w:tcPr>
            <w:tcW w:w="0" w:type="auto"/>
            <w:shd w:val="clear" w:color="auto" w:fill="FFFFFF"/>
            <w:tcMar>
              <w:top w:w="0" w:type="dxa"/>
              <w:left w:w="0" w:type="dxa"/>
              <w:bottom w:w="20" w:type="dxa"/>
              <w:right w:w="0" w:type="dxa"/>
            </w:tcMar>
            <w:vAlign w:val="bottom"/>
            <w:hideMark/>
          </w:tcPr>
          <w:p w14:paraId="756E6C11"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2834D139"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0D4B33BA" w14:textId="77777777" w:rsidR="00000000" w:rsidRDefault="006549D2">
            <w:pPr>
              <w:jc w:val="right"/>
              <w:rPr>
                <w:rFonts w:eastAsia="Times New Roman"/>
                <w:sz w:val="20"/>
                <w:szCs w:val="20"/>
              </w:rPr>
            </w:pPr>
            <w:r>
              <w:rPr>
                <w:rFonts w:eastAsia="Times New Roman"/>
                <w:sz w:val="20"/>
                <w:szCs w:val="20"/>
              </w:rPr>
              <w:t>1,695,048</w:t>
            </w:r>
          </w:p>
        </w:tc>
        <w:tc>
          <w:tcPr>
            <w:tcW w:w="0" w:type="auto"/>
            <w:shd w:val="clear" w:color="auto" w:fill="FFFFFF"/>
            <w:tcMar>
              <w:top w:w="0" w:type="dxa"/>
              <w:left w:w="0" w:type="dxa"/>
              <w:bottom w:w="20" w:type="dxa"/>
              <w:right w:w="0" w:type="dxa"/>
            </w:tcMar>
            <w:vAlign w:val="bottom"/>
            <w:hideMark/>
          </w:tcPr>
          <w:p w14:paraId="190C2D01"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03274F51"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161A82A3"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12126124" w14:textId="77777777" w:rsidR="00000000" w:rsidRDefault="006549D2">
            <w:pPr>
              <w:jc w:val="right"/>
              <w:rPr>
                <w:rFonts w:eastAsia="Times New Roman"/>
                <w:sz w:val="20"/>
                <w:szCs w:val="20"/>
              </w:rPr>
            </w:pPr>
            <w:r>
              <w:rPr>
                <w:rFonts w:eastAsia="Times New Roman"/>
                <w:sz w:val="20"/>
                <w:szCs w:val="20"/>
              </w:rPr>
              <w:t>(1,450</w:t>
            </w:r>
          </w:p>
        </w:tc>
        <w:tc>
          <w:tcPr>
            <w:tcW w:w="0" w:type="auto"/>
            <w:shd w:val="clear" w:color="auto" w:fill="FFFFFF"/>
            <w:tcMar>
              <w:top w:w="0" w:type="dxa"/>
              <w:left w:w="0" w:type="dxa"/>
              <w:bottom w:w="20" w:type="dxa"/>
              <w:right w:w="0" w:type="dxa"/>
            </w:tcMar>
            <w:vAlign w:val="bottom"/>
            <w:hideMark/>
          </w:tcPr>
          <w:p w14:paraId="662555DA" w14:textId="77777777" w:rsidR="00000000" w:rsidRDefault="006549D2">
            <w:pPr>
              <w:rPr>
                <w:rFonts w:eastAsia="Times New Roman"/>
                <w:sz w:val="20"/>
                <w:szCs w:val="20"/>
              </w:rPr>
            </w:pPr>
            <w:r>
              <w:rPr>
                <w:rFonts w:eastAsia="Times New Roman"/>
                <w:sz w:val="20"/>
                <w:szCs w:val="20"/>
              </w:rPr>
              <w:t>)</w:t>
            </w:r>
          </w:p>
        </w:tc>
      </w:tr>
      <w:tr w:rsidR="00000000" w14:paraId="0650A265" w14:textId="77777777">
        <w:tc>
          <w:tcPr>
            <w:tcW w:w="0" w:type="auto"/>
            <w:shd w:val="clear" w:color="auto" w:fill="CCEEFF"/>
            <w:tcMar>
              <w:top w:w="0" w:type="dxa"/>
              <w:left w:w="180" w:type="dxa"/>
              <w:bottom w:w="20" w:type="dxa"/>
              <w:right w:w="0" w:type="dxa"/>
            </w:tcMar>
            <w:vAlign w:val="bottom"/>
            <w:hideMark/>
          </w:tcPr>
          <w:p w14:paraId="6D5A36ED" w14:textId="77777777" w:rsidR="00000000" w:rsidRDefault="006549D2">
            <w:pPr>
              <w:ind w:hanging="166"/>
              <w:rPr>
                <w:rFonts w:eastAsia="Times New Roman"/>
                <w:b/>
                <w:bCs/>
                <w:sz w:val="20"/>
                <w:szCs w:val="20"/>
              </w:rPr>
            </w:pPr>
            <w:r>
              <w:rPr>
                <w:rFonts w:eastAsia="Times New Roman"/>
                <w:b/>
                <w:bCs/>
                <w:sz w:val="20"/>
                <w:szCs w:val="20"/>
              </w:rPr>
              <w:t>Total Stockholders’ Equity</w:t>
            </w:r>
          </w:p>
        </w:tc>
        <w:tc>
          <w:tcPr>
            <w:tcW w:w="0" w:type="auto"/>
            <w:shd w:val="clear" w:color="auto" w:fill="CCEEFF"/>
            <w:tcMar>
              <w:top w:w="0" w:type="dxa"/>
              <w:left w:w="0" w:type="dxa"/>
              <w:bottom w:w="20" w:type="dxa"/>
              <w:right w:w="0" w:type="dxa"/>
            </w:tcMar>
            <w:vAlign w:val="bottom"/>
            <w:hideMark/>
          </w:tcPr>
          <w:p w14:paraId="38FA182F"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14:paraId="6D7EA71A"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14:paraId="2EDD7D18" w14:textId="77777777" w:rsidR="00000000" w:rsidRDefault="006549D2">
            <w:pPr>
              <w:jc w:val="right"/>
              <w:rPr>
                <w:rFonts w:eastAsia="Times New Roman"/>
                <w:b/>
                <w:bCs/>
                <w:sz w:val="20"/>
                <w:szCs w:val="20"/>
              </w:rPr>
            </w:pPr>
            <w:r>
              <w:rPr>
                <w:rFonts w:eastAsia="Times New Roman"/>
                <w:b/>
                <w:bCs/>
                <w:sz w:val="20"/>
                <w:szCs w:val="20"/>
              </w:rPr>
              <w:t>5,000,001</w:t>
            </w:r>
          </w:p>
        </w:tc>
        <w:tc>
          <w:tcPr>
            <w:tcW w:w="0" w:type="auto"/>
            <w:shd w:val="clear" w:color="auto" w:fill="CCEEFF"/>
            <w:tcMar>
              <w:top w:w="0" w:type="dxa"/>
              <w:left w:w="0" w:type="dxa"/>
              <w:bottom w:w="20" w:type="dxa"/>
              <w:right w:w="0" w:type="dxa"/>
            </w:tcMar>
            <w:vAlign w:val="bottom"/>
            <w:hideMark/>
          </w:tcPr>
          <w:p w14:paraId="0214C3E2"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20" w:type="dxa"/>
              <w:right w:w="0" w:type="dxa"/>
            </w:tcMar>
            <w:vAlign w:val="bottom"/>
            <w:hideMark/>
          </w:tcPr>
          <w:p w14:paraId="71AB777C"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14:paraId="5A13CDB4"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14:paraId="44C75452" w14:textId="77777777" w:rsidR="00000000" w:rsidRDefault="006549D2">
            <w:pPr>
              <w:jc w:val="right"/>
              <w:rPr>
                <w:rFonts w:eastAsia="Times New Roman"/>
                <w:b/>
                <w:bCs/>
                <w:sz w:val="20"/>
                <w:szCs w:val="20"/>
              </w:rPr>
            </w:pPr>
            <w:r>
              <w:rPr>
                <w:rFonts w:eastAsia="Times New Roman"/>
                <w:b/>
                <w:bCs/>
                <w:sz w:val="20"/>
                <w:szCs w:val="20"/>
              </w:rPr>
              <w:t>23,550</w:t>
            </w:r>
          </w:p>
        </w:tc>
        <w:tc>
          <w:tcPr>
            <w:tcW w:w="0" w:type="auto"/>
            <w:shd w:val="clear" w:color="auto" w:fill="CCEEFF"/>
            <w:tcMar>
              <w:top w:w="0" w:type="dxa"/>
              <w:left w:w="0" w:type="dxa"/>
              <w:bottom w:w="20" w:type="dxa"/>
              <w:right w:w="0" w:type="dxa"/>
            </w:tcMar>
            <w:vAlign w:val="bottom"/>
            <w:hideMark/>
          </w:tcPr>
          <w:p w14:paraId="2DFAB724" w14:textId="77777777" w:rsidR="00000000" w:rsidRDefault="006549D2">
            <w:pPr>
              <w:rPr>
                <w:rFonts w:eastAsia="Times New Roman"/>
                <w:b/>
                <w:bCs/>
                <w:sz w:val="20"/>
                <w:szCs w:val="20"/>
              </w:rPr>
            </w:pPr>
            <w:r>
              <w:rPr>
                <w:rFonts w:eastAsia="Times New Roman"/>
                <w:b/>
                <w:bCs/>
                <w:sz w:val="20"/>
                <w:szCs w:val="20"/>
              </w:rPr>
              <w:t> </w:t>
            </w:r>
          </w:p>
        </w:tc>
      </w:tr>
      <w:tr w:rsidR="00000000" w14:paraId="55EFF19A" w14:textId="77777777">
        <w:tc>
          <w:tcPr>
            <w:tcW w:w="0" w:type="auto"/>
            <w:shd w:val="clear" w:color="auto" w:fill="FFFFFF"/>
            <w:tcMar>
              <w:top w:w="0" w:type="dxa"/>
              <w:left w:w="180" w:type="dxa"/>
              <w:bottom w:w="50" w:type="dxa"/>
              <w:right w:w="0" w:type="dxa"/>
            </w:tcMar>
            <w:vAlign w:val="bottom"/>
            <w:hideMark/>
          </w:tcPr>
          <w:p w14:paraId="5E72A6A6" w14:textId="77777777" w:rsidR="00000000" w:rsidRDefault="006549D2">
            <w:pPr>
              <w:ind w:hanging="166"/>
              <w:rPr>
                <w:rFonts w:eastAsia="Times New Roman"/>
                <w:b/>
                <w:bCs/>
                <w:sz w:val="20"/>
                <w:szCs w:val="20"/>
              </w:rPr>
            </w:pPr>
            <w:r>
              <w:rPr>
                <w:rFonts w:eastAsia="Times New Roman"/>
                <w:b/>
                <w:bCs/>
                <w:sz w:val="20"/>
                <w:szCs w:val="20"/>
              </w:rPr>
              <w:t>TOTAL LIABILITIES AND STOCKHOLDERS’ EQUITY</w:t>
            </w:r>
          </w:p>
        </w:tc>
        <w:tc>
          <w:tcPr>
            <w:tcW w:w="0" w:type="auto"/>
            <w:shd w:val="clear" w:color="auto" w:fill="FFFFFF"/>
            <w:tcMar>
              <w:top w:w="0" w:type="dxa"/>
              <w:left w:w="0" w:type="dxa"/>
              <w:bottom w:w="50" w:type="dxa"/>
              <w:right w:w="0" w:type="dxa"/>
            </w:tcMar>
            <w:vAlign w:val="bottom"/>
            <w:hideMark/>
          </w:tcPr>
          <w:p w14:paraId="6F7023B7"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3C171586" w14:textId="77777777" w:rsidR="00000000" w:rsidRDefault="006549D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5CA17AD6" w14:textId="77777777" w:rsidR="00000000" w:rsidRDefault="006549D2">
            <w:pPr>
              <w:jc w:val="right"/>
              <w:rPr>
                <w:rFonts w:eastAsia="Times New Roman"/>
                <w:b/>
                <w:bCs/>
                <w:sz w:val="20"/>
                <w:szCs w:val="20"/>
              </w:rPr>
            </w:pPr>
            <w:r>
              <w:rPr>
                <w:rFonts w:eastAsia="Times New Roman"/>
                <w:b/>
                <w:bCs/>
                <w:sz w:val="20"/>
                <w:szCs w:val="20"/>
              </w:rPr>
              <w:t>1,107,564,339</w:t>
            </w:r>
          </w:p>
        </w:tc>
        <w:tc>
          <w:tcPr>
            <w:tcW w:w="0" w:type="auto"/>
            <w:shd w:val="clear" w:color="auto" w:fill="FFFFFF"/>
            <w:tcMar>
              <w:top w:w="0" w:type="dxa"/>
              <w:left w:w="0" w:type="dxa"/>
              <w:bottom w:w="50" w:type="dxa"/>
              <w:right w:w="0" w:type="dxa"/>
            </w:tcMar>
            <w:vAlign w:val="bottom"/>
            <w:hideMark/>
          </w:tcPr>
          <w:p w14:paraId="39F256AF"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20F4437B"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55CD793C" w14:textId="77777777" w:rsidR="00000000" w:rsidRDefault="006549D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46B0CB70" w14:textId="77777777" w:rsidR="00000000" w:rsidRDefault="006549D2">
            <w:pPr>
              <w:jc w:val="right"/>
              <w:rPr>
                <w:rFonts w:eastAsia="Times New Roman"/>
                <w:b/>
                <w:bCs/>
                <w:sz w:val="20"/>
                <w:szCs w:val="20"/>
              </w:rPr>
            </w:pPr>
            <w:r>
              <w:rPr>
                <w:rFonts w:eastAsia="Times New Roman"/>
                <w:b/>
                <w:bCs/>
                <w:sz w:val="20"/>
                <w:szCs w:val="20"/>
              </w:rPr>
              <w:t>318,930</w:t>
            </w:r>
          </w:p>
        </w:tc>
        <w:tc>
          <w:tcPr>
            <w:tcW w:w="0" w:type="auto"/>
            <w:shd w:val="clear" w:color="auto" w:fill="FFFFFF"/>
            <w:tcMar>
              <w:top w:w="0" w:type="dxa"/>
              <w:left w:w="0" w:type="dxa"/>
              <w:bottom w:w="50" w:type="dxa"/>
              <w:right w:w="0" w:type="dxa"/>
            </w:tcMar>
            <w:vAlign w:val="bottom"/>
            <w:hideMark/>
          </w:tcPr>
          <w:p w14:paraId="07795CF6" w14:textId="77777777" w:rsidR="00000000" w:rsidRDefault="006549D2">
            <w:pPr>
              <w:rPr>
                <w:rFonts w:eastAsia="Times New Roman"/>
                <w:b/>
                <w:bCs/>
                <w:sz w:val="20"/>
                <w:szCs w:val="20"/>
              </w:rPr>
            </w:pPr>
            <w:r>
              <w:rPr>
                <w:rFonts w:eastAsia="Times New Roman"/>
                <w:b/>
                <w:bCs/>
                <w:sz w:val="20"/>
                <w:szCs w:val="20"/>
              </w:rPr>
              <w:t> </w:t>
            </w:r>
          </w:p>
        </w:tc>
      </w:tr>
    </w:tbl>
    <w:p w14:paraId="71148F89" w14:textId="77777777" w:rsidR="00000000" w:rsidRDefault="006549D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50"/>
        <w:gridCol w:w="8056"/>
      </w:tblGrid>
      <w:tr w:rsidR="00000000" w14:paraId="3CC15190" w14:textId="77777777">
        <w:tc>
          <w:tcPr>
            <w:tcW w:w="150" w:type="pct"/>
            <w:tcMar>
              <w:top w:w="0" w:type="dxa"/>
              <w:left w:w="0" w:type="dxa"/>
              <w:bottom w:w="0" w:type="dxa"/>
              <w:right w:w="16" w:type="dxa"/>
            </w:tcMar>
            <w:hideMark/>
          </w:tcPr>
          <w:p w14:paraId="3CD37EDE" w14:textId="77777777" w:rsidR="00000000" w:rsidRDefault="006549D2">
            <w:pPr>
              <w:rPr>
                <w:rFonts w:eastAsia="Times New Roman"/>
                <w:sz w:val="20"/>
                <w:szCs w:val="20"/>
              </w:rPr>
            </w:pPr>
            <w:r>
              <w:rPr>
                <w:rFonts w:eastAsia="Times New Roman"/>
                <w:sz w:val="20"/>
                <w:szCs w:val="20"/>
              </w:rPr>
              <w:t>(1)</w:t>
            </w:r>
          </w:p>
        </w:tc>
        <w:tc>
          <w:tcPr>
            <w:tcW w:w="4850" w:type="pct"/>
            <w:tcMar>
              <w:top w:w="0" w:type="dxa"/>
              <w:left w:w="0" w:type="dxa"/>
              <w:bottom w:w="0" w:type="dxa"/>
              <w:right w:w="16" w:type="dxa"/>
            </w:tcMar>
            <w:hideMark/>
          </w:tcPr>
          <w:p w14:paraId="18B6ED7B" w14:textId="77777777" w:rsidR="00000000" w:rsidRDefault="006549D2">
            <w:pPr>
              <w:jc w:val="both"/>
              <w:rPr>
                <w:rFonts w:eastAsia="Times New Roman"/>
                <w:sz w:val="20"/>
                <w:szCs w:val="20"/>
              </w:rPr>
            </w:pPr>
            <w:r>
              <w:rPr>
                <w:rFonts w:eastAsia="Times New Roman"/>
                <w:sz w:val="20"/>
                <w:szCs w:val="20"/>
              </w:rPr>
              <w:t>Included an aggregate of 2,500,000 shares that were subject to forfeiture to the extent that the underwriters’ over-allotment was not exercised in full at December 31, 2019 (see Note 5).</w:t>
            </w:r>
          </w:p>
        </w:tc>
      </w:tr>
    </w:tbl>
    <w:p w14:paraId="5F62DEE5" w14:textId="77777777" w:rsidR="00000000" w:rsidRDefault="006549D2">
      <w:pPr>
        <w:pStyle w:val="a3"/>
        <w:spacing w:before="0" w:beforeAutospacing="0" w:after="0" w:afterAutospacing="0"/>
        <w:rPr>
          <w:sz w:val="20"/>
          <w:szCs w:val="20"/>
        </w:rPr>
      </w:pPr>
      <w:r>
        <w:rPr>
          <w:sz w:val="20"/>
          <w:szCs w:val="20"/>
        </w:rPr>
        <w:lastRenderedPageBreak/>
        <w:t> </w:t>
      </w:r>
    </w:p>
    <w:p w14:paraId="6F0DF25F" w14:textId="77777777" w:rsidR="00000000" w:rsidRDefault="006549D2">
      <w:pPr>
        <w:pStyle w:val="a3"/>
        <w:spacing w:before="0" w:beforeAutospacing="0" w:after="0" w:afterAutospacing="0"/>
        <w:jc w:val="center"/>
        <w:rPr>
          <w:sz w:val="20"/>
          <w:szCs w:val="20"/>
        </w:rPr>
      </w:pPr>
      <w:r>
        <w:rPr>
          <w:sz w:val="20"/>
          <w:szCs w:val="20"/>
        </w:rPr>
        <w:t>The accompanying notes are an integral part of the unaudited conde</w:t>
      </w:r>
      <w:r>
        <w:rPr>
          <w:sz w:val="20"/>
          <w:szCs w:val="20"/>
        </w:rPr>
        <w:t>nsed financial statements.</w:t>
      </w:r>
    </w:p>
    <w:p w14:paraId="05181808" w14:textId="77777777" w:rsidR="00000000" w:rsidRDefault="006549D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B26F6FB" w14:textId="77777777">
        <w:trPr>
          <w:divId w:val="515197510"/>
        </w:trPr>
        <w:tc>
          <w:tcPr>
            <w:tcW w:w="1650" w:type="pct"/>
            <w:hideMark/>
          </w:tcPr>
          <w:p w14:paraId="085EA594" w14:textId="77777777" w:rsidR="00000000" w:rsidRDefault="006549D2">
            <w:pPr>
              <w:rPr>
                <w:rFonts w:eastAsia="Times New Roman"/>
                <w:sz w:val="20"/>
                <w:szCs w:val="20"/>
              </w:rPr>
            </w:pPr>
            <w:r>
              <w:rPr>
                <w:rFonts w:eastAsia="Times New Roman"/>
                <w:sz w:val="20"/>
                <w:szCs w:val="20"/>
              </w:rPr>
              <w:t> </w:t>
            </w:r>
          </w:p>
        </w:tc>
        <w:tc>
          <w:tcPr>
            <w:tcW w:w="1700" w:type="pct"/>
            <w:hideMark/>
          </w:tcPr>
          <w:p w14:paraId="3202DADC" w14:textId="77777777" w:rsidR="00000000" w:rsidRDefault="006549D2">
            <w:pPr>
              <w:jc w:val="center"/>
              <w:rPr>
                <w:rFonts w:eastAsia="Times New Roman"/>
                <w:sz w:val="20"/>
                <w:szCs w:val="20"/>
              </w:rPr>
            </w:pPr>
            <w:r>
              <w:rPr>
                <w:rFonts w:eastAsia="Times New Roman"/>
                <w:sz w:val="20"/>
                <w:szCs w:val="20"/>
              </w:rPr>
              <w:t>1</w:t>
            </w:r>
          </w:p>
        </w:tc>
        <w:tc>
          <w:tcPr>
            <w:tcW w:w="1650" w:type="pct"/>
            <w:hideMark/>
          </w:tcPr>
          <w:p w14:paraId="3292F753" w14:textId="77777777" w:rsidR="00000000" w:rsidRDefault="006549D2">
            <w:pPr>
              <w:jc w:val="right"/>
              <w:rPr>
                <w:rFonts w:eastAsia="Times New Roman"/>
                <w:sz w:val="20"/>
                <w:szCs w:val="20"/>
              </w:rPr>
            </w:pPr>
            <w:r>
              <w:rPr>
                <w:rFonts w:eastAsia="Times New Roman"/>
                <w:sz w:val="20"/>
                <w:szCs w:val="20"/>
              </w:rPr>
              <w:t> </w:t>
            </w:r>
          </w:p>
        </w:tc>
      </w:tr>
    </w:tbl>
    <w:p w14:paraId="30DDCE21" w14:textId="77777777" w:rsidR="00000000" w:rsidRDefault="006549D2">
      <w:pPr>
        <w:pStyle w:val="a3"/>
        <w:pageBreakBefore/>
        <w:spacing w:before="0" w:beforeAutospacing="0" w:after="0" w:afterAutospacing="0"/>
        <w:divId w:val="139732475"/>
        <w:rPr>
          <w:sz w:val="20"/>
          <w:szCs w:val="20"/>
        </w:rPr>
      </w:pPr>
      <w:r>
        <w:rPr>
          <w:sz w:val="20"/>
          <w:szCs w:val="20"/>
        </w:rPr>
        <w:lastRenderedPageBreak/>
        <w:t> </w:t>
      </w:r>
    </w:p>
    <w:p w14:paraId="4839A4C0" w14:textId="77777777" w:rsidR="00000000" w:rsidRDefault="006549D2">
      <w:pPr>
        <w:pStyle w:val="a3"/>
        <w:spacing w:before="0" w:beforeAutospacing="0" w:after="0" w:afterAutospacing="0"/>
        <w:rPr>
          <w:sz w:val="20"/>
          <w:szCs w:val="20"/>
        </w:rPr>
      </w:pPr>
      <w:r>
        <w:rPr>
          <w:sz w:val="20"/>
          <w:szCs w:val="20"/>
        </w:rPr>
        <w:t> </w:t>
      </w:r>
    </w:p>
    <w:p w14:paraId="66722EA4" w14:textId="77777777" w:rsidR="00000000" w:rsidRDefault="006549D2">
      <w:pPr>
        <w:pStyle w:val="a3"/>
        <w:spacing w:before="0" w:beforeAutospacing="0" w:after="0" w:afterAutospacing="0"/>
        <w:jc w:val="center"/>
        <w:rPr>
          <w:sz w:val="20"/>
          <w:szCs w:val="20"/>
        </w:rPr>
      </w:pPr>
      <w:r>
        <w:rPr>
          <w:b/>
          <w:bCs/>
          <w:sz w:val="20"/>
          <w:szCs w:val="20"/>
        </w:rPr>
        <w:t>CHURCHILL CAPITAL CORP III</w:t>
      </w:r>
    </w:p>
    <w:p w14:paraId="45744210" w14:textId="77777777" w:rsidR="00000000" w:rsidRDefault="006549D2">
      <w:pPr>
        <w:pStyle w:val="a3"/>
        <w:spacing w:before="0" w:beforeAutospacing="0" w:after="0" w:afterAutospacing="0"/>
        <w:jc w:val="center"/>
        <w:rPr>
          <w:sz w:val="20"/>
          <w:szCs w:val="20"/>
        </w:rPr>
      </w:pPr>
      <w:bookmarkStart w:id="3" w:name="condensedstatementofoperation"/>
      <w:bookmarkEnd w:id="3"/>
      <w:r>
        <w:rPr>
          <w:b/>
          <w:bCs/>
          <w:sz w:val="20"/>
          <w:szCs w:val="20"/>
        </w:rPr>
        <w:t>CONDENSED STATEMENT OF OPERATIONS</w:t>
      </w:r>
    </w:p>
    <w:p w14:paraId="18173CA7" w14:textId="77777777" w:rsidR="00000000" w:rsidRDefault="006549D2">
      <w:pPr>
        <w:pStyle w:val="a3"/>
        <w:spacing w:before="0" w:beforeAutospacing="0" w:after="0" w:afterAutospacing="0"/>
        <w:jc w:val="center"/>
        <w:rPr>
          <w:sz w:val="20"/>
          <w:szCs w:val="20"/>
        </w:rPr>
      </w:pPr>
      <w:r>
        <w:rPr>
          <w:b/>
          <w:bCs/>
          <w:sz w:val="20"/>
          <w:szCs w:val="20"/>
        </w:rPr>
        <w:t>(UNAUDITED)</w:t>
      </w:r>
    </w:p>
    <w:p w14:paraId="4E7E882B" w14:textId="77777777" w:rsidR="00000000" w:rsidRDefault="006549D2">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072"/>
        <w:gridCol w:w="50"/>
        <w:gridCol w:w="100"/>
        <w:gridCol w:w="900"/>
        <w:gridCol w:w="67"/>
        <w:gridCol w:w="50"/>
        <w:gridCol w:w="100"/>
        <w:gridCol w:w="900"/>
        <w:gridCol w:w="67"/>
      </w:tblGrid>
      <w:tr w:rsidR="00000000" w14:paraId="165D7548" w14:textId="77777777">
        <w:tc>
          <w:tcPr>
            <w:tcW w:w="0" w:type="auto"/>
            <w:vAlign w:val="bottom"/>
            <w:hideMark/>
          </w:tcPr>
          <w:p w14:paraId="673AA79F" w14:textId="77777777" w:rsidR="00000000" w:rsidRDefault="006549D2">
            <w:pPr>
              <w:rPr>
                <w:rFonts w:eastAsia="Times New Roman"/>
                <w:sz w:val="20"/>
                <w:szCs w:val="20"/>
              </w:rPr>
            </w:pPr>
            <w:r>
              <w:rPr>
                <w:rFonts w:eastAsia="Times New Roman"/>
                <w:sz w:val="20"/>
                <w:szCs w:val="20"/>
              </w:rPr>
              <w:t> </w:t>
            </w:r>
          </w:p>
        </w:tc>
        <w:tc>
          <w:tcPr>
            <w:tcW w:w="0" w:type="auto"/>
            <w:vAlign w:val="bottom"/>
            <w:hideMark/>
          </w:tcPr>
          <w:p w14:paraId="503D5BF9" w14:textId="77777777" w:rsidR="00000000" w:rsidRDefault="006549D2">
            <w:pPr>
              <w:rPr>
                <w:rFonts w:eastAsia="Times New Roman"/>
                <w:sz w:val="20"/>
                <w:szCs w:val="20"/>
              </w:rPr>
            </w:pPr>
            <w:r>
              <w:rPr>
                <w:rFonts w:eastAsia="Times New Roman"/>
                <w:sz w:val="20"/>
                <w:szCs w:val="20"/>
              </w:rPr>
              <w:t> </w:t>
            </w:r>
          </w:p>
        </w:tc>
        <w:tc>
          <w:tcPr>
            <w:tcW w:w="0" w:type="auto"/>
            <w:gridSpan w:val="2"/>
            <w:vAlign w:val="bottom"/>
            <w:hideMark/>
          </w:tcPr>
          <w:p w14:paraId="5CFE37CC" w14:textId="77777777" w:rsidR="00000000" w:rsidRDefault="006549D2">
            <w:pPr>
              <w:pStyle w:val="a3"/>
              <w:spacing w:before="0" w:beforeAutospacing="0" w:after="0" w:afterAutospacing="0"/>
              <w:ind w:right="16"/>
              <w:jc w:val="center"/>
              <w:rPr>
                <w:sz w:val="20"/>
                <w:szCs w:val="20"/>
              </w:rPr>
            </w:pPr>
            <w:r>
              <w:rPr>
                <w:b/>
                <w:bCs/>
                <w:sz w:val="20"/>
                <w:szCs w:val="20"/>
              </w:rPr>
              <w:t>Three Months</w:t>
            </w:r>
          </w:p>
          <w:p w14:paraId="1FAF6CDF" w14:textId="77777777" w:rsidR="00000000" w:rsidRDefault="006549D2">
            <w:pPr>
              <w:pStyle w:val="a3"/>
              <w:spacing w:before="0" w:beforeAutospacing="0" w:after="0" w:afterAutospacing="0"/>
              <w:ind w:right="16"/>
              <w:jc w:val="center"/>
              <w:rPr>
                <w:sz w:val="20"/>
                <w:szCs w:val="20"/>
              </w:rPr>
            </w:pPr>
            <w:r>
              <w:rPr>
                <w:b/>
                <w:bCs/>
                <w:sz w:val="20"/>
                <w:szCs w:val="20"/>
              </w:rPr>
              <w:t xml:space="preserve">Ended </w:t>
            </w:r>
          </w:p>
          <w:p w14:paraId="27F05FBC" w14:textId="77777777" w:rsidR="00000000" w:rsidRDefault="006549D2">
            <w:pPr>
              <w:pStyle w:val="a3"/>
              <w:spacing w:before="0" w:beforeAutospacing="0" w:after="0" w:afterAutospacing="0"/>
              <w:ind w:right="16"/>
              <w:jc w:val="center"/>
              <w:rPr>
                <w:sz w:val="20"/>
                <w:szCs w:val="20"/>
              </w:rPr>
            </w:pPr>
            <w:r>
              <w:rPr>
                <w:b/>
                <w:bCs/>
                <w:sz w:val="20"/>
                <w:szCs w:val="20"/>
              </w:rPr>
              <w:t>June 30,</w:t>
            </w:r>
          </w:p>
        </w:tc>
        <w:tc>
          <w:tcPr>
            <w:tcW w:w="0" w:type="auto"/>
            <w:vAlign w:val="bottom"/>
            <w:hideMark/>
          </w:tcPr>
          <w:p w14:paraId="4B957607" w14:textId="77777777" w:rsidR="00000000" w:rsidRDefault="006549D2">
            <w:pPr>
              <w:rPr>
                <w:rFonts w:eastAsia="Times New Roman"/>
                <w:sz w:val="20"/>
                <w:szCs w:val="20"/>
              </w:rPr>
            </w:pPr>
            <w:r>
              <w:rPr>
                <w:rFonts w:eastAsia="Times New Roman"/>
                <w:sz w:val="20"/>
                <w:szCs w:val="20"/>
              </w:rPr>
              <w:t> </w:t>
            </w:r>
          </w:p>
        </w:tc>
        <w:tc>
          <w:tcPr>
            <w:tcW w:w="0" w:type="auto"/>
            <w:vAlign w:val="bottom"/>
            <w:hideMark/>
          </w:tcPr>
          <w:p w14:paraId="3FDDD65D" w14:textId="77777777" w:rsidR="00000000" w:rsidRDefault="006549D2">
            <w:pPr>
              <w:rPr>
                <w:rFonts w:eastAsia="Times New Roman"/>
                <w:sz w:val="20"/>
                <w:szCs w:val="20"/>
              </w:rPr>
            </w:pPr>
            <w:r>
              <w:rPr>
                <w:rFonts w:eastAsia="Times New Roman"/>
                <w:sz w:val="20"/>
                <w:szCs w:val="20"/>
              </w:rPr>
              <w:t> </w:t>
            </w:r>
          </w:p>
        </w:tc>
        <w:tc>
          <w:tcPr>
            <w:tcW w:w="0" w:type="auto"/>
            <w:gridSpan w:val="2"/>
            <w:vAlign w:val="bottom"/>
            <w:hideMark/>
          </w:tcPr>
          <w:p w14:paraId="3C75963C" w14:textId="77777777" w:rsidR="00000000" w:rsidRDefault="006549D2">
            <w:pPr>
              <w:pStyle w:val="a3"/>
              <w:spacing w:before="0" w:beforeAutospacing="0" w:after="0" w:afterAutospacing="0"/>
              <w:ind w:right="16"/>
              <w:jc w:val="center"/>
              <w:rPr>
                <w:sz w:val="20"/>
                <w:szCs w:val="20"/>
              </w:rPr>
            </w:pPr>
            <w:r>
              <w:rPr>
                <w:b/>
                <w:bCs/>
                <w:sz w:val="20"/>
                <w:szCs w:val="20"/>
              </w:rPr>
              <w:t xml:space="preserve">Six Months </w:t>
            </w:r>
          </w:p>
          <w:p w14:paraId="06115D95" w14:textId="77777777" w:rsidR="00000000" w:rsidRDefault="006549D2">
            <w:pPr>
              <w:pStyle w:val="a3"/>
              <w:spacing w:before="0" w:beforeAutospacing="0" w:after="0" w:afterAutospacing="0"/>
              <w:ind w:right="16"/>
              <w:jc w:val="center"/>
              <w:rPr>
                <w:sz w:val="20"/>
                <w:szCs w:val="20"/>
              </w:rPr>
            </w:pPr>
            <w:r>
              <w:rPr>
                <w:b/>
                <w:bCs/>
                <w:sz w:val="20"/>
                <w:szCs w:val="20"/>
              </w:rPr>
              <w:t xml:space="preserve">Ended </w:t>
            </w:r>
          </w:p>
          <w:p w14:paraId="633FD22D" w14:textId="77777777" w:rsidR="00000000" w:rsidRDefault="006549D2">
            <w:pPr>
              <w:pStyle w:val="a3"/>
              <w:spacing w:before="0" w:beforeAutospacing="0" w:after="0" w:afterAutospacing="0"/>
              <w:ind w:right="16"/>
              <w:jc w:val="center"/>
              <w:rPr>
                <w:sz w:val="20"/>
                <w:szCs w:val="20"/>
              </w:rPr>
            </w:pPr>
            <w:r>
              <w:rPr>
                <w:b/>
                <w:bCs/>
                <w:sz w:val="20"/>
                <w:szCs w:val="20"/>
              </w:rPr>
              <w:t>June 30,</w:t>
            </w:r>
          </w:p>
        </w:tc>
        <w:tc>
          <w:tcPr>
            <w:tcW w:w="0" w:type="auto"/>
            <w:vAlign w:val="bottom"/>
            <w:hideMark/>
          </w:tcPr>
          <w:p w14:paraId="226EF944" w14:textId="77777777" w:rsidR="00000000" w:rsidRDefault="006549D2">
            <w:pPr>
              <w:rPr>
                <w:rFonts w:eastAsia="Times New Roman"/>
                <w:sz w:val="20"/>
                <w:szCs w:val="20"/>
              </w:rPr>
            </w:pPr>
            <w:r>
              <w:rPr>
                <w:rFonts w:eastAsia="Times New Roman"/>
                <w:sz w:val="20"/>
                <w:szCs w:val="20"/>
              </w:rPr>
              <w:t> </w:t>
            </w:r>
          </w:p>
        </w:tc>
      </w:tr>
      <w:tr w:rsidR="00000000" w14:paraId="0511489E" w14:textId="77777777">
        <w:tc>
          <w:tcPr>
            <w:tcW w:w="0" w:type="auto"/>
            <w:vAlign w:val="bottom"/>
            <w:hideMark/>
          </w:tcPr>
          <w:p w14:paraId="1A68FAE3" w14:textId="77777777" w:rsidR="00000000" w:rsidRDefault="006549D2">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486DA4FD" w14:textId="77777777" w:rsidR="00000000" w:rsidRDefault="006549D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14:paraId="315F658A" w14:textId="77777777" w:rsidR="00000000" w:rsidRDefault="006549D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20" w:type="dxa"/>
              <w:right w:w="0" w:type="dxa"/>
            </w:tcMar>
            <w:vAlign w:val="bottom"/>
            <w:hideMark/>
          </w:tcPr>
          <w:p w14:paraId="33C71AA0" w14:textId="77777777" w:rsidR="00000000" w:rsidRDefault="006549D2">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14:paraId="78554E81" w14:textId="77777777" w:rsidR="00000000" w:rsidRDefault="006549D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14:paraId="7BB197A8" w14:textId="77777777" w:rsidR="00000000" w:rsidRDefault="006549D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20" w:type="dxa"/>
              <w:right w:w="0" w:type="dxa"/>
            </w:tcMar>
            <w:vAlign w:val="bottom"/>
            <w:hideMark/>
          </w:tcPr>
          <w:p w14:paraId="6713FE57" w14:textId="77777777" w:rsidR="00000000" w:rsidRDefault="006549D2">
            <w:pPr>
              <w:rPr>
                <w:rFonts w:eastAsia="Times New Roman"/>
                <w:b/>
                <w:bCs/>
                <w:sz w:val="20"/>
                <w:szCs w:val="20"/>
              </w:rPr>
            </w:pPr>
            <w:r>
              <w:rPr>
                <w:rFonts w:eastAsia="Times New Roman"/>
                <w:b/>
                <w:bCs/>
                <w:sz w:val="20"/>
                <w:szCs w:val="20"/>
              </w:rPr>
              <w:t> </w:t>
            </w:r>
          </w:p>
        </w:tc>
      </w:tr>
      <w:tr w:rsidR="00000000" w14:paraId="220D5250" w14:textId="77777777">
        <w:tc>
          <w:tcPr>
            <w:tcW w:w="3700" w:type="pct"/>
            <w:shd w:val="clear" w:color="auto" w:fill="CCEEFF"/>
            <w:tcMar>
              <w:top w:w="0" w:type="dxa"/>
              <w:left w:w="0" w:type="dxa"/>
              <w:bottom w:w="20" w:type="dxa"/>
              <w:right w:w="0" w:type="dxa"/>
            </w:tcMar>
            <w:vAlign w:val="bottom"/>
            <w:hideMark/>
          </w:tcPr>
          <w:p w14:paraId="031B964A" w14:textId="77777777" w:rsidR="00000000" w:rsidRDefault="006549D2">
            <w:pPr>
              <w:rPr>
                <w:rFonts w:eastAsia="Times New Roman"/>
                <w:sz w:val="20"/>
                <w:szCs w:val="20"/>
              </w:rPr>
            </w:pPr>
            <w:r>
              <w:rPr>
                <w:rFonts w:eastAsia="Times New Roman"/>
                <w:sz w:val="20"/>
                <w:szCs w:val="20"/>
              </w:rPr>
              <w:t>Operating costs</w:t>
            </w:r>
          </w:p>
        </w:tc>
        <w:tc>
          <w:tcPr>
            <w:tcW w:w="50" w:type="pct"/>
            <w:shd w:val="clear" w:color="auto" w:fill="CCEEFF"/>
            <w:tcMar>
              <w:top w:w="0" w:type="dxa"/>
              <w:left w:w="0" w:type="dxa"/>
              <w:bottom w:w="20" w:type="dxa"/>
              <w:right w:w="0" w:type="dxa"/>
            </w:tcMar>
            <w:vAlign w:val="bottom"/>
            <w:hideMark/>
          </w:tcPr>
          <w:p w14:paraId="546153E6" w14:textId="77777777" w:rsidR="00000000" w:rsidRDefault="006549D2">
            <w:pPr>
              <w:rPr>
                <w:rFonts w:eastAsia="Times New Roman"/>
                <w:sz w:val="20"/>
                <w:szCs w:val="20"/>
              </w:rPr>
            </w:pPr>
            <w:r>
              <w:rPr>
                <w:rFonts w:eastAsia="Times New Roman"/>
                <w:sz w:val="20"/>
                <w:szCs w:val="20"/>
              </w:rPr>
              <w:t> </w:t>
            </w:r>
          </w:p>
        </w:tc>
        <w:tc>
          <w:tcPr>
            <w:tcW w:w="50" w:type="pct"/>
            <w:tcBorders>
              <w:bottom w:val="single" w:sz="8" w:space="0" w:color="000000"/>
            </w:tcBorders>
            <w:shd w:val="clear" w:color="auto" w:fill="CCEEFF"/>
            <w:vAlign w:val="bottom"/>
            <w:hideMark/>
          </w:tcPr>
          <w:p w14:paraId="34DC6F2E" w14:textId="77777777" w:rsidR="00000000" w:rsidRDefault="006549D2">
            <w:pPr>
              <w:rPr>
                <w:rFonts w:eastAsia="Times New Roman"/>
                <w:sz w:val="20"/>
                <w:szCs w:val="20"/>
              </w:rPr>
            </w:pPr>
            <w:r>
              <w:rPr>
                <w:rFonts w:eastAsia="Times New Roman"/>
                <w:sz w:val="20"/>
                <w:szCs w:val="20"/>
              </w:rPr>
              <w:t>$</w:t>
            </w:r>
          </w:p>
        </w:tc>
        <w:tc>
          <w:tcPr>
            <w:tcW w:w="500" w:type="pct"/>
            <w:tcBorders>
              <w:bottom w:val="single" w:sz="8" w:space="0" w:color="000000"/>
            </w:tcBorders>
            <w:shd w:val="clear" w:color="auto" w:fill="CCEEFF"/>
            <w:vAlign w:val="bottom"/>
            <w:hideMark/>
          </w:tcPr>
          <w:p w14:paraId="07A21347" w14:textId="77777777" w:rsidR="00000000" w:rsidRDefault="006549D2">
            <w:pPr>
              <w:jc w:val="right"/>
              <w:rPr>
                <w:rFonts w:eastAsia="Times New Roman"/>
                <w:sz w:val="20"/>
                <w:szCs w:val="20"/>
              </w:rPr>
            </w:pPr>
            <w:r>
              <w:rPr>
                <w:rFonts w:eastAsia="Times New Roman"/>
                <w:sz w:val="20"/>
                <w:szCs w:val="20"/>
              </w:rPr>
              <w:t>1,846,344</w:t>
            </w:r>
          </w:p>
        </w:tc>
        <w:tc>
          <w:tcPr>
            <w:tcW w:w="50" w:type="pct"/>
            <w:shd w:val="clear" w:color="auto" w:fill="CCEEFF"/>
            <w:tcMar>
              <w:top w:w="0" w:type="dxa"/>
              <w:left w:w="0" w:type="dxa"/>
              <w:bottom w:w="20" w:type="dxa"/>
              <w:right w:w="0" w:type="dxa"/>
            </w:tcMar>
            <w:vAlign w:val="bottom"/>
            <w:hideMark/>
          </w:tcPr>
          <w:p w14:paraId="6FCA3CEB" w14:textId="77777777" w:rsidR="00000000" w:rsidRDefault="006549D2">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20" w:type="dxa"/>
              <w:right w:w="0" w:type="dxa"/>
            </w:tcMar>
            <w:vAlign w:val="bottom"/>
            <w:hideMark/>
          </w:tcPr>
          <w:p w14:paraId="3C8FF111" w14:textId="77777777" w:rsidR="00000000" w:rsidRDefault="006549D2">
            <w:pPr>
              <w:rPr>
                <w:rFonts w:eastAsia="Times New Roman"/>
                <w:sz w:val="20"/>
                <w:szCs w:val="20"/>
              </w:rPr>
            </w:pPr>
            <w:r>
              <w:rPr>
                <w:rFonts w:eastAsia="Times New Roman"/>
                <w:sz w:val="20"/>
                <w:szCs w:val="20"/>
              </w:rPr>
              <w:t> </w:t>
            </w:r>
          </w:p>
        </w:tc>
        <w:tc>
          <w:tcPr>
            <w:tcW w:w="50" w:type="pct"/>
            <w:tcBorders>
              <w:bottom w:val="single" w:sz="8" w:space="0" w:color="000000"/>
            </w:tcBorders>
            <w:shd w:val="clear" w:color="auto" w:fill="CCEEFF"/>
            <w:vAlign w:val="bottom"/>
            <w:hideMark/>
          </w:tcPr>
          <w:p w14:paraId="791FF004" w14:textId="77777777" w:rsidR="00000000" w:rsidRDefault="006549D2">
            <w:pPr>
              <w:rPr>
                <w:rFonts w:eastAsia="Times New Roman"/>
                <w:sz w:val="20"/>
                <w:szCs w:val="20"/>
              </w:rPr>
            </w:pPr>
            <w:r>
              <w:rPr>
                <w:rFonts w:eastAsia="Times New Roman"/>
                <w:sz w:val="20"/>
                <w:szCs w:val="20"/>
              </w:rPr>
              <w:t>$</w:t>
            </w:r>
          </w:p>
        </w:tc>
        <w:tc>
          <w:tcPr>
            <w:tcW w:w="500" w:type="pct"/>
            <w:tcBorders>
              <w:bottom w:val="single" w:sz="8" w:space="0" w:color="000000"/>
            </w:tcBorders>
            <w:shd w:val="clear" w:color="auto" w:fill="CCEEFF"/>
            <w:vAlign w:val="bottom"/>
            <w:hideMark/>
          </w:tcPr>
          <w:p w14:paraId="5947B74C" w14:textId="77777777" w:rsidR="00000000" w:rsidRDefault="006549D2">
            <w:pPr>
              <w:jc w:val="right"/>
              <w:rPr>
                <w:rFonts w:eastAsia="Times New Roman"/>
                <w:sz w:val="20"/>
                <w:szCs w:val="20"/>
              </w:rPr>
            </w:pPr>
            <w:r>
              <w:rPr>
                <w:rFonts w:eastAsia="Times New Roman"/>
                <w:sz w:val="20"/>
                <w:szCs w:val="20"/>
              </w:rPr>
              <w:t>2,061,847</w:t>
            </w:r>
          </w:p>
        </w:tc>
        <w:tc>
          <w:tcPr>
            <w:tcW w:w="50" w:type="pct"/>
            <w:shd w:val="clear" w:color="auto" w:fill="CCEEFF"/>
            <w:tcMar>
              <w:top w:w="0" w:type="dxa"/>
              <w:left w:w="0" w:type="dxa"/>
              <w:bottom w:w="20" w:type="dxa"/>
              <w:right w:w="0" w:type="dxa"/>
            </w:tcMar>
            <w:vAlign w:val="bottom"/>
            <w:hideMark/>
          </w:tcPr>
          <w:p w14:paraId="2F4FC38A" w14:textId="77777777" w:rsidR="00000000" w:rsidRDefault="006549D2">
            <w:pPr>
              <w:rPr>
                <w:rFonts w:eastAsia="Times New Roman"/>
                <w:sz w:val="20"/>
                <w:szCs w:val="20"/>
              </w:rPr>
            </w:pPr>
            <w:r>
              <w:rPr>
                <w:rFonts w:eastAsia="Times New Roman"/>
                <w:sz w:val="20"/>
                <w:szCs w:val="20"/>
              </w:rPr>
              <w:t> </w:t>
            </w:r>
          </w:p>
        </w:tc>
      </w:tr>
      <w:tr w:rsidR="00000000" w14:paraId="0737D7EE" w14:textId="77777777">
        <w:tc>
          <w:tcPr>
            <w:tcW w:w="0" w:type="auto"/>
            <w:shd w:val="clear" w:color="auto" w:fill="FFFFFF"/>
            <w:vAlign w:val="bottom"/>
            <w:hideMark/>
          </w:tcPr>
          <w:p w14:paraId="741B7DFB" w14:textId="77777777" w:rsidR="00000000" w:rsidRDefault="006549D2">
            <w:pPr>
              <w:ind w:firstLine="180"/>
              <w:rPr>
                <w:rFonts w:eastAsia="Times New Roman"/>
                <w:b/>
                <w:bCs/>
                <w:sz w:val="20"/>
                <w:szCs w:val="20"/>
              </w:rPr>
            </w:pPr>
            <w:r>
              <w:rPr>
                <w:rFonts w:eastAsia="Times New Roman"/>
                <w:b/>
                <w:bCs/>
                <w:sz w:val="20"/>
                <w:szCs w:val="20"/>
              </w:rPr>
              <w:t>Loss from operations</w:t>
            </w:r>
          </w:p>
        </w:tc>
        <w:tc>
          <w:tcPr>
            <w:tcW w:w="0" w:type="auto"/>
            <w:shd w:val="clear" w:color="auto" w:fill="FFFFFF"/>
            <w:vAlign w:val="bottom"/>
            <w:hideMark/>
          </w:tcPr>
          <w:p w14:paraId="5DBD0BDB"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387CAC32"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21E6D9A0" w14:textId="77777777" w:rsidR="00000000" w:rsidRDefault="006549D2">
            <w:pPr>
              <w:jc w:val="right"/>
              <w:rPr>
                <w:rFonts w:eastAsia="Times New Roman"/>
                <w:b/>
                <w:bCs/>
                <w:sz w:val="20"/>
                <w:szCs w:val="20"/>
              </w:rPr>
            </w:pPr>
            <w:r>
              <w:rPr>
                <w:rFonts w:eastAsia="Times New Roman"/>
                <w:b/>
                <w:bCs/>
                <w:sz w:val="20"/>
                <w:szCs w:val="20"/>
              </w:rPr>
              <w:t>(1,846,344</w:t>
            </w:r>
          </w:p>
        </w:tc>
        <w:tc>
          <w:tcPr>
            <w:tcW w:w="0" w:type="auto"/>
            <w:shd w:val="clear" w:color="auto" w:fill="FFFFFF"/>
            <w:vAlign w:val="bottom"/>
            <w:hideMark/>
          </w:tcPr>
          <w:p w14:paraId="30379256" w14:textId="77777777" w:rsidR="00000000" w:rsidRDefault="006549D2">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5EF5C475"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157EA6D4"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36D2E331" w14:textId="77777777" w:rsidR="00000000" w:rsidRDefault="006549D2">
            <w:pPr>
              <w:jc w:val="right"/>
              <w:rPr>
                <w:rFonts w:eastAsia="Times New Roman"/>
                <w:b/>
                <w:bCs/>
                <w:sz w:val="20"/>
                <w:szCs w:val="20"/>
              </w:rPr>
            </w:pPr>
            <w:r>
              <w:rPr>
                <w:rFonts w:eastAsia="Times New Roman"/>
                <w:b/>
                <w:bCs/>
                <w:sz w:val="20"/>
                <w:szCs w:val="20"/>
              </w:rPr>
              <w:t>(2,061,847</w:t>
            </w:r>
          </w:p>
        </w:tc>
        <w:tc>
          <w:tcPr>
            <w:tcW w:w="0" w:type="auto"/>
            <w:shd w:val="clear" w:color="auto" w:fill="FFFFFF"/>
            <w:vAlign w:val="bottom"/>
            <w:hideMark/>
          </w:tcPr>
          <w:p w14:paraId="53628FEA" w14:textId="77777777" w:rsidR="00000000" w:rsidRDefault="006549D2">
            <w:pPr>
              <w:rPr>
                <w:rFonts w:eastAsia="Times New Roman"/>
                <w:b/>
                <w:bCs/>
                <w:sz w:val="20"/>
                <w:szCs w:val="20"/>
              </w:rPr>
            </w:pPr>
            <w:r>
              <w:rPr>
                <w:rFonts w:eastAsia="Times New Roman"/>
                <w:b/>
                <w:bCs/>
                <w:sz w:val="20"/>
                <w:szCs w:val="20"/>
              </w:rPr>
              <w:t>)</w:t>
            </w:r>
          </w:p>
        </w:tc>
      </w:tr>
      <w:tr w:rsidR="00000000" w14:paraId="14368C83" w14:textId="77777777">
        <w:tc>
          <w:tcPr>
            <w:tcW w:w="0" w:type="auto"/>
            <w:shd w:val="clear" w:color="auto" w:fill="CCEEFF"/>
            <w:vAlign w:val="bottom"/>
            <w:hideMark/>
          </w:tcPr>
          <w:p w14:paraId="046389B9"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A743E3"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E458D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3045C8"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DF1ED2A"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24202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F14A7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C34F3E"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3C3A8FB" w14:textId="77777777" w:rsidR="00000000" w:rsidRDefault="006549D2">
            <w:pPr>
              <w:rPr>
                <w:rFonts w:eastAsia="Times New Roman"/>
                <w:sz w:val="20"/>
                <w:szCs w:val="20"/>
              </w:rPr>
            </w:pPr>
            <w:r>
              <w:rPr>
                <w:rFonts w:eastAsia="Times New Roman"/>
                <w:sz w:val="20"/>
                <w:szCs w:val="20"/>
              </w:rPr>
              <w:t> </w:t>
            </w:r>
          </w:p>
        </w:tc>
      </w:tr>
      <w:tr w:rsidR="00000000" w14:paraId="273AAB68" w14:textId="77777777">
        <w:tc>
          <w:tcPr>
            <w:tcW w:w="0" w:type="auto"/>
            <w:shd w:val="clear" w:color="auto" w:fill="FFFFFF"/>
            <w:vAlign w:val="bottom"/>
            <w:hideMark/>
          </w:tcPr>
          <w:p w14:paraId="0BB94394" w14:textId="77777777" w:rsidR="00000000" w:rsidRDefault="006549D2">
            <w:pPr>
              <w:rPr>
                <w:rFonts w:eastAsia="Times New Roman"/>
                <w:sz w:val="20"/>
                <w:szCs w:val="20"/>
              </w:rPr>
            </w:pPr>
            <w:r>
              <w:rPr>
                <w:rFonts w:eastAsia="Times New Roman"/>
                <w:sz w:val="20"/>
                <w:szCs w:val="20"/>
              </w:rPr>
              <w:t>Other income:</w:t>
            </w:r>
          </w:p>
        </w:tc>
        <w:tc>
          <w:tcPr>
            <w:tcW w:w="0" w:type="auto"/>
            <w:shd w:val="clear" w:color="auto" w:fill="FFFFFF"/>
            <w:vAlign w:val="bottom"/>
            <w:hideMark/>
          </w:tcPr>
          <w:p w14:paraId="5D622AE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14CB38"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C4DB04"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D1300B8"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0F6BA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A1090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E54ACF"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E73B02E" w14:textId="77777777" w:rsidR="00000000" w:rsidRDefault="006549D2">
            <w:pPr>
              <w:rPr>
                <w:rFonts w:eastAsia="Times New Roman"/>
                <w:sz w:val="20"/>
                <w:szCs w:val="20"/>
              </w:rPr>
            </w:pPr>
            <w:r>
              <w:rPr>
                <w:rFonts w:eastAsia="Times New Roman"/>
                <w:sz w:val="20"/>
                <w:szCs w:val="20"/>
              </w:rPr>
              <w:t> </w:t>
            </w:r>
          </w:p>
        </w:tc>
      </w:tr>
      <w:tr w:rsidR="00000000" w14:paraId="27B01F6A" w14:textId="77777777">
        <w:tc>
          <w:tcPr>
            <w:tcW w:w="0" w:type="auto"/>
            <w:shd w:val="clear" w:color="auto" w:fill="CCEEFF"/>
            <w:vAlign w:val="bottom"/>
            <w:hideMark/>
          </w:tcPr>
          <w:p w14:paraId="10CE6E54" w14:textId="77777777" w:rsidR="00000000" w:rsidRDefault="006549D2">
            <w:pPr>
              <w:ind w:firstLine="180"/>
              <w:rPr>
                <w:rFonts w:eastAsia="Times New Roman"/>
                <w:sz w:val="20"/>
                <w:szCs w:val="20"/>
              </w:rPr>
            </w:pPr>
            <w:r>
              <w:rPr>
                <w:rFonts w:eastAsia="Times New Roman"/>
                <w:sz w:val="20"/>
                <w:szCs w:val="20"/>
              </w:rPr>
              <w:t>Interest earned on marketable securities held in Trust Account</w:t>
            </w:r>
          </w:p>
        </w:tc>
        <w:tc>
          <w:tcPr>
            <w:tcW w:w="0" w:type="auto"/>
            <w:shd w:val="clear" w:color="auto" w:fill="CCEEFF"/>
            <w:vAlign w:val="bottom"/>
            <w:hideMark/>
          </w:tcPr>
          <w:p w14:paraId="5A6B532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62A3D6"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34354F" w14:textId="77777777" w:rsidR="00000000" w:rsidRDefault="006549D2">
            <w:pPr>
              <w:jc w:val="right"/>
              <w:rPr>
                <w:rFonts w:eastAsia="Times New Roman"/>
                <w:sz w:val="20"/>
                <w:szCs w:val="20"/>
              </w:rPr>
            </w:pPr>
            <w:r>
              <w:rPr>
                <w:rFonts w:eastAsia="Times New Roman"/>
                <w:sz w:val="20"/>
                <w:szCs w:val="20"/>
              </w:rPr>
              <w:t>2,394,013</w:t>
            </w:r>
          </w:p>
        </w:tc>
        <w:tc>
          <w:tcPr>
            <w:tcW w:w="0" w:type="auto"/>
            <w:shd w:val="clear" w:color="auto" w:fill="CCEEFF"/>
            <w:vAlign w:val="bottom"/>
            <w:hideMark/>
          </w:tcPr>
          <w:p w14:paraId="56EE1F78"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3A1D88"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8BA33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00CF97" w14:textId="77777777" w:rsidR="00000000" w:rsidRDefault="006549D2">
            <w:pPr>
              <w:jc w:val="right"/>
              <w:rPr>
                <w:rFonts w:eastAsia="Times New Roman"/>
                <w:sz w:val="20"/>
                <w:szCs w:val="20"/>
              </w:rPr>
            </w:pPr>
            <w:r>
              <w:rPr>
                <w:rFonts w:eastAsia="Times New Roman"/>
                <w:sz w:val="20"/>
                <w:szCs w:val="20"/>
              </w:rPr>
              <w:t>4,215,679</w:t>
            </w:r>
          </w:p>
        </w:tc>
        <w:tc>
          <w:tcPr>
            <w:tcW w:w="0" w:type="auto"/>
            <w:shd w:val="clear" w:color="auto" w:fill="CCEEFF"/>
            <w:vAlign w:val="bottom"/>
            <w:hideMark/>
          </w:tcPr>
          <w:p w14:paraId="1A28BB8F" w14:textId="77777777" w:rsidR="00000000" w:rsidRDefault="006549D2">
            <w:pPr>
              <w:rPr>
                <w:rFonts w:eastAsia="Times New Roman"/>
                <w:sz w:val="20"/>
                <w:szCs w:val="20"/>
              </w:rPr>
            </w:pPr>
            <w:r>
              <w:rPr>
                <w:rFonts w:eastAsia="Times New Roman"/>
                <w:sz w:val="20"/>
                <w:szCs w:val="20"/>
              </w:rPr>
              <w:t> </w:t>
            </w:r>
          </w:p>
        </w:tc>
      </w:tr>
      <w:tr w:rsidR="00000000" w14:paraId="0F4707C6" w14:textId="77777777">
        <w:tc>
          <w:tcPr>
            <w:tcW w:w="0" w:type="auto"/>
            <w:shd w:val="clear" w:color="auto" w:fill="FFFFFF"/>
            <w:tcMar>
              <w:top w:w="0" w:type="dxa"/>
              <w:left w:w="0" w:type="dxa"/>
              <w:bottom w:w="20" w:type="dxa"/>
              <w:right w:w="0" w:type="dxa"/>
            </w:tcMar>
            <w:vAlign w:val="bottom"/>
            <w:hideMark/>
          </w:tcPr>
          <w:p w14:paraId="2AB1DD68" w14:textId="77777777" w:rsidR="00000000" w:rsidRDefault="006549D2">
            <w:pPr>
              <w:ind w:firstLine="180"/>
              <w:rPr>
                <w:rFonts w:eastAsia="Times New Roman"/>
                <w:sz w:val="20"/>
                <w:szCs w:val="20"/>
              </w:rPr>
            </w:pPr>
            <w:r>
              <w:rPr>
                <w:rFonts w:eastAsia="Times New Roman"/>
                <w:sz w:val="20"/>
                <w:szCs w:val="20"/>
              </w:rPr>
              <w:t>Unrealized loss on marketable securities held in Trust Account</w:t>
            </w:r>
          </w:p>
        </w:tc>
        <w:tc>
          <w:tcPr>
            <w:tcW w:w="0" w:type="auto"/>
            <w:shd w:val="clear" w:color="auto" w:fill="FFFFFF"/>
            <w:tcMar>
              <w:top w:w="0" w:type="dxa"/>
              <w:left w:w="0" w:type="dxa"/>
              <w:bottom w:w="20" w:type="dxa"/>
              <w:right w:w="0" w:type="dxa"/>
            </w:tcMar>
            <w:vAlign w:val="bottom"/>
            <w:hideMark/>
          </w:tcPr>
          <w:p w14:paraId="0487A598"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62E85E48"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0775D47D" w14:textId="77777777" w:rsidR="00000000" w:rsidRDefault="006549D2">
            <w:pPr>
              <w:jc w:val="right"/>
              <w:rPr>
                <w:rFonts w:eastAsia="Times New Roman"/>
                <w:sz w:val="20"/>
                <w:szCs w:val="20"/>
              </w:rPr>
            </w:pPr>
            <w:r>
              <w:rPr>
                <w:rFonts w:eastAsia="Times New Roman"/>
                <w:sz w:val="20"/>
                <w:szCs w:val="20"/>
              </w:rPr>
              <w:t>(2,237,592</w:t>
            </w:r>
          </w:p>
        </w:tc>
        <w:tc>
          <w:tcPr>
            <w:tcW w:w="0" w:type="auto"/>
            <w:shd w:val="clear" w:color="auto" w:fill="FFFFFF"/>
            <w:tcMar>
              <w:top w:w="0" w:type="dxa"/>
              <w:left w:w="0" w:type="dxa"/>
              <w:bottom w:w="20" w:type="dxa"/>
              <w:right w:w="0" w:type="dxa"/>
            </w:tcMar>
            <w:vAlign w:val="bottom"/>
            <w:hideMark/>
          </w:tcPr>
          <w:p w14:paraId="4E657B34" w14:textId="77777777" w:rsidR="00000000" w:rsidRDefault="006549D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263451C9"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403241F8"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6319988A" w14:textId="77777777" w:rsidR="00000000" w:rsidRDefault="006549D2">
            <w:pPr>
              <w:jc w:val="right"/>
              <w:rPr>
                <w:rFonts w:eastAsia="Times New Roman"/>
                <w:sz w:val="20"/>
                <w:szCs w:val="20"/>
              </w:rPr>
            </w:pPr>
            <w:r>
              <w:rPr>
                <w:rFonts w:eastAsia="Times New Roman"/>
                <w:sz w:val="20"/>
                <w:szCs w:val="20"/>
              </w:rPr>
              <w:t>(6,366</w:t>
            </w:r>
          </w:p>
        </w:tc>
        <w:tc>
          <w:tcPr>
            <w:tcW w:w="0" w:type="auto"/>
            <w:shd w:val="clear" w:color="auto" w:fill="FFFFFF"/>
            <w:tcMar>
              <w:top w:w="0" w:type="dxa"/>
              <w:left w:w="0" w:type="dxa"/>
              <w:bottom w:w="20" w:type="dxa"/>
              <w:right w:w="0" w:type="dxa"/>
            </w:tcMar>
            <w:vAlign w:val="bottom"/>
            <w:hideMark/>
          </w:tcPr>
          <w:p w14:paraId="67FDD0FA" w14:textId="77777777" w:rsidR="00000000" w:rsidRDefault="006549D2">
            <w:pPr>
              <w:rPr>
                <w:rFonts w:eastAsia="Times New Roman"/>
                <w:sz w:val="20"/>
                <w:szCs w:val="20"/>
              </w:rPr>
            </w:pPr>
            <w:r>
              <w:rPr>
                <w:rFonts w:eastAsia="Times New Roman"/>
                <w:sz w:val="20"/>
                <w:szCs w:val="20"/>
              </w:rPr>
              <w:t>)</w:t>
            </w:r>
          </w:p>
        </w:tc>
      </w:tr>
      <w:tr w:rsidR="00000000" w14:paraId="002DB88B" w14:textId="77777777">
        <w:tc>
          <w:tcPr>
            <w:tcW w:w="0" w:type="auto"/>
            <w:shd w:val="clear" w:color="auto" w:fill="CCEEFF"/>
            <w:tcMar>
              <w:top w:w="0" w:type="dxa"/>
              <w:left w:w="0" w:type="dxa"/>
              <w:bottom w:w="20" w:type="dxa"/>
              <w:right w:w="0" w:type="dxa"/>
            </w:tcMar>
            <w:vAlign w:val="bottom"/>
            <w:hideMark/>
          </w:tcPr>
          <w:p w14:paraId="3302018F" w14:textId="77777777" w:rsidR="00000000" w:rsidRDefault="006549D2">
            <w:pPr>
              <w:ind w:firstLine="360"/>
              <w:rPr>
                <w:rFonts w:eastAsia="Times New Roman"/>
                <w:sz w:val="20"/>
                <w:szCs w:val="20"/>
              </w:rPr>
            </w:pPr>
            <w:r>
              <w:rPr>
                <w:rFonts w:eastAsia="Times New Roman"/>
                <w:sz w:val="20"/>
                <w:szCs w:val="20"/>
              </w:rPr>
              <w:t>Other income, net</w:t>
            </w:r>
          </w:p>
        </w:tc>
        <w:tc>
          <w:tcPr>
            <w:tcW w:w="0" w:type="auto"/>
            <w:shd w:val="clear" w:color="auto" w:fill="CCEEFF"/>
            <w:tcMar>
              <w:top w:w="0" w:type="dxa"/>
              <w:left w:w="0" w:type="dxa"/>
              <w:bottom w:w="20" w:type="dxa"/>
              <w:right w:w="0" w:type="dxa"/>
            </w:tcMar>
            <w:vAlign w:val="bottom"/>
            <w:hideMark/>
          </w:tcPr>
          <w:p w14:paraId="6F02A17D"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52FA30BF"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632CDE6F" w14:textId="77777777" w:rsidR="00000000" w:rsidRDefault="006549D2">
            <w:pPr>
              <w:jc w:val="right"/>
              <w:rPr>
                <w:rFonts w:eastAsia="Times New Roman"/>
                <w:sz w:val="20"/>
                <w:szCs w:val="20"/>
              </w:rPr>
            </w:pPr>
            <w:r>
              <w:rPr>
                <w:rFonts w:eastAsia="Times New Roman"/>
                <w:sz w:val="20"/>
                <w:szCs w:val="20"/>
              </w:rPr>
              <w:t>156,421</w:t>
            </w:r>
          </w:p>
        </w:tc>
        <w:tc>
          <w:tcPr>
            <w:tcW w:w="0" w:type="auto"/>
            <w:shd w:val="clear" w:color="auto" w:fill="CCEEFF"/>
            <w:tcMar>
              <w:top w:w="0" w:type="dxa"/>
              <w:left w:w="0" w:type="dxa"/>
              <w:bottom w:w="20" w:type="dxa"/>
              <w:right w:w="0" w:type="dxa"/>
            </w:tcMar>
            <w:vAlign w:val="bottom"/>
            <w:hideMark/>
          </w:tcPr>
          <w:p w14:paraId="4B5E3A5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78F1ED27"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7423FC88"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239BE7EB" w14:textId="77777777" w:rsidR="00000000" w:rsidRDefault="006549D2">
            <w:pPr>
              <w:jc w:val="right"/>
              <w:rPr>
                <w:rFonts w:eastAsia="Times New Roman"/>
                <w:sz w:val="20"/>
                <w:szCs w:val="20"/>
              </w:rPr>
            </w:pPr>
            <w:r>
              <w:rPr>
                <w:rFonts w:eastAsia="Times New Roman"/>
                <w:sz w:val="20"/>
                <w:szCs w:val="20"/>
              </w:rPr>
              <w:t>4,209,313</w:t>
            </w:r>
          </w:p>
        </w:tc>
        <w:tc>
          <w:tcPr>
            <w:tcW w:w="0" w:type="auto"/>
            <w:shd w:val="clear" w:color="auto" w:fill="CCEEFF"/>
            <w:tcMar>
              <w:top w:w="0" w:type="dxa"/>
              <w:left w:w="0" w:type="dxa"/>
              <w:bottom w:w="20" w:type="dxa"/>
              <w:right w:w="0" w:type="dxa"/>
            </w:tcMar>
            <w:vAlign w:val="bottom"/>
            <w:hideMark/>
          </w:tcPr>
          <w:p w14:paraId="2F1CD540" w14:textId="77777777" w:rsidR="00000000" w:rsidRDefault="006549D2">
            <w:pPr>
              <w:rPr>
                <w:rFonts w:eastAsia="Times New Roman"/>
                <w:sz w:val="20"/>
                <w:szCs w:val="20"/>
              </w:rPr>
            </w:pPr>
            <w:r>
              <w:rPr>
                <w:rFonts w:eastAsia="Times New Roman"/>
                <w:sz w:val="20"/>
                <w:szCs w:val="20"/>
              </w:rPr>
              <w:t> </w:t>
            </w:r>
          </w:p>
        </w:tc>
      </w:tr>
      <w:tr w:rsidR="00000000" w14:paraId="2FF15D1E" w14:textId="77777777">
        <w:tc>
          <w:tcPr>
            <w:tcW w:w="0" w:type="auto"/>
            <w:shd w:val="clear" w:color="auto" w:fill="FFFFFF"/>
            <w:vAlign w:val="bottom"/>
            <w:hideMark/>
          </w:tcPr>
          <w:p w14:paraId="750D5A2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476F38"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82874A"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8D1AD1"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54AA45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902E7E"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54862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AB0258"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985E00E" w14:textId="77777777" w:rsidR="00000000" w:rsidRDefault="006549D2">
            <w:pPr>
              <w:rPr>
                <w:rFonts w:eastAsia="Times New Roman"/>
                <w:sz w:val="20"/>
                <w:szCs w:val="20"/>
              </w:rPr>
            </w:pPr>
            <w:r>
              <w:rPr>
                <w:rFonts w:eastAsia="Times New Roman"/>
                <w:sz w:val="20"/>
                <w:szCs w:val="20"/>
              </w:rPr>
              <w:t> </w:t>
            </w:r>
          </w:p>
        </w:tc>
      </w:tr>
      <w:tr w:rsidR="00000000" w14:paraId="23E28CD2" w14:textId="77777777">
        <w:tc>
          <w:tcPr>
            <w:tcW w:w="0" w:type="auto"/>
            <w:shd w:val="clear" w:color="auto" w:fill="CCEEFF"/>
            <w:vAlign w:val="bottom"/>
            <w:hideMark/>
          </w:tcPr>
          <w:p w14:paraId="598E0E2E" w14:textId="77777777" w:rsidR="00000000" w:rsidRDefault="006549D2">
            <w:pPr>
              <w:ind w:firstLine="180"/>
              <w:rPr>
                <w:rFonts w:eastAsia="Times New Roman"/>
                <w:b/>
                <w:bCs/>
                <w:sz w:val="20"/>
                <w:szCs w:val="20"/>
              </w:rPr>
            </w:pPr>
            <w:r>
              <w:rPr>
                <w:rFonts w:eastAsia="Times New Roman"/>
                <w:b/>
                <w:bCs/>
                <w:sz w:val="20"/>
                <w:szCs w:val="20"/>
              </w:rPr>
              <w:t>(Loss) income before provision for income taxes</w:t>
            </w:r>
          </w:p>
        </w:tc>
        <w:tc>
          <w:tcPr>
            <w:tcW w:w="0" w:type="auto"/>
            <w:shd w:val="clear" w:color="auto" w:fill="CCEEFF"/>
            <w:vAlign w:val="bottom"/>
            <w:hideMark/>
          </w:tcPr>
          <w:p w14:paraId="39C2E316"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48E9DCF"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E48C75E" w14:textId="77777777" w:rsidR="00000000" w:rsidRDefault="006549D2">
            <w:pPr>
              <w:jc w:val="right"/>
              <w:rPr>
                <w:rFonts w:eastAsia="Times New Roman"/>
                <w:b/>
                <w:bCs/>
                <w:sz w:val="20"/>
                <w:szCs w:val="20"/>
              </w:rPr>
            </w:pPr>
            <w:r>
              <w:rPr>
                <w:rFonts w:eastAsia="Times New Roman"/>
                <w:b/>
                <w:bCs/>
                <w:sz w:val="20"/>
                <w:szCs w:val="20"/>
              </w:rPr>
              <w:t>(1,689,923</w:t>
            </w:r>
          </w:p>
        </w:tc>
        <w:tc>
          <w:tcPr>
            <w:tcW w:w="0" w:type="auto"/>
            <w:shd w:val="clear" w:color="auto" w:fill="CCEEFF"/>
            <w:vAlign w:val="bottom"/>
            <w:hideMark/>
          </w:tcPr>
          <w:p w14:paraId="791551B0" w14:textId="77777777" w:rsidR="00000000" w:rsidRDefault="006549D2">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41EBC68C"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D2CBB36"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816ABA3" w14:textId="77777777" w:rsidR="00000000" w:rsidRDefault="006549D2">
            <w:pPr>
              <w:jc w:val="right"/>
              <w:rPr>
                <w:rFonts w:eastAsia="Times New Roman"/>
                <w:b/>
                <w:bCs/>
                <w:sz w:val="20"/>
                <w:szCs w:val="20"/>
              </w:rPr>
            </w:pPr>
            <w:r>
              <w:rPr>
                <w:rFonts w:eastAsia="Times New Roman"/>
                <w:b/>
                <w:bCs/>
                <w:sz w:val="20"/>
                <w:szCs w:val="20"/>
              </w:rPr>
              <w:t>2,147,466</w:t>
            </w:r>
          </w:p>
        </w:tc>
        <w:tc>
          <w:tcPr>
            <w:tcW w:w="0" w:type="auto"/>
            <w:shd w:val="clear" w:color="auto" w:fill="CCEEFF"/>
            <w:vAlign w:val="bottom"/>
            <w:hideMark/>
          </w:tcPr>
          <w:p w14:paraId="68C33559" w14:textId="77777777" w:rsidR="00000000" w:rsidRDefault="006549D2">
            <w:pPr>
              <w:rPr>
                <w:rFonts w:eastAsia="Times New Roman"/>
                <w:b/>
                <w:bCs/>
                <w:sz w:val="20"/>
                <w:szCs w:val="20"/>
              </w:rPr>
            </w:pPr>
            <w:r>
              <w:rPr>
                <w:rFonts w:eastAsia="Times New Roman"/>
                <w:b/>
                <w:bCs/>
                <w:sz w:val="20"/>
                <w:szCs w:val="20"/>
              </w:rPr>
              <w:t> </w:t>
            </w:r>
          </w:p>
        </w:tc>
      </w:tr>
      <w:tr w:rsidR="00000000" w14:paraId="28289C4F" w14:textId="77777777">
        <w:tc>
          <w:tcPr>
            <w:tcW w:w="0" w:type="auto"/>
            <w:shd w:val="clear" w:color="auto" w:fill="FFFFFF"/>
            <w:tcMar>
              <w:top w:w="0" w:type="dxa"/>
              <w:left w:w="0" w:type="dxa"/>
              <w:bottom w:w="20" w:type="dxa"/>
              <w:right w:w="0" w:type="dxa"/>
            </w:tcMar>
            <w:vAlign w:val="bottom"/>
            <w:hideMark/>
          </w:tcPr>
          <w:p w14:paraId="454126EF" w14:textId="77777777" w:rsidR="00000000" w:rsidRDefault="006549D2">
            <w:pPr>
              <w:ind w:firstLine="180"/>
              <w:rPr>
                <w:rFonts w:eastAsia="Times New Roman"/>
                <w:sz w:val="20"/>
                <w:szCs w:val="20"/>
              </w:rPr>
            </w:pPr>
            <w:r>
              <w:rPr>
                <w:rFonts w:eastAsia="Times New Roman"/>
                <w:sz w:val="20"/>
                <w:szCs w:val="20"/>
              </w:rPr>
              <w:t>Benefit (provision) for income taxes</w:t>
            </w:r>
          </w:p>
        </w:tc>
        <w:tc>
          <w:tcPr>
            <w:tcW w:w="0" w:type="auto"/>
            <w:shd w:val="clear" w:color="auto" w:fill="FFFFFF"/>
            <w:tcMar>
              <w:top w:w="0" w:type="dxa"/>
              <w:left w:w="0" w:type="dxa"/>
              <w:bottom w:w="20" w:type="dxa"/>
              <w:right w:w="0" w:type="dxa"/>
            </w:tcMar>
            <w:vAlign w:val="bottom"/>
            <w:hideMark/>
          </w:tcPr>
          <w:p w14:paraId="6F7F8613"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0A476C49"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7111D6DA" w14:textId="77777777" w:rsidR="00000000" w:rsidRDefault="006549D2">
            <w:pPr>
              <w:jc w:val="right"/>
              <w:rPr>
                <w:rFonts w:eastAsia="Times New Roman"/>
                <w:sz w:val="20"/>
                <w:szCs w:val="20"/>
              </w:rPr>
            </w:pPr>
            <w:r>
              <w:rPr>
                <w:rFonts w:eastAsia="Times New Roman"/>
                <w:sz w:val="20"/>
                <w:szCs w:val="20"/>
              </w:rPr>
              <w:t>354,883</w:t>
            </w:r>
          </w:p>
        </w:tc>
        <w:tc>
          <w:tcPr>
            <w:tcW w:w="0" w:type="auto"/>
            <w:shd w:val="clear" w:color="auto" w:fill="FFFFFF"/>
            <w:tcMar>
              <w:top w:w="0" w:type="dxa"/>
              <w:left w:w="0" w:type="dxa"/>
              <w:bottom w:w="20" w:type="dxa"/>
              <w:right w:w="0" w:type="dxa"/>
            </w:tcMar>
            <w:vAlign w:val="bottom"/>
            <w:hideMark/>
          </w:tcPr>
          <w:p w14:paraId="546C5B16"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5BEF386D"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03549AD9"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5FC523DD" w14:textId="77777777" w:rsidR="00000000" w:rsidRDefault="006549D2">
            <w:pPr>
              <w:jc w:val="right"/>
              <w:rPr>
                <w:rFonts w:eastAsia="Times New Roman"/>
                <w:sz w:val="20"/>
                <w:szCs w:val="20"/>
              </w:rPr>
            </w:pPr>
            <w:r>
              <w:rPr>
                <w:rFonts w:eastAsia="Times New Roman"/>
                <w:sz w:val="20"/>
                <w:szCs w:val="20"/>
              </w:rPr>
              <w:t>(450,968</w:t>
            </w:r>
          </w:p>
        </w:tc>
        <w:tc>
          <w:tcPr>
            <w:tcW w:w="0" w:type="auto"/>
            <w:shd w:val="clear" w:color="auto" w:fill="FFFFFF"/>
            <w:tcMar>
              <w:top w:w="0" w:type="dxa"/>
              <w:left w:w="0" w:type="dxa"/>
              <w:bottom w:w="20" w:type="dxa"/>
              <w:right w:w="0" w:type="dxa"/>
            </w:tcMar>
            <w:vAlign w:val="bottom"/>
            <w:hideMark/>
          </w:tcPr>
          <w:p w14:paraId="28FDB57F" w14:textId="77777777" w:rsidR="00000000" w:rsidRDefault="006549D2">
            <w:pPr>
              <w:rPr>
                <w:rFonts w:eastAsia="Times New Roman"/>
                <w:sz w:val="20"/>
                <w:szCs w:val="20"/>
              </w:rPr>
            </w:pPr>
            <w:r>
              <w:rPr>
                <w:rFonts w:eastAsia="Times New Roman"/>
                <w:sz w:val="20"/>
                <w:szCs w:val="20"/>
              </w:rPr>
              <w:t>)</w:t>
            </w:r>
          </w:p>
        </w:tc>
      </w:tr>
      <w:tr w:rsidR="00000000" w14:paraId="17860C50" w14:textId="77777777">
        <w:tc>
          <w:tcPr>
            <w:tcW w:w="0" w:type="auto"/>
            <w:shd w:val="clear" w:color="auto" w:fill="CCEEFF"/>
            <w:tcMar>
              <w:top w:w="0" w:type="dxa"/>
              <w:left w:w="0" w:type="dxa"/>
              <w:bottom w:w="50" w:type="dxa"/>
              <w:right w:w="0" w:type="dxa"/>
            </w:tcMar>
            <w:vAlign w:val="bottom"/>
            <w:hideMark/>
          </w:tcPr>
          <w:p w14:paraId="39014E01" w14:textId="77777777" w:rsidR="00000000" w:rsidRDefault="006549D2">
            <w:pPr>
              <w:rPr>
                <w:rFonts w:eastAsia="Times New Roman"/>
                <w:b/>
                <w:bCs/>
                <w:sz w:val="20"/>
                <w:szCs w:val="20"/>
              </w:rPr>
            </w:pPr>
            <w:r>
              <w:rPr>
                <w:rFonts w:eastAsia="Times New Roman"/>
                <w:b/>
                <w:bCs/>
                <w:sz w:val="20"/>
                <w:szCs w:val="20"/>
              </w:rPr>
              <w:t>Net (loss) income</w:t>
            </w:r>
          </w:p>
        </w:tc>
        <w:tc>
          <w:tcPr>
            <w:tcW w:w="0" w:type="auto"/>
            <w:shd w:val="clear" w:color="auto" w:fill="CCEEFF"/>
            <w:tcMar>
              <w:top w:w="0" w:type="dxa"/>
              <w:left w:w="0" w:type="dxa"/>
              <w:bottom w:w="50" w:type="dxa"/>
              <w:right w:w="0" w:type="dxa"/>
            </w:tcMar>
            <w:vAlign w:val="bottom"/>
            <w:hideMark/>
          </w:tcPr>
          <w:p w14:paraId="021A44E6"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44D1D870" w14:textId="77777777" w:rsidR="00000000" w:rsidRDefault="006549D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416912F6" w14:textId="77777777" w:rsidR="00000000" w:rsidRDefault="006549D2">
            <w:pPr>
              <w:jc w:val="right"/>
              <w:rPr>
                <w:rFonts w:eastAsia="Times New Roman"/>
                <w:b/>
                <w:bCs/>
                <w:sz w:val="20"/>
                <w:szCs w:val="20"/>
              </w:rPr>
            </w:pPr>
            <w:r>
              <w:rPr>
                <w:rFonts w:eastAsia="Times New Roman"/>
                <w:b/>
                <w:bCs/>
                <w:sz w:val="20"/>
                <w:szCs w:val="20"/>
              </w:rPr>
              <w:t>(1,335,040</w:t>
            </w:r>
          </w:p>
        </w:tc>
        <w:tc>
          <w:tcPr>
            <w:tcW w:w="0" w:type="auto"/>
            <w:shd w:val="clear" w:color="auto" w:fill="CCEEFF"/>
            <w:tcMar>
              <w:top w:w="0" w:type="dxa"/>
              <w:left w:w="0" w:type="dxa"/>
              <w:bottom w:w="50" w:type="dxa"/>
              <w:right w:w="0" w:type="dxa"/>
            </w:tcMar>
            <w:vAlign w:val="bottom"/>
            <w:hideMark/>
          </w:tcPr>
          <w:p w14:paraId="770942C7" w14:textId="77777777" w:rsidR="00000000" w:rsidRDefault="006549D2">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50" w:type="dxa"/>
              <w:right w:w="0" w:type="dxa"/>
            </w:tcMar>
            <w:vAlign w:val="bottom"/>
            <w:hideMark/>
          </w:tcPr>
          <w:p w14:paraId="3953BD36"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5C8E9044" w14:textId="77777777" w:rsidR="00000000" w:rsidRDefault="006549D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64415DC3" w14:textId="77777777" w:rsidR="00000000" w:rsidRDefault="006549D2">
            <w:pPr>
              <w:jc w:val="right"/>
              <w:rPr>
                <w:rFonts w:eastAsia="Times New Roman"/>
                <w:b/>
                <w:bCs/>
                <w:sz w:val="20"/>
                <w:szCs w:val="20"/>
              </w:rPr>
            </w:pPr>
            <w:r>
              <w:rPr>
                <w:rFonts w:eastAsia="Times New Roman"/>
                <w:b/>
                <w:bCs/>
                <w:sz w:val="20"/>
                <w:szCs w:val="20"/>
              </w:rPr>
              <w:t>1,696,498</w:t>
            </w:r>
          </w:p>
        </w:tc>
        <w:tc>
          <w:tcPr>
            <w:tcW w:w="0" w:type="auto"/>
            <w:shd w:val="clear" w:color="auto" w:fill="CCEEFF"/>
            <w:tcMar>
              <w:top w:w="0" w:type="dxa"/>
              <w:left w:w="0" w:type="dxa"/>
              <w:bottom w:w="50" w:type="dxa"/>
              <w:right w:w="0" w:type="dxa"/>
            </w:tcMar>
            <w:vAlign w:val="bottom"/>
            <w:hideMark/>
          </w:tcPr>
          <w:p w14:paraId="3AB6F29C" w14:textId="77777777" w:rsidR="00000000" w:rsidRDefault="006549D2">
            <w:pPr>
              <w:rPr>
                <w:rFonts w:eastAsia="Times New Roman"/>
                <w:b/>
                <w:bCs/>
                <w:sz w:val="20"/>
                <w:szCs w:val="20"/>
              </w:rPr>
            </w:pPr>
            <w:r>
              <w:rPr>
                <w:rFonts w:eastAsia="Times New Roman"/>
                <w:b/>
                <w:bCs/>
                <w:sz w:val="20"/>
                <w:szCs w:val="20"/>
              </w:rPr>
              <w:t> </w:t>
            </w:r>
          </w:p>
        </w:tc>
      </w:tr>
      <w:tr w:rsidR="00000000" w14:paraId="5BFA469F" w14:textId="77777777">
        <w:tc>
          <w:tcPr>
            <w:tcW w:w="0" w:type="auto"/>
            <w:shd w:val="clear" w:color="auto" w:fill="FFFFFF"/>
            <w:vAlign w:val="bottom"/>
            <w:hideMark/>
          </w:tcPr>
          <w:p w14:paraId="0C93110A"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01540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0218AB"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791677"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25F970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30D34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26E92B"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CBF94C"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327E147" w14:textId="77777777" w:rsidR="00000000" w:rsidRDefault="006549D2">
            <w:pPr>
              <w:rPr>
                <w:rFonts w:eastAsia="Times New Roman"/>
                <w:sz w:val="20"/>
                <w:szCs w:val="20"/>
              </w:rPr>
            </w:pPr>
            <w:r>
              <w:rPr>
                <w:rFonts w:eastAsia="Times New Roman"/>
                <w:sz w:val="20"/>
                <w:szCs w:val="20"/>
              </w:rPr>
              <w:t> </w:t>
            </w:r>
          </w:p>
        </w:tc>
      </w:tr>
      <w:tr w:rsidR="00000000" w14:paraId="5E108AD0" w14:textId="77777777">
        <w:tc>
          <w:tcPr>
            <w:tcW w:w="0" w:type="auto"/>
            <w:shd w:val="clear" w:color="auto" w:fill="CCEEFF"/>
            <w:tcMar>
              <w:top w:w="0" w:type="dxa"/>
              <w:left w:w="0" w:type="dxa"/>
              <w:bottom w:w="50" w:type="dxa"/>
              <w:right w:w="0" w:type="dxa"/>
            </w:tcMar>
            <w:vAlign w:val="bottom"/>
            <w:hideMark/>
          </w:tcPr>
          <w:p w14:paraId="2B7415E8" w14:textId="77777777" w:rsidR="00000000" w:rsidRDefault="006549D2">
            <w:pPr>
              <w:rPr>
                <w:rFonts w:eastAsia="Times New Roman"/>
                <w:sz w:val="20"/>
                <w:szCs w:val="20"/>
              </w:rPr>
            </w:pPr>
            <w:r>
              <w:rPr>
                <w:rFonts w:eastAsia="Times New Roman"/>
                <w:sz w:val="20"/>
                <w:szCs w:val="20"/>
              </w:rPr>
              <w:t xml:space="preserve">Weighted average shares outstanding, basic and diluted </w:t>
            </w:r>
            <w:r>
              <w:rPr>
                <w:rFonts w:eastAsia="Times New Roman"/>
                <w:sz w:val="20"/>
                <w:szCs w:val="20"/>
                <w:vertAlign w:val="superscript"/>
              </w:rPr>
              <w:t>(1)</w:t>
            </w:r>
          </w:p>
        </w:tc>
        <w:tc>
          <w:tcPr>
            <w:tcW w:w="0" w:type="auto"/>
            <w:shd w:val="clear" w:color="auto" w:fill="CCEEFF"/>
            <w:tcMar>
              <w:top w:w="0" w:type="dxa"/>
              <w:left w:w="0" w:type="dxa"/>
              <w:bottom w:w="50" w:type="dxa"/>
              <w:right w:w="0" w:type="dxa"/>
            </w:tcMar>
            <w:vAlign w:val="bottom"/>
            <w:hideMark/>
          </w:tcPr>
          <w:p w14:paraId="1F793E73" w14:textId="77777777" w:rsidR="00000000" w:rsidRDefault="006549D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95D7B1A" w14:textId="77777777" w:rsidR="00000000" w:rsidRDefault="006549D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2484632" w14:textId="77777777" w:rsidR="00000000" w:rsidRDefault="006549D2">
            <w:pPr>
              <w:jc w:val="right"/>
              <w:rPr>
                <w:rFonts w:eastAsia="Times New Roman"/>
                <w:sz w:val="20"/>
                <w:szCs w:val="20"/>
              </w:rPr>
            </w:pPr>
            <w:r>
              <w:rPr>
                <w:rFonts w:eastAsia="Times New Roman"/>
                <w:sz w:val="20"/>
                <w:szCs w:val="20"/>
              </w:rPr>
              <w:t>31,167,195</w:t>
            </w:r>
          </w:p>
        </w:tc>
        <w:tc>
          <w:tcPr>
            <w:tcW w:w="0" w:type="auto"/>
            <w:shd w:val="clear" w:color="auto" w:fill="CCEEFF"/>
            <w:tcMar>
              <w:top w:w="0" w:type="dxa"/>
              <w:left w:w="0" w:type="dxa"/>
              <w:bottom w:w="50" w:type="dxa"/>
              <w:right w:w="0" w:type="dxa"/>
            </w:tcMar>
            <w:vAlign w:val="bottom"/>
            <w:hideMark/>
          </w:tcPr>
          <w:p w14:paraId="09B9DD6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A6EBDB0" w14:textId="77777777" w:rsidR="00000000" w:rsidRDefault="006549D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56FCE8C" w14:textId="77777777" w:rsidR="00000000" w:rsidRDefault="006549D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D53A0E1" w14:textId="77777777" w:rsidR="00000000" w:rsidRDefault="006549D2">
            <w:pPr>
              <w:jc w:val="right"/>
              <w:rPr>
                <w:rFonts w:eastAsia="Times New Roman"/>
                <w:sz w:val="20"/>
                <w:szCs w:val="20"/>
              </w:rPr>
            </w:pPr>
            <w:r>
              <w:rPr>
                <w:rFonts w:eastAsia="Times New Roman"/>
                <w:sz w:val="20"/>
                <w:szCs w:val="20"/>
              </w:rPr>
              <w:t>30,397,160</w:t>
            </w:r>
          </w:p>
        </w:tc>
        <w:tc>
          <w:tcPr>
            <w:tcW w:w="0" w:type="auto"/>
            <w:shd w:val="clear" w:color="auto" w:fill="CCEEFF"/>
            <w:tcMar>
              <w:top w:w="0" w:type="dxa"/>
              <w:left w:w="0" w:type="dxa"/>
              <w:bottom w:w="50" w:type="dxa"/>
              <w:right w:w="0" w:type="dxa"/>
            </w:tcMar>
            <w:vAlign w:val="bottom"/>
            <w:hideMark/>
          </w:tcPr>
          <w:p w14:paraId="3C4FD7A4" w14:textId="77777777" w:rsidR="00000000" w:rsidRDefault="006549D2">
            <w:pPr>
              <w:rPr>
                <w:rFonts w:eastAsia="Times New Roman"/>
                <w:sz w:val="20"/>
                <w:szCs w:val="20"/>
              </w:rPr>
            </w:pPr>
            <w:r>
              <w:rPr>
                <w:rFonts w:eastAsia="Times New Roman"/>
                <w:sz w:val="20"/>
                <w:szCs w:val="20"/>
              </w:rPr>
              <w:t> </w:t>
            </w:r>
          </w:p>
        </w:tc>
      </w:tr>
      <w:tr w:rsidR="00000000" w14:paraId="4E4232E7" w14:textId="77777777">
        <w:tc>
          <w:tcPr>
            <w:tcW w:w="0" w:type="auto"/>
            <w:shd w:val="clear" w:color="auto" w:fill="FFFFFF"/>
            <w:vAlign w:val="bottom"/>
            <w:hideMark/>
          </w:tcPr>
          <w:p w14:paraId="3BAA3E68"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28E46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CE842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B1A6DD"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75B3126"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792F8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206A9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A6E173"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F23DF80" w14:textId="77777777" w:rsidR="00000000" w:rsidRDefault="006549D2">
            <w:pPr>
              <w:rPr>
                <w:rFonts w:eastAsia="Times New Roman"/>
                <w:sz w:val="20"/>
                <w:szCs w:val="20"/>
              </w:rPr>
            </w:pPr>
            <w:r>
              <w:rPr>
                <w:rFonts w:eastAsia="Times New Roman"/>
                <w:sz w:val="20"/>
                <w:szCs w:val="20"/>
              </w:rPr>
              <w:t> </w:t>
            </w:r>
          </w:p>
        </w:tc>
      </w:tr>
      <w:tr w:rsidR="00000000" w14:paraId="178186A6" w14:textId="77777777">
        <w:tc>
          <w:tcPr>
            <w:tcW w:w="0" w:type="auto"/>
            <w:shd w:val="clear" w:color="auto" w:fill="CCEEFF"/>
            <w:tcMar>
              <w:top w:w="0" w:type="dxa"/>
              <w:left w:w="0" w:type="dxa"/>
              <w:bottom w:w="50" w:type="dxa"/>
              <w:right w:w="0" w:type="dxa"/>
            </w:tcMar>
            <w:vAlign w:val="bottom"/>
            <w:hideMark/>
          </w:tcPr>
          <w:p w14:paraId="5CA79611" w14:textId="77777777" w:rsidR="00000000" w:rsidRDefault="006549D2">
            <w:pPr>
              <w:rPr>
                <w:rFonts w:eastAsia="Times New Roman"/>
                <w:b/>
                <w:bCs/>
                <w:sz w:val="20"/>
                <w:szCs w:val="20"/>
              </w:rPr>
            </w:pPr>
            <w:r>
              <w:rPr>
                <w:rFonts w:eastAsia="Times New Roman"/>
                <w:b/>
                <w:bCs/>
                <w:sz w:val="20"/>
                <w:szCs w:val="20"/>
              </w:rPr>
              <w:t xml:space="preserve">Basic and diluted net loss per common share </w:t>
            </w:r>
            <w:r>
              <w:rPr>
                <w:rFonts w:eastAsia="Times New Roman"/>
                <w:b/>
                <w:bCs/>
                <w:sz w:val="20"/>
                <w:szCs w:val="20"/>
                <w:vertAlign w:val="superscript"/>
              </w:rPr>
              <w:t>(2)</w:t>
            </w:r>
          </w:p>
        </w:tc>
        <w:tc>
          <w:tcPr>
            <w:tcW w:w="0" w:type="auto"/>
            <w:shd w:val="clear" w:color="auto" w:fill="CCEEFF"/>
            <w:tcMar>
              <w:top w:w="0" w:type="dxa"/>
              <w:left w:w="0" w:type="dxa"/>
              <w:bottom w:w="50" w:type="dxa"/>
              <w:right w:w="0" w:type="dxa"/>
            </w:tcMar>
            <w:vAlign w:val="bottom"/>
            <w:hideMark/>
          </w:tcPr>
          <w:p w14:paraId="2434F553"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1EB44141" w14:textId="77777777" w:rsidR="00000000" w:rsidRDefault="006549D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043814C3" w14:textId="77777777" w:rsidR="00000000" w:rsidRDefault="006549D2">
            <w:pPr>
              <w:jc w:val="right"/>
              <w:rPr>
                <w:rFonts w:eastAsia="Times New Roman"/>
                <w:b/>
                <w:bCs/>
                <w:sz w:val="20"/>
                <w:szCs w:val="20"/>
              </w:rPr>
            </w:pPr>
            <w:r>
              <w:rPr>
                <w:rFonts w:eastAsia="Times New Roman"/>
                <w:b/>
                <w:bCs/>
                <w:sz w:val="20"/>
                <w:szCs w:val="20"/>
              </w:rPr>
              <w:t>(0.04</w:t>
            </w:r>
          </w:p>
        </w:tc>
        <w:tc>
          <w:tcPr>
            <w:tcW w:w="0" w:type="auto"/>
            <w:shd w:val="clear" w:color="auto" w:fill="CCEEFF"/>
            <w:tcMar>
              <w:top w:w="0" w:type="dxa"/>
              <w:left w:w="0" w:type="dxa"/>
              <w:bottom w:w="50" w:type="dxa"/>
              <w:right w:w="0" w:type="dxa"/>
            </w:tcMar>
            <w:vAlign w:val="bottom"/>
            <w:hideMark/>
          </w:tcPr>
          <w:p w14:paraId="76812E84" w14:textId="77777777" w:rsidR="00000000" w:rsidRDefault="006549D2">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50" w:type="dxa"/>
              <w:right w:w="0" w:type="dxa"/>
            </w:tcMar>
            <w:vAlign w:val="bottom"/>
            <w:hideMark/>
          </w:tcPr>
          <w:p w14:paraId="54E26833"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0CC45C40" w14:textId="77777777" w:rsidR="00000000" w:rsidRDefault="006549D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6413B00E" w14:textId="77777777" w:rsidR="00000000" w:rsidRDefault="006549D2">
            <w:pPr>
              <w:jc w:val="right"/>
              <w:rPr>
                <w:rFonts w:eastAsia="Times New Roman"/>
                <w:b/>
                <w:bCs/>
                <w:sz w:val="20"/>
                <w:szCs w:val="20"/>
              </w:rPr>
            </w:pPr>
            <w:r>
              <w:rPr>
                <w:rFonts w:eastAsia="Times New Roman"/>
                <w:b/>
                <w:bCs/>
                <w:sz w:val="20"/>
                <w:szCs w:val="20"/>
              </w:rPr>
              <w:t>(0.03</w:t>
            </w:r>
          </w:p>
        </w:tc>
        <w:tc>
          <w:tcPr>
            <w:tcW w:w="0" w:type="auto"/>
            <w:shd w:val="clear" w:color="auto" w:fill="CCEEFF"/>
            <w:tcMar>
              <w:top w:w="0" w:type="dxa"/>
              <w:left w:w="0" w:type="dxa"/>
              <w:bottom w:w="50" w:type="dxa"/>
              <w:right w:w="0" w:type="dxa"/>
            </w:tcMar>
            <w:vAlign w:val="bottom"/>
            <w:hideMark/>
          </w:tcPr>
          <w:p w14:paraId="6255FAC0" w14:textId="77777777" w:rsidR="00000000" w:rsidRDefault="006549D2">
            <w:pPr>
              <w:rPr>
                <w:rFonts w:eastAsia="Times New Roman"/>
                <w:b/>
                <w:bCs/>
                <w:sz w:val="20"/>
                <w:szCs w:val="20"/>
              </w:rPr>
            </w:pPr>
            <w:r>
              <w:rPr>
                <w:rFonts w:eastAsia="Times New Roman"/>
                <w:b/>
                <w:bCs/>
                <w:sz w:val="20"/>
                <w:szCs w:val="20"/>
              </w:rPr>
              <w:t>)</w:t>
            </w:r>
          </w:p>
        </w:tc>
      </w:tr>
    </w:tbl>
    <w:p w14:paraId="5F173B2F" w14:textId="77777777" w:rsidR="00000000" w:rsidRDefault="006549D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50"/>
        <w:gridCol w:w="8056"/>
      </w:tblGrid>
      <w:tr w:rsidR="00000000" w14:paraId="52A232AA" w14:textId="77777777">
        <w:tc>
          <w:tcPr>
            <w:tcW w:w="150" w:type="pct"/>
            <w:tcMar>
              <w:top w:w="0" w:type="dxa"/>
              <w:left w:w="0" w:type="dxa"/>
              <w:bottom w:w="0" w:type="dxa"/>
              <w:right w:w="16" w:type="dxa"/>
            </w:tcMar>
            <w:hideMark/>
          </w:tcPr>
          <w:p w14:paraId="194672B6" w14:textId="77777777" w:rsidR="00000000" w:rsidRDefault="006549D2">
            <w:pPr>
              <w:rPr>
                <w:rFonts w:eastAsia="Times New Roman"/>
                <w:sz w:val="20"/>
                <w:szCs w:val="20"/>
              </w:rPr>
            </w:pPr>
            <w:r>
              <w:rPr>
                <w:rFonts w:eastAsia="Times New Roman"/>
                <w:sz w:val="20"/>
                <w:szCs w:val="20"/>
              </w:rPr>
              <w:t>(1)</w:t>
            </w:r>
          </w:p>
        </w:tc>
        <w:tc>
          <w:tcPr>
            <w:tcW w:w="4850" w:type="pct"/>
            <w:tcMar>
              <w:top w:w="0" w:type="dxa"/>
              <w:left w:w="0" w:type="dxa"/>
              <w:bottom w:w="0" w:type="dxa"/>
              <w:right w:w="16" w:type="dxa"/>
            </w:tcMar>
            <w:hideMark/>
          </w:tcPr>
          <w:p w14:paraId="3EAB7487" w14:textId="77777777" w:rsidR="00000000" w:rsidRDefault="006549D2">
            <w:pPr>
              <w:jc w:val="both"/>
              <w:rPr>
                <w:rFonts w:eastAsia="Times New Roman"/>
                <w:sz w:val="20"/>
                <w:szCs w:val="20"/>
              </w:rPr>
            </w:pPr>
            <w:r>
              <w:rPr>
                <w:rFonts w:eastAsia="Times New Roman"/>
                <w:sz w:val="20"/>
                <w:szCs w:val="20"/>
              </w:rPr>
              <w:t>Excludes an aggregate of 105,858,072 shares subject to possible redemption at June 30, 2020.</w:t>
            </w:r>
          </w:p>
        </w:tc>
      </w:tr>
      <w:tr w:rsidR="00000000" w14:paraId="1850E730" w14:textId="77777777">
        <w:tc>
          <w:tcPr>
            <w:tcW w:w="0" w:type="auto"/>
            <w:tcMar>
              <w:top w:w="0" w:type="dxa"/>
              <w:left w:w="0" w:type="dxa"/>
              <w:bottom w:w="0" w:type="dxa"/>
              <w:right w:w="16" w:type="dxa"/>
            </w:tcMar>
            <w:hideMark/>
          </w:tcPr>
          <w:p w14:paraId="337E7282" w14:textId="77777777" w:rsidR="00000000" w:rsidRDefault="006549D2">
            <w:pPr>
              <w:rPr>
                <w:rFonts w:eastAsia="Times New Roman"/>
                <w:sz w:val="20"/>
                <w:szCs w:val="20"/>
              </w:rPr>
            </w:pPr>
            <w:r>
              <w:rPr>
                <w:rFonts w:eastAsia="Times New Roman"/>
                <w:sz w:val="20"/>
                <w:szCs w:val="20"/>
              </w:rPr>
              <w:t>(2)</w:t>
            </w:r>
          </w:p>
        </w:tc>
        <w:tc>
          <w:tcPr>
            <w:tcW w:w="0" w:type="auto"/>
            <w:tcMar>
              <w:top w:w="0" w:type="dxa"/>
              <w:left w:w="0" w:type="dxa"/>
              <w:bottom w:w="0" w:type="dxa"/>
              <w:right w:w="16" w:type="dxa"/>
            </w:tcMar>
            <w:hideMark/>
          </w:tcPr>
          <w:p w14:paraId="14FBBB66" w14:textId="77777777" w:rsidR="00000000" w:rsidRDefault="006549D2">
            <w:pPr>
              <w:jc w:val="both"/>
              <w:rPr>
                <w:rFonts w:eastAsia="Times New Roman"/>
                <w:sz w:val="20"/>
                <w:szCs w:val="20"/>
              </w:rPr>
            </w:pPr>
            <w:r>
              <w:rPr>
                <w:rFonts w:eastAsia="Times New Roman"/>
                <w:sz w:val="20"/>
                <w:szCs w:val="20"/>
              </w:rPr>
              <w:t>Excludes interest income of $0 and $2,558,125 attributable to shares subject to possible redemption for the three and six months ended June 30, 2020 (see Note 2).</w:t>
            </w:r>
          </w:p>
        </w:tc>
      </w:tr>
    </w:tbl>
    <w:p w14:paraId="72C1D994" w14:textId="77777777" w:rsidR="00000000" w:rsidRDefault="006549D2">
      <w:pPr>
        <w:pStyle w:val="a3"/>
        <w:spacing w:before="0" w:beforeAutospacing="0" w:after="0" w:afterAutospacing="0"/>
        <w:jc w:val="center"/>
        <w:rPr>
          <w:sz w:val="20"/>
          <w:szCs w:val="20"/>
        </w:rPr>
      </w:pPr>
      <w:r>
        <w:rPr>
          <w:sz w:val="20"/>
          <w:szCs w:val="20"/>
        </w:rPr>
        <w:t> </w:t>
      </w:r>
    </w:p>
    <w:p w14:paraId="11C4E500" w14:textId="77777777" w:rsidR="00000000" w:rsidRDefault="006549D2">
      <w:pPr>
        <w:pStyle w:val="a3"/>
        <w:spacing w:before="0" w:beforeAutospacing="0" w:after="0" w:afterAutospacing="0"/>
        <w:jc w:val="center"/>
        <w:rPr>
          <w:sz w:val="20"/>
          <w:szCs w:val="20"/>
        </w:rPr>
      </w:pPr>
      <w:r>
        <w:rPr>
          <w:sz w:val="20"/>
          <w:szCs w:val="20"/>
        </w:rPr>
        <w:t>The accompanying notes are an integral part of the unaudited condensed financial statement</w:t>
      </w:r>
      <w:r>
        <w:rPr>
          <w:sz w:val="20"/>
          <w:szCs w:val="20"/>
        </w:rPr>
        <w:t>s.</w:t>
      </w:r>
    </w:p>
    <w:p w14:paraId="4991E992" w14:textId="77777777" w:rsidR="00000000" w:rsidRDefault="006549D2">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2590156" w14:textId="77777777">
        <w:trPr>
          <w:divId w:val="1584988280"/>
        </w:trPr>
        <w:tc>
          <w:tcPr>
            <w:tcW w:w="1650" w:type="pct"/>
            <w:hideMark/>
          </w:tcPr>
          <w:p w14:paraId="7DBA6532" w14:textId="77777777" w:rsidR="00000000" w:rsidRDefault="006549D2">
            <w:pPr>
              <w:rPr>
                <w:rFonts w:eastAsia="Times New Roman"/>
                <w:sz w:val="20"/>
                <w:szCs w:val="20"/>
              </w:rPr>
            </w:pPr>
            <w:r>
              <w:rPr>
                <w:rFonts w:eastAsia="Times New Roman"/>
                <w:sz w:val="20"/>
                <w:szCs w:val="20"/>
              </w:rPr>
              <w:t> </w:t>
            </w:r>
          </w:p>
        </w:tc>
        <w:tc>
          <w:tcPr>
            <w:tcW w:w="1700" w:type="pct"/>
            <w:hideMark/>
          </w:tcPr>
          <w:p w14:paraId="72C9233A" w14:textId="77777777" w:rsidR="00000000" w:rsidRDefault="006549D2">
            <w:pPr>
              <w:jc w:val="center"/>
              <w:rPr>
                <w:rFonts w:eastAsia="Times New Roman"/>
                <w:sz w:val="20"/>
                <w:szCs w:val="20"/>
              </w:rPr>
            </w:pPr>
            <w:r>
              <w:rPr>
                <w:rFonts w:eastAsia="Times New Roman"/>
                <w:sz w:val="20"/>
                <w:szCs w:val="20"/>
              </w:rPr>
              <w:t>2</w:t>
            </w:r>
          </w:p>
        </w:tc>
        <w:tc>
          <w:tcPr>
            <w:tcW w:w="1650" w:type="pct"/>
            <w:hideMark/>
          </w:tcPr>
          <w:p w14:paraId="29594FD9" w14:textId="77777777" w:rsidR="00000000" w:rsidRDefault="006549D2">
            <w:pPr>
              <w:jc w:val="right"/>
              <w:rPr>
                <w:rFonts w:eastAsia="Times New Roman"/>
                <w:sz w:val="20"/>
                <w:szCs w:val="20"/>
              </w:rPr>
            </w:pPr>
            <w:r>
              <w:rPr>
                <w:rFonts w:eastAsia="Times New Roman"/>
                <w:sz w:val="20"/>
                <w:szCs w:val="20"/>
              </w:rPr>
              <w:t> </w:t>
            </w:r>
          </w:p>
        </w:tc>
      </w:tr>
    </w:tbl>
    <w:p w14:paraId="0B95215A" w14:textId="77777777" w:rsidR="00000000" w:rsidRDefault="006549D2">
      <w:pPr>
        <w:pStyle w:val="a3"/>
        <w:pageBreakBefore/>
        <w:spacing w:before="0" w:beforeAutospacing="0" w:after="0" w:afterAutospacing="0"/>
        <w:divId w:val="1910726339"/>
        <w:rPr>
          <w:sz w:val="20"/>
          <w:szCs w:val="20"/>
        </w:rPr>
      </w:pPr>
      <w:r>
        <w:rPr>
          <w:sz w:val="20"/>
          <w:szCs w:val="20"/>
        </w:rPr>
        <w:t> </w:t>
      </w:r>
    </w:p>
    <w:p w14:paraId="732D3CC1" w14:textId="77777777" w:rsidR="00000000" w:rsidRDefault="006549D2">
      <w:pPr>
        <w:pStyle w:val="a3"/>
        <w:spacing w:before="0" w:beforeAutospacing="0" w:after="0" w:afterAutospacing="0"/>
        <w:rPr>
          <w:sz w:val="20"/>
          <w:szCs w:val="20"/>
        </w:rPr>
      </w:pPr>
      <w:r>
        <w:rPr>
          <w:sz w:val="20"/>
          <w:szCs w:val="20"/>
        </w:rPr>
        <w:t> </w:t>
      </w:r>
    </w:p>
    <w:p w14:paraId="2980A7C2" w14:textId="77777777" w:rsidR="00000000" w:rsidRDefault="006549D2">
      <w:pPr>
        <w:pStyle w:val="a3"/>
        <w:spacing w:before="0" w:beforeAutospacing="0" w:after="0" w:afterAutospacing="0"/>
        <w:jc w:val="center"/>
        <w:rPr>
          <w:sz w:val="20"/>
          <w:szCs w:val="20"/>
        </w:rPr>
      </w:pPr>
      <w:r>
        <w:rPr>
          <w:b/>
          <w:bCs/>
          <w:sz w:val="20"/>
          <w:szCs w:val="20"/>
        </w:rPr>
        <w:t>CHURCHILL CAPITAL CORP III</w:t>
      </w:r>
    </w:p>
    <w:p w14:paraId="47B089D4" w14:textId="77777777" w:rsidR="00000000" w:rsidRDefault="006549D2">
      <w:pPr>
        <w:pStyle w:val="a3"/>
        <w:spacing w:before="0" w:beforeAutospacing="0" w:after="0" w:afterAutospacing="0"/>
        <w:jc w:val="center"/>
        <w:rPr>
          <w:sz w:val="20"/>
          <w:szCs w:val="20"/>
        </w:rPr>
      </w:pPr>
      <w:bookmarkStart w:id="4" w:name="condensedstatementofchanges"/>
      <w:bookmarkEnd w:id="4"/>
      <w:r>
        <w:rPr>
          <w:b/>
          <w:bCs/>
          <w:sz w:val="20"/>
          <w:szCs w:val="20"/>
        </w:rPr>
        <w:t>CONDENSED STATEMENT OF CHANGES IN STOCKHOLDERS’ EQUITY</w:t>
      </w:r>
    </w:p>
    <w:p w14:paraId="5AA46760" w14:textId="77777777" w:rsidR="00000000" w:rsidRDefault="006549D2">
      <w:pPr>
        <w:pStyle w:val="a3"/>
        <w:spacing w:before="0" w:beforeAutospacing="0" w:after="0" w:afterAutospacing="0"/>
        <w:jc w:val="center"/>
        <w:rPr>
          <w:sz w:val="20"/>
          <w:szCs w:val="20"/>
        </w:rPr>
      </w:pPr>
      <w:r>
        <w:rPr>
          <w:b/>
          <w:bCs/>
          <w:sz w:val="20"/>
          <w:szCs w:val="20"/>
        </w:rPr>
        <w:t>THREE AND SIX MONTHS ENDED JUNE 30, 2020</w:t>
      </w:r>
    </w:p>
    <w:p w14:paraId="701EB426" w14:textId="77777777" w:rsidR="00000000" w:rsidRDefault="006549D2">
      <w:pPr>
        <w:pStyle w:val="a3"/>
        <w:spacing w:before="0" w:beforeAutospacing="0" w:after="0" w:afterAutospacing="0"/>
        <w:jc w:val="center"/>
        <w:rPr>
          <w:sz w:val="20"/>
          <w:szCs w:val="20"/>
        </w:rPr>
      </w:pPr>
      <w:r>
        <w:rPr>
          <w:b/>
          <w:bCs/>
          <w:sz w:val="20"/>
          <w:szCs w:val="20"/>
        </w:rPr>
        <w:t>(UNAUDITED)</w:t>
      </w:r>
    </w:p>
    <w:p w14:paraId="64F213AF" w14:textId="77777777" w:rsidR="00000000" w:rsidRDefault="006549D2">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456"/>
        <w:gridCol w:w="50"/>
        <w:gridCol w:w="50"/>
        <w:gridCol w:w="1067"/>
        <w:gridCol w:w="67"/>
        <w:gridCol w:w="50"/>
        <w:gridCol w:w="100"/>
        <w:gridCol w:w="701"/>
        <w:gridCol w:w="67"/>
        <w:gridCol w:w="50"/>
        <w:gridCol w:w="50"/>
        <w:gridCol w:w="900"/>
        <w:gridCol w:w="50"/>
        <w:gridCol w:w="50"/>
        <w:gridCol w:w="100"/>
        <w:gridCol w:w="701"/>
        <w:gridCol w:w="50"/>
        <w:gridCol w:w="50"/>
        <w:gridCol w:w="100"/>
        <w:gridCol w:w="1217"/>
        <w:gridCol w:w="67"/>
        <w:gridCol w:w="50"/>
        <w:gridCol w:w="100"/>
        <w:gridCol w:w="1200"/>
        <w:gridCol w:w="67"/>
        <w:gridCol w:w="50"/>
        <w:gridCol w:w="100"/>
        <w:gridCol w:w="1217"/>
        <w:gridCol w:w="67"/>
      </w:tblGrid>
      <w:tr w:rsidR="00000000" w14:paraId="02B871C6" w14:textId="77777777">
        <w:tc>
          <w:tcPr>
            <w:tcW w:w="0" w:type="auto"/>
            <w:shd w:val="clear" w:color="auto" w:fill="FFFFFF"/>
            <w:tcMar>
              <w:top w:w="0" w:type="dxa"/>
              <w:left w:w="0" w:type="dxa"/>
              <w:bottom w:w="20" w:type="dxa"/>
              <w:right w:w="0" w:type="dxa"/>
            </w:tcMar>
            <w:vAlign w:val="bottom"/>
            <w:hideMark/>
          </w:tcPr>
          <w:p w14:paraId="35EA0069" w14:textId="77777777" w:rsidR="00000000" w:rsidRDefault="006549D2">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6D1E7BD5"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4581835A"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gridSpan w:val="5"/>
            <w:tcBorders>
              <w:bottom w:val="single" w:sz="8" w:space="0" w:color="000000"/>
            </w:tcBorders>
            <w:shd w:val="clear" w:color="auto" w:fill="FFFFFF"/>
            <w:vAlign w:val="bottom"/>
            <w:hideMark/>
          </w:tcPr>
          <w:p w14:paraId="1498FFF8" w14:textId="77777777" w:rsidR="00000000" w:rsidRDefault="006549D2">
            <w:pPr>
              <w:jc w:val="center"/>
              <w:rPr>
                <w:rFonts w:eastAsia="Times New Roman"/>
                <w:b/>
                <w:bCs/>
                <w:sz w:val="20"/>
                <w:szCs w:val="20"/>
              </w:rPr>
            </w:pPr>
            <w:r>
              <w:rPr>
                <w:rFonts w:eastAsia="Times New Roman"/>
                <w:b/>
                <w:bCs/>
                <w:sz w:val="20"/>
                <w:szCs w:val="20"/>
              </w:rPr>
              <w:t>Class A Common Stock</w:t>
            </w:r>
          </w:p>
        </w:tc>
        <w:tc>
          <w:tcPr>
            <w:tcW w:w="0" w:type="auto"/>
            <w:shd w:val="clear" w:color="auto" w:fill="FFFFFF"/>
            <w:tcMar>
              <w:top w:w="0" w:type="dxa"/>
              <w:left w:w="0" w:type="dxa"/>
              <w:bottom w:w="20" w:type="dxa"/>
              <w:right w:w="0" w:type="dxa"/>
            </w:tcMar>
            <w:vAlign w:val="bottom"/>
            <w:hideMark/>
          </w:tcPr>
          <w:p w14:paraId="4CA092A0" w14:textId="77777777" w:rsidR="00000000" w:rsidRDefault="006549D2">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4725F38B"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15FCF929"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gridSpan w:val="5"/>
            <w:tcBorders>
              <w:bottom w:val="single" w:sz="8" w:space="0" w:color="000000"/>
            </w:tcBorders>
            <w:shd w:val="clear" w:color="auto" w:fill="FFFFFF"/>
            <w:vAlign w:val="bottom"/>
            <w:hideMark/>
          </w:tcPr>
          <w:p w14:paraId="24EF4F52" w14:textId="77777777" w:rsidR="00000000" w:rsidRDefault="006549D2">
            <w:pPr>
              <w:jc w:val="center"/>
              <w:rPr>
                <w:rFonts w:eastAsia="Times New Roman"/>
                <w:b/>
                <w:bCs/>
                <w:sz w:val="20"/>
                <w:szCs w:val="20"/>
              </w:rPr>
            </w:pPr>
            <w:r>
              <w:rPr>
                <w:rFonts w:eastAsia="Times New Roman"/>
                <w:b/>
                <w:bCs/>
                <w:sz w:val="20"/>
                <w:szCs w:val="20"/>
              </w:rPr>
              <w:t>Class B Common Stock</w:t>
            </w:r>
          </w:p>
        </w:tc>
        <w:tc>
          <w:tcPr>
            <w:tcW w:w="0" w:type="auto"/>
            <w:shd w:val="clear" w:color="auto" w:fill="FFFFFF"/>
            <w:tcMar>
              <w:top w:w="0" w:type="dxa"/>
              <w:left w:w="0" w:type="dxa"/>
              <w:bottom w:w="20" w:type="dxa"/>
              <w:right w:w="0" w:type="dxa"/>
            </w:tcMar>
            <w:vAlign w:val="bottom"/>
            <w:hideMark/>
          </w:tcPr>
          <w:p w14:paraId="0BC2C3D3" w14:textId="77777777" w:rsidR="00000000" w:rsidRDefault="006549D2">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49DF309F"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12591BBB"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7F8991D9" w14:textId="77777777" w:rsidR="00000000" w:rsidRDefault="006549D2">
            <w:pPr>
              <w:jc w:val="center"/>
              <w:rPr>
                <w:rFonts w:eastAsia="Times New Roman"/>
                <w:b/>
                <w:bCs/>
                <w:sz w:val="20"/>
                <w:szCs w:val="20"/>
              </w:rPr>
            </w:pPr>
            <w:r>
              <w:rPr>
                <w:rFonts w:eastAsia="Times New Roman"/>
                <w:b/>
                <w:bCs/>
                <w:sz w:val="20"/>
                <w:szCs w:val="20"/>
              </w:rPr>
              <w:t>Additional</w:t>
            </w:r>
            <w:r>
              <w:rPr>
                <w:rFonts w:eastAsia="Times New Roman"/>
                <w:b/>
                <w:bCs/>
                <w:sz w:val="20"/>
                <w:szCs w:val="20"/>
              </w:rPr>
              <w:br/>
              <w:t>Paid</w:t>
            </w:r>
          </w:p>
        </w:tc>
        <w:tc>
          <w:tcPr>
            <w:tcW w:w="0" w:type="auto"/>
            <w:shd w:val="clear" w:color="auto" w:fill="FFFFFF"/>
            <w:tcMar>
              <w:top w:w="0" w:type="dxa"/>
              <w:left w:w="0" w:type="dxa"/>
              <w:bottom w:w="20" w:type="dxa"/>
              <w:right w:w="0" w:type="dxa"/>
            </w:tcMar>
            <w:vAlign w:val="bottom"/>
            <w:hideMark/>
          </w:tcPr>
          <w:p w14:paraId="5BAD2585"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14:paraId="1C854A8B"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40896733"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7248EBE9" w14:textId="77777777" w:rsidR="00000000" w:rsidRDefault="006549D2">
            <w:pPr>
              <w:jc w:val="center"/>
              <w:rPr>
                <w:rFonts w:eastAsia="Times New Roman"/>
                <w:b/>
                <w:bCs/>
                <w:sz w:val="20"/>
                <w:szCs w:val="20"/>
              </w:rPr>
            </w:pPr>
            <w:r>
              <w:rPr>
                <w:rFonts w:eastAsia="Times New Roman"/>
                <w:b/>
                <w:bCs/>
                <w:sz w:val="20"/>
                <w:szCs w:val="20"/>
              </w:rPr>
              <w:t>(Accumulated</w:t>
            </w:r>
            <w:r>
              <w:rPr>
                <w:rFonts w:eastAsia="Times New Roman"/>
                <w:b/>
                <w:bCs/>
                <w:sz w:val="20"/>
                <w:szCs w:val="20"/>
              </w:rPr>
              <w:br/>
              <w:t>Deficit) /</w:t>
            </w:r>
            <w:r>
              <w:rPr>
                <w:rFonts w:eastAsia="Times New Roman"/>
                <w:b/>
                <w:bCs/>
                <w:sz w:val="20"/>
                <w:szCs w:val="20"/>
              </w:rPr>
              <w:br/>
              <w:t>Retained</w:t>
            </w:r>
          </w:p>
        </w:tc>
        <w:tc>
          <w:tcPr>
            <w:tcW w:w="0" w:type="auto"/>
            <w:shd w:val="clear" w:color="auto" w:fill="FFFFFF"/>
            <w:tcMar>
              <w:top w:w="0" w:type="dxa"/>
              <w:left w:w="0" w:type="dxa"/>
              <w:bottom w:w="20" w:type="dxa"/>
              <w:right w:w="0" w:type="dxa"/>
            </w:tcMar>
            <w:vAlign w:val="bottom"/>
            <w:hideMark/>
          </w:tcPr>
          <w:p w14:paraId="728F486C"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14:paraId="7DDA3DF5"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3887E168"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4FDF20EE" w14:textId="77777777" w:rsidR="00000000" w:rsidRDefault="006549D2">
            <w:pPr>
              <w:jc w:val="center"/>
              <w:rPr>
                <w:rFonts w:eastAsia="Times New Roman"/>
                <w:b/>
                <w:bCs/>
                <w:sz w:val="20"/>
                <w:szCs w:val="20"/>
              </w:rPr>
            </w:pPr>
            <w:r>
              <w:rPr>
                <w:rFonts w:eastAsia="Times New Roman"/>
                <w:b/>
                <w:bCs/>
                <w:sz w:val="20"/>
                <w:szCs w:val="20"/>
              </w:rPr>
              <w:t>Total</w:t>
            </w:r>
            <w:r>
              <w:rPr>
                <w:rFonts w:eastAsia="Times New Roman"/>
                <w:b/>
                <w:bCs/>
                <w:sz w:val="20"/>
                <w:szCs w:val="20"/>
              </w:rPr>
              <w:br/>
              <w:t>Stockholders’</w:t>
            </w:r>
          </w:p>
        </w:tc>
        <w:tc>
          <w:tcPr>
            <w:tcW w:w="0" w:type="auto"/>
            <w:shd w:val="clear" w:color="auto" w:fill="FFFFFF"/>
            <w:tcMar>
              <w:top w:w="0" w:type="dxa"/>
              <w:left w:w="0" w:type="dxa"/>
              <w:bottom w:w="20" w:type="dxa"/>
              <w:right w:w="0" w:type="dxa"/>
            </w:tcMar>
            <w:vAlign w:val="bottom"/>
            <w:hideMark/>
          </w:tcPr>
          <w:p w14:paraId="3DFF359C" w14:textId="77777777" w:rsidR="00000000" w:rsidRDefault="006549D2">
            <w:pPr>
              <w:jc w:val="center"/>
              <w:rPr>
                <w:rFonts w:eastAsia="Times New Roman"/>
                <w:b/>
                <w:bCs/>
                <w:sz w:val="20"/>
                <w:szCs w:val="20"/>
              </w:rPr>
            </w:pPr>
            <w:r>
              <w:rPr>
                <w:rFonts w:eastAsia="Times New Roman"/>
                <w:b/>
                <w:bCs/>
                <w:sz w:val="20"/>
                <w:szCs w:val="20"/>
              </w:rPr>
              <w:t> </w:t>
            </w:r>
          </w:p>
        </w:tc>
      </w:tr>
      <w:tr w:rsidR="006549D2" w14:paraId="75A4FA87" w14:textId="77777777">
        <w:tc>
          <w:tcPr>
            <w:tcW w:w="0" w:type="auto"/>
            <w:shd w:val="clear" w:color="auto" w:fill="FFFFFF"/>
            <w:tcMar>
              <w:top w:w="0" w:type="dxa"/>
              <w:left w:w="0" w:type="dxa"/>
              <w:bottom w:w="20" w:type="dxa"/>
              <w:right w:w="0" w:type="dxa"/>
            </w:tcMar>
            <w:vAlign w:val="bottom"/>
            <w:hideMark/>
          </w:tcPr>
          <w:p w14:paraId="78F17312" w14:textId="77777777" w:rsidR="00000000" w:rsidRDefault="006549D2">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61D877F2"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487E59CD"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3247F3FA" w14:textId="77777777" w:rsidR="00000000" w:rsidRDefault="006549D2">
            <w:pPr>
              <w:jc w:val="center"/>
              <w:rPr>
                <w:rFonts w:eastAsia="Times New Roman"/>
                <w:b/>
                <w:bCs/>
                <w:sz w:val="20"/>
                <w:szCs w:val="20"/>
              </w:rPr>
            </w:pPr>
            <w:r>
              <w:rPr>
                <w:rFonts w:eastAsia="Times New Roman"/>
                <w:b/>
                <w:bCs/>
                <w:sz w:val="20"/>
                <w:szCs w:val="20"/>
              </w:rPr>
              <w:t>Shares</w:t>
            </w:r>
          </w:p>
        </w:tc>
        <w:tc>
          <w:tcPr>
            <w:tcW w:w="0" w:type="auto"/>
            <w:shd w:val="clear" w:color="auto" w:fill="FFFFFF"/>
            <w:tcMar>
              <w:top w:w="0" w:type="dxa"/>
              <w:left w:w="0" w:type="dxa"/>
              <w:bottom w:w="20" w:type="dxa"/>
              <w:right w:w="0" w:type="dxa"/>
            </w:tcMar>
            <w:vAlign w:val="bottom"/>
            <w:hideMark/>
          </w:tcPr>
          <w:p w14:paraId="0D6783E2"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14:paraId="573B2235"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129C326F"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0D478460" w14:textId="77777777" w:rsidR="00000000" w:rsidRDefault="006549D2">
            <w:pPr>
              <w:jc w:val="center"/>
              <w:rPr>
                <w:rFonts w:eastAsia="Times New Roman"/>
                <w:b/>
                <w:bCs/>
                <w:sz w:val="20"/>
                <w:szCs w:val="20"/>
              </w:rPr>
            </w:pPr>
            <w:r>
              <w:rPr>
                <w:rFonts w:eastAsia="Times New Roman"/>
                <w:b/>
                <w:bCs/>
                <w:sz w:val="20"/>
                <w:szCs w:val="20"/>
              </w:rPr>
              <w:t>Amount</w:t>
            </w:r>
          </w:p>
        </w:tc>
        <w:tc>
          <w:tcPr>
            <w:tcW w:w="0" w:type="auto"/>
            <w:shd w:val="clear" w:color="auto" w:fill="FFFFFF"/>
            <w:tcMar>
              <w:top w:w="0" w:type="dxa"/>
              <w:left w:w="0" w:type="dxa"/>
              <w:bottom w:w="20" w:type="dxa"/>
              <w:right w:w="0" w:type="dxa"/>
            </w:tcMar>
            <w:vAlign w:val="bottom"/>
            <w:hideMark/>
          </w:tcPr>
          <w:p w14:paraId="0BAE0542"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14:paraId="2E0C792A"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2F90FEF9"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68927191" w14:textId="77777777" w:rsidR="00000000" w:rsidRDefault="006549D2">
            <w:pPr>
              <w:jc w:val="center"/>
              <w:rPr>
                <w:rFonts w:eastAsia="Times New Roman"/>
                <w:b/>
                <w:bCs/>
                <w:sz w:val="20"/>
                <w:szCs w:val="20"/>
              </w:rPr>
            </w:pPr>
            <w:r>
              <w:rPr>
                <w:rFonts w:eastAsia="Times New Roman"/>
                <w:b/>
                <w:bCs/>
                <w:sz w:val="20"/>
                <w:szCs w:val="20"/>
              </w:rPr>
              <w:t>Shares</w:t>
            </w:r>
          </w:p>
        </w:tc>
        <w:tc>
          <w:tcPr>
            <w:tcW w:w="0" w:type="auto"/>
            <w:shd w:val="clear" w:color="auto" w:fill="FFFFFF"/>
            <w:tcMar>
              <w:top w:w="0" w:type="dxa"/>
              <w:left w:w="0" w:type="dxa"/>
              <w:bottom w:w="20" w:type="dxa"/>
              <w:right w:w="0" w:type="dxa"/>
            </w:tcMar>
            <w:vAlign w:val="bottom"/>
            <w:hideMark/>
          </w:tcPr>
          <w:p w14:paraId="551BC315"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14:paraId="2517DCB0"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1F7A2089"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2B3EDE05" w14:textId="77777777" w:rsidR="00000000" w:rsidRDefault="006549D2">
            <w:pPr>
              <w:jc w:val="center"/>
              <w:rPr>
                <w:rFonts w:eastAsia="Times New Roman"/>
                <w:b/>
                <w:bCs/>
                <w:sz w:val="20"/>
                <w:szCs w:val="20"/>
              </w:rPr>
            </w:pPr>
            <w:r>
              <w:rPr>
                <w:rFonts w:eastAsia="Times New Roman"/>
                <w:b/>
                <w:bCs/>
                <w:sz w:val="20"/>
                <w:szCs w:val="20"/>
              </w:rPr>
              <w:t>Amount</w:t>
            </w:r>
          </w:p>
        </w:tc>
        <w:tc>
          <w:tcPr>
            <w:tcW w:w="0" w:type="auto"/>
            <w:shd w:val="clear" w:color="auto" w:fill="FFFFFF"/>
            <w:tcMar>
              <w:top w:w="0" w:type="dxa"/>
              <w:left w:w="0" w:type="dxa"/>
              <w:bottom w:w="20" w:type="dxa"/>
              <w:right w:w="0" w:type="dxa"/>
            </w:tcMar>
            <w:vAlign w:val="bottom"/>
            <w:hideMark/>
          </w:tcPr>
          <w:p w14:paraId="25D82CC7"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14:paraId="713A824A"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6CA55355"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1D7AC6DD" w14:textId="77777777" w:rsidR="00000000" w:rsidRDefault="006549D2">
            <w:pPr>
              <w:jc w:val="center"/>
              <w:rPr>
                <w:rFonts w:eastAsia="Times New Roman"/>
                <w:b/>
                <w:bCs/>
                <w:sz w:val="20"/>
                <w:szCs w:val="20"/>
              </w:rPr>
            </w:pPr>
            <w:r>
              <w:rPr>
                <w:rFonts w:eastAsia="Times New Roman"/>
                <w:b/>
                <w:bCs/>
                <w:sz w:val="20"/>
                <w:szCs w:val="20"/>
              </w:rPr>
              <w:t>in Capital</w:t>
            </w:r>
          </w:p>
        </w:tc>
        <w:tc>
          <w:tcPr>
            <w:tcW w:w="0" w:type="auto"/>
            <w:shd w:val="clear" w:color="auto" w:fill="FFFFFF"/>
            <w:tcMar>
              <w:top w:w="0" w:type="dxa"/>
              <w:left w:w="0" w:type="dxa"/>
              <w:bottom w:w="20" w:type="dxa"/>
              <w:right w:w="0" w:type="dxa"/>
            </w:tcMar>
            <w:vAlign w:val="bottom"/>
            <w:hideMark/>
          </w:tcPr>
          <w:p w14:paraId="0A2BBDD1"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14:paraId="4B1DB0E0"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4D1752D2"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12D12D24" w14:textId="77777777" w:rsidR="00000000" w:rsidRDefault="006549D2">
            <w:pPr>
              <w:jc w:val="center"/>
              <w:rPr>
                <w:rFonts w:eastAsia="Times New Roman"/>
                <w:b/>
                <w:bCs/>
                <w:sz w:val="20"/>
                <w:szCs w:val="20"/>
              </w:rPr>
            </w:pPr>
            <w:r>
              <w:rPr>
                <w:rFonts w:eastAsia="Times New Roman"/>
                <w:b/>
                <w:bCs/>
                <w:sz w:val="20"/>
                <w:szCs w:val="20"/>
              </w:rPr>
              <w:t>Earnings</w:t>
            </w:r>
          </w:p>
        </w:tc>
        <w:tc>
          <w:tcPr>
            <w:tcW w:w="0" w:type="auto"/>
            <w:shd w:val="clear" w:color="auto" w:fill="FFFFFF"/>
            <w:tcMar>
              <w:top w:w="0" w:type="dxa"/>
              <w:left w:w="0" w:type="dxa"/>
              <w:bottom w:w="20" w:type="dxa"/>
              <w:right w:w="0" w:type="dxa"/>
            </w:tcMar>
            <w:vAlign w:val="bottom"/>
            <w:hideMark/>
          </w:tcPr>
          <w:p w14:paraId="7DBD724D"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20" w:type="dxa"/>
              <w:right w:w="0" w:type="dxa"/>
            </w:tcMar>
            <w:vAlign w:val="bottom"/>
            <w:hideMark/>
          </w:tcPr>
          <w:p w14:paraId="67D6E4F6"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3A1AAE46" w14:textId="77777777" w:rsidR="00000000" w:rsidRDefault="006549D2">
            <w:pPr>
              <w:jc w:val="cente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FFFFFF"/>
            <w:vAlign w:val="bottom"/>
            <w:hideMark/>
          </w:tcPr>
          <w:p w14:paraId="2C9C8567" w14:textId="77777777" w:rsidR="00000000" w:rsidRDefault="006549D2">
            <w:pPr>
              <w:jc w:val="center"/>
              <w:rPr>
                <w:rFonts w:eastAsia="Times New Roman"/>
                <w:b/>
                <w:bCs/>
                <w:sz w:val="20"/>
                <w:szCs w:val="20"/>
              </w:rPr>
            </w:pPr>
            <w:r>
              <w:rPr>
                <w:rFonts w:eastAsia="Times New Roman"/>
                <w:b/>
                <w:bCs/>
                <w:sz w:val="20"/>
                <w:szCs w:val="20"/>
              </w:rPr>
              <w:t>Equity</w:t>
            </w:r>
          </w:p>
        </w:tc>
        <w:tc>
          <w:tcPr>
            <w:tcW w:w="0" w:type="auto"/>
            <w:shd w:val="clear" w:color="auto" w:fill="FFFFFF"/>
            <w:tcMar>
              <w:top w:w="0" w:type="dxa"/>
              <w:left w:w="0" w:type="dxa"/>
              <w:bottom w:w="20" w:type="dxa"/>
              <w:right w:w="0" w:type="dxa"/>
            </w:tcMar>
            <w:vAlign w:val="bottom"/>
            <w:hideMark/>
          </w:tcPr>
          <w:p w14:paraId="0BB68F52" w14:textId="77777777" w:rsidR="00000000" w:rsidRDefault="006549D2">
            <w:pPr>
              <w:rPr>
                <w:rFonts w:eastAsia="Times New Roman"/>
                <w:b/>
                <w:bCs/>
                <w:sz w:val="20"/>
                <w:szCs w:val="20"/>
              </w:rPr>
            </w:pPr>
            <w:r>
              <w:rPr>
                <w:rFonts w:eastAsia="Times New Roman"/>
                <w:b/>
                <w:bCs/>
                <w:sz w:val="20"/>
                <w:szCs w:val="20"/>
              </w:rPr>
              <w:t> </w:t>
            </w:r>
          </w:p>
        </w:tc>
      </w:tr>
      <w:tr w:rsidR="006549D2" w14:paraId="57F4C661" w14:textId="77777777">
        <w:tc>
          <w:tcPr>
            <w:tcW w:w="1250" w:type="pct"/>
            <w:shd w:val="clear" w:color="auto" w:fill="CCEEFF"/>
            <w:vAlign w:val="bottom"/>
            <w:hideMark/>
          </w:tcPr>
          <w:p w14:paraId="552C00A8" w14:textId="77777777" w:rsidR="00000000" w:rsidRDefault="006549D2">
            <w:pPr>
              <w:rPr>
                <w:rFonts w:eastAsia="Times New Roman"/>
                <w:b/>
                <w:bCs/>
                <w:sz w:val="20"/>
                <w:szCs w:val="20"/>
              </w:rPr>
            </w:pPr>
            <w:r>
              <w:rPr>
                <w:rFonts w:eastAsia="Times New Roman"/>
                <w:b/>
                <w:bCs/>
                <w:sz w:val="20"/>
                <w:szCs w:val="20"/>
              </w:rPr>
              <w:t>Balance – January 1, 2020</w:t>
            </w:r>
          </w:p>
        </w:tc>
        <w:tc>
          <w:tcPr>
            <w:tcW w:w="50" w:type="pct"/>
            <w:shd w:val="clear" w:color="auto" w:fill="CCEEFF"/>
            <w:vAlign w:val="bottom"/>
            <w:hideMark/>
          </w:tcPr>
          <w:p w14:paraId="1422115D" w14:textId="77777777" w:rsidR="00000000" w:rsidRDefault="006549D2">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7A00D893" w14:textId="77777777" w:rsidR="00000000" w:rsidRDefault="006549D2">
            <w:pPr>
              <w:rPr>
                <w:rFonts w:eastAsia="Times New Roman"/>
                <w:b/>
                <w:bCs/>
                <w:sz w:val="20"/>
                <w:szCs w:val="20"/>
              </w:rPr>
            </w:pPr>
            <w:r>
              <w:rPr>
                <w:rFonts w:eastAsia="Times New Roman"/>
                <w:b/>
                <w:bCs/>
                <w:sz w:val="20"/>
                <w:szCs w:val="20"/>
              </w:rPr>
              <w:t> </w:t>
            </w:r>
          </w:p>
        </w:tc>
        <w:tc>
          <w:tcPr>
            <w:tcW w:w="350" w:type="pct"/>
            <w:shd w:val="clear" w:color="auto" w:fill="CCEEFF"/>
            <w:vAlign w:val="bottom"/>
            <w:hideMark/>
          </w:tcPr>
          <w:p w14:paraId="0D817DA9" w14:textId="77777777" w:rsidR="00000000" w:rsidRDefault="006549D2">
            <w:pPr>
              <w:jc w:val="right"/>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3BBE726B" w14:textId="77777777" w:rsidR="00000000" w:rsidRDefault="006549D2">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14384B4A" w14:textId="77777777" w:rsidR="00000000" w:rsidRDefault="006549D2">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4EAD163F" w14:textId="77777777" w:rsidR="00000000" w:rsidRDefault="006549D2">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14:paraId="613B49D9" w14:textId="77777777" w:rsidR="00000000" w:rsidRDefault="006549D2">
            <w:pPr>
              <w:jc w:val="right"/>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3A8CF74E" w14:textId="77777777" w:rsidR="00000000" w:rsidRDefault="006549D2">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4CF82D46" w14:textId="77777777" w:rsidR="00000000" w:rsidRDefault="006549D2">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67EDAA46" w14:textId="77777777" w:rsidR="00000000" w:rsidRDefault="006549D2">
            <w:pPr>
              <w:rPr>
                <w:rFonts w:eastAsia="Times New Roman"/>
                <w:b/>
                <w:bCs/>
                <w:sz w:val="20"/>
                <w:szCs w:val="20"/>
              </w:rPr>
            </w:pPr>
            <w:r>
              <w:rPr>
                <w:rFonts w:eastAsia="Times New Roman"/>
                <w:b/>
                <w:bCs/>
                <w:sz w:val="20"/>
                <w:szCs w:val="20"/>
              </w:rPr>
              <w:t> </w:t>
            </w:r>
          </w:p>
        </w:tc>
        <w:tc>
          <w:tcPr>
            <w:tcW w:w="400" w:type="pct"/>
            <w:shd w:val="clear" w:color="auto" w:fill="CCEEFF"/>
            <w:vAlign w:val="bottom"/>
            <w:hideMark/>
          </w:tcPr>
          <w:p w14:paraId="23AA2316" w14:textId="77777777" w:rsidR="00000000" w:rsidRDefault="006549D2">
            <w:pPr>
              <w:jc w:val="right"/>
              <w:rPr>
                <w:rFonts w:eastAsia="Times New Roman"/>
                <w:b/>
                <w:bCs/>
                <w:sz w:val="20"/>
                <w:szCs w:val="20"/>
              </w:rPr>
            </w:pPr>
            <w:r>
              <w:rPr>
                <w:rFonts w:eastAsia="Times New Roman"/>
                <w:b/>
                <w:bCs/>
                <w:sz w:val="20"/>
                <w:szCs w:val="20"/>
              </w:rPr>
              <w:t>27,500,000</w:t>
            </w:r>
          </w:p>
        </w:tc>
        <w:tc>
          <w:tcPr>
            <w:tcW w:w="50" w:type="pct"/>
            <w:shd w:val="clear" w:color="auto" w:fill="CCEEFF"/>
            <w:vAlign w:val="bottom"/>
            <w:hideMark/>
          </w:tcPr>
          <w:p w14:paraId="5110CCCC" w14:textId="77777777" w:rsidR="00000000" w:rsidRDefault="006549D2">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0C8D84BB" w14:textId="77777777" w:rsidR="00000000" w:rsidRDefault="006549D2">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2C29AC83" w14:textId="77777777" w:rsidR="00000000" w:rsidRDefault="006549D2">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14:paraId="55CBE85E" w14:textId="77777777" w:rsidR="00000000" w:rsidRDefault="006549D2">
            <w:pPr>
              <w:jc w:val="right"/>
              <w:rPr>
                <w:rFonts w:eastAsia="Times New Roman"/>
                <w:b/>
                <w:bCs/>
                <w:sz w:val="20"/>
                <w:szCs w:val="20"/>
              </w:rPr>
            </w:pPr>
            <w:r>
              <w:rPr>
                <w:rFonts w:eastAsia="Times New Roman"/>
                <w:b/>
                <w:bCs/>
                <w:sz w:val="20"/>
                <w:szCs w:val="20"/>
              </w:rPr>
              <w:t>2,750</w:t>
            </w:r>
          </w:p>
        </w:tc>
        <w:tc>
          <w:tcPr>
            <w:tcW w:w="50" w:type="pct"/>
            <w:shd w:val="clear" w:color="auto" w:fill="CCEEFF"/>
            <w:vAlign w:val="bottom"/>
            <w:hideMark/>
          </w:tcPr>
          <w:p w14:paraId="0A9E42A2" w14:textId="77777777" w:rsidR="00000000" w:rsidRDefault="006549D2">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746EE437" w14:textId="77777777" w:rsidR="00000000" w:rsidRDefault="006549D2">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5D3607FE" w14:textId="77777777" w:rsidR="00000000" w:rsidRDefault="006549D2">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14:paraId="7CDD7868" w14:textId="77777777" w:rsidR="00000000" w:rsidRDefault="006549D2">
            <w:pPr>
              <w:jc w:val="right"/>
              <w:rPr>
                <w:rFonts w:eastAsia="Times New Roman"/>
                <w:b/>
                <w:bCs/>
                <w:sz w:val="20"/>
                <w:szCs w:val="20"/>
              </w:rPr>
            </w:pPr>
            <w:r>
              <w:rPr>
                <w:rFonts w:eastAsia="Times New Roman"/>
                <w:b/>
                <w:bCs/>
                <w:sz w:val="20"/>
                <w:szCs w:val="20"/>
              </w:rPr>
              <w:t>22,250</w:t>
            </w:r>
          </w:p>
        </w:tc>
        <w:tc>
          <w:tcPr>
            <w:tcW w:w="50" w:type="pct"/>
            <w:shd w:val="clear" w:color="auto" w:fill="CCEEFF"/>
            <w:vAlign w:val="bottom"/>
            <w:hideMark/>
          </w:tcPr>
          <w:p w14:paraId="57612584" w14:textId="77777777" w:rsidR="00000000" w:rsidRDefault="006549D2">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44E91CFB" w14:textId="77777777" w:rsidR="00000000" w:rsidRDefault="006549D2">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3E09B5D4" w14:textId="77777777" w:rsidR="00000000" w:rsidRDefault="006549D2">
            <w:pPr>
              <w:rPr>
                <w:rFonts w:eastAsia="Times New Roman"/>
                <w:b/>
                <w:bCs/>
                <w:sz w:val="20"/>
                <w:szCs w:val="20"/>
              </w:rPr>
            </w:pPr>
            <w:r>
              <w:rPr>
                <w:rFonts w:eastAsia="Times New Roman"/>
                <w:b/>
                <w:bCs/>
                <w:sz w:val="20"/>
                <w:szCs w:val="20"/>
              </w:rPr>
              <w:t>$</w:t>
            </w:r>
          </w:p>
        </w:tc>
        <w:tc>
          <w:tcPr>
            <w:tcW w:w="550" w:type="pct"/>
            <w:shd w:val="clear" w:color="auto" w:fill="CCEEFF"/>
            <w:vAlign w:val="bottom"/>
            <w:hideMark/>
          </w:tcPr>
          <w:p w14:paraId="15916E65" w14:textId="77777777" w:rsidR="00000000" w:rsidRDefault="006549D2">
            <w:pPr>
              <w:jc w:val="right"/>
              <w:rPr>
                <w:rFonts w:eastAsia="Times New Roman"/>
                <w:b/>
                <w:bCs/>
                <w:sz w:val="20"/>
                <w:szCs w:val="20"/>
              </w:rPr>
            </w:pPr>
            <w:r>
              <w:rPr>
                <w:rFonts w:eastAsia="Times New Roman"/>
                <w:b/>
                <w:bCs/>
                <w:sz w:val="20"/>
                <w:szCs w:val="20"/>
              </w:rPr>
              <w:t>(1,450</w:t>
            </w:r>
          </w:p>
        </w:tc>
        <w:tc>
          <w:tcPr>
            <w:tcW w:w="50" w:type="pct"/>
            <w:shd w:val="clear" w:color="auto" w:fill="CCEEFF"/>
            <w:vAlign w:val="bottom"/>
            <w:hideMark/>
          </w:tcPr>
          <w:p w14:paraId="0744CD25" w14:textId="77777777" w:rsidR="00000000" w:rsidRDefault="006549D2">
            <w:pPr>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757EBD9C" w14:textId="77777777" w:rsidR="00000000" w:rsidRDefault="006549D2">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1A3CFA38" w14:textId="77777777" w:rsidR="00000000" w:rsidRDefault="006549D2">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14:paraId="3057E33A" w14:textId="77777777" w:rsidR="00000000" w:rsidRDefault="006549D2">
            <w:pPr>
              <w:jc w:val="right"/>
              <w:rPr>
                <w:rFonts w:eastAsia="Times New Roman"/>
                <w:b/>
                <w:bCs/>
                <w:sz w:val="20"/>
                <w:szCs w:val="20"/>
              </w:rPr>
            </w:pPr>
            <w:r>
              <w:rPr>
                <w:rFonts w:eastAsia="Times New Roman"/>
                <w:b/>
                <w:bCs/>
                <w:sz w:val="20"/>
                <w:szCs w:val="20"/>
              </w:rPr>
              <w:t>23,550</w:t>
            </w:r>
          </w:p>
        </w:tc>
        <w:tc>
          <w:tcPr>
            <w:tcW w:w="50" w:type="pct"/>
            <w:shd w:val="clear" w:color="auto" w:fill="CCEEFF"/>
            <w:vAlign w:val="bottom"/>
            <w:hideMark/>
          </w:tcPr>
          <w:p w14:paraId="36B4FA58" w14:textId="77777777" w:rsidR="00000000" w:rsidRDefault="006549D2">
            <w:pPr>
              <w:rPr>
                <w:rFonts w:eastAsia="Times New Roman"/>
                <w:b/>
                <w:bCs/>
                <w:sz w:val="20"/>
                <w:szCs w:val="20"/>
              </w:rPr>
            </w:pPr>
            <w:r>
              <w:rPr>
                <w:rFonts w:eastAsia="Times New Roman"/>
                <w:b/>
                <w:bCs/>
                <w:sz w:val="20"/>
                <w:szCs w:val="20"/>
              </w:rPr>
              <w:t> </w:t>
            </w:r>
          </w:p>
        </w:tc>
      </w:tr>
      <w:tr w:rsidR="006549D2" w14:paraId="6D7D868F" w14:textId="77777777">
        <w:tc>
          <w:tcPr>
            <w:tcW w:w="0" w:type="auto"/>
            <w:shd w:val="clear" w:color="auto" w:fill="FFFFFF"/>
            <w:vAlign w:val="bottom"/>
            <w:hideMark/>
          </w:tcPr>
          <w:p w14:paraId="646B4ADB"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23A8A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0AA4A8"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5B702A"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FEACF6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231F9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7F01A1"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6E2BF2"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898AE1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5AA323"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312AF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4B0B5F"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2FFFED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E1962B"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4AAB58"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9BF987"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FC09079"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73696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9F0FD8"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2FCE9A"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515AA9B"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3EF326"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02AF6E"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10D265"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B6458D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B0018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374321"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170D78"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86CB58C" w14:textId="77777777" w:rsidR="00000000" w:rsidRDefault="006549D2">
            <w:pPr>
              <w:rPr>
                <w:rFonts w:eastAsia="Times New Roman"/>
                <w:sz w:val="20"/>
                <w:szCs w:val="20"/>
              </w:rPr>
            </w:pPr>
            <w:r>
              <w:rPr>
                <w:rFonts w:eastAsia="Times New Roman"/>
                <w:sz w:val="20"/>
                <w:szCs w:val="20"/>
              </w:rPr>
              <w:t> </w:t>
            </w:r>
          </w:p>
        </w:tc>
      </w:tr>
      <w:tr w:rsidR="006549D2" w14:paraId="5892DE16" w14:textId="77777777">
        <w:tc>
          <w:tcPr>
            <w:tcW w:w="0" w:type="auto"/>
            <w:shd w:val="clear" w:color="auto" w:fill="CCEEFF"/>
            <w:tcMar>
              <w:top w:w="0" w:type="dxa"/>
              <w:left w:w="180" w:type="dxa"/>
              <w:bottom w:w="0" w:type="dxa"/>
              <w:right w:w="0" w:type="dxa"/>
            </w:tcMar>
            <w:vAlign w:val="bottom"/>
            <w:hideMark/>
          </w:tcPr>
          <w:p w14:paraId="03A01FD4" w14:textId="77777777" w:rsidR="00000000" w:rsidRDefault="006549D2">
            <w:pPr>
              <w:ind w:hanging="180"/>
              <w:rPr>
                <w:rFonts w:eastAsia="Times New Roman"/>
                <w:sz w:val="20"/>
                <w:szCs w:val="20"/>
              </w:rPr>
            </w:pPr>
            <w:r>
              <w:rPr>
                <w:rFonts w:eastAsia="Times New Roman"/>
                <w:sz w:val="20"/>
                <w:szCs w:val="20"/>
              </w:rPr>
              <w:t>Sale of 110,000,000 Units, net of underwriting discount and offering expenses</w:t>
            </w:r>
          </w:p>
        </w:tc>
        <w:tc>
          <w:tcPr>
            <w:tcW w:w="0" w:type="auto"/>
            <w:shd w:val="clear" w:color="auto" w:fill="CCEEFF"/>
            <w:vAlign w:val="bottom"/>
            <w:hideMark/>
          </w:tcPr>
          <w:p w14:paraId="30F1AF81"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E6B723"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0C9A4D" w14:textId="77777777" w:rsidR="00000000" w:rsidRDefault="006549D2">
            <w:pPr>
              <w:jc w:val="right"/>
              <w:rPr>
                <w:rFonts w:eastAsia="Times New Roman"/>
                <w:sz w:val="20"/>
                <w:szCs w:val="20"/>
              </w:rPr>
            </w:pPr>
            <w:r>
              <w:rPr>
                <w:rFonts w:eastAsia="Times New Roman"/>
                <w:sz w:val="20"/>
                <w:szCs w:val="20"/>
              </w:rPr>
              <w:t>110,000,000</w:t>
            </w:r>
          </w:p>
        </w:tc>
        <w:tc>
          <w:tcPr>
            <w:tcW w:w="0" w:type="auto"/>
            <w:shd w:val="clear" w:color="auto" w:fill="CCEEFF"/>
            <w:vAlign w:val="bottom"/>
            <w:hideMark/>
          </w:tcPr>
          <w:p w14:paraId="0688349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57778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913F9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429ED6" w14:textId="77777777" w:rsidR="00000000" w:rsidRDefault="006549D2">
            <w:pPr>
              <w:jc w:val="right"/>
              <w:rPr>
                <w:rFonts w:eastAsia="Times New Roman"/>
                <w:sz w:val="20"/>
                <w:szCs w:val="20"/>
              </w:rPr>
            </w:pPr>
            <w:r>
              <w:rPr>
                <w:rFonts w:eastAsia="Times New Roman"/>
                <w:sz w:val="20"/>
                <w:szCs w:val="20"/>
              </w:rPr>
              <w:t>11,000</w:t>
            </w:r>
          </w:p>
        </w:tc>
        <w:tc>
          <w:tcPr>
            <w:tcW w:w="0" w:type="auto"/>
            <w:shd w:val="clear" w:color="auto" w:fill="CCEEFF"/>
            <w:vAlign w:val="bottom"/>
            <w:hideMark/>
          </w:tcPr>
          <w:p w14:paraId="79D45D0B"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025F03"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03E53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7D0A67"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D04FDD6"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8AF49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D5929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65162D"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1109118"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9B09E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D7C7F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205CBF" w14:textId="77777777" w:rsidR="00000000" w:rsidRDefault="006549D2">
            <w:pPr>
              <w:jc w:val="right"/>
              <w:rPr>
                <w:rFonts w:eastAsia="Times New Roman"/>
                <w:sz w:val="20"/>
                <w:szCs w:val="20"/>
              </w:rPr>
            </w:pPr>
            <w:r>
              <w:rPr>
                <w:rFonts w:eastAsia="Times New Roman"/>
                <w:sz w:val="20"/>
                <w:szCs w:val="20"/>
              </w:rPr>
              <w:t>1,042,368,980</w:t>
            </w:r>
          </w:p>
        </w:tc>
        <w:tc>
          <w:tcPr>
            <w:tcW w:w="0" w:type="auto"/>
            <w:shd w:val="clear" w:color="auto" w:fill="CCEEFF"/>
            <w:vAlign w:val="bottom"/>
            <w:hideMark/>
          </w:tcPr>
          <w:p w14:paraId="769306CA"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7879C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E5A89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812050"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2C18DA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63885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737C66"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7857BB" w14:textId="77777777" w:rsidR="00000000" w:rsidRDefault="006549D2">
            <w:pPr>
              <w:jc w:val="right"/>
              <w:rPr>
                <w:rFonts w:eastAsia="Times New Roman"/>
                <w:sz w:val="20"/>
                <w:szCs w:val="20"/>
              </w:rPr>
            </w:pPr>
            <w:r>
              <w:rPr>
                <w:rFonts w:eastAsia="Times New Roman"/>
                <w:sz w:val="20"/>
                <w:szCs w:val="20"/>
              </w:rPr>
              <w:t>1,042,379,980</w:t>
            </w:r>
          </w:p>
        </w:tc>
        <w:tc>
          <w:tcPr>
            <w:tcW w:w="0" w:type="auto"/>
            <w:shd w:val="clear" w:color="auto" w:fill="CCEEFF"/>
            <w:vAlign w:val="bottom"/>
            <w:hideMark/>
          </w:tcPr>
          <w:p w14:paraId="13CA7262" w14:textId="77777777" w:rsidR="00000000" w:rsidRDefault="006549D2">
            <w:pPr>
              <w:rPr>
                <w:rFonts w:eastAsia="Times New Roman"/>
                <w:sz w:val="20"/>
                <w:szCs w:val="20"/>
              </w:rPr>
            </w:pPr>
            <w:r>
              <w:rPr>
                <w:rFonts w:eastAsia="Times New Roman"/>
                <w:sz w:val="20"/>
                <w:szCs w:val="20"/>
              </w:rPr>
              <w:t> </w:t>
            </w:r>
          </w:p>
        </w:tc>
      </w:tr>
      <w:tr w:rsidR="006549D2" w14:paraId="30038269" w14:textId="77777777">
        <w:tc>
          <w:tcPr>
            <w:tcW w:w="0" w:type="auto"/>
            <w:shd w:val="clear" w:color="auto" w:fill="FFFFFF"/>
            <w:vAlign w:val="bottom"/>
            <w:hideMark/>
          </w:tcPr>
          <w:p w14:paraId="155ECC9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DB3AC1"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69FB0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CFC0DC"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626B42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DA1C4E"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7C9189"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E80D43"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5518AA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41BF53"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55C0F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D9DB69"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5C3571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F1B2B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615B96"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036C2C"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859B64B"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B31AB6"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148C3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52DFA1"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F5A2DA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965DC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98436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5DC0F8"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3C0D70B"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06788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4A50A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04AAF9"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71FF4EA" w14:textId="77777777" w:rsidR="00000000" w:rsidRDefault="006549D2">
            <w:pPr>
              <w:rPr>
                <w:rFonts w:eastAsia="Times New Roman"/>
                <w:sz w:val="20"/>
                <w:szCs w:val="20"/>
              </w:rPr>
            </w:pPr>
            <w:r>
              <w:rPr>
                <w:rFonts w:eastAsia="Times New Roman"/>
                <w:sz w:val="20"/>
                <w:szCs w:val="20"/>
              </w:rPr>
              <w:t> </w:t>
            </w:r>
          </w:p>
        </w:tc>
      </w:tr>
      <w:tr w:rsidR="006549D2" w14:paraId="761961EC" w14:textId="77777777">
        <w:tc>
          <w:tcPr>
            <w:tcW w:w="0" w:type="auto"/>
            <w:shd w:val="clear" w:color="auto" w:fill="CCEEFF"/>
            <w:tcMar>
              <w:top w:w="0" w:type="dxa"/>
              <w:left w:w="180" w:type="dxa"/>
              <w:bottom w:w="0" w:type="dxa"/>
              <w:right w:w="0" w:type="dxa"/>
            </w:tcMar>
            <w:vAlign w:val="bottom"/>
            <w:hideMark/>
          </w:tcPr>
          <w:p w14:paraId="11AEC1FA" w14:textId="77777777" w:rsidR="00000000" w:rsidRDefault="006549D2">
            <w:pPr>
              <w:ind w:hanging="180"/>
              <w:rPr>
                <w:rFonts w:eastAsia="Times New Roman"/>
                <w:sz w:val="20"/>
                <w:szCs w:val="20"/>
              </w:rPr>
            </w:pPr>
            <w:r>
              <w:rPr>
                <w:rFonts w:eastAsia="Times New Roman"/>
                <w:sz w:val="20"/>
                <w:szCs w:val="20"/>
              </w:rPr>
              <w:t>Sale of 23,000,000 Private Placement Warrants</w:t>
            </w:r>
          </w:p>
        </w:tc>
        <w:tc>
          <w:tcPr>
            <w:tcW w:w="0" w:type="auto"/>
            <w:shd w:val="clear" w:color="auto" w:fill="CCEEFF"/>
            <w:vAlign w:val="bottom"/>
            <w:hideMark/>
          </w:tcPr>
          <w:p w14:paraId="78544066"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378C2E"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0995C2"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BC2ED2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118593"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3E5B6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445F32"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404DB9B"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69860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468CCA"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93CC3D"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A0F3C78"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8F884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6B1C7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2F44C4"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66DD6A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D01756"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1C1C3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72C830" w14:textId="77777777" w:rsidR="00000000" w:rsidRDefault="006549D2">
            <w:pPr>
              <w:jc w:val="right"/>
              <w:rPr>
                <w:rFonts w:eastAsia="Times New Roman"/>
                <w:sz w:val="20"/>
                <w:szCs w:val="20"/>
              </w:rPr>
            </w:pPr>
            <w:r>
              <w:rPr>
                <w:rFonts w:eastAsia="Times New Roman"/>
                <w:sz w:val="20"/>
                <w:szCs w:val="20"/>
              </w:rPr>
              <w:t>23,000,000</w:t>
            </w:r>
          </w:p>
        </w:tc>
        <w:tc>
          <w:tcPr>
            <w:tcW w:w="0" w:type="auto"/>
            <w:shd w:val="clear" w:color="auto" w:fill="CCEEFF"/>
            <w:vAlign w:val="bottom"/>
            <w:hideMark/>
          </w:tcPr>
          <w:p w14:paraId="3B76B65A"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3E658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CA974E"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1B7750"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BBCE1C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2F2F9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429871"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DEEAF0" w14:textId="77777777" w:rsidR="00000000" w:rsidRDefault="006549D2">
            <w:pPr>
              <w:jc w:val="right"/>
              <w:rPr>
                <w:rFonts w:eastAsia="Times New Roman"/>
                <w:sz w:val="20"/>
                <w:szCs w:val="20"/>
              </w:rPr>
            </w:pPr>
            <w:r>
              <w:rPr>
                <w:rFonts w:eastAsia="Times New Roman"/>
                <w:sz w:val="20"/>
                <w:szCs w:val="20"/>
              </w:rPr>
              <w:t>23,000,000</w:t>
            </w:r>
          </w:p>
        </w:tc>
        <w:tc>
          <w:tcPr>
            <w:tcW w:w="0" w:type="auto"/>
            <w:shd w:val="clear" w:color="auto" w:fill="CCEEFF"/>
            <w:vAlign w:val="bottom"/>
            <w:hideMark/>
          </w:tcPr>
          <w:p w14:paraId="20E7C265" w14:textId="77777777" w:rsidR="00000000" w:rsidRDefault="006549D2">
            <w:pPr>
              <w:rPr>
                <w:rFonts w:eastAsia="Times New Roman"/>
                <w:sz w:val="20"/>
                <w:szCs w:val="20"/>
              </w:rPr>
            </w:pPr>
            <w:r>
              <w:rPr>
                <w:rFonts w:eastAsia="Times New Roman"/>
                <w:sz w:val="20"/>
                <w:szCs w:val="20"/>
              </w:rPr>
              <w:t> </w:t>
            </w:r>
          </w:p>
        </w:tc>
      </w:tr>
      <w:tr w:rsidR="006549D2" w14:paraId="153C7660" w14:textId="77777777">
        <w:tc>
          <w:tcPr>
            <w:tcW w:w="0" w:type="auto"/>
            <w:shd w:val="clear" w:color="auto" w:fill="FFFFFF"/>
            <w:vAlign w:val="bottom"/>
            <w:hideMark/>
          </w:tcPr>
          <w:p w14:paraId="46CE94A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2945CB"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67845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4DDB4B"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BE2C196"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295C5B"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C8BFC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71783B"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A1E217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F778C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E11EE6"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6AFE4C"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EAA91E9"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AC76F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5C4A4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9A6540"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C2B31D3"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2342D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C928F9"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35A8A1"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0930FF8"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D84AA6"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B4ACEE"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5AEC38"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924FE4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3CC7A1"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C36EC3"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7D11AC"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A1BBD5C" w14:textId="77777777" w:rsidR="00000000" w:rsidRDefault="006549D2">
            <w:pPr>
              <w:rPr>
                <w:rFonts w:eastAsia="Times New Roman"/>
                <w:sz w:val="20"/>
                <w:szCs w:val="20"/>
              </w:rPr>
            </w:pPr>
            <w:r>
              <w:rPr>
                <w:rFonts w:eastAsia="Times New Roman"/>
                <w:sz w:val="20"/>
                <w:szCs w:val="20"/>
              </w:rPr>
              <w:t> </w:t>
            </w:r>
          </w:p>
        </w:tc>
      </w:tr>
      <w:tr w:rsidR="006549D2" w14:paraId="43795AD1" w14:textId="77777777">
        <w:tc>
          <w:tcPr>
            <w:tcW w:w="0" w:type="auto"/>
            <w:shd w:val="clear" w:color="auto" w:fill="CCEEFF"/>
            <w:tcMar>
              <w:top w:w="0" w:type="dxa"/>
              <w:left w:w="100" w:type="dxa"/>
              <w:bottom w:w="0" w:type="dxa"/>
              <w:right w:w="0" w:type="dxa"/>
            </w:tcMar>
            <w:vAlign w:val="bottom"/>
            <w:hideMark/>
          </w:tcPr>
          <w:p w14:paraId="4B95EF68" w14:textId="77777777" w:rsidR="00000000" w:rsidRDefault="006549D2">
            <w:pPr>
              <w:ind w:hanging="100"/>
              <w:rPr>
                <w:rFonts w:eastAsia="Times New Roman"/>
                <w:sz w:val="20"/>
                <w:szCs w:val="20"/>
              </w:rPr>
            </w:pPr>
            <w:r>
              <w:rPr>
                <w:rFonts w:eastAsia="Times New Roman"/>
                <w:sz w:val="20"/>
                <w:szCs w:val="20"/>
              </w:rPr>
              <w:t>Common stock subject to possible redemption</w:t>
            </w:r>
          </w:p>
        </w:tc>
        <w:tc>
          <w:tcPr>
            <w:tcW w:w="0" w:type="auto"/>
            <w:shd w:val="clear" w:color="auto" w:fill="CCEEFF"/>
            <w:vAlign w:val="bottom"/>
            <w:hideMark/>
          </w:tcPr>
          <w:p w14:paraId="520E3AE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F68CC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82A3FA" w14:textId="77777777" w:rsidR="00000000" w:rsidRDefault="006549D2">
            <w:pPr>
              <w:jc w:val="right"/>
              <w:rPr>
                <w:rFonts w:eastAsia="Times New Roman"/>
                <w:sz w:val="20"/>
                <w:szCs w:val="20"/>
              </w:rPr>
            </w:pPr>
            <w:r>
              <w:rPr>
                <w:rFonts w:eastAsia="Times New Roman"/>
                <w:sz w:val="20"/>
                <w:szCs w:val="20"/>
              </w:rPr>
              <w:t>(105,990,308</w:t>
            </w:r>
          </w:p>
        </w:tc>
        <w:tc>
          <w:tcPr>
            <w:tcW w:w="0" w:type="auto"/>
            <w:shd w:val="clear" w:color="auto" w:fill="CCEEFF"/>
            <w:vAlign w:val="bottom"/>
            <w:hideMark/>
          </w:tcPr>
          <w:p w14:paraId="1DD97BD3" w14:textId="77777777" w:rsidR="00000000" w:rsidRDefault="006549D2">
            <w:pPr>
              <w:rPr>
                <w:rFonts w:eastAsia="Times New Roman"/>
                <w:sz w:val="20"/>
                <w:szCs w:val="20"/>
              </w:rPr>
            </w:pPr>
            <w:r>
              <w:rPr>
                <w:rFonts w:eastAsia="Times New Roman"/>
                <w:sz w:val="20"/>
                <w:szCs w:val="20"/>
              </w:rPr>
              <w:t>)</w:t>
            </w:r>
          </w:p>
        </w:tc>
        <w:tc>
          <w:tcPr>
            <w:tcW w:w="0" w:type="auto"/>
            <w:shd w:val="clear" w:color="auto" w:fill="CCEEFF"/>
            <w:vAlign w:val="bottom"/>
            <w:hideMark/>
          </w:tcPr>
          <w:p w14:paraId="3B70048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697AD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9A69DE" w14:textId="77777777" w:rsidR="00000000" w:rsidRDefault="006549D2">
            <w:pPr>
              <w:jc w:val="right"/>
              <w:rPr>
                <w:rFonts w:eastAsia="Times New Roman"/>
                <w:sz w:val="20"/>
                <w:szCs w:val="20"/>
              </w:rPr>
            </w:pPr>
            <w:r>
              <w:rPr>
                <w:rFonts w:eastAsia="Times New Roman"/>
                <w:sz w:val="20"/>
                <w:szCs w:val="20"/>
              </w:rPr>
              <w:t>(10,599</w:t>
            </w:r>
          </w:p>
        </w:tc>
        <w:tc>
          <w:tcPr>
            <w:tcW w:w="0" w:type="auto"/>
            <w:shd w:val="clear" w:color="auto" w:fill="CCEEFF"/>
            <w:vAlign w:val="bottom"/>
            <w:hideMark/>
          </w:tcPr>
          <w:p w14:paraId="0EDC225F" w14:textId="77777777" w:rsidR="00000000" w:rsidRDefault="006549D2">
            <w:pPr>
              <w:rPr>
                <w:rFonts w:eastAsia="Times New Roman"/>
                <w:sz w:val="20"/>
                <w:szCs w:val="20"/>
              </w:rPr>
            </w:pPr>
            <w:r>
              <w:rPr>
                <w:rFonts w:eastAsia="Times New Roman"/>
                <w:sz w:val="20"/>
                <w:szCs w:val="20"/>
              </w:rPr>
              <w:t>)</w:t>
            </w:r>
          </w:p>
        </w:tc>
        <w:tc>
          <w:tcPr>
            <w:tcW w:w="0" w:type="auto"/>
            <w:shd w:val="clear" w:color="auto" w:fill="CCEEFF"/>
            <w:vAlign w:val="bottom"/>
            <w:hideMark/>
          </w:tcPr>
          <w:p w14:paraId="2E1F5D3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48FF59"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78BB6A"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5BAD9A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3CB72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4B4B0E"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8B238A"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BDF3B9A"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FE4DF3"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01364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8CE557" w14:textId="77777777" w:rsidR="00000000" w:rsidRDefault="006549D2">
            <w:pPr>
              <w:jc w:val="right"/>
              <w:rPr>
                <w:rFonts w:eastAsia="Times New Roman"/>
                <w:sz w:val="20"/>
                <w:szCs w:val="20"/>
              </w:rPr>
            </w:pPr>
            <w:r>
              <w:rPr>
                <w:rFonts w:eastAsia="Times New Roman"/>
                <w:sz w:val="20"/>
                <w:szCs w:val="20"/>
              </w:rPr>
              <w:t>(1,063,424,462</w:t>
            </w:r>
          </w:p>
        </w:tc>
        <w:tc>
          <w:tcPr>
            <w:tcW w:w="0" w:type="auto"/>
            <w:shd w:val="clear" w:color="auto" w:fill="CCEEFF"/>
            <w:vAlign w:val="bottom"/>
            <w:hideMark/>
          </w:tcPr>
          <w:p w14:paraId="4D470B61" w14:textId="77777777" w:rsidR="00000000" w:rsidRDefault="006549D2">
            <w:pPr>
              <w:rPr>
                <w:rFonts w:eastAsia="Times New Roman"/>
                <w:sz w:val="20"/>
                <w:szCs w:val="20"/>
              </w:rPr>
            </w:pPr>
            <w:r>
              <w:rPr>
                <w:rFonts w:eastAsia="Times New Roman"/>
                <w:sz w:val="20"/>
                <w:szCs w:val="20"/>
              </w:rPr>
              <w:t>)</w:t>
            </w:r>
          </w:p>
        </w:tc>
        <w:tc>
          <w:tcPr>
            <w:tcW w:w="0" w:type="auto"/>
            <w:shd w:val="clear" w:color="auto" w:fill="CCEEFF"/>
            <w:vAlign w:val="bottom"/>
            <w:hideMark/>
          </w:tcPr>
          <w:p w14:paraId="398C5AB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81B79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6DC94C"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5D0121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53FAD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CBD4B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AB4D10" w14:textId="77777777" w:rsidR="00000000" w:rsidRDefault="006549D2">
            <w:pPr>
              <w:jc w:val="right"/>
              <w:rPr>
                <w:rFonts w:eastAsia="Times New Roman"/>
                <w:sz w:val="20"/>
                <w:szCs w:val="20"/>
              </w:rPr>
            </w:pPr>
            <w:r>
              <w:rPr>
                <w:rFonts w:eastAsia="Times New Roman"/>
                <w:sz w:val="20"/>
                <w:szCs w:val="20"/>
              </w:rPr>
              <w:t>(1,063,435,061</w:t>
            </w:r>
          </w:p>
        </w:tc>
        <w:tc>
          <w:tcPr>
            <w:tcW w:w="0" w:type="auto"/>
            <w:shd w:val="clear" w:color="auto" w:fill="CCEEFF"/>
            <w:vAlign w:val="bottom"/>
            <w:hideMark/>
          </w:tcPr>
          <w:p w14:paraId="66B83295" w14:textId="77777777" w:rsidR="00000000" w:rsidRDefault="006549D2">
            <w:pPr>
              <w:rPr>
                <w:rFonts w:eastAsia="Times New Roman"/>
                <w:sz w:val="20"/>
                <w:szCs w:val="20"/>
              </w:rPr>
            </w:pPr>
            <w:r>
              <w:rPr>
                <w:rFonts w:eastAsia="Times New Roman"/>
                <w:sz w:val="20"/>
                <w:szCs w:val="20"/>
              </w:rPr>
              <w:t>)</w:t>
            </w:r>
          </w:p>
        </w:tc>
      </w:tr>
      <w:tr w:rsidR="006549D2" w14:paraId="48D270A8" w14:textId="77777777">
        <w:tc>
          <w:tcPr>
            <w:tcW w:w="0" w:type="auto"/>
            <w:shd w:val="clear" w:color="auto" w:fill="FFFFFF"/>
            <w:tcMar>
              <w:top w:w="0" w:type="dxa"/>
              <w:left w:w="100" w:type="dxa"/>
              <w:bottom w:w="0" w:type="dxa"/>
              <w:right w:w="0" w:type="dxa"/>
            </w:tcMar>
            <w:vAlign w:val="bottom"/>
            <w:hideMark/>
          </w:tcPr>
          <w:p w14:paraId="219DD1DA" w14:textId="77777777" w:rsidR="00000000" w:rsidRDefault="006549D2">
            <w:pPr>
              <w:ind w:hanging="100"/>
              <w:rPr>
                <w:rFonts w:eastAsia="Times New Roman"/>
                <w:sz w:val="20"/>
                <w:szCs w:val="20"/>
              </w:rPr>
            </w:pPr>
            <w:r>
              <w:rPr>
                <w:rFonts w:eastAsia="Times New Roman"/>
                <w:sz w:val="20"/>
                <w:szCs w:val="20"/>
              </w:rPr>
              <w:t> </w:t>
            </w:r>
          </w:p>
        </w:tc>
        <w:tc>
          <w:tcPr>
            <w:tcW w:w="0" w:type="auto"/>
            <w:shd w:val="clear" w:color="auto" w:fill="FFFFFF"/>
            <w:vAlign w:val="bottom"/>
            <w:hideMark/>
          </w:tcPr>
          <w:p w14:paraId="3E886E7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019B2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A9E030"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30A740A"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12A55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5D97E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9953A7"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72B2C98"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5AB80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52EB9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23D970"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3598DB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9E2181"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786061"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162F4C"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5214A1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23C87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CD7576"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20049C"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45DBF38"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7DAC6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4C865A"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CAD961"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20217E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5D006B"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E5E57B"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A18D01"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9AB39BA" w14:textId="77777777" w:rsidR="00000000" w:rsidRDefault="006549D2">
            <w:pPr>
              <w:rPr>
                <w:rFonts w:eastAsia="Times New Roman"/>
                <w:sz w:val="20"/>
                <w:szCs w:val="20"/>
              </w:rPr>
            </w:pPr>
            <w:r>
              <w:rPr>
                <w:rFonts w:eastAsia="Times New Roman"/>
                <w:sz w:val="20"/>
                <w:szCs w:val="20"/>
              </w:rPr>
              <w:t> </w:t>
            </w:r>
          </w:p>
        </w:tc>
      </w:tr>
      <w:tr w:rsidR="006549D2" w14:paraId="6528ABF1" w14:textId="77777777">
        <w:tc>
          <w:tcPr>
            <w:tcW w:w="0" w:type="auto"/>
            <w:shd w:val="clear" w:color="auto" w:fill="CCEEFF"/>
            <w:tcMar>
              <w:top w:w="0" w:type="dxa"/>
              <w:left w:w="100" w:type="dxa"/>
              <w:bottom w:w="20" w:type="dxa"/>
              <w:right w:w="0" w:type="dxa"/>
            </w:tcMar>
            <w:vAlign w:val="bottom"/>
            <w:hideMark/>
          </w:tcPr>
          <w:p w14:paraId="4C38BFF0" w14:textId="77777777" w:rsidR="00000000" w:rsidRDefault="006549D2">
            <w:pPr>
              <w:ind w:hanging="100"/>
              <w:rPr>
                <w:rFonts w:eastAsia="Times New Roman"/>
                <w:sz w:val="20"/>
                <w:szCs w:val="20"/>
              </w:rPr>
            </w:pPr>
            <w:r>
              <w:rPr>
                <w:rFonts w:eastAsia="Times New Roman"/>
                <w:sz w:val="20"/>
                <w:szCs w:val="20"/>
              </w:rPr>
              <w:t>Net income</w:t>
            </w:r>
          </w:p>
        </w:tc>
        <w:tc>
          <w:tcPr>
            <w:tcW w:w="0" w:type="auto"/>
            <w:shd w:val="clear" w:color="auto" w:fill="CCEEFF"/>
            <w:tcMar>
              <w:top w:w="0" w:type="dxa"/>
              <w:left w:w="0" w:type="dxa"/>
              <w:bottom w:w="20" w:type="dxa"/>
              <w:right w:w="0" w:type="dxa"/>
            </w:tcMar>
            <w:vAlign w:val="bottom"/>
            <w:hideMark/>
          </w:tcPr>
          <w:p w14:paraId="38282B09"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7807D1BB"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5F05EE7D"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019B1F7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37138501"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02E2509C"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3F3B1610"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58CA2FCA"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5F985044"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714C3284"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133AEEC9"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56E7602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056158F2"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029DF10B"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0034DE29"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073B6FF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0E440404"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625ABF23"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4E639B36"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5E46419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484EB83C"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0EFEBE1A"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5DCF98ED" w14:textId="77777777" w:rsidR="00000000" w:rsidRDefault="006549D2">
            <w:pPr>
              <w:jc w:val="right"/>
              <w:rPr>
                <w:rFonts w:eastAsia="Times New Roman"/>
                <w:sz w:val="20"/>
                <w:szCs w:val="20"/>
              </w:rPr>
            </w:pPr>
            <w:r>
              <w:rPr>
                <w:rFonts w:eastAsia="Times New Roman"/>
                <w:sz w:val="20"/>
                <w:szCs w:val="20"/>
              </w:rPr>
              <w:t>3,031,538</w:t>
            </w:r>
          </w:p>
        </w:tc>
        <w:tc>
          <w:tcPr>
            <w:tcW w:w="0" w:type="auto"/>
            <w:shd w:val="clear" w:color="auto" w:fill="CCEEFF"/>
            <w:tcMar>
              <w:top w:w="0" w:type="dxa"/>
              <w:left w:w="0" w:type="dxa"/>
              <w:bottom w:w="20" w:type="dxa"/>
              <w:right w:w="0" w:type="dxa"/>
            </w:tcMar>
            <w:vAlign w:val="bottom"/>
            <w:hideMark/>
          </w:tcPr>
          <w:p w14:paraId="002A9FC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7E3F78EA"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640EA5FD"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2102C23D" w14:textId="77777777" w:rsidR="00000000" w:rsidRDefault="006549D2">
            <w:pPr>
              <w:jc w:val="right"/>
              <w:rPr>
                <w:rFonts w:eastAsia="Times New Roman"/>
                <w:sz w:val="20"/>
                <w:szCs w:val="20"/>
              </w:rPr>
            </w:pPr>
            <w:r>
              <w:rPr>
                <w:rFonts w:eastAsia="Times New Roman"/>
                <w:sz w:val="20"/>
                <w:szCs w:val="20"/>
              </w:rPr>
              <w:t>3,031,538</w:t>
            </w:r>
          </w:p>
        </w:tc>
        <w:tc>
          <w:tcPr>
            <w:tcW w:w="0" w:type="auto"/>
            <w:shd w:val="clear" w:color="auto" w:fill="CCEEFF"/>
            <w:tcMar>
              <w:top w:w="0" w:type="dxa"/>
              <w:left w:w="0" w:type="dxa"/>
              <w:bottom w:w="20" w:type="dxa"/>
              <w:right w:w="0" w:type="dxa"/>
            </w:tcMar>
            <w:vAlign w:val="bottom"/>
            <w:hideMark/>
          </w:tcPr>
          <w:p w14:paraId="01E26426" w14:textId="77777777" w:rsidR="00000000" w:rsidRDefault="006549D2">
            <w:pPr>
              <w:rPr>
                <w:rFonts w:eastAsia="Times New Roman"/>
                <w:sz w:val="20"/>
                <w:szCs w:val="20"/>
              </w:rPr>
            </w:pPr>
            <w:r>
              <w:rPr>
                <w:rFonts w:eastAsia="Times New Roman"/>
                <w:sz w:val="20"/>
                <w:szCs w:val="20"/>
              </w:rPr>
              <w:t> </w:t>
            </w:r>
          </w:p>
        </w:tc>
      </w:tr>
      <w:tr w:rsidR="006549D2" w14:paraId="3AA31C6D" w14:textId="77777777">
        <w:tc>
          <w:tcPr>
            <w:tcW w:w="0" w:type="auto"/>
            <w:shd w:val="clear" w:color="auto" w:fill="FFFFFF"/>
            <w:tcMar>
              <w:top w:w="0" w:type="dxa"/>
              <w:left w:w="100" w:type="dxa"/>
              <w:bottom w:w="0" w:type="dxa"/>
              <w:right w:w="0" w:type="dxa"/>
            </w:tcMar>
            <w:vAlign w:val="bottom"/>
            <w:hideMark/>
          </w:tcPr>
          <w:p w14:paraId="645927D9" w14:textId="77777777" w:rsidR="00000000" w:rsidRDefault="006549D2">
            <w:pPr>
              <w:ind w:hanging="100"/>
              <w:rPr>
                <w:rFonts w:eastAsia="Times New Roman"/>
                <w:sz w:val="20"/>
                <w:szCs w:val="20"/>
              </w:rPr>
            </w:pPr>
            <w:r>
              <w:rPr>
                <w:rFonts w:eastAsia="Times New Roman"/>
                <w:sz w:val="20"/>
                <w:szCs w:val="20"/>
              </w:rPr>
              <w:t> </w:t>
            </w:r>
          </w:p>
        </w:tc>
        <w:tc>
          <w:tcPr>
            <w:tcW w:w="0" w:type="auto"/>
            <w:shd w:val="clear" w:color="auto" w:fill="FFFFFF"/>
            <w:vAlign w:val="bottom"/>
            <w:hideMark/>
          </w:tcPr>
          <w:p w14:paraId="4B5AA4D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73CE3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BAC73B"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07A059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344B11"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309848"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4EB21D"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A13BF9A"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AA523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209E3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633BAF"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2F5AB3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B787B3"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DDA28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B0562E"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0E6ED6A"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2ED90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4862AA"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FE0979"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1BE2838"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19CE33"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085CE9"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E11D14"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A25583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B6088E"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72E981"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74E35C"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1433708" w14:textId="77777777" w:rsidR="00000000" w:rsidRDefault="006549D2">
            <w:pPr>
              <w:rPr>
                <w:rFonts w:eastAsia="Times New Roman"/>
                <w:sz w:val="20"/>
                <w:szCs w:val="20"/>
              </w:rPr>
            </w:pPr>
            <w:r>
              <w:rPr>
                <w:rFonts w:eastAsia="Times New Roman"/>
                <w:sz w:val="20"/>
                <w:szCs w:val="20"/>
              </w:rPr>
              <w:t> </w:t>
            </w:r>
          </w:p>
        </w:tc>
      </w:tr>
      <w:tr w:rsidR="006549D2" w14:paraId="1B37813B" w14:textId="77777777">
        <w:tc>
          <w:tcPr>
            <w:tcW w:w="0" w:type="auto"/>
            <w:shd w:val="clear" w:color="auto" w:fill="CCEEFF"/>
            <w:tcMar>
              <w:top w:w="0" w:type="dxa"/>
              <w:left w:w="100" w:type="dxa"/>
              <w:bottom w:w="0" w:type="dxa"/>
              <w:right w:w="0" w:type="dxa"/>
            </w:tcMar>
            <w:vAlign w:val="bottom"/>
            <w:hideMark/>
          </w:tcPr>
          <w:p w14:paraId="1E865871" w14:textId="77777777" w:rsidR="00000000" w:rsidRDefault="006549D2">
            <w:pPr>
              <w:ind w:hanging="100"/>
              <w:rPr>
                <w:rFonts w:eastAsia="Times New Roman"/>
                <w:b/>
                <w:bCs/>
                <w:sz w:val="20"/>
                <w:szCs w:val="20"/>
              </w:rPr>
            </w:pPr>
            <w:r>
              <w:rPr>
                <w:rFonts w:eastAsia="Times New Roman"/>
                <w:b/>
                <w:bCs/>
                <w:sz w:val="20"/>
                <w:szCs w:val="20"/>
              </w:rPr>
              <w:t>Balance – March 31, 2020</w:t>
            </w:r>
          </w:p>
        </w:tc>
        <w:tc>
          <w:tcPr>
            <w:tcW w:w="0" w:type="auto"/>
            <w:shd w:val="clear" w:color="auto" w:fill="CCEEFF"/>
            <w:vAlign w:val="bottom"/>
            <w:hideMark/>
          </w:tcPr>
          <w:p w14:paraId="22FBAE89"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2C637C30"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F9FFCAC" w14:textId="77777777" w:rsidR="00000000" w:rsidRDefault="006549D2">
            <w:pPr>
              <w:jc w:val="right"/>
              <w:rPr>
                <w:rFonts w:eastAsia="Times New Roman"/>
                <w:b/>
                <w:bCs/>
                <w:sz w:val="20"/>
                <w:szCs w:val="20"/>
              </w:rPr>
            </w:pPr>
            <w:r>
              <w:rPr>
                <w:rFonts w:eastAsia="Times New Roman"/>
                <w:b/>
                <w:bCs/>
                <w:sz w:val="20"/>
                <w:szCs w:val="20"/>
              </w:rPr>
              <w:t>4,009,692</w:t>
            </w:r>
          </w:p>
        </w:tc>
        <w:tc>
          <w:tcPr>
            <w:tcW w:w="0" w:type="auto"/>
            <w:shd w:val="clear" w:color="auto" w:fill="CCEEFF"/>
            <w:vAlign w:val="bottom"/>
            <w:hideMark/>
          </w:tcPr>
          <w:p w14:paraId="37AD5E60"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10A6783"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5731CFE0"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2D00A290" w14:textId="77777777" w:rsidR="00000000" w:rsidRDefault="006549D2">
            <w:pPr>
              <w:jc w:val="right"/>
              <w:rPr>
                <w:rFonts w:eastAsia="Times New Roman"/>
                <w:b/>
                <w:bCs/>
                <w:sz w:val="20"/>
                <w:szCs w:val="20"/>
              </w:rPr>
            </w:pPr>
            <w:r>
              <w:rPr>
                <w:rFonts w:eastAsia="Times New Roman"/>
                <w:b/>
                <w:bCs/>
                <w:sz w:val="20"/>
                <w:szCs w:val="20"/>
              </w:rPr>
              <w:t>401</w:t>
            </w:r>
          </w:p>
        </w:tc>
        <w:tc>
          <w:tcPr>
            <w:tcW w:w="0" w:type="auto"/>
            <w:shd w:val="clear" w:color="auto" w:fill="CCEEFF"/>
            <w:vAlign w:val="bottom"/>
            <w:hideMark/>
          </w:tcPr>
          <w:p w14:paraId="0C692E28"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3A1C5EB7"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D6A766F"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284E6601" w14:textId="77777777" w:rsidR="00000000" w:rsidRDefault="006549D2">
            <w:pPr>
              <w:jc w:val="right"/>
              <w:rPr>
                <w:rFonts w:eastAsia="Times New Roman"/>
                <w:b/>
                <w:bCs/>
                <w:sz w:val="20"/>
                <w:szCs w:val="20"/>
              </w:rPr>
            </w:pPr>
            <w:r>
              <w:rPr>
                <w:rFonts w:eastAsia="Times New Roman"/>
                <w:b/>
                <w:bCs/>
                <w:sz w:val="20"/>
                <w:szCs w:val="20"/>
              </w:rPr>
              <w:t>27,500,000</w:t>
            </w:r>
          </w:p>
        </w:tc>
        <w:tc>
          <w:tcPr>
            <w:tcW w:w="0" w:type="auto"/>
            <w:shd w:val="clear" w:color="auto" w:fill="CCEEFF"/>
            <w:vAlign w:val="bottom"/>
            <w:hideMark/>
          </w:tcPr>
          <w:p w14:paraId="62ABFA92"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AB89471"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623B85A"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3640D90" w14:textId="77777777" w:rsidR="00000000" w:rsidRDefault="006549D2">
            <w:pPr>
              <w:jc w:val="right"/>
              <w:rPr>
                <w:rFonts w:eastAsia="Times New Roman"/>
                <w:b/>
                <w:bCs/>
                <w:sz w:val="20"/>
                <w:szCs w:val="20"/>
              </w:rPr>
            </w:pPr>
            <w:r>
              <w:rPr>
                <w:rFonts w:eastAsia="Times New Roman"/>
                <w:b/>
                <w:bCs/>
                <w:sz w:val="20"/>
                <w:szCs w:val="20"/>
              </w:rPr>
              <w:t>2,750</w:t>
            </w:r>
          </w:p>
        </w:tc>
        <w:tc>
          <w:tcPr>
            <w:tcW w:w="0" w:type="auto"/>
            <w:shd w:val="clear" w:color="auto" w:fill="CCEEFF"/>
            <w:vAlign w:val="bottom"/>
            <w:hideMark/>
          </w:tcPr>
          <w:p w14:paraId="60694858"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42093BB3"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74412CC"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99214F9" w14:textId="77777777" w:rsidR="00000000" w:rsidRDefault="006549D2">
            <w:pPr>
              <w:jc w:val="right"/>
              <w:rPr>
                <w:rFonts w:eastAsia="Times New Roman"/>
                <w:b/>
                <w:bCs/>
                <w:sz w:val="20"/>
                <w:szCs w:val="20"/>
              </w:rPr>
            </w:pPr>
            <w:r>
              <w:rPr>
                <w:rFonts w:eastAsia="Times New Roman"/>
                <w:b/>
                <w:bCs/>
                <w:sz w:val="20"/>
                <w:szCs w:val="20"/>
              </w:rPr>
              <w:t>1,966,768</w:t>
            </w:r>
          </w:p>
        </w:tc>
        <w:tc>
          <w:tcPr>
            <w:tcW w:w="0" w:type="auto"/>
            <w:shd w:val="clear" w:color="auto" w:fill="CCEEFF"/>
            <w:vAlign w:val="bottom"/>
            <w:hideMark/>
          </w:tcPr>
          <w:p w14:paraId="443B477C"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31322E46"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D25FF2E"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5BB7A0D" w14:textId="77777777" w:rsidR="00000000" w:rsidRDefault="006549D2">
            <w:pPr>
              <w:jc w:val="right"/>
              <w:rPr>
                <w:rFonts w:eastAsia="Times New Roman"/>
                <w:b/>
                <w:bCs/>
                <w:sz w:val="20"/>
                <w:szCs w:val="20"/>
              </w:rPr>
            </w:pPr>
            <w:r>
              <w:rPr>
                <w:rFonts w:eastAsia="Times New Roman"/>
                <w:b/>
                <w:bCs/>
                <w:sz w:val="20"/>
                <w:szCs w:val="20"/>
              </w:rPr>
              <w:t>3,030,088</w:t>
            </w:r>
          </w:p>
        </w:tc>
        <w:tc>
          <w:tcPr>
            <w:tcW w:w="0" w:type="auto"/>
            <w:shd w:val="clear" w:color="auto" w:fill="CCEEFF"/>
            <w:vAlign w:val="bottom"/>
            <w:hideMark/>
          </w:tcPr>
          <w:p w14:paraId="644625C1"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2233F91"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4D4A9171"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40BA67F4" w14:textId="77777777" w:rsidR="00000000" w:rsidRDefault="006549D2">
            <w:pPr>
              <w:jc w:val="right"/>
              <w:rPr>
                <w:rFonts w:eastAsia="Times New Roman"/>
                <w:b/>
                <w:bCs/>
                <w:sz w:val="20"/>
                <w:szCs w:val="20"/>
              </w:rPr>
            </w:pPr>
            <w:r>
              <w:rPr>
                <w:rFonts w:eastAsia="Times New Roman"/>
                <w:b/>
                <w:bCs/>
                <w:sz w:val="20"/>
                <w:szCs w:val="20"/>
              </w:rPr>
              <w:t>5,000,007</w:t>
            </w:r>
          </w:p>
        </w:tc>
        <w:tc>
          <w:tcPr>
            <w:tcW w:w="0" w:type="auto"/>
            <w:shd w:val="clear" w:color="auto" w:fill="CCEEFF"/>
            <w:vAlign w:val="bottom"/>
            <w:hideMark/>
          </w:tcPr>
          <w:p w14:paraId="4A32D58E" w14:textId="77777777" w:rsidR="00000000" w:rsidRDefault="006549D2">
            <w:pPr>
              <w:rPr>
                <w:rFonts w:eastAsia="Times New Roman"/>
                <w:b/>
                <w:bCs/>
                <w:sz w:val="20"/>
                <w:szCs w:val="20"/>
              </w:rPr>
            </w:pPr>
            <w:r>
              <w:rPr>
                <w:rFonts w:eastAsia="Times New Roman"/>
                <w:b/>
                <w:bCs/>
                <w:sz w:val="20"/>
                <w:szCs w:val="20"/>
              </w:rPr>
              <w:t> </w:t>
            </w:r>
          </w:p>
        </w:tc>
      </w:tr>
      <w:tr w:rsidR="006549D2" w14:paraId="0D8BD8DA" w14:textId="77777777">
        <w:tc>
          <w:tcPr>
            <w:tcW w:w="0" w:type="auto"/>
            <w:shd w:val="clear" w:color="auto" w:fill="FFFFFF"/>
            <w:tcMar>
              <w:top w:w="0" w:type="dxa"/>
              <w:left w:w="100" w:type="dxa"/>
              <w:bottom w:w="0" w:type="dxa"/>
              <w:right w:w="0" w:type="dxa"/>
            </w:tcMar>
            <w:vAlign w:val="bottom"/>
            <w:hideMark/>
          </w:tcPr>
          <w:p w14:paraId="3B656357" w14:textId="77777777" w:rsidR="00000000" w:rsidRDefault="006549D2">
            <w:pPr>
              <w:ind w:hanging="100"/>
              <w:rPr>
                <w:rFonts w:eastAsia="Times New Roman"/>
                <w:sz w:val="20"/>
                <w:szCs w:val="20"/>
              </w:rPr>
            </w:pPr>
            <w:r>
              <w:rPr>
                <w:rFonts w:eastAsia="Times New Roman"/>
                <w:sz w:val="20"/>
                <w:szCs w:val="20"/>
              </w:rPr>
              <w:t> </w:t>
            </w:r>
          </w:p>
        </w:tc>
        <w:tc>
          <w:tcPr>
            <w:tcW w:w="0" w:type="auto"/>
            <w:shd w:val="clear" w:color="auto" w:fill="FFFFFF"/>
            <w:vAlign w:val="bottom"/>
            <w:hideMark/>
          </w:tcPr>
          <w:p w14:paraId="3BA0CF3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39EC7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322EC9"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039916A"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8C526B"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42C2F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3E4D61"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62B5F4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F3D761"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9A65E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4320B7"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54AB3E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E4208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BF8CD8"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8AF2BD"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B8F264E"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BD82E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52FE61"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F5A6C1"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70B19F3"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EF3EF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4F72B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F04F97"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02A126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11866A"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5E476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E72645"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DB400B4" w14:textId="77777777" w:rsidR="00000000" w:rsidRDefault="006549D2">
            <w:pPr>
              <w:rPr>
                <w:rFonts w:eastAsia="Times New Roman"/>
                <w:sz w:val="20"/>
                <w:szCs w:val="20"/>
              </w:rPr>
            </w:pPr>
            <w:r>
              <w:rPr>
                <w:rFonts w:eastAsia="Times New Roman"/>
                <w:sz w:val="20"/>
                <w:szCs w:val="20"/>
              </w:rPr>
              <w:t> </w:t>
            </w:r>
          </w:p>
        </w:tc>
      </w:tr>
      <w:tr w:rsidR="006549D2" w14:paraId="5669FA34" w14:textId="77777777">
        <w:tc>
          <w:tcPr>
            <w:tcW w:w="0" w:type="auto"/>
            <w:shd w:val="clear" w:color="auto" w:fill="CCEEFF"/>
            <w:tcMar>
              <w:top w:w="0" w:type="dxa"/>
              <w:left w:w="100" w:type="dxa"/>
              <w:bottom w:w="0" w:type="dxa"/>
              <w:right w:w="0" w:type="dxa"/>
            </w:tcMar>
            <w:vAlign w:val="bottom"/>
            <w:hideMark/>
          </w:tcPr>
          <w:p w14:paraId="490AE668" w14:textId="77777777" w:rsidR="00000000" w:rsidRDefault="006549D2">
            <w:pPr>
              <w:ind w:hanging="100"/>
              <w:rPr>
                <w:rFonts w:eastAsia="Times New Roman"/>
                <w:sz w:val="20"/>
                <w:szCs w:val="20"/>
              </w:rPr>
            </w:pPr>
            <w:r>
              <w:rPr>
                <w:rFonts w:eastAsia="Times New Roman"/>
                <w:sz w:val="20"/>
                <w:szCs w:val="20"/>
              </w:rPr>
              <w:t>Change in value of common stock subject to possible redemption</w:t>
            </w:r>
          </w:p>
        </w:tc>
        <w:tc>
          <w:tcPr>
            <w:tcW w:w="0" w:type="auto"/>
            <w:shd w:val="clear" w:color="auto" w:fill="CCEEFF"/>
            <w:vAlign w:val="bottom"/>
            <w:hideMark/>
          </w:tcPr>
          <w:p w14:paraId="4235FAF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EAF2F6"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77978A" w14:textId="77777777" w:rsidR="00000000" w:rsidRDefault="006549D2">
            <w:pPr>
              <w:jc w:val="right"/>
              <w:rPr>
                <w:rFonts w:eastAsia="Times New Roman"/>
                <w:sz w:val="20"/>
                <w:szCs w:val="20"/>
              </w:rPr>
            </w:pPr>
            <w:r>
              <w:rPr>
                <w:rFonts w:eastAsia="Times New Roman"/>
                <w:sz w:val="20"/>
                <w:szCs w:val="20"/>
              </w:rPr>
              <w:t>132,236</w:t>
            </w:r>
          </w:p>
        </w:tc>
        <w:tc>
          <w:tcPr>
            <w:tcW w:w="0" w:type="auto"/>
            <w:shd w:val="clear" w:color="auto" w:fill="CCEEFF"/>
            <w:vAlign w:val="bottom"/>
            <w:hideMark/>
          </w:tcPr>
          <w:p w14:paraId="59FD709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D5E4AA"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B23F5A"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352143" w14:textId="77777777" w:rsidR="00000000" w:rsidRDefault="006549D2">
            <w:pPr>
              <w:jc w:val="right"/>
              <w:rPr>
                <w:rFonts w:eastAsia="Times New Roman"/>
                <w:sz w:val="20"/>
                <w:szCs w:val="20"/>
              </w:rPr>
            </w:pPr>
            <w:r>
              <w:rPr>
                <w:rFonts w:eastAsia="Times New Roman"/>
                <w:sz w:val="20"/>
                <w:szCs w:val="20"/>
              </w:rPr>
              <w:t>13</w:t>
            </w:r>
          </w:p>
        </w:tc>
        <w:tc>
          <w:tcPr>
            <w:tcW w:w="0" w:type="auto"/>
            <w:shd w:val="clear" w:color="auto" w:fill="CCEEFF"/>
            <w:vAlign w:val="bottom"/>
            <w:hideMark/>
          </w:tcPr>
          <w:p w14:paraId="7849B85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31D9DE"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7FE1A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00B2DD"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CDA910A"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FB14C9"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59291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89B7BC"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F5A8E79"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18967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5048C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044745" w14:textId="77777777" w:rsidR="00000000" w:rsidRDefault="006549D2">
            <w:pPr>
              <w:jc w:val="right"/>
              <w:rPr>
                <w:rFonts w:eastAsia="Times New Roman"/>
                <w:sz w:val="20"/>
                <w:szCs w:val="20"/>
              </w:rPr>
            </w:pPr>
            <w:r>
              <w:rPr>
                <w:rFonts w:eastAsia="Times New Roman"/>
                <w:sz w:val="20"/>
                <w:szCs w:val="20"/>
              </w:rPr>
              <w:t>1,335,021</w:t>
            </w:r>
          </w:p>
        </w:tc>
        <w:tc>
          <w:tcPr>
            <w:tcW w:w="0" w:type="auto"/>
            <w:shd w:val="clear" w:color="auto" w:fill="CCEEFF"/>
            <w:vAlign w:val="bottom"/>
            <w:hideMark/>
          </w:tcPr>
          <w:p w14:paraId="602EE128"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80932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98F31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B18EBE"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0BE03D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A6096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C37409"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47446A" w14:textId="77777777" w:rsidR="00000000" w:rsidRDefault="006549D2">
            <w:pPr>
              <w:jc w:val="right"/>
              <w:rPr>
                <w:rFonts w:eastAsia="Times New Roman"/>
                <w:sz w:val="20"/>
                <w:szCs w:val="20"/>
              </w:rPr>
            </w:pPr>
            <w:r>
              <w:rPr>
                <w:rFonts w:eastAsia="Times New Roman"/>
                <w:sz w:val="20"/>
                <w:szCs w:val="20"/>
              </w:rPr>
              <w:t>1,335,034</w:t>
            </w:r>
          </w:p>
        </w:tc>
        <w:tc>
          <w:tcPr>
            <w:tcW w:w="0" w:type="auto"/>
            <w:shd w:val="clear" w:color="auto" w:fill="CCEEFF"/>
            <w:vAlign w:val="bottom"/>
            <w:hideMark/>
          </w:tcPr>
          <w:p w14:paraId="3A186F13" w14:textId="77777777" w:rsidR="00000000" w:rsidRDefault="006549D2">
            <w:pPr>
              <w:rPr>
                <w:rFonts w:eastAsia="Times New Roman"/>
                <w:sz w:val="20"/>
                <w:szCs w:val="20"/>
              </w:rPr>
            </w:pPr>
            <w:r>
              <w:rPr>
                <w:rFonts w:eastAsia="Times New Roman"/>
                <w:sz w:val="20"/>
                <w:szCs w:val="20"/>
              </w:rPr>
              <w:t> </w:t>
            </w:r>
          </w:p>
        </w:tc>
      </w:tr>
      <w:tr w:rsidR="006549D2" w14:paraId="0F0D627F" w14:textId="77777777">
        <w:tc>
          <w:tcPr>
            <w:tcW w:w="0" w:type="auto"/>
            <w:shd w:val="clear" w:color="auto" w:fill="FFFFFF"/>
            <w:tcMar>
              <w:top w:w="0" w:type="dxa"/>
              <w:left w:w="100" w:type="dxa"/>
              <w:bottom w:w="0" w:type="dxa"/>
              <w:right w:w="0" w:type="dxa"/>
            </w:tcMar>
            <w:vAlign w:val="bottom"/>
            <w:hideMark/>
          </w:tcPr>
          <w:p w14:paraId="3AB06F9D" w14:textId="77777777" w:rsidR="00000000" w:rsidRDefault="006549D2">
            <w:pPr>
              <w:ind w:hanging="100"/>
              <w:rPr>
                <w:rFonts w:eastAsia="Times New Roman"/>
                <w:sz w:val="20"/>
                <w:szCs w:val="20"/>
              </w:rPr>
            </w:pPr>
            <w:r>
              <w:rPr>
                <w:rFonts w:eastAsia="Times New Roman"/>
                <w:sz w:val="20"/>
                <w:szCs w:val="20"/>
              </w:rPr>
              <w:t> </w:t>
            </w:r>
          </w:p>
        </w:tc>
        <w:tc>
          <w:tcPr>
            <w:tcW w:w="0" w:type="auto"/>
            <w:shd w:val="clear" w:color="auto" w:fill="FFFFFF"/>
            <w:vAlign w:val="bottom"/>
            <w:hideMark/>
          </w:tcPr>
          <w:p w14:paraId="1DB6A1E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6D891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30E1FD"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15A8E5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12770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6CBA21"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2D707C"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1411F7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61BB1B"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53B33A"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0FAFA8"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4D295FA"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D05869"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DC7DA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CD2A6A"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6E0E79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20955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0D4DF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75F5FF"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36B009E"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03841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EF464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67655C"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7A85F4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5BED01"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9FFA68"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5646B8"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AE3C51A" w14:textId="77777777" w:rsidR="00000000" w:rsidRDefault="006549D2">
            <w:pPr>
              <w:rPr>
                <w:rFonts w:eastAsia="Times New Roman"/>
                <w:sz w:val="20"/>
                <w:szCs w:val="20"/>
              </w:rPr>
            </w:pPr>
            <w:r>
              <w:rPr>
                <w:rFonts w:eastAsia="Times New Roman"/>
                <w:sz w:val="20"/>
                <w:szCs w:val="20"/>
              </w:rPr>
              <w:t> </w:t>
            </w:r>
          </w:p>
        </w:tc>
      </w:tr>
      <w:tr w:rsidR="006549D2" w14:paraId="0E844356" w14:textId="77777777">
        <w:tc>
          <w:tcPr>
            <w:tcW w:w="0" w:type="auto"/>
            <w:shd w:val="clear" w:color="auto" w:fill="CCEEFF"/>
            <w:tcMar>
              <w:top w:w="0" w:type="dxa"/>
              <w:left w:w="100" w:type="dxa"/>
              <w:bottom w:w="20" w:type="dxa"/>
              <w:right w:w="0" w:type="dxa"/>
            </w:tcMar>
            <w:vAlign w:val="bottom"/>
            <w:hideMark/>
          </w:tcPr>
          <w:p w14:paraId="0F8852EB" w14:textId="77777777" w:rsidR="00000000" w:rsidRDefault="006549D2">
            <w:pPr>
              <w:ind w:hanging="100"/>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20" w:type="dxa"/>
              <w:right w:w="0" w:type="dxa"/>
            </w:tcMar>
            <w:vAlign w:val="bottom"/>
            <w:hideMark/>
          </w:tcPr>
          <w:p w14:paraId="7BE1BE5C"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1E50CA15"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1C654872"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7498F57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2B0D849D"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40A53F4C"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1E7A0C4C"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4B36703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027CA995"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03826F4E"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3DF4C354"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71F63CA1"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0E80D637"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7FA6BAD7"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3A5AD985"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4A57904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1C466F73"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552E5416"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6D5CAA81"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170600E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14:paraId="5C5CDF34"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71EBA674"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785DA4CD" w14:textId="77777777" w:rsidR="00000000" w:rsidRDefault="006549D2">
            <w:pPr>
              <w:jc w:val="right"/>
              <w:rPr>
                <w:rFonts w:eastAsia="Times New Roman"/>
                <w:sz w:val="20"/>
                <w:szCs w:val="20"/>
              </w:rPr>
            </w:pPr>
            <w:r>
              <w:rPr>
                <w:rFonts w:eastAsia="Times New Roman"/>
                <w:sz w:val="20"/>
                <w:szCs w:val="20"/>
              </w:rPr>
              <w:t>(1,335,040</w:t>
            </w:r>
          </w:p>
        </w:tc>
        <w:tc>
          <w:tcPr>
            <w:tcW w:w="0" w:type="auto"/>
            <w:shd w:val="clear" w:color="auto" w:fill="CCEEFF"/>
            <w:tcMar>
              <w:top w:w="0" w:type="dxa"/>
              <w:left w:w="0" w:type="dxa"/>
              <w:bottom w:w="20" w:type="dxa"/>
              <w:right w:w="0" w:type="dxa"/>
            </w:tcMar>
            <w:vAlign w:val="bottom"/>
            <w:hideMark/>
          </w:tcPr>
          <w:p w14:paraId="3B8845A2" w14:textId="77777777" w:rsidR="00000000" w:rsidRDefault="006549D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14:paraId="75E426C0"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4CAF77DB"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14:paraId="0295D9D0" w14:textId="77777777" w:rsidR="00000000" w:rsidRDefault="006549D2">
            <w:pPr>
              <w:jc w:val="right"/>
              <w:rPr>
                <w:rFonts w:eastAsia="Times New Roman"/>
                <w:sz w:val="20"/>
                <w:szCs w:val="20"/>
              </w:rPr>
            </w:pPr>
            <w:r>
              <w:rPr>
                <w:rFonts w:eastAsia="Times New Roman"/>
                <w:sz w:val="20"/>
                <w:szCs w:val="20"/>
              </w:rPr>
              <w:t>(1,335,040</w:t>
            </w:r>
          </w:p>
        </w:tc>
        <w:tc>
          <w:tcPr>
            <w:tcW w:w="0" w:type="auto"/>
            <w:shd w:val="clear" w:color="auto" w:fill="CCEEFF"/>
            <w:tcMar>
              <w:top w:w="0" w:type="dxa"/>
              <w:left w:w="0" w:type="dxa"/>
              <w:bottom w:w="20" w:type="dxa"/>
              <w:right w:w="0" w:type="dxa"/>
            </w:tcMar>
            <w:vAlign w:val="bottom"/>
            <w:hideMark/>
          </w:tcPr>
          <w:p w14:paraId="49D1BE74" w14:textId="77777777" w:rsidR="00000000" w:rsidRDefault="006549D2">
            <w:pPr>
              <w:rPr>
                <w:rFonts w:eastAsia="Times New Roman"/>
                <w:sz w:val="20"/>
                <w:szCs w:val="20"/>
              </w:rPr>
            </w:pPr>
            <w:r>
              <w:rPr>
                <w:rFonts w:eastAsia="Times New Roman"/>
                <w:sz w:val="20"/>
                <w:szCs w:val="20"/>
              </w:rPr>
              <w:t>)</w:t>
            </w:r>
          </w:p>
        </w:tc>
      </w:tr>
      <w:tr w:rsidR="006549D2" w14:paraId="1179379A" w14:textId="77777777">
        <w:tc>
          <w:tcPr>
            <w:tcW w:w="0" w:type="auto"/>
            <w:shd w:val="clear" w:color="auto" w:fill="FFFFFF"/>
            <w:tcMar>
              <w:top w:w="0" w:type="dxa"/>
              <w:left w:w="100" w:type="dxa"/>
              <w:bottom w:w="0" w:type="dxa"/>
              <w:right w:w="0" w:type="dxa"/>
            </w:tcMar>
            <w:vAlign w:val="bottom"/>
            <w:hideMark/>
          </w:tcPr>
          <w:p w14:paraId="0317E089" w14:textId="77777777" w:rsidR="00000000" w:rsidRDefault="006549D2">
            <w:pPr>
              <w:ind w:hanging="100"/>
              <w:rPr>
                <w:rFonts w:eastAsia="Times New Roman"/>
                <w:sz w:val="20"/>
                <w:szCs w:val="20"/>
              </w:rPr>
            </w:pPr>
            <w:r>
              <w:rPr>
                <w:rFonts w:eastAsia="Times New Roman"/>
                <w:sz w:val="20"/>
                <w:szCs w:val="20"/>
              </w:rPr>
              <w:t> </w:t>
            </w:r>
          </w:p>
        </w:tc>
        <w:tc>
          <w:tcPr>
            <w:tcW w:w="0" w:type="auto"/>
            <w:shd w:val="clear" w:color="auto" w:fill="FFFFFF"/>
            <w:vAlign w:val="bottom"/>
            <w:hideMark/>
          </w:tcPr>
          <w:p w14:paraId="460D944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FE3D9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8D9382"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F60D146"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49254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26D24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5DD951"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066C501"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A0834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D8A19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BD030A"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82A6BE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7A4B8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AFF58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6BD999"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D877EF9"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1EFFBB"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458AB8"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E769E5"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0D640B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7EAEF6"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0AE97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AB2265"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6533DF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7C9B7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66398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B969C0"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91ABAB2" w14:textId="77777777" w:rsidR="00000000" w:rsidRDefault="006549D2">
            <w:pPr>
              <w:rPr>
                <w:rFonts w:eastAsia="Times New Roman"/>
                <w:sz w:val="20"/>
                <w:szCs w:val="20"/>
              </w:rPr>
            </w:pPr>
            <w:r>
              <w:rPr>
                <w:rFonts w:eastAsia="Times New Roman"/>
                <w:sz w:val="20"/>
                <w:szCs w:val="20"/>
              </w:rPr>
              <w:t> </w:t>
            </w:r>
          </w:p>
        </w:tc>
      </w:tr>
      <w:tr w:rsidR="006549D2" w14:paraId="4B4C4810" w14:textId="77777777">
        <w:tc>
          <w:tcPr>
            <w:tcW w:w="0" w:type="auto"/>
            <w:shd w:val="clear" w:color="auto" w:fill="CCEEFF"/>
            <w:tcMar>
              <w:top w:w="0" w:type="dxa"/>
              <w:left w:w="100" w:type="dxa"/>
              <w:bottom w:w="50" w:type="dxa"/>
              <w:right w:w="0" w:type="dxa"/>
            </w:tcMar>
            <w:vAlign w:val="bottom"/>
            <w:hideMark/>
          </w:tcPr>
          <w:p w14:paraId="7256C903" w14:textId="77777777" w:rsidR="00000000" w:rsidRDefault="006549D2">
            <w:pPr>
              <w:ind w:hanging="100"/>
              <w:rPr>
                <w:rFonts w:eastAsia="Times New Roman"/>
                <w:b/>
                <w:bCs/>
                <w:sz w:val="20"/>
                <w:szCs w:val="20"/>
              </w:rPr>
            </w:pPr>
            <w:r>
              <w:rPr>
                <w:rFonts w:eastAsia="Times New Roman"/>
                <w:b/>
                <w:bCs/>
                <w:sz w:val="20"/>
                <w:szCs w:val="20"/>
              </w:rPr>
              <w:t>Balance – June 30, 2020</w:t>
            </w:r>
          </w:p>
        </w:tc>
        <w:tc>
          <w:tcPr>
            <w:tcW w:w="0" w:type="auto"/>
            <w:shd w:val="clear" w:color="auto" w:fill="CCEEFF"/>
            <w:tcMar>
              <w:top w:w="0" w:type="dxa"/>
              <w:left w:w="0" w:type="dxa"/>
              <w:bottom w:w="50" w:type="dxa"/>
              <w:right w:w="0" w:type="dxa"/>
            </w:tcMar>
            <w:vAlign w:val="bottom"/>
            <w:hideMark/>
          </w:tcPr>
          <w:p w14:paraId="066A6F88"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3C455633"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4B08B94B" w14:textId="77777777" w:rsidR="00000000" w:rsidRDefault="006549D2">
            <w:pPr>
              <w:jc w:val="right"/>
              <w:rPr>
                <w:rFonts w:eastAsia="Times New Roman"/>
                <w:b/>
                <w:bCs/>
                <w:sz w:val="20"/>
                <w:szCs w:val="20"/>
              </w:rPr>
            </w:pPr>
            <w:r>
              <w:rPr>
                <w:rFonts w:eastAsia="Times New Roman"/>
                <w:b/>
                <w:bCs/>
                <w:sz w:val="20"/>
                <w:szCs w:val="20"/>
              </w:rPr>
              <w:t>4,141,928</w:t>
            </w:r>
          </w:p>
        </w:tc>
        <w:tc>
          <w:tcPr>
            <w:tcW w:w="0" w:type="auto"/>
            <w:shd w:val="clear" w:color="auto" w:fill="CCEEFF"/>
            <w:tcMar>
              <w:top w:w="0" w:type="dxa"/>
              <w:left w:w="0" w:type="dxa"/>
              <w:bottom w:w="50" w:type="dxa"/>
              <w:right w:w="0" w:type="dxa"/>
            </w:tcMar>
            <w:vAlign w:val="bottom"/>
            <w:hideMark/>
          </w:tcPr>
          <w:p w14:paraId="28B95920"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699CE329"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42C3811F" w14:textId="77777777" w:rsidR="00000000" w:rsidRDefault="006549D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613D6B4F" w14:textId="77777777" w:rsidR="00000000" w:rsidRDefault="006549D2">
            <w:pPr>
              <w:jc w:val="right"/>
              <w:rPr>
                <w:rFonts w:eastAsia="Times New Roman"/>
                <w:b/>
                <w:bCs/>
                <w:sz w:val="20"/>
                <w:szCs w:val="20"/>
              </w:rPr>
            </w:pPr>
            <w:r>
              <w:rPr>
                <w:rFonts w:eastAsia="Times New Roman"/>
                <w:b/>
                <w:bCs/>
                <w:sz w:val="20"/>
                <w:szCs w:val="20"/>
              </w:rPr>
              <w:t>414</w:t>
            </w:r>
          </w:p>
        </w:tc>
        <w:tc>
          <w:tcPr>
            <w:tcW w:w="0" w:type="auto"/>
            <w:shd w:val="clear" w:color="auto" w:fill="CCEEFF"/>
            <w:tcMar>
              <w:top w:w="0" w:type="dxa"/>
              <w:left w:w="0" w:type="dxa"/>
              <w:bottom w:w="50" w:type="dxa"/>
              <w:right w:w="0" w:type="dxa"/>
            </w:tcMar>
            <w:vAlign w:val="bottom"/>
            <w:hideMark/>
          </w:tcPr>
          <w:p w14:paraId="0C4AA8DE"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273D0718"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6B45F144"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7545BDD4" w14:textId="77777777" w:rsidR="00000000" w:rsidRDefault="006549D2">
            <w:pPr>
              <w:jc w:val="right"/>
              <w:rPr>
                <w:rFonts w:eastAsia="Times New Roman"/>
                <w:b/>
                <w:bCs/>
                <w:sz w:val="20"/>
                <w:szCs w:val="20"/>
              </w:rPr>
            </w:pPr>
            <w:r>
              <w:rPr>
                <w:rFonts w:eastAsia="Times New Roman"/>
                <w:b/>
                <w:bCs/>
                <w:sz w:val="20"/>
                <w:szCs w:val="20"/>
              </w:rPr>
              <w:t>27,500,000</w:t>
            </w:r>
          </w:p>
        </w:tc>
        <w:tc>
          <w:tcPr>
            <w:tcW w:w="0" w:type="auto"/>
            <w:shd w:val="clear" w:color="auto" w:fill="CCEEFF"/>
            <w:tcMar>
              <w:top w:w="0" w:type="dxa"/>
              <w:left w:w="0" w:type="dxa"/>
              <w:bottom w:w="50" w:type="dxa"/>
              <w:right w:w="0" w:type="dxa"/>
            </w:tcMar>
            <w:vAlign w:val="bottom"/>
            <w:hideMark/>
          </w:tcPr>
          <w:p w14:paraId="0F905F3C"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30A245F5"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5C629494" w14:textId="77777777" w:rsidR="00000000" w:rsidRDefault="006549D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4CEAE408" w14:textId="77777777" w:rsidR="00000000" w:rsidRDefault="006549D2">
            <w:pPr>
              <w:jc w:val="right"/>
              <w:rPr>
                <w:rFonts w:eastAsia="Times New Roman"/>
                <w:b/>
                <w:bCs/>
                <w:sz w:val="20"/>
                <w:szCs w:val="20"/>
              </w:rPr>
            </w:pPr>
            <w:r>
              <w:rPr>
                <w:rFonts w:eastAsia="Times New Roman"/>
                <w:b/>
                <w:bCs/>
                <w:sz w:val="20"/>
                <w:szCs w:val="20"/>
              </w:rPr>
              <w:t>2,750</w:t>
            </w:r>
          </w:p>
        </w:tc>
        <w:tc>
          <w:tcPr>
            <w:tcW w:w="0" w:type="auto"/>
            <w:shd w:val="clear" w:color="auto" w:fill="CCEEFF"/>
            <w:tcMar>
              <w:top w:w="0" w:type="dxa"/>
              <w:left w:w="0" w:type="dxa"/>
              <w:bottom w:w="50" w:type="dxa"/>
              <w:right w:w="0" w:type="dxa"/>
            </w:tcMar>
            <w:vAlign w:val="bottom"/>
            <w:hideMark/>
          </w:tcPr>
          <w:p w14:paraId="6A3AE0D1"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6FCFB0ED"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0DC36FBC" w14:textId="77777777" w:rsidR="00000000" w:rsidRDefault="006549D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1DA227B0" w14:textId="77777777" w:rsidR="00000000" w:rsidRDefault="006549D2">
            <w:pPr>
              <w:jc w:val="right"/>
              <w:rPr>
                <w:rFonts w:eastAsia="Times New Roman"/>
                <w:b/>
                <w:bCs/>
                <w:sz w:val="20"/>
                <w:szCs w:val="20"/>
              </w:rPr>
            </w:pPr>
            <w:r>
              <w:rPr>
                <w:rFonts w:eastAsia="Times New Roman"/>
                <w:b/>
                <w:bCs/>
                <w:sz w:val="20"/>
                <w:szCs w:val="20"/>
              </w:rPr>
              <w:t>3,301,789</w:t>
            </w:r>
          </w:p>
        </w:tc>
        <w:tc>
          <w:tcPr>
            <w:tcW w:w="0" w:type="auto"/>
            <w:shd w:val="clear" w:color="auto" w:fill="CCEEFF"/>
            <w:tcMar>
              <w:top w:w="0" w:type="dxa"/>
              <w:left w:w="0" w:type="dxa"/>
              <w:bottom w:w="50" w:type="dxa"/>
              <w:right w:w="0" w:type="dxa"/>
            </w:tcMar>
            <w:vAlign w:val="bottom"/>
            <w:hideMark/>
          </w:tcPr>
          <w:p w14:paraId="70D93ABD"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58AF6084"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5B168B88" w14:textId="77777777" w:rsidR="00000000" w:rsidRDefault="006549D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0AF3C99C" w14:textId="77777777" w:rsidR="00000000" w:rsidRDefault="006549D2">
            <w:pPr>
              <w:jc w:val="right"/>
              <w:rPr>
                <w:rFonts w:eastAsia="Times New Roman"/>
                <w:b/>
                <w:bCs/>
                <w:sz w:val="20"/>
                <w:szCs w:val="20"/>
              </w:rPr>
            </w:pPr>
            <w:r>
              <w:rPr>
                <w:rFonts w:eastAsia="Times New Roman"/>
                <w:b/>
                <w:bCs/>
                <w:sz w:val="20"/>
                <w:szCs w:val="20"/>
              </w:rPr>
              <w:t>1,695,048</w:t>
            </w:r>
          </w:p>
        </w:tc>
        <w:tc>
          <w:tcPr>
            <w:tcW w:w="0" w:type="auto"/>
            <w:shd w:val="clear" w:color="auto" w:fill="CCEEFF"/>
            <w:tcMar>
              <w:top w:w="0" w:type="dxa"/>
              <w:left w:w="0" w:type="dxa"/>
              <w:bottom w:w="50" w:type="dxa"/>
              <w:right w:w="0" w:type="dxa"/>
            </w:tcMar>
            <w:vAlign w:val="bottom"/>
            <w:hideMark/>
          </w:tcPr>
          <w:p w14:paraId="458A1A0C"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5E1616EC"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107A5067" w14:textId="77777777" w:rsidR="00000000" w:rsidRDefault="006549D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3F6B2BC7" w14:textId="77777777" w:rsidR="00000000" w:rsidRDefault="006549D2">
            <w:pPr>
              <w:jc w:val="right"/>
              <w:rPr>
                <w:rFonts w:eastAsia="Times New Roman"/>
                <w:b/>
                <w:bCs/>
                <w:sz w:val="20"/>
                <w:szCs w:val="20"/>
              </w:rPr>
            </w:pPr>
            <w:r>
              <w:rPr>
                <w:rFonts w:eastAsia="Times New Roman"/>
                <w:b/>
                <w:bCs/>
                <w:sz w:val="20"/>
                <w:szCs w:val="20"/>
              </w:rPr>
              <w:t>5,000,001</w:t>
            </w:r>
          </w:p>
        </w:tc>
        <w:tc>
          <w:tcPr>
            <w:tcW w:w="0" w:type="auto"/>
            <w:shd w:val="clear" w:color="auto" w:fill="CCEEFF"/>
            <w:tcMar>
              <w:top w:w="0" w:type="dxa"/>
              <w:left w:w="0" w:type="dxa"/>
              <w:bottom w:w="50" w:type="dxa"/>
              <w:right w:w="0" w:type="dxa"/>
            </w:tcMar>
            <w:vAlign w:val="bottom"/>
            <w:hideMark/>
          </w:tcPr>
          <w:p w14:paraId="0D7B3927" w14:textId="77777777" w:rsidR="00000000" w:rsidRDefault="006549D2">
            <w:pPr>
              <w:rPr>
                <w:rFonts w:eastAsia="Times New Roman"/>
                <w:b/>
                <w:bCs/>
                <w:sz w:val="20"/>
                <w:szCs w:val="20"/>
              </w:rPr>
            </w:pPr>
            <w:r>
              <w:rPr>
                <w:rFonts w:eastAsia="Times New Roman"/>
                <w:b/>
                <w:bCs/>
                <w:sz w:val="20"/>
                <w:szCs w:val="20"/>
              </w:rPr>
              <w:t> </w:t>
            </w:r>
          </w:p>
        </w:tc>
      </w:tr>
    </w:tbl>
    <w:p w14:paraId="48755ECF" w14:textId="77777777" w:rsidR="00000000" w:rsidRDefault="006549D2">
      <w:pPr>
        <w:pStyle w:val="a3"/>
        <w:spacing w:before="0" w:beforeAutospacing="0" w:after="0" w:afterAutospacing="0"/>
        <w:ind w:left="1254" w:right="1194"/>
        <w:jc w:val="center"/>
        <w:rPr>
          <w:sz w:val="20"/>
          <w:szCs w:val="20"/>
        </w:rPr>
      </w:pPr>
      <w:r>
        <w:rPr>
          <w:sz w:val="20"/>
          <w:szCs w:val="20"/>
        </w:rPr>
        <w:t> </w:t>
      </w:r>
    </w:p>
    <w:p w14:paraId="59C31299" w14:textId="77777777" w:rsidR="00000000" w:rsidRDefault="006549D2">
      <w:pPr>
        <w:pStyle w:val="a3"/>
        <w:spacing w:before="0" w:beforeAutospacing="0" w:after="0" w:afterAutospacing="0"/>
        <w:ind w:left="1254" w:right="1194"/>
        <w:jc w:val="center"/>
        <w:rPr>
          <w:sz w:val="20"/>
          <w:szCs w:val="20"/>
        </w:rPr>
      </w:pPr>
      <w:r>
        <w:rPr>
          <w:sz w:val="20"/>
          <w:szCs w:val="20"/>
        </w:rPr>
        <w:t>The acc</w:t>
      </w:r>
      <w:r>
        <w:rPr>
          <w:sz w:val="20"/>
          <w:szCs w:val="20"/>
        </w:rPr>
        <w:t>ompanying notes are an integral part of the unaudited condensed financial statements.</w:t>
      </w:r>
    </w:p>
    <w:p w14:paraId="2BAD6AE6" w14:textId="77777777" w:rsidR="00000000" w:rsidRDefault="006549D2">
      <w:pPr>
        <w:pStyle w:val="a3"/>
        <w:spacing w:before="0" w:beforeAutospacing="0" w:after="0" w:afterAutospacing="0"/>
        <w:ind w:left="1254" w:right="1194"/>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55B44554" w14:textId="77777777">
        <w:trPr>
          <w:divId w:val="1635407946"/>
        </w:trPr>
        <w:tc>
          <w:tcPr>
            <w:tcW w:w="1650" w:type="pct"/>
            <w:hideMark/>
          </w:tcPr>
          <w:p w14:paraId="36EAC1F0" w14:textId="77777777" w:rsidR="00000000" w:rsidRDefault="006549D2">
            <w:pPr>
              <w:rPr>
                <w:rFonts w:eastAsia="Times New Roman"/>
                <w:sz w:val="20"/>
                <w:szCs w:val="20"/>
              </w:rPr>
            </w:pPr>
            <w:r>
              <w:rPr>
                <w:rFonts w:eastAsia="Times New Roman"/>
                <w:sz w:val="20"/>
                <w:szCs w:val="20"/>
              </w:rPr>
              <w:t> </w:t>
            </w:r>
          </w:p>
        </w:tc>
        <w:tc>
          <w:tcPr>
            <w:tcW w:w="1700" w:type="pct"/>
            <w:hideMark/>
          </w:tcPr>
          <w:p w14:paraId="671ED97E" w14:textId="77777777" w:rsidR="00000000" w:rsidRDefault="006549D2">
            <w:pPr>
              <w:jc w:val="center"/>
              <w:rPr>
                <w:rFonts w:eastAsia="Times New Roman"/>
                <w:sz w:val="20"/>
                <w:szCs w:val="20"/>
              </w:rPr>
            </w:pPr>
            <w:r>
              <w:rPr>
                <w:rFonts w:eastAsia="Times New Roman"/>
                <w:sz w:val="20"/>
                <w:szCs w:val="20"/>
              </w:rPr>
              <w:t>3</w:t>
            </w:r>
          </w:p>
        </w:tc>
        <w:tc>
          <w:tcPr>
            <w:tcW w:w="1650" w:type="pct"/>
            <w:hideMark/>
          </w:tcPr>
          <w:p w14:paraId="258AB7A7" w14:textId="77777777" w:rsidR="00000000" w:rsidRDefault="006549D2">
            <w:pPr>
              <w:jc w:val="right"/>
              <w:rPr>
                <w:rFonts w:eastAsia="Times New Roman"/>
                <w:sz w:val="20"/>
                <w:szCs w:val="20"/>
              </w:rPr>
            </w:pPr>
            <w:r>
              <w:rPr>
                <w:rFonts w:eastAsia="Times New Roman"/>
                <w:sz w:val="20"/>
                <w:szCs w:val="20"/>
              </w:rPr>
              <w:t> </w:t>
            </w:r>
          </w:p>
        </w:tc>
      </w:tr>
    </w:tbl>
    <w:p w14:paraId="7FD4822D" w14:textId="77777777" w:rsidR="00000000" w:rsidRDefault="006549D2">
      <w:pPr>
        <w:pStyle w:val="a3"/>
        <w:pageBreakBefore/>
        <w:spacing w:before="0" w:beforeAutospacing="0" w:after="0" w:afterAutospacing="0"/>
        <w:divId w:val="714353378"/>
        <w:rPr>
          <w:sz w:val="20"/>
          <w:szCs w:val="20"/>
        </w:rPr>
      </w:pPr>
      <w:r>
        <w:rPr>
          <w:sz w:val="20"/>
          <w:szCs w:val="20"/>
        </w:rPr>
        <w:t> </w:t>
      </w:r>
    </w:p>
    <w:p w14:paraId="1692F050" w14:textId="77777777" w:rsidR="00000000" w:rsidRDefault="006549D2">
      <w:pPr>
        <w:pStyle w:val="a3"/>
        <w:spacing w:before="0" w:beforeAutospacing="0" w:after="0" w:afterAutospacing="0"/>
        <w:ind w:left="1254" w:right="1194"/>
        <w:jc w:val="center"/>
        <w:rPr>
          <w:sz w:val="20"/>
          <w:szCs w:val="20"/>
        </w:rPr>
      </w:pPr>
      <w:r>
        <w:rPr>
          <w:sz w:val="20"/>
          <w:szCs w:val="20"/>
        </w:rPr>
        <w:t>  </w:t>
      </w:r>
    </w:p>
    <w:p w14:paraId="1E19D933" w14:textId="77777777" w:rsidR="00000000" w:rsidRDefault="006549D2">
      <w:pPr>
        <w:pStyle w:val="a3"/>
        <w:spacing w:before="0" w:beforeAutospacing="0" w:after="0" w:afterAutospacing="0"/>
        <w:jc w:val="center"/>
        <w:rPr>
          <w:sz w:val="20"/>
          <w:szCs w:val="20"/>
        </w:rPr>
      </w:pPr>
      <w:r>
        <w:rPr>
          <w:b/>
          <w:bCs/>
          <w:sz w:val="20"/>
          <w:szCs w:val="20"/>
        </w:rPr>
        <w:t>CHURCHILL CAPITAL CORP III</w:t>
      </w:r>
    </w:p>
    <w:p w14:paraId="60AE2C7A" w14:textId="77777777" w:rsidR="00000000" w:rsidRDefault="006549D2">
      <w:pPr>
        <w:pStyle w:val="a3"/>
        <w:spacing w:before="0" w:beforeAutospacing="0" w:after="0" w:afterAutospacing="0"/>
        <w:jc w:val="center"/>
        <w:rPr>
          <w:sz w:val="20"/>
          <w:szCs w:val="20"/>
        </w:rPr>
      </w:pPr>
      <w:bookmarkStart w:id="5" w:name="condensedstatementsofcashflows"/>
      <w:bookmarkEnd w:id="5"/>
      <w:r>
        <w:rPr>
          <w:b/>
          <w:bCs/>
          <w:sz w:val="20"/>
          <w:szCs w:val="20"/>
        </w:rPr>
        <w:t>CONDENSED STATEMENT OF CASH FLOWS</w:t>
      </w:r>
    </w:p>
    <w:p w14:paraId="14ED31F1" w14:textId="77777777" w:rsidR="00000000" w:rsidRDefault="006549D2">
      <w:pPr>
        <w:pStyle w:val="a3"/>
        <w:spacing w:before="0" w:beforeAutospacing="0" w:after="0" w:afterAutospacing="0"/>
        <w:jc w:val="center"/>
        <w:rPr>
          <w:sz w:val="20"/>
          <w:szCs w:val="20"/>
        </w:rPr>
      </w:pPr>
      <w:r>
        <w:rPr>
          <w:b/>
          <w:bCs/>
          <w:sz w:val="20"/>
          <w:szCs w:val="20"/>
        </w:rPr>
        <w:t>SIX MONTHS ENDED JUNE 30, 2020</w:t>
      </w:r>
    </w:p>
    <w:p w14:paraId="6AA1BA6C" w14:textId="77777777" w:rsidR="00000000" w:rsidRDefault="006549D2">
      <w:pPr>
        <w:pStyle w:val="a3"/>
        <w:spacing w:before="0" w:beforeAutospacing="0" w:after="0" w:afterAutospacing="0"/>
        <w:jc w:val="center"/>
        <w:rPr>
          <w:sz w:val="20"/>
          <w:szCs w:val="20"/>
        </w:rPr>
      </w:pPr>
      <w:r>
        <w:rPr>
          <w:b/>
          <w:bCs/>
          <w:sz w:val="20"/>
          <w:szCs w:val="20"/>
        </w:rPr>
        <w:t>(UNAUDITED)</w:t>
      </w:r>
    </w:p>
    <w:p w14:paraId="5979B333" w14:textId="77777777" w:rsidR="00000000" w:rsidRDefault="006549D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872"/>
        <w:gridCol w:w="50"/>
        <w:gridCol w:w="100"/>
        <w:gridCol w:w="1217"/>
        <w:gridCol w:w="67"/>
      </w:tblGrid>
      <w:tr w:rsidR="00000000" w14:paraId="3BAE2EB5" w14:textId="77777777">
        <w:tc>
          <w:tcPr>
            <w:tcW w:w="0" w:type="auto"/>
            <w:shd w:val="clear" w:color="auto" w:fill="CCEEFF"/>
            <w:vAlign w:val="bottom"/>
            <w:hideMark/>
          </w:tcPr>
          <w:p w14:paraId="2CDC8FEF" w14:textId="77777777" w:rsidR="00000000" w:rsidRDefault="006549D2">
            <w:pPr>
              <w:rPr>
                <w:rFonts w:eastAsia="Times New Roman"/>
                <w:b/>
                <w:bCs/>
                <w:sz w:val="20"/>
                <w:szCs w:val="20"/>
              </w:rPr>
            </w:pPr>
            <w:r>
              <w:rPr>
                <w:rFonts w:eastAsia="Times New Roman"/>
                <w:b/>
                <w:bCs/>
                <w:sz w:val="20"/>
                <w:szCs w:val="20"/>
              </w:rPr>
              <w:t>Cash Flows from Operating Activities:</w:t>
            </w:r>
          </w:p>
        </w:tc>
        <w:tc>
          <w:tcPr>
            <w:tcW w:w="0" w:type="auto"/>
            <w:shd w:val="clear" w:color="auto" w:fill="CCEEFF"/>
            <w:vAlign w:val="bottom"/>
            <w:hideMark/>
          </w:tcPr>
          <w:p w14:paraId="248A8696"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59FC4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2F7307"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B5CA18B" w14:textId="77777777" w:rsidR="00000000" w:rsidRDefault="006549D2">
            <w:pPr>
              <w:rPr>
                <w:rFonts w:eastAsia="Times New Roman"/>
                <w:sz w:val="20"/>
                <w:szCs w:val="20"/>
              </w:rPr>
            </w:pPr>
            <w:r>
              <w:rPr>
                <w:rFonts w:eastAsia="Times New Roman"/>
                <w:sz w:val="20"/>
                <w:szCs w:val="20"/>
              </w:rPr>
              <w:t> </w:t>
            </w:r>
          </w:p>
        </w:tc>
      </w:tr>
      <w:tr w:rsidR="00000000" w14:paraId="315EEA99" w14:textId="77777777">
        <w:tc>
          <w:tcPr>
            <w:tcW w:w="4350" w:type="pct"/>
            <w:shd w:val="clear" w:color="auto" w:fill="FFFFFF"/>
            <w:vAlign w:val="bottom"/>
            <w:hideMark/>
          </w:tcPr>
          <w:p w14:paraId="2442AE19" w14:textId="77777777" w:rsidR="00000000" w:rsidRDefault="006549D2">
            <w:pPr>
              <w:rPr>
                <w:rFonts w:eastAsia="Times New Roman"/>
                <w:sz w:val="20"/>
                <w:szCs w:val="20"/>
              </w:rPr>
            </w:pPr>
            <w:r>
              <w:rPr>
                <w:rFonts w:eastAsia="Times New Roman"/>
                <w:sz w:val="20"/>
                <w:szCs w:val="20"/>
              </w:rPr>
              <w:t>Net income</w:t>
            </w:r>
          </w:p>
        </w:tc>
        <w:tc>
          <w:tcPr>
            <w:tcW w:w="50" w:type="pct"/>
            <w:shd w:val="clear" w:color="auto" w:fill="FFFFFF"/>
            <w:vAlign w:val="bottom"/>
            <w:hideMark/>
          </w:tcPr>
          <w:p w14:paraId="2D1DAE7B" w14:textId="77777777" w:rsidR="00000000" w:rsidRDefault="006549D2">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BB5D67" w14:textId="77777777" w:rsidR="00000000" w:rsidRDefault="006549D2">
            <w:pPr>
              <w:rPr>
                <w:rFonts w:eastAsia="Times New Roman"/>
                <w:sz w:val="20"/>
                <w:szCs w:val="20"/>
              </w:rPr>
            </w:pPr>
            <w:r>
              <w:rPr>
                <w:rFonts w:eastAsia="Times New Roman"/>
                <w:sz w:val="20"/>
                <w:szCs w:val="20"/>
              </w:rPr>
              <w:t>$</w:t>
            </w:r>
          </w:p>
        </w:tc>
        <w:tc>
          <w:tcPr>
            <w:tcW w:w="500" w:type="pct"/>
            <w:shd w:val="clear" w:color="auto" w:fill="FFFFFF"/>
            <w:vAlign w:val="bottom"/>
            <w:hideMark/>
          </w:tcPr>
          <w:p w14:paraId="3CFB2584" w14:textId="77777777" w:rsidR="00000000" w:rsidRDefault="006549D2">
            <w:pPr>
              <w:jc w:val="right"/>
              <w:rPr>
                <w:rFonts w:eastAsia="Times New Roman"/>
                <w:sz w:val="20"/>
                <w:szCs w:val="20"/>
              </w:rPr>
            </w:pPr>
            <w:r>
              <w:rPr>
                <w:rFonts w:eastAsia="Times New Roman"/>
                <w:sz w:val="20"/>
                <w:szCs w:val="20"/>
              </w:rPr>
              <w:t>1,696,498</w:t>
            </w:r>
          </w:p>
        </w:tc>
        <w:tc>
          <w:tcPr>
            <w:tcW w:w="50" w:type="pct"/>
            <w:shd w:val="clear" w:color="auto" w:fill="FFFFFF"/>
            <w:vAlign w:val="bottom"/>
            <w:hideMark/>
          </w:tcPr>
          <w:p w14:paraId="09DAFE6A" w14:textId="77777777" w:rsidR="00000000" w:rsidRDefault="006549D2">
            <w:pPr>
              <w:rPr>
                <w:rFonts w:eastAsia="Times New Roman"/>
                <w:sz w:val="20"/>
                <w:szCs w:val="20"/>
              </w:rPr>
            </w:pPr>
            <w:r>
              <w:rPr>
                <w:rFonts w:eastAsia="Times New Roman"/>
                <w:sz w:val="20"/>
                <w:szCs w:val="20"/>
              </w:rPr>
              <w:t> </w:t>
            </w:r>
          </w:p>
        </w:tc>
      </w:tr>
      <w:tr w:rsidR="00000000" w14:paraId="6B8DA1F9" w14:textId="77777777">
        <w:tc>
          <w:tcPr>
            <w:tcW w:w="0" w:type="auto"/>
            <w:shd w:val="clear" w:color="auto" w:fill="CCEEFF"/>
            <w:vAlign w:val="bottom"/>
            <w:hideMark/>
          </w:tcPr>
          <w:p w14:paraId="215AAB01" w14:textId="77777777" w:rsidR="00000000" w:rsidRDefault="006549D2">
            <w:pPr>
              <w:rPr>
                <w:rFonts w:eastAsia="Times New Roman"/>
                <w:sz w:val="20"/>
                <w:szCs w:val="20"/>
              </w:rPr>
            </w:pPr>
            <w:r>
              <w:rPr>
                <w:rFonts w:eastAsia="Times New Roman"/>
                <w:sz w:val="20"/>
                <w:szCs w:val="20"/>
              </w:rPr>
              <w:t>Adjustments to reconcile net income to net cash used in operating activities:</w:t>
            </w:r>
          </w:p>
        </w:tc>
        <w:tc>
          <w:tcPr>
            <w:tcW w:w="0" w:type="auto"/>
            <w:shd w:val="clear" w:color="auto" w:fill="CCEEFF"/>
            <w:vAlign w:val="bottom"/>
            <w:hideMark/>
          </w:tcPr>
          <w:p w14:paraId="2E5EFA6A"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B97F11"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4C5863"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2E7A40E" w14:textId="77777777" w:rsidR="00000000" w:rsidRDefault="006549D2">
            <w:pPr>
              <w:rPr>
                <w:rFonts w:eastAsia="Times New Roman"/>
                <w:sz w:val="20"/>
                <w:szCs w:val="20"/>
              </w:rPr>
            </w:pPr>
            <w:r>
              <w:rPr>
                <w:rFonts w:eastAsia="Times New Roman"/>
                <w:sz w:val="20"/>
                <w:szCs w:val="20"/>
              </w:rPr>
              <w:t> </w:t>
            </w:r>
          </w:p>
        </w:tc>
      </w:tr>
      <w:tr w:rsidR="00000000" w14:paraId="364D7464" w14:textId="77777777">
        <w:tc>
          <w:tcPr>
            <w:tcW w:w="0" w:type="auto"/>
            <w:shd w:val="clear" w:color="auto" w:fill="FFFFFF"/>
            <w:tcMar>
              <w:top w:w="0" w:type="dxa"/>
              <w:left w:w="180" w:type="dxa"/>
              <w:bottom w:w="0" w:type="dxa"/>
              <w:right w:w="0" w:type="dxa"/>
            </w:tcMar>
            <w:vAlign w:val="bottom"/>
            <w:hideMark/>
          </w:tcPr>
          <w:p w14:paraId="338BB515" w14:textId="77777777" w:rsidR="00000000" w:rsidRDefault="006549D2">
            <w:pPr>
              <w:rPr>
                <w:rFonts w:eastAsia="Times New Roman"/>
                <w:sz w:val="20"/>
                <w:szCs w:val="20"/>
              </w:rPr>
            </w:pPr>
            <w:r>
              <w:rPr>
                <w:rFonts w:eastAsia="Times New Roman"/>
                <w:sz w:val="20"/>
                <w:szCs w:val="20"/>
              </w:rPr>
              <w:t>Interest earned on marketable securities held in Trust Account</w:t>
            </w:r>
          </w:p>
        </w:tc>
        <w:tc>
          <w:tcPr>
            <w:tcW w:w="0" w:type="auto"/>
            <w:shd w:val="clear" w:color="auto" w:fill="FFFFFF"/>
            <w:vAlign w:val="bottom"/>
            <w:hideMark/>
          </w:tcPr>
          <w:p w14:paraId="11AEC89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50FF4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5EEF49" w14:textId="77777777" w:rsidR="00000000" w:rsidRDefault="006549D2">
            <w:pPr>
              <w:jc w:val="right"/>
              <w:rPr>
                <w:rFonts w:eastAsia="Times New Roman"/>
                <w:sz w:val="20"/>
                <w:szCs w:val="20"/>
              </w:rPr>
            </w:pPr>
            <w:r>
              <w:rPr>
                <w:rFonts w:eastAsia="Times New Roman"/>
                <w:sz w:val="20"/>
                <w:szCs w:val="20"/>
              </w:rPr>
              <w:t>(4,215,679</w:t>
            </w:r>
          </w:p>
        </w:tc>
        <w:tc>
          <w:tcPr>
            <w:tcW w:w="0" w:type="auto"/>
            <w:shd w:val="clear" w:color="auto" w:fill="FFFFFF"/>
            <w:vAlign w:val="bottom"/>
            <w:hideMark/>
          </w:tcPr>
          <w:p w14:paraId="5C0E93EB" w14:textId="77777777" w:rsidR="00000000" w:rsidRDefault="006549D2">
            <w:pPr>
              <w:rPr>
                <w:rFonts w:eastAsia="Times New Roman"/>
                <w:sz w:val="20"/>
                <w:szCs w:val="20"/>
              </w:rPr>
            </w:pPr>
            <w:r>
              <w:rPr>
                <w:rFonts w:eastAsia="Times New Roman"/>
                <w:sz w:val="20"/>
                <w:szCs w:val="20"/>
              </w:rPr>
              <w:t>)</w:t>
            </w:r>
          </w:p>
        </w:tc>
      </w:tr>
      <w:tr w:rsidR="00000000" w14:paraId="5041C788" w14:textId="77777777">
        <w:tc>
          <w:tcPr>
            <w:tcW w:w="0" w:type="auto"/>
            <w:shd w:val="clear" w:color="auto" w:fill="CCEEFF"/>
            <w:tcMar>
              <w:top w:w="0" w:type="dxa"/>
              <w:left w:w="180" w:type="dxa"/>
              <w:bottom w:w="0" w:type="dxa"/>
              <w:right w:w="0" w:type="dxa"/>
            </w:tcMar>
            <w:vAlign w:val="bottom"/>
            <w:hideMark/>
          </w:tcPr>
          <w:p w14:paraId="5476E7E2" w14:textId="77777777" w:rsidR="00000000" w:rsidRDefault="006549D2">
            <w:pPr>
              <w:rPr>
                <w:rFonts w:eastAsia="Times New Roman"/>
                <w:sz w:val="20"/>
                <w:szCs w:val="20"/>
              </w:rPr>
            </w:pPr>
            <w:r>
              <w:rPr>
                <w:rFonts w:eastAsia="Times New Roman"/>
                <w:sz w:val="20"/>
                <w:szCs w:val="20"/>
              </w:rPr>
              <w:t>Unrealized loss on marketable securities held in Trust Account</w:t>
            </w:r>
          </w:p>
        </w:tc>
        <w:tc>
          <w:tcPr>
            <w:tcW w:w="0" w:type="auto"/>
            <w:shd w:val="clear" w:color="auto" w:fill="CCEEFF"/>
            <w:vAlign w:val="bottom"/>
            <w:hideMark/>
          </w:tcPr>
          <w:p w14:paraId="70AAB4D9"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E8CA5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A6450B" w14:textId="77777777" w:rsidR="00000000" w:rsidRDefault="006549D2">
            <w:pPr>
              <w:jc w:val="right"/>
              <w:rPr>
                <w:rFonts w:eastAsia="Times New Roman"/>
                <w:sz w:val="20"/>
                <w:szCs w:val="20"/>
              </w:rPr>
            </w:pPr>
            <w:r>
              <w:rPr>
                <w:rFonts w:eastAsia="Times New Roman"/>
                <w:sz w:val="20"/>
                <w:szCs w:val="20"/>
              </w:rPr>
              <w:t>6,366</w:t>
            </w:r>
          </w:p>
        </w:tc>
        <w:tc>
          <w:tcPr>
            <w:tcW w:w="0" w:type="auto"/>
            <w:shd w:val="clear" w:color="auto" w:fill="CCEEFF"/>
            <w:vAlign w:val="bottom"/>
            <w:hideMark/>
          </w:tcPr>
          <w:p w14:paraId="05B372A5" w14:textId="77777777" w:rsidR="00000000" w:rsidRDefault="006549D2">
            <w:pPr>
              <w:rPr>
                <w:rFonts w:eastAsia="Times New Roman"/>
                <w:sz w:val="20"/>
                <w:szCs w:val="20"/>
              </w:rPr>
            </w:pPr>
            <w:r>
              <w:rPr>
                <w:rFonts w:eastAsia="Times New Roman"/>
                <w:sz w:val="20"/>
                <w:szCs w:val="20"/>
              </w:rPr>
              <w:t> </w:t>
            </w:r>
          </w:p>
        </w:tc>
      </w:tr>
      <w:tr w:rsidR="00000000" w14:paraId="2619B1FE" w14:textId="77777777">
        <w:tc>
          <w:tcPr>
            <w:tcW w:w="0" w:type="auto"/>
            <w:shd w:val="clear" w:color="auto" w:fill="FFFFFF"/>
            <w:tcMar>
              <w:top w:w="0" w:type="dxa"/>
              <w:left w:w="180" w:type="dxa"/>
              <w:bottom w:w="0" w:type="dxa"/>
              <w:right w:w="0" w:type="dxa"/>
            </w:tcMar>
            <w:vAlign w:val="bottom"/>
            <w:hideMark/>
          </w:tcPr>
          <w:p w14:paraId="06909C76" w14:textId="77777777" w:rsidR="00000000" w:rsidRDefault="006549D2">
            <w:pPr>
              <w:rPr>
                <w:rFonts w:eastAsia="Times New Roman"/>
                <w:sz w:val="20"/>
                <w:szCs w:val="20"/>
              </w:rPr>
            </w:pPr>
            <w:r>
              <w:rPr>
                <w:rFonts w:eastAsia="Times New Roman"/>
                <w:sz w:val="20"/>
                <w:szCs w:val="20"/>
              </w:rPr>
              <w:t>Deferred tax benefit</w:t>
            </w:r>
          </w:p>
        </w:tc>
        <w:tc>
          <w:tcPr>
            <w:tcW w:w="0" w:type="auto"/>
            <w:shd w:val="clear" w:color="auto" w:fill="FFFFFF"/>
            <w:vAlign w:val="bottom"/>
            <w:hideMark/>
          </w:tcPr>
          <w:p w14:paraId="74CF0C3E"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159B43"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F2332E" w14:textId="77777777" w:rsidR="00000000" w:rsidRDefault="006549D2">
            <w:pPr>
              <w:jc w:val="right"/>
              <w:rPr>
                <w:rFonts w:eastAsia="Times New Roman"/>
                <w:sz w:val="20"/>
                <w:szCs w:val="20"/>
              </w:rPr>
            </w:pPr>
            <w:r>
              <w:rPr>
                <w:rFonts w:eastAsia="Times New Roman"/>
                <w:sz w:val="20"/>
                <w:szCs w:val="20"/>
              </w:rPr>
              <w:t>(1,337</w:t>
            </w:r>
          </w:p>
        </w:tc>
        <w:tc>
          <w:tcPr>
            <w:tcW w:w="0" w:type="auto"/>
            <w:shd w:val="clear" w:color="auto" w:fill="FFFFFF"/>
            <w:vAlign w:val="bottom"/>
            <w:hideMark/>
          </w:tcPr>
          <w:p w14:paraId="77A23D61" w14:textId="77777777" w:rsidR="00000000" w:rsidRDefault="006549D2">
            <w:pPr>
              <w:rPr>
                <w:rFonts w:eastAsia="Times New Roman"/>
                <w:sz w:val="20"/>
                <w:szCs w:val="20"/>
              </w:rPr>
            </w:pPr>
            <w:r>
              <w:rPr>
                <w:rFonts w:eastAsia="Times New Roman"/>
                <w:sz w:val="20"/>
                <w:szCs w:val="20"/>
              </w:rPr>
              <w:t>)</w:t>
            </w:r>
          </w:p>
        </w:tc>
      </w:tr>
      <w:tr w:rsidR="00000000" w14:paraId="5A367126" w14:textId="77777777">
        <w:tc>
          <w:tcPr>
            <w:tcW w:w="0" w:type="auto"/>
            <w:shd w:val="clear" w:color="auto" w:fill="CCEEFF"/>
            <w:tcMar>
              <w:top w:w="0" w:type="dxa"/>
              <w:left w:w="180" w:type="dxa"/>
              <w:bottom w:w="0" w:type="dxa"/>
              <w:right w:w="0" w:type="dxa"/>
            </w:tcMar>
            <w:vAlign w:val="bottom"/>
            <w:hideMark/>
          </w:tcPr>
          <w:p w14:paraId="42CE2B93" w14:textId="77777777" w:rsidR="00000000" w:rsidRDefault="006549D2">
            <w:pPr>
              <w:rPr>
                <w:rFonts w:eastAsia="Times New Roman"/>
                <w:sz w:val="20"/>
                <w:szCs w:val="20"/>
              </w:rPr>
            </w:pPr>
            <w:r>
              <w:rPr>
                <w:rFonts w:eastAsia="Times New Roman"/>
                <w:sz w:val="20"/>
                <w:szCs w:val="20"/>
              </w:rPr>
              <w:t>Changes in operating assets and liabilities:</w:t>
            </w:r>
          </w:p>
        </w:tc>
        <w:tc>
          <w:tcPr>
            <w:tcW w:w="0" w:type="auto"/>
            <w:shd w:val="clear" w:color="auto" w:fill="CCEEFF"/>
            <w:vAlign w:val="bottom"/>
            <w:hideMark/>
          </w:tcPr>
          <w:p w14:paraId="7A6A791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B5887B"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41B805"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03D496B" w14:textId="77777777" w:rsidR="00000000" w:rsidRDefault="006549D2">
            <w:pPr>
              <w:rPr>
                <w:rFonts w:eastAsia="Times New Roman"/>
                <w:sz w:val="20"/>
                <w:szCs w:val="20"/>
              </w:rPr>
            </w:pPr>
            <w:r>
              <w:rPr>
                <w:rFonts w:eastAsia="Times New Roman"/>
                <w:sz w:val="20"/>
                <w:szCs w:val="20"/>
              </w:rPr>
              <w:t> </w:t>
            </w:r>
          </w:p>
        </w:tc>
      </w:tr>
      <w:tr w:rsidR="00000000" w14:paraId="3077ECAF" w14:textId="77777777">
        <w:tc>
          <w:tcPr>
            <w:tcW w:w="0" w:type="auto"/>
            <w:shd w:val="clear" w:color="auto" w:fill="FFFFFF"/>
            <w:tcMar>
              <w:top w:w="0" w:type="dxa"/>
              <w:left w:w="360" w:type="dxa"/>
              <w:bottom w:w="0" w:type="dxa"/>
              <w:right w:w="0" w:type="dxa"/>
            </w:tcMar>
            <w:vAlign w:val="bottom"/>
            <w:hideMark/>
          </w:tcPr>
          <w:p w14:paraId="759FB27E" w14:textId="77777777" w:rsidR="00000000" w:rsidRDefault="006549D2">
            <w:pPr>
              <w:rPr>
                <w:rFonts w:eastAsia="Times New Roman"/>
                <w:sz w:val="20"/>
                <w:szCs w:val="20"/>
              </w:rPr>
            </w:pPr>
            <w:r>
              <w:rPr>
                <w:rFonts w:eastAsia="Times New Roman"/>
                <w:sz w:val="20"/>
                <w:szCs w:val="20"/>
              </w:rPr>
              <w:t>Prepaid expenses</w:t>
            </w:r>
          </w:p>
        </w:tc>
        <w:tc>
          <w:tcPr>
            <w:tcW w:w="0" w:type="auto"/>
            <w:shd w:val="clear" w:color="auto" w:fill="FFFFFF"/>
            <w:vAlign w:val="bottom"/>
            <w:hideMark/>
          </w:tcPr>
          <w:p w14:paraId="0A8F770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D4EBC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6614A6" w14:textId="77777777" w:rsidR="00000000" w:rsidRDefault="006549D2">
            <w:pPr>
              <w:jc w:val="right"/>
              <w:rPr>
                <w:rFonts w:eastAsia="Times New Roman"/>
                <w:sz w:val="20"/>
                <w:szCs w:val="20"/>
              </w:rPr>
            </w:pPr>
            <w:r>
              <w:rPr>
                <w:rFonts w:eastAsia="Times New Roman"/>
                <w:sz w:val="20"/>
                <w:szCs w:val="20"/>
              </w:rPr>
              <w:t>(398,322</w:t>
            </w:r>
          </w:p>
        </w:tc>
        <w:tc>
          <w:tcPr>
            <w:tcW w:w="0" w:type="auto"/>
            <w:shd w:val="clear" w:color="auto" w:fill="FFFFFF"/>
            <w:vAlign w:val="bottom"/>
            <w:hideMark/>
          </w:tcPr>
          <w:p w14:paraId="1A32F89A" w14:textId="77777777" w:rsidR="00000000" w:rsidRDefault="006549D2">
            <w:pPr>
              <w:rPr>
                <w:rFonts w:eastAsia="Times New Roman"/>
                <w:sz w:val="20"/>
                <w:szCs w:val="20"/>
              </w:rPr>
            </w:pPr>
            <w:r>
              <w:rPr>
                <w:rFonts w:eastAsia="Times New Roman"/>
                <w:sz w:val="20"/>
                <w:szCs w:val="20"/>
              </w:rPr>
              <w:t>)</w:t>
            </w:r>
          </w:p>
        </w:tc>
      </w:tr>
      <w:tr w:rsidR="00000000" w14:paraId="77CDBEE4" w14:textId="77777777">
        <w:tc>
          <w:tcPr>
            <w:tcW w:w="0" w:type="auto"/>
            <w:shd w:val="clear" w:color="auto" w:fill="CCEEFF"/>
            <w:tcMar>
              <w:top w:w="0" w:type="dxa"/>
              <w:left w:w="360" w:type="dxa"/>
              <w:bottom w:w="0" w:type="dxa"/>
              <w:right w:w="0" w:type="dxa"/>
            </w:tcMar>
            <w:vAlign w:val="bottom"/>
            <w:hideMark/>
          </w:tcPr>
          <w:p w14:paraId="03BFCD05" w14:textId="77777777" w:rsidR="00000000" w:rsidRDefault="006549D2">
            <w:pPr>
              <w:rPr>
                <w:rFonts w:eastAsia="Times New Roman"/>
                <w:sz w:val="20"/>
                <w:szCs w:val="20"/>
              </w:rPr>
            </w:pPr>
            <w:r>
              <w:rPr>
                <w:rFonts w:eastAsia="Times New Roman"/>
                <w:sz w:val="20"/>
                <w:szCs w:val="20"/>
              </w:rPr>
              <w:t>Accrued expenses</w:t>
            </w:r>
          </w:p>
        </w:tc>
        <w:tc>
          <w:tcPr>
            <w:tcW w:w="0" w:type="auto"/>
            <w:shd w:val="clear" w:color="auto" w:fill="CCEEFF"/>
            <w:vAlign w:val="bottom"/>
            <w:hideMark/>
          </w:tcPr>
          <w:p w14:paraId="7028EB51"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D86C99"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CB1242" w14:textId="77777777" w:rsidR="00000000" w:rsidRDefault="006549D2">
            <w:pPr>
              <w:jc w:val="right"/>
              <w:rPr>
                <w:rFonts w:eastAsia="Times New Roman"/>
                <w:sz w:val="20"/>
                <w:szCs w:val="20"/>
              </w:rPr>
            </w:pPr>
            <w:r>
              <w:rPr>
                <w:rFonts w:eastAsia="Times New Roman"/>
                <w:sz w:val="20"/>
                <w:szCs w:val="20"/>
              </w:rPr>
              <w:t>1,510,556</w:t>
            </w:r>
          </w:p>
        </w:tc>
        <w:tc>
          <w:tcPr>
            <w:tcW w:w="0" w:type="auto"/>
            <w:shd w:val="clear" w:color="auto" w:fill="CCEEFF"/>
            <w:vAlign w:val="bottom"/>
            <w:hideMark/>
          </w:tcPr>
          <w:p w14:paraId="1A883E61" w14:textId="77777777" w:rsidR="00000000" w:rsidRDefault="006549D2">
            <w:pPr>
              <w:rPr>
                <w:rFonts w:eastAsia="Times New Roman"/>
                <w:sz w:val="20"/>
                <w:szCs w:val="20"/>
              </w:rPr>
            </w:pPr>
            <w:r>
              <w:rPr>
                <w:rFonts w:eastAsia="Times New Roman"/>
                <w:sz w:val="20"/>
                <w:szCs w:val="20"/>
              </w:rPr>
              <w:t> </w:t>
            </w:r>
          </w:p>
        </w:tc>
      </w:tr>
      <w:tr w:rsidR="00000000" w14:paraId="0BB14B9D" w14:textId="77777777">
        <w:tc>
          <w:tcPr>
            <w:tcW w:w="0" w:type="auto"/>
            <w:shd w:val="clear" w:color="auto" w:fill="FFFFFF"/>
            <w:tcMar>
              <w:top w:w="0" w:type="dxa"/>
              <w:left w:w="360" w:type="dxa"/>
              <w:bottom w:w="20" w:type="dxa"/>
              <w:right w:w="0" w:type="dxa"/>
            </w:tcMar>
            <w:vAlign w:val="bottom"/>
            <w:hideMark/>
          </w:tcPr>
          <w:p w14:paraId="2B211EC0" w14:textId="77777777" w:rsidR="00000000" w:rsidRDefault="006549D2">
            <w:pPr>
              <w:rPr>
                <w:rFonts w:eastAsia="Times New Roman"/>
                <w:sz w:val="20"/>
                <w:szCs w:val="20"/>
              </w:rPr>
            </w:pPr>
            <w:r>
              <w:rPr>
                <w:rFonts w:eastAsia="Times New Roman"/>
                <w:sz w:val="20"/>
                <w:szCs w:val="20"/>
              </w:rPr>
              <w:t>Income taxes payable</w:t>
            </w:r>
          </w:p>
        </w:tc>
        <w:tc>
          <w:tcPr>
            <w:tcW w:w="0" w:type="auto"/>
            <w:shd w:val="clear" w:color="auto" w:fill="FFFFFF"/>
            <w:tcMar>
              <w:top w:w="0" w:type="dxa"/>
              <w:left w:w="0" w:type="dxa"/>
              <w:bottom w:w="20" w:type="dxa"/>
              <w:right w:w="0" w:type="dxa"/>
            </w:tcMar>
            <w:vAlign w:val="bottom"/>
            <w:hideMark/>
          </w:tcPr>
          <w:p w14:paraId="30A57136"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55F4E6B4"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2F43692C" w14:textId="77777777" w:rsidR="00000000" w:rsidRDefault="006549D2">
            <w:pPr>
              <w:jc w:val="right"/>
              <w:rPr>
                <w:rFonts w:eastAsia="Times New Roman"/>
                <w:sz w:val="20"/>
                <w:szCs w:val="20"/>
              </w:rPr>
            </w:pPr>
            <w:r>
              <w:rPr>
                <w:rFonts w:eastAsia="Times New Roman"/>
                <w:sz w:val="20"/>
                <w:szCs w:val="20"/>
              </w:rPr>
              <w:t>452,305</w:t>
            </w:r>
          </w:p>
        </w:tc>
        <w:tc>
          <w:tcPr>
            <w:tcW w:w="0" w:type="auto"/>
            <w:shd w:val="clear" w:color="auto" w:fill="FFFFFF"/>
            <w:tcMar>
              <w:top w:w="0" w:type="dxa"/>
              <w:left w:w="0" w:type="dxa"/>
              <w:bottom w:w="20" w:type="dxa"/>
              <w:right w:w="0" w:type="dxa"/>
            </w:tcMar>
            <w:vAlign w:val="bottom"/>
            <w:hideMark/>
          </w:tcPr>
          <w:p w14:paraId="48269866" w14:textId="77777777" w:rsidR="00000000" w:rsidRDefault="006549D2">
            <w:pPr>
              <w:rPr>
                <w:rFonts w:eastAsia="Times New Roman"/>
                <w:sz w:val="20"/>
                <w:szCs w:val="20"/>
              </w:rPr>
            </w:pPr>
            <w:r>
              <w:rPr>
                <w:rFonts w:eastAsia="Times New Roman"/>
                <w:sz w:val="20"/>
                <w:szCs w:val="20"/>
              </w:rPr>
              <w:t> </w:t>
            </w:r>
          </w:p>
        </w:tc>
      </w:tr>
      <w:tr w:rsidR="00000000" w14:paraId="0A6ED91A" w14:textId="77777777">
        <w:tc>
          <w:tcPr>
            <w:tcW w:w="0" w:type="auto"/>
            <w:shd w:val="clear" w:color="auto" w:fill="CCEEFF"/>
            <w:tcMar>
              <w:top w:w="0" w:type="dxa"/>
              <w:left w:w="540" w:type="dxa"/>
              <w:bottom w:w="20" w:type="dxa"/>
              <w:right w:w="0" w:type="dxa"/>
            </w:tcMar>
            <w:vAlign w:val="bottom"/>
            <w:hideMark/>
          </w:tcPr>
          <w:p w14:paraId="2BAE6F3F" w14:textId="77777777" w:rsidR="00000000" w:rsidRDefault="006549D2">
            <w:pPr>
              <w:rPr>
                <w:rFonts w:eastAsia="Times New Roman"/>
                <w:b/>
                <w:bCs/>
                <w:sz w:val="20"/>
                <w:szCs w:val="20"/>
              </w:rPr>
            </w:pPr>
            <w:r>
              <w:rPr>
                <w:rFonts w:eastAsia="Times New Roman"/>
                <w:b/>
                <w:bCs/>
                <w:sz w:val="20"/>
                <w:szCs w:val="20"/>
              </w:rPr>
              <w:t>Net cash used in operating activities</w:t>
            </w:r>
          </w:p>
        </w:tc>
        <w:tc>
          <w:tcPr>
            <w:tcW w:w="0" w:type="auto"/>
            <w:shd w:val="clear" w:color="auto" w:fill="CCEEFF"/>
            <w:tcMar>
              <w:top w:w="0" w:type="dxa"/>
              <w:left w:w="0" w:type="dxa"/>
              <w:bottom w:w="20" w:type="dxa"/>
              <w:right w:w="0" w:type="dxa"/>
            </w:tcMar>
            <w:vAlign w:val="bottom"/>
            <w:hideMark/>
          </w:tcPr>
          <w:p w14:paraId="5DEE99FA"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14:paraId="259600B6"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14:paraId="06A60762" w14:textId="77777777" w:rsidR="00000000" w:rsidRDefault="006549D2">
            <w:pPr>
              <w:jc w:val="right"/>
              <w:rPr>
                <w:rFonts w:eastAsia="Times New Roman"/>
                <w:b/>
                <w:bCs/>
                <w:sz w:val="20"/>
                <w:szCs w:val="20"/>
              </w:rPr>
            </w:pPr>
            <w:r>
              <w:rPr>
                <w:rFonts w:eastAsia="Times New Roman"/>
                <w:b/>
                <w:bCs/>
                <w:sz w:val="20"/>
                <w:szCs w:val="20"/>
              </w:rPr>
              <w:t>(949,613</w:t>
            </w:r>
          </w:p>
        </w:tc>
        <w:tc>
          <w:tcPr>
            <w:tcW w:w="0" w:type="auto"/>
            <w:shd w:val="clear" w:color="auto" w:fill="CCEEFF"/>
            <w:tcMar>
              <w:top w:w="0" w:type="dxa"/>
              <w:left w:w="0" w:type="dxa"/>
              <w:bottom w:w="20" w:type="dxa"/>
              <w:right w:w="0" w:type="dxa"/>
            </w:tcMar>
            <w:vAlign w:val="bottom"/>
            <w:hideMark/>
          </w:tcPr>
          <w:p w14:paraId="2A75F619" w14:textId="77777777" w:rsidR="00000000" w:rsidRDefault="006549D2">
            <w:pPr>
              <w:rPr>
                <w:rFonts w:eastAsia="Times New Roman"/>
                <w:b/>
                <w:bCs/>
                <w:sz w:val="20"/>
                <w:szCs w:val="20"/>
              </w:rPr>
            </w:pPr>
            <w:r>
              <w:rPr>
                <w:rFonts w:eastAsia="Times New Roman"/>
                <w:b/>
                <w:bCs/>
                <w:sz w:val="20"/>
                <w:szCs w:val="20"/>
              </w:rPr>
              <w:t>)</w:t>
            </w:r>
          </w:p>
        </w:tc>
      </w:tr>
      <w:tr w:rsidR="00000000" w14:paraId="57A227D1" w14:textId="77777777">
        <w:tc>
          <w:tcPr>
            <w:tcW w:w="0" w:type="auto"/>
            <w:shd w:val="clear" w:color="auto" w:fill="FFFFFF"/>
            <w:vAlign w:val="bottom"/>
            <w:hideMark/>
          </w:tcPr>
          <w:p w14:paraId="598B80E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DC07B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1FBD83"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B60482"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4D7D8BA" w14:textId="77777777" w:rsidR="00000000" w:rsidRDefault="006549D2">
            <w:pPr>
              <w:rPr>
                <w:rFonts w:eastAsia="Times New Roman"/>
                <w:sz w:val="20"/>
                <w:szCs w:val="20"/>
              </w:rPr>
            </w:pPr>
            <w:r>
              <w:rPr>
                <w:rFonts w:eastAsia="Times New Roman"/>
                <w:sz w:val="20"/>
                <w:szCs w:val="20"/>
              </w:rPr>
              <w:t> </w:t>
            </w:r>
          </w:p>
        </w:tc>
      </w:tr>
      <w:tr w:rsidR="00000000" w14:paraId="0E6D142A" w14:textId="77777777">
        <w:tc>
          <w:tcPr>
            <w:tcW w:w="0" w:type="auto"/>
            <w:shd w:val="clear" w:color="auto" w:fill="CCEEFF"/>
            <w:vAlign w:val="bottom"/>
            <w:hideMark/>
          </w:tcPr>
          <w:p w14:paraId="02DE6B60" w14:textId="77777777" w:rsidR="00000000" w:rsidRDefault="006549D2">
            <w:pPr>
              <w:rPr>
                <w:rFonts w:eastAsia="Times New Roman"/>
                <w:b/>
                <w:bCs/>
                <w:sz w:val="20"/>
                <w:szCs w:val="20"/>
              </w:rPr>
            </w:pPr>
            <w:r>
              <w:rPr>
                <w:rFonts w:eastAsia="Times New Roman"/>
                <w:b/>
                <w:bCs/>
                <w:sz w:val="20"/>
                <w:szCs w:val="20"/>
              </w:rPr>
              <w:t>Cash Flows from Investing Activities:</w:t>
            </w:r>
          </w:p>
        </w:tc>
        <w:tc>
          <w:tcPr>
            <w:tcW w:w="0" w:type="auto"/>
            <w:shd w:val="clear" w:color="auto" w:fill="CCEEFF"/>
            <w:vAlign w:val="bottom"/>
            <w:hideMark/>
          </w:tcPr>
          <w:p w14:paraId="29C9EB5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5520B3"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D44C31"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97BD37C" w14:textId="77777777" w:rsidR="00000000" w:rsidRDefault="006549D2">
            <w:pPr>
              <w:rPr>
                <w:rFonts w:eastAsia="Times New Roman"/>
                <w:sz w:val="20"/>
                <w:szCs w:val="20"/>
              </w:rPr>
            </w:pPr>
            <w:r>
              <w:rPr>
                <w:rFonts w:eastAsia="Times New Roman"/>
                <w:sz w:val="20"/>
                <w:szCs w:val="20"/>
              </w:rPr>
              <w:t> </w:t>
            </w:r>
          </w:p>
        </w:tc>
      </w:tr>
      <w:tr w:rsidR="00000000" w14:paraId="6A5457DC" w14:textId="77777777">
        <w:tc>
          <w:tcPr>
            <w:tcW w:w="0" w:type="auto"/>
            <w:shd w:val="clear" w:color="auto" w:fill="FFFFFF"/>
            <w:tcMar>
              <w:top w:w="0" w:type="dxa"/>
              <w:left w:w="0" w:type="dxa"/>
              <w:bottom w:w="20" w:type="dxa"/>
              <w:right w:w="0" w:type="dxa"/>
            </w:tcMar>
            <w:vAlign w:val="bottom"/>
            <w:hideMark/>
          </w:tcPr>
          <w:p w14:paraId="09AB5A1D" w14:textId="77777777" w:rsidR="00000000" w:rsidRDefault="006549D2">
            <w:pPr>
              <w:rPr>
                <w:rFonts w:eastAsia="Times New Roman"/>
                <w:sz w:val="20"/>
                <w:szCs w:val="20"/>
              </w:rPr>
            </w:pPr>
            <w:r>
              <w:rPr>
                <w:rFonts w:eastAsia="Times New Roman"/>
                <w:sz w:val="20"/>
                <w:szCs w:val="20"/>
              </w:rPr>
              <w:t>Investment of cash in Trust Account</w:t>
            </w:r>
          </w:p>
        </w:tc>
        <w:tc>
          <w:tcPr>
            <w:tcW w:w="0" w:type="auto"/>
            <w:shd w:val="clear" w:color="auto" w:fill="FFFFFF"/>
            <w:tcMar>
              <w:top w:w="0" w:type="dxa"/>
              <w:left w:w="0" w:type="dxa"/>
              <w:bottom w:w="20" w:type="dxa"/>
              <w:right w:w="0" w:type="dxa"/>
            </w:tcMar>
            <w:vAlign w:val="bottom"/>
            <w:hideMark/>
          </w:tcPr>
          <w:p w14:paraId="0DACCF9F"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39A5CC5F"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289E2889" w14:textId="77777777" w:rsidR="00000000" w:rsidRDefault="006549D2">
            <w:pPr>
              <w:jc w:val="right"/>
              <w:rPr>
                <w:rFonts w:eastAsia="Times New Roman"/>
                <w:sz w:val="20"/>
                <w:szCs w:val="20"/>
              </w:rPr>
            </w:pPr>
            <w:r>
              <w:rPr>
                <w:rFonts w:eastAsia="Times New Roman"/>
                <w:sz w:val="20"/>
                <w:szCs w:val="20"/>
              </w:rPr>
              <w:t>(1,100,000,000</w:t>
            </w:r>
          </w:p>
        </w:tc>
        <w:tc>
          <w:tcPr>
            <w:tcW w:w="0" w:type="auto"/>
            <w:shd w:val="clear" w:color="auto" w:fill="FFFFFF"/>
            <w:tcMar>
              <w:top w:w="0" w:type="dxa"/>
              <w:left w:w="0" w:type="dxa"/>
              <w:bottom w:w="20" w:type="dxa"/>
              <w:right w:w="0" w:type="dxa"/>
            </w:tcMar>
            <w:vAlign w:val="bottom"/>
            <w:hideMark/>
          </w:tcPr>
          <w:p w14:paraId="5685E94F" w14:textId="77777777" w:rsidR="00000000" w:rsidRDefault="006549D2">
            <w:pPr>
              <w:rPr>
                <w:rFonts w:eastAsia="Times New Roman"/>
                <w:sz w:val="20"/>
                <w:szCs w:val="20"/>
              </w:rPr>
            </w:pPr>
            <w:r>
              <w:rPr>
                <w:rFonts w:eastAsia="Times New Roman"/>
                <w:sz w:val="20"/>
                <w:szCs w:val="20"/>
              </w:rPr>
              <w:t>)</w:t>
            </w:r>
          </w:p>
        </w:tc>
      </w:tr>
      <w:tr w:rsidR="00000000" w14:paraId="520B3166" w14:textId="77777777">
        <w:tc>
          <w:tcPr>
            <w:tcW w:w="0" w:type="auto"/>
            <w:shd w:val="clear" w:color="auto" w:fill="CCEEFF"/>
            <w:tcMar>
              <w:top w:w="0" w:type="dxa"/>
              <w:left w:w="540" w:type="dxa"/>
              <w:bottom w:w="20" w:type="dxa"/>
              <w:right w:w="0" w:type="dxa"/>
            </w:tcMar>
            <w:vAlign w:val="bottom"/>
            <w:hideMark/>
          </w:tcPr>
          <w:p w14:paraId="40BB7CCC" w14:textId="77777777" w:rsidR="00000000" w:rsidRDefault="006549D2">
            <w:pPr>
              <w:rPr>
                <w:rFonts w:eastAsia="Times New Roman"/>
                <w:b/>
                <w:bCs/>
                <w:sz w:val="20"/>
                <w:szCs w:val="20"/>
              </w:rPr>
            </w:pPr>
            <w:r>
              <w:rPr>
                <w:rFonts w:eastAsia="Times New Roman"/>
                <w:b/>
                <w:bCs/>
                <w:sz w:val="20"/>
                <w:szCs w:val="20"/>
              </w:rPr>
              <w:t>Net cash used in investing activities</w:t>
            </w:r>
          </w:p>
        </w:tc>
        <w:tc>
          <w:tcPr>
            <w:tcW w:w="0" w:type="auto"/>
            <w:shd w:val="clear" w:color="auto" w:fill="CCEEFF"/>
            <w:tcMar>
              <w:top w:w="0" w:type="dxa"/>
              <w:left w:w="0" w:type="dxa"/>
              <w:bottom w:w="20" w:type="dxa"/>
              <w:right w:w="0" w:type="dxa"/>
            </w:tcMar>
            <w:vAlign w:val="bottom"/>
            <w:hideMark/>
          </w:tcPr>
          <w:p w14:paraId="73AF6AD5"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14:paraId="2BA26D95"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14:paraId="1152BEE1" w14:textId="77777777" w:rsidR="00000000" w:rsidRDefault="006549D2">
            <w:pPr>
              <w:jc w:val="right"/>
              <w:rPr>
                <w:rFonts w:eastAsia="Times New Roman"/>
                <w:b/>
                <w:bCs/>
                <w:sz w:val="20"/>
                <w:szCs w:val="20"/>
              </w:rPr>
            </w:pPr>
            <w:r>
              <w:rPr>
                <w:rFonts w:eastAsia="Times New Roman"/>
                <w:b/>
                <w:bCs/>
                <w:sz w:val="20"/>
                <w:szCs w:val="20"/>
              </w:rPr>
              <w:t>(1,100,000,000</w:t>
            </w:r>
          </w:p>
        </w:tc>
        <w:tc>
          <w:tcPr>
            <w:tcW w:w="0" w:type="auto"/>
            <w:shd w:val="clear" w:color="auto" w:fill="CCEEFF"/>
            <w:tcMar>
              <w:top w:w="0" w:type="dxa"/>
              <w:left w:w="0" w:type="dxa"/>
              <w:bottom w:w="20" w:type="dxa"/>
              <w:right w:w="0" w:type="dxa"/>
            </w:tcMar>
            <w:vAlign w:val="bottom"/>
            <w:hideMark/>
          </w:tcPr>
          <w:p w14:paraId="2E7177BC" w14:textId="77777777" w:rsidR="00000000" w:rsidRDefault="006549D2">
            <w:pPr>
              <w:rPr>
                <w:rFonts w:eastAsia="Times New Roman"/>
                <w:b/>
                <w:bCs/>
                <w:sz w:val="20"/>
                <w:szCs w:val="20"/>
              </w:rPr>
            </w:pPr>
            <w:r>
              <w:rPr>
                <w:rFonts w:eastAsia="Times New Roman"/>
                <w:b/>
                <w:bCs/>
                <w:sz w:val="20"/>
                <w:szCs w:val="20"/>
              </w:rPr>
              <w:t>)</w:t>
            </w:r>
          </w:p>
        </w:tc>
      </w:tr>
      <w:tr w:rsidR="00000000" w14:paraId="1802343B" w14:textId="77777777">
        <w:tc>
          <w:tcPr>
            <w:tcW w:w="0" w:type="auto"/>
            <w:shd w:val="clear" w:color="auto" w:fill="FFFFFF"/>
            <w:vAlign w:val="bottom"/>
            <w:hideMark/>
          </w:tcPr>
          <w:p w14:paraId="1273088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1BAB50"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880EB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A8E5C9"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A84140E" w14:textId="77777777" w:rsidR="00000000" w:rsidRDefault="006549D2">
            <w:pPr>
              <w:rPr>
                <w:rFonts w:eastAsia="Times New Roman"/>
                <w:sz w:val="20"/>
                <w:szCs w:val="20"/>
              </w:rPr>
            </w:pPr>
            <w:r>
              <w:rPr>
                <w:rFonts w:eastAsia="Times New Roman"/>
                <w:sz w:val="20"/>
                <w:szCs w:val="20"/>
              </w:rPr>
              <w:t> </w:t>
            </w:r>
          </w:p>
        </w:tc>
      </w:tr>
      <w:tr w:rsidR="00000000" w14:paraId="66E3CFB3" w14:textId="77777777">
        <w:tc>
          <w:tcPr>
            <w:tcW w:w="0" w:type="auto"/>
            <w:shd w:val="clear" w:color="auto" w:fill="CCEEFF"/>
            <w:vAlign w:val="bottom"/>
            <w:hideMark/>
          </w:tcPr>
          <w:p w14:paraId="279A786D" w14:textId="77777777" w:rsidR="00000000" w:rsidRDefault="006549D2">
            <w:pPr>
              <w:rPr>
                <w:rFonts w:eastAsia="Times New Roman"/>
                <w:b/>
                <w:bCs/>
                <w:sz w:val="20"/>
                <w:szCs w:val="20"/>
              </w:rPr>
            </w:pPr>
            <w:r>
              <w:rPr>
                <w:rFonts w:eastAsia="Times New Roman"/>
                <w:b/>
                <w:bCs/>
                <w:sz w:val="20"/>
                <w:szCs w:val="20"/>
              </w:rPr>
              <w:t>Cash Flows from Financing Activities:</w:t>
            </w:r>
          </w:p>
        </w:tc>
        <w:tc>
          <w:tcPr>
            <w:tcW w:w="0" w:type="auto"/>
            <w:shd w:val="clear" w:color="auto" w:fill="CCEEFF"/>
            <w:vAlign w:val="bottom"/>
            <w:hideMark/>
          </w:tcPr>
          <w:p w14:paraId="6C0AC1E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BD2EE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BE37E7"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B7371DD" w14:textId="77777777" w:rsidR="00000000" w:rsidRDefault="006549D2">
            <w:pPr>
              <w:rPr>
                <w:rFonts w:eastAsia="Times New Roman"/>
                <w:sz w:val="20"/>
                <w:szCs w:val="20"/>
              </w:rPr>
            </w:pPr>
            <w:r>
              <w:rPr>
                <w:rFonts w:eastAsia="Times New Roman"/>
                <w:sz w:val="20"/>
                <w:szCs w:val="20"/>
              </w:rPr>
              <w:t> </w:t>
            </w:r>
          </w:p>
        </w:tc>
      </w:tr>
      <w:tr w:rsidR="00000000" w14:paraId="59165A3E" w14:textId="77777777">
        <w:tc>
          <w:tcPr>
            <w:tcW w:w="0" w:type="auto"/>
            <w:shd w:val="clear" w:color="auto" w:fill="FFFFFF"/>
            <w:vAlign w:val="bottom"/>
            <w:hideMark/>
          </w:tcPr>
          <w:p w14:paraId="4CA3EA81" w14:textId="77777777" w:rsidR="00000000" w:rsidRDefault="006549D2">
            <w:pPr>
              <w:rPr>
                <w:rFonts w:eastAsia="Times New Roman"/>
                <w:sz w:val="20"/>
                <w:szCs w:val="20"/>
              </w:rPr>
            </w:pPr>
            <w:r>
              <w:rPr>
                <w:rFonts w:eastAsia="Times New Roman"/>
                <w:sz w:val="20"/>
                <w:szCs w:val="20"/>
              </w:rPr>
              <w:t>Proceeds from sale of Units, net of underwriting discounts paid</w:t>
            </w:r>
          </w:p>
        </w:tc>
        <w:tc>
          <w:tcPr>
            <w:tcW w:w="0" w:type="auto"/>
            <w:shd w:val="clear" w:color="auto" w:fill="FFFFFF"/>
            <w:vAlign w:val="bottom"/>
            <w:hideMark/>
          </w:tcPr>
          <w:p w14:paraId="476846F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76F4A8"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9487BB" w14:textId="77777777" w:rsidR="00000000" w:rsidRDefault="006549D2">
            <w:pPr>
              <w:jc w:val="right"/>
              <w:rPr>
                <w:rFonts w:eastAsia="Times New Roman"/>
                <w:sz w:val="20"/>
                <w:szCs w:val="20"/>
              </w:rPr>
            </w:pPr>
            <w:r>
              <w:rPr>
                <w:rFonts w:eastAsia="Times New Roman"/>
                <w:sz w:val="20"/>
                <w:szCs w:val="20"/>
              </w:rPr>
              <w:t>1,081,598,000</w:t>
            </w:r>
          </w:p>
        </w:tc>
        <w:tc>
          <w:tcPr>
            <w:tcW w:w="0" w:type="auto"/>
            <w:shd w:val="clear" w:color="auto" w:fill="FFFFFF"/>
            <w:vAlign w:val="bottom"/>
            <w:hideMark/>
          </w:tcPr>
          <w:p w14:paraId="0927DB57" w14:textId="77777777" w:rsidR="00000000" w:rsidRDefault="006549D2">
            <w:pPr>
              <w:rPr>
                <w:rFonts w:eastAsia="Times New Roman"/>
                <w:sz w:val="20"/>
                <w:szCs w:val="20"/>
              </w:rPr>
            </w:pPr>
            <w:r>
              <w:rPr>
                <w:rFonts w:eastAsia="Times New Roman"/>
                <w:sz w:val="20"/>
                <w:szCs w:val="20"/>
              </w:rPr>
              <w:t> </w:t>
            </w:r>
          </w:p>
        </w:tc>
      </w:tr>
      <w:tr w:rsidR="00000000" w14:paraId="1E0C637E" w14:textId="77777777">
        <w:tc>
          <w:tcPr>
            <w:tcW w:w="0" w:type="auto"/>
            <w:shd w:val="clear" w:color="auto" w:fill="CCEEFF"/>
            <w:vAlign w:val="bottom"/>
            <w:hideMark/>
          </w:tcPr>
          <w:p w14:paraId="4990DADC" w14:textId="77777777" w:rsidR="00000000" w:rsidRDefault="006549D2">
            <w:pPr>
              <w:rPr>
                <w:rFonts w:eastAsia="Times New Roman"/>
                <w:sz w:val="20"/>
                <w:szCs w:val="20"/>
              </w:rPr>
            </w:pPr>
            <w:r>
              <w:rPr>
                <w:rFonts w:eastAsia="Times New Roman"/>
                <w:sz w:val="20"/>
                <w:szCs w:val="20"/>
              </w:rPr>
              <w:t>Proceeds from sale of Private Placement Warrants</w:t>
            </w:r>
          </w:p>
        </w:tc>
        <w:tc>
          <w:tcPr>
            <w:tcW w:w="0" w:type="auto"/>
            <w:shd w:val="clear" w:color="auto" w:fill="CCEEFF"/>
            <w:vAlign w:val="bottom"/>
            <w:hideMark/>
          </w:tcPr>
          <w:p w14:paraId="5528F7B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B35656"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03DF95" w14:textId="77777777" w:rsidR="00000000" w:rsidRDefault="006549D2">
            <w:pPr>
              <w:jc w:val="right"/>
              <w:rPr>
                <w:rFonts w:eastAsia="Times New Roman"/>
                <w:sz w:val="20"/>
                <w:szCs w:val="20"/>
              </w:rPr>
            </w:pPr>
            <w:r>
              <w:rPr>
                <w:rFonts w:eastAsia="Times New Roman"/>
                <w:sz w:val="20"/>
                <w:szCs w:val="20"/>
              </w:rPr>
              <w:t>23,000,000</w:t>
            </w:r>
          </w:p>
        </w:tc>
        <w:tc>
          <w:tcPr>
            <w:tcW w:w="0" w:type="auto"/>
            <w:shd w:val="clear" w:color="auto" w:fill="CCEEFF"/>
            <w:vAlign w:val="bottom"/>
            <w:hideMark/>
          </w:tcPr>
          <w:p w14:paraId="35A535C4" w14:textId="77777777" w:rsidR="00000000" w:rsidRDefault="006549D2">
            <w:pPr>
              <w:rPr>
                <w:rFonts w:eastAsia="Times New Roman"/>
                <w:sz w:val="20"/>
                <w:szCs w:val="20"/>
              </w:rPr>
            </w:pPr>
            <w:r>
              <w:rPr>
                <w:rFonts w:eastAsia="Times New Roman"/>
                <w:sz w:val="20"/>
                <w:szCs w:val="20"/>
              </w:rPr>
              <w:t> </w:t>
            </w:r>
          </w:p>
        </w:tc>
      </w:tr>
      <w:tr w:rsidR="00000000" w14:paraId="3284F4D4" w14:textId="77777777">
        <w:tc>
          <w:tcPr>
            <w:tcW w:w="0" w:type="auto"/>
            <w:shd w:val="clear" w:color="auto" w:fill="FFFFFF"/>
            <w:vAlign w:val="bottom"/>
            <w:hideMark/>
          </w:tcPr>
          <w:p w14:paraId="5C519098" w14:textId="77777777" w:rsidR="00000000" w:rsidRDefault="006549D2">
            <w:pPr>
              <w:rPr>
                <w:rFonts w:eastAsia="Times New Roman"/>
                <w:sz w:val="20"/>
                <w:szCs w:val="20"/>
              </w:rPr>
            </w:pPr>
            <w:r>
              <w:rPr>
                <w:rFonts w:eastAsia="Times New Roman"/>
                <w:sz w:val="20"/>
                <w:szCs w:val="20"/>
              </w:rPr>
              <w:t>Proceeds from promissory note – related party</w:t>
            </w:r>
          </w:p>
        </w:tc>
        <w:tc>
          <w:tcPr>
            <w:tcW w:w="0" w:type="auto"/>
            <w:shd w:val="clear" w:color="auto" w:fill="FFFFFF"/>
            <w:vAlign w:val="bottom"/>
            <w:hideMark/>
          </w:tcPr>
          <w:p w14:paraId="4024FD6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1AE8C8"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61249D" w14:textId="77777777" w:rsidR="00000000" w:rsidRDefault="006549D2">
            <w:pPr>
              <w:jc w:val="right"/>
              <w:rPr>
                <w:rFonts w:eastAsia="Times New Roman"/>
                <w:sz w:val="20"/>
                <w:szCs w:val="20"/>
              </w:rPr>
            </w:pPr>
            <w:r>
              <w:rPr>
                <w:rFonts w:eastAsia="Times New Roman"/>
                <w:sz w:val="20"/>
                <w:szCs w:val="20"/>
              </w:rPr>
              <w:t>209,600</w:t>
            </w:r>
          </w:p>
        </w:tc>
        <w:tc>
          <w:tcPr>
            <w:tcW w:w="0" w:type="auto"/>
            <w:shd w:val="clear" w:color="auto" w:fill="FFFFFF"/>
            <w:vAlign w:val="bottom"/>
            <w:hideMark/>
          </w:tcPr>
          <w:p w14:paraId="76C65A59" w14:textId="77777777" w:rsidR="00000000" w:rsidRDefault="006549D2">
            <w:pPr>
              <w:rPr>
                <w:rFonts w:eastAsia="Times New Roman"/>
                <w:sz w:val="20"/>
                <w:szCs w:val="20"/>
              </w:rPr>
            </w:pPr>
            <w:r>
              <w:rPr>
                <w:rFonts w:eastAsia="Times New Roman"/>
                <w:sz w:val="20"/>
                <w:szCs w:val="20"/>
              </w:rPr>
              <w:t> </w:t>
            </w:r>
          </w:p>
        </w:tc>
      </w:tr>
      <w:tr w:rsidR="00000000" w14:paraId="48E22EE5" w14:textId="77777777">
        <w:tc>
          <w:tcPr>
            <w:tcW w:w="0" w:type="auto"/>
            <w:shd w:val="clear" w:color="auto" w:fill="CCEEFF"/>
            <w:vAlign w:val="bottom"/>
            <w:hideMark/>
          </w:tcPr>
          <w:p w14:paraId="31B14375" w14:textId="77777777" w:rsidR="00000000" w:rsidRDefault="006549D2">
            <w:pPr>
              <w:rPr>
                <w:rFonts w:eastAsia="Times New Roman"/>
                <w:sz w:val="20"/>
                <w:szCs w:val="20"/>
              </w:rPr>
            </w:pPr>
            <w:r>
              <w:rPr>
                <w:rFonts w:eastAsia="Times New Roman"/>
                <w:sz w:val="20"/>
                <w:szCs w:val="20"/>
              </w:rPr>
              <w:t>Repayment of promissory note</w:t>
            </w:r>
            <w:r>
              <w:rPr>
                <w:rFonts w:eastAsia="Times New Roman"/>
                <w:sz w:val="20"/>
                <w:szCs w:val="20"/>
              </w:rPr>
              <w:t> </w:t>
            </w:r>
            <w:r>
              <w:rPr>
                <w:rFonts w:eastAsia="Times New Roman"/>
                <w:sz w:val="20"/>
                <w:szCs w:val="20"/>
              </w:rPr>
              <w:t>–</w:t>
            </w:r>
            <w:r>
              <w:rPr>
                <w:rFonts w:eastAsia="Times New Roman"/>
                <w:sz w:val="20"/>
                <w:szCs w:val="20"/>
              </w:rPr>
              <w:t> </w:t>
            </w:r>
            <w:r>
              <w:rPr>
                <w:rFonts w:eastAsia="Times New Roman"/>
                <w:sz w:val="20"/>
                <w:szCs w:val="20"/>
              </w:rPr>
              <w:t>related party</w:t>
            </w:r>
          </w:p>
        </w:tc>
        <w:tc>
          <w:tcPr>
            <w:tcW w:w="0" w:type="auto"/>
            <w:shd w:val="clear" w:color="auto" w:fill="CCEEFF"/>
            <w:vAlign w:val="bottom"/>
            <w:hideMark/>
          </w:tcPr>
          <w:p w14:paraId="78759C31"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F608F3"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C22393" w14:textId="77777777" w:rsidR="00000000" w:rsidRDefault="006549D2">
            <w:pPr>
              <w:jc w:val="right"/>
              <w:rPr>
                <w:rFonts w:eastAsia="Times New Roman"/>
                <w:sz w:val="20"/>
                <w:szCs w:val="20"/>
              </w:rPr>
            </w:pPr>
            <w:r>
              <w:rPr>
                <w:rFonts w:eastAsia="Times New Roman"/>
                <w:sz w:val="20"/>
                <w:szCs w:val="20"/>
              </w:rPr>
              <w:t>(334,600</w:t>
            </w:r>
          </w:p>
        </w:tc>
        <w:tc>
          <w:tcPr>
            <w:tcW w:w="0" w:type="auto"/>
            <w:shd w:val="clear" w:color="auto" w:fill="CCEEFF"/>
            <w:vAlign w:val="bottom"/>
            <w:hideMark/>
          </w:tcPr>
          <w:p w14:paraId="09DB9B51" w14:textId="77777777" w:rsidR="00000000" w:rsidRDefault="006549D2">
            <w:pPr>
              <w:rPr>
                <w:rFonts w:eastAsia="Times New Roman"/>
                <w:sz w:val="20"/>
                <w:szCs w:val="20"/>
              </w:rPr>
            </w:pPr>
            <w:r>
              <w:rPr>
                <w:rFonts w:eastAsia="Times New Roman"/>
                <w:sz w:val="20"/>
                <w:szCs w:val="20"/>
              </w:rPr>
              <w:t>)</w:t>
            </w:r>
          </w:p>
        </w:tc>
      </w:tr>
      <w:tr w:rsidR="00000000" w14:paraId="012ABA7E" w14:textId="77777777">
        <w:tc>
          <w:tcPr>
            <w:tcW w:w="0" w:type="auto"/>
            <w:shd w:val="clear" w:color="auto" w:fill="FFFFFF"/>
            <w:tcMar>
              <w:top w:w="0" w:type="dxa"/>
              <w:left w:w="0" w:type="dxa"/>
              <w:bottom w:w="20" w:type="dxa"/>
              <w:right w:w="0" w:type="dxa"/>
            </w:tcMar>
            <w:vAlign w:val="bottom"/>
            <w:hideMark/>
          </w:tcPr>
          <w:p w14:paraId="282DD113" w14:textId="77777777" w:rsidR="00000000" w:rsidRDefault="006549D2">
            <w:pPr>
              <w:rPr>
                <w:rFonts w:eastAsia="Times New Roman"/>
                <w:sz w:val="20"/>
                <w:szCs w:val="20"/>
              </w:rPr>
            </w:pPr>
            <w:r>
              <w:rPr>
                <w:rFonts w:eastAsia="Times New Roman"/>
                <w:sz w:val="20"/>
                <w:szCs w:val="20"/>
              </w:rPr>
              <w:t>Payment of offering costs</w:t>
            </w:r>
          </w:p>
        </w:tc>
        <w:tc>
          <w:tcPr>
            <w:tcW w:w="0" w:type="auto"/>
            <w:shd w:val="clear" w:color="auto" w:fill="FFFFFF"/>
            <w:tcMar>
              <w:top w:w="0" w:type="dxa"/>
              <w:left w:w="0" w:type="dxa"/>
              <w:bottom w:w="20" w:type="dxa"/>
              <w:right w:w="0" w:type="dxa"/>
            </w:tcMar>
            <w:vAlign w:val="bottom"/>
            <w:hideMark/>
          </w:tcPr>
          <w:p w14:paraId="00BA7D21"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0D5F0972"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11FA2592" w14:textId="77777777" w:rsidR="00000000" w:rsidRDefault="006549D2">
            <w:pPr>
              <w:jc w:val="right"/>
              <w:rPr>
                <w:rFonts w:eastAsia="Times New Roman"/>
                <w:sz w:val="20"/>
                <w:szCs w:val="20"/>
              </w:rPr>
            </w:pPr>
            <w:r>
              <w:rPr>
                <w:rFonts w:eastAsia="Times New Roman"/>
                <w:sz w:val="20"/>
                <w:szCs w:val="20"/>
              </w:rPr>
              <w:t>(602,020</w:t>
            </w:r>
          </w:p>
        </w:tc>
        <w:tc>
          <w:tcPr>
            <w:tcW w:w="0" w:type="auto"/>
            <w:shd w:val="clear" w:color="auto" w:fill="FFFFFF"/>
            <w:tcMar>
              <w:top w:w="0" w:type="dxa"/>
              <w:left w:w="0" w:type="dxa"/>
              <w:bottom w:w="20" w:type="dxa"/>
              <w:right w:w="0" w:type="dxa"/>
            </w:tcMar>
            <w:vAlign w:val="bottom"/>
            <w:hideMark/>
          </w:tcPr>
          <w:p w14:paraId="44801822" w14:textId="77777777" w:rsidR="00000000" w:rsidRDefault="006549D2">
            <w:pPr>
              <w:rPr>
                <w:rFonts w:eastAsia="Times New Roman"/>
                <w:sz w:val="20"/>
                <w:szCs w:val="20"/>
              </w:rPr>
            </w:pPr>
            <w:r>
              <w:rPr>
                <w:rFonts w:eastAsia="Times New Roman"/>
                <w:sz w:val="20"/>
                <w:szCs w:val="20"/>
              </w:rPr>
              <w:t>)</w:t>
            </w:r>
          </w:p>
        </w:tc>
      </w:tr>
      <w:tr w:rsidR="00000000" w14:paraId="19AAC91B" w14:textId="77777777">
        <w:tc>
          <w:tcPr>
            <w:tcW w:w="0" w:type="auto"/>
            <w:shd w:val="clear" w:color="auto" w:fill="CCEEFF"/>
            <w:tcMar>
              <w:top w:w="0" w:type="dxa"/>
              <w:left w:w="540" w:type="dxa"/>
              <w:bottom w:w="20" w:type="dxa"/>
              <w:right w:w="0" w:type="dxa"/>
            </w:tcMar>
            <w:vAlign w:val="bottom"/>
            <w:hideMark/>
          </w:tcPr>
          <w:p w14:paraId="5F411F61" w14:textId="77777777" w:rsidR="00000000" w:rsidRDefault="006549D2">
            <w:pPr>
              <w:rPr>
                <w:rFonts w:eastAsia="Times New Roman"/>
                <w:b/>
                <w:bCs/>
                <w:sz w:val="20"/>
                <w:szCs w:val="20"/>
              </w:rPr>
            </w:pPr>
            <w:r>
              <w:rPr>
                <w:rFonts w:eastAsia="Times New Roman"/>
                <w:b/>
                <w:bCs/>
                <w:sz w:val="20"/>
                <w:szCs w:val="20"/>
              </w:rPr>
              <w:t>Net cash provided by financing activities</w:t>
            </w:r>
          </w:p>
        </w:tc>
        <w:tc>
          <w:tcPr>
            <w:tcW w:w="0" w:type="auto"/>
            <w:shd w:val="clear" w:color="auto" w:fill="CCEEFF"/>
            <w:tcMar>
              <w:top w:w="0" w:type="dxa"/>
              <w:left w:w="0" w:type="dxa"/>
              <w:bottom w:w="20" w:type="dxa"/>
              <w:right w:w="0" w:type="dxa"/>
            </w:tcMar>
            <w:vAlign w:val="bottom"/>
            <w:hideMark/>
          </w:tcPr>
          <w:p w14:paraId="605DC180"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14:paraId="07D53B12"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14:paraId="1A47E6C7" w14:textId="77777777" w:rsidR="00000000" w:rsidRDefault="006549D2">
            <w:pPr>
              <w:jc w:val="right"/>
              <w:rPr>
                <w:rFonts w:eastAsia="Times New Roman"/>
                <w:b/>
                <w:bCs/>
                <w:sz w:val="20"/>
                <w:szCs w:val="20"/>
              </w:rPr>
            </w:pPr>
            <w:r>
              <w:rPr>
                <w:rFonts w:eastAsia="Times New Roman"/>
                <w:b/>
                <w:bCs/>
                <w:sz w:val="20"/>
                <w:szCs w:val="20"/>
              </w:rPr>
              <w:t>1,103,870,980</w:t>
            </w:r>
          </w:p>
        </w:tc>
        <w:tc>
          <w:tcPr>
            <w:tcW w:w="0" w:type="auto"/>
            <w:shd w:val="clear" w:color="auto" w:fill="CCEEFF"/>
            <w:tcMar>
              <w:top w:w="0" w:type="dxa"/>
              <w:left w:w="0" w:type="dxa"/>
              <w:bottom w:w="20" w:type="dxa"/>
              <w:right w:w="0" w:type="dxa"/>
            </w:tcMar>
            <w:vAlign w:val="bottom"/>
            <w:hideMark/>
          </w:tcPr>
          <w:p w14:paraId="536D0D79" w14:textId="77777777" w:rsidR="00000000" w:rsidRDefault="006549D2">
            <w:pPr>
              <w:rPr>
                <w:rFonts w:eastAsia="Times New Roman"/>
                <w:b/>
                <w:bCs/>
                <w:sz w:val="20"/>
                <w:szCs w:val="20"/>
              </w:rPr>
            </w:pPr>
            <w:r>
              <w:rPr>
                <w:rFonts w:eastAsia="Times New Roman"/>
                <w:b/>
                <w:bCs/>
                <w:sz w:val="20"/>
                <w:szCs w:val="20"/>
              </w:rPr>
              <w:t> </w:t>
            </w:r>
          </w:p>
        </w:tc>
      </w:tr>
      <w:tr w:rsidR="00000000" w14:paraId="2957DA07" w14:textId="77777777">
        <w:tc>
          <w:tcPr>
            <w:tcW w:w="0" w:type="auto"/>
            <w:shd w:val="clear" w:color="auto" w:fill="FFFFFF"/>
            <w:vAlign w:val="bottom"/>
            <w:hideMark/>
          </w:tcPr>
          <w:p w14:paraId="47F1C4B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15356B"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AF0A89"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33FA3E"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013F982" w14:textId="77777777" w:rsidR="00000000" w:rsidRDefault="006549D2">
            <w:pPr>
              <w:rPr>
                <w:rFonts w:eastAsia="Times New Roman"/>
                <w:sz w:val="20"/>
                <w:szCs w:val="20"/>
              </w:rPr>
            </w:pPr>
            <w:r>
              <w:rPr>
                <w:rFonts w:eastAsia="Times New Roman"/>
                <w:sz w:val="20"/>
                <w:szCs w:val="20"/>
              </w:rPr>
              <w:t> </w:t>
            </w:r>
          </w:p>
        </w:tc>
      </w:tr>
      <w:tr w:rsidR="00000000" w14:paraId="66F2DEB2" w14:textId="77777777">
        <w:tc>
          <w:tcPr>
            <w:tcW w:w="0" w:type="auto"/>
            <w:shd w:val="clear" w:color="auto" w:fill="CCEEFF"/>
            <w:vAlign w:val="bottom"/>
            <w:hideMark/>
          </w:tcPr>
          <w:p w14:paraId="2A54044E" w14:textId="77777777" w:rsidR="00000000" w:rsidRDefault="006549D2">
            <w:pPr>
              <w:rPr>
                <w:rFonts w:eastAsia="Times New Roman"/>
                <w:b/>
                <w:bCs/>
                <w:sz w:val="20"/>
                <w:szCs w:val="20"/>
              </w:rPr>
            </w:pPr>
            <w:r>
              <w:rPr>
                <w:rFonts w:eastAsia="Times New Roman"/>
                <w:b/>
                <w:bCs/>
                <w:sz w:val="20"/>
                <w:szCs w:val="20"/>
              </w:rPr>
              <w:t>Net Change in Cash</w:t>
            </w:r>
          </w:p>
        </w:tc>
        <w:tc>
          <w:tcPr>
            <w:tcW w:w="0" w:type="auto"/>
            <w:shd w:val="clear" w:color="auto" w:fill="CCEEFF"/>
            <w:vAlign w:val="bottom"/>
            <w:hideMark/>
          </w:tcPr>
          <w:p w14:paraId="7435DBEE"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5143311F" w14:textId="77777777" w:rsidR="00000000" w:rsidRDefault="006549D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9C04F40" w14:textId="77777777" w:rsidR="00000000" w:rsidRDefault="006549D2">
            <w:pPr>
              <w:jc w:val="right"/>
              <w:rPr>
                <w:rFonts w:eastAsia="Times New Roman"/>
                <w:b/>
                <w:bCs/>
                <w:sz w:val="20"/>
                <w:szCs w:val="20"/>
              </w:rPr>
            </w:pPr>
            <w:r>
              <w:rPr>
                <w:rFonts w:eastAsia="Times New Roman"/>
                <w:b/>
                <w:bCs/>
                <w:sz w:val="20"/>
                <w:szCs w:val="20"/>
              </w:rPr>
              <w:t>2,921,367</w:t>
            </w:r>
          </w:p>
        </w:tc>
        <w:tc>
          <w:tcPr>
            <w:tcW w:w="0" w:type="auto"/>
            <w:shd w:val="clear" w:color="auto" w:fill="CCEEFF"/>
            <w:vAlign w:val="bottom"/>
            <w:hideMark/>
          </w:tcPr>
          <w:p w14:paraId="01AD0DB1" w14:textId="77777777" w:rsidR="00000000" w:rsidRDefault="006549D2">
            <w:pPr>
              <w:rPr>
                <w:rFonts w:eastAsia="Times New Roman"/>
                <w:b/>
                <w:bCs/>
                <w:sz w:val="20"/>
                <w:szCs w:val="20"/>
              </w:rPr>
            </w:pPr>
            <w:r>
              <w:rPr>
                <w:rFonts w:eastAsia="Times New Roman"/>
                <w:b/>
                <w:bCs/>
                <w:sz w:val="20"/>
                <w:szCs w:val="20"/>
              </w:rPr>
              <w:t> </w:t>
            </w:r>
          </w:p>
        </w:tc>
      </w:tr>
      <w:tr w:rsidR="00000000" w14:paraId="6D5A8A90" w14:textId="77777777">
        <w:tc>
          <w:tcPr>
            <w:tcW w:w="0" w:type="auto"/>
            <w:shd w:val="clear" w:color="auto" w:fill="FFFFFF"/>
            <w:tcMar>
              <w:top w:w="0" w:type="dxa"/>
              <w:left w:w="0" w:type="dxa"/>
              <w:bottom w:w="20" w:type="dxa"/>
              <w:right w:w="0" w:type="dxa"/>
            </w:tcMar>
            <w:vAlign w:val="bottom"/>
            <w:hideMark/>
          </w:tcPr>
          <w:p w14:paraId="0E5630A1" w14:textId="77777777" w:rsidR="00000000" w:rsidRDefault="006549D2">
            <w:pPr>
              <w:rPr>
                <w:rFonts w:eastAsia="Times New Roman"/>
                <w:sz w:val="20"/>
                <w:szCs w:val="20"/>
              </w:rPr>
            </w:pPr>
            <w:r>
              <w:rPr>
                <w:rFonts w:eastAsia="Times New Roman"/>
                <w:sz w:val="20"/>
                <w:szCs w:val="20"/>
              </w:rPr>
              <w:t xml:space="preserve">Cash – </w:t>
            </w:r>
            <w:r>
              <w:rPr>
                <w:rFonts w:eastAsia="Times New Roman"/>
                <w:sz w:val="20"/>
                <w:szCs w:val="20"/>
              </w:rPr>
              <w:t>Beginning of period</w:t>
            </w:r>
          </w:p>
        </w:tc>
        <w:tc>
          <w:tcPr>
            <w:tcW w:w="0" w:type="auto"/>
            <w:shd w:val="clear" w:color="auto" w:fill="FFFFFF"/>
            <w:tcMar>
              <w:top w:w="0" w:type="dxa"/>
              <w:left w:w="0" w:type="dxa"/>
              <w:bottom w:w="20" w:type="dxa"/>
              <w:right w:w="0" w:type="dxa"/>
            </w:tcMar>
            <w:vAlign w:val="bottom"/>
            <w:hideMark/>
          </w:tcPr>
          <w:p w14:paraId="1B94526D"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242AF372"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1ECA19B5" w14:textId="77777777" w:rsidR="00000000" w:rsidRDefault="006549D2">
            <w:pPr>
              <w:jc w:val="right"/>
              <w:rPr>
                <w:rFonts w:eastAsia="Times New Roman"/>
                <w:sz w:val="20"/>
                <w:szCs w:val="20"/>
              </w:rPr>
            </w:pPr>
            <w:r>
              <w:rPr>
                <w:rFonts w:eastAsia="Times New Roman"/>
                <w:sz w:val="20"/>
                <w:szCs w:val="20"/>
              </w:rPr>
              <w:t>34,000</w:t>
            </w:r>
          </w:p>
        </w:tc>
        <w:tc>
          <w:tcPr>
            <w:tcW w:w="0" w:type="auto"/>
            <w:shd w:val="clear" w:color="auto" w:fill="FFFFFF"/>
            <w:tcMar>
              <w:top w:w="0" w:type="dxa"/>
              <w:left w:w="0" w:type="dxa"/>
              <w:bottom w:w="20" w:type="dxa"/>
              <w:right w:w="0" w:type="dxa"/>
            </w:tcMar>
            <w:vAlign w:val="bottom"/>
            <w:hideMark/>
          </w:tcPr>
          <w:p w14:paraId="4A48FE8F" w14:textId="77777777" w:rsidR="00000000" w:rsidRDefault="006549D2">
            <w:pPr>
              <w:rPr>
                <w:rFonts w:eastAsia="Times New Roman"/>
                <w:sz w:val="20"/>
                <w:szCs w:val="20"/>
              </w:rPr>
            </w:pPr>
            <w:r>
              <w:rPr>
                <w:rFonts w:eastAsia="Times New Roman"/>
                <w:sz w:val="20"/>
                <w:szCs w:val="20"/>
              </w:rPr>
              <w:t> </w:t>
            </w:r>
          </w:p>
        </w:tc>
      </w:tr>
      <w:tr w:rsidR="00000000" w14:paraId="68F87191" w14:textId="77777777">
        <w:tc>
          <w:tcPr>
            <w:tcW w:w="0" w:type="auto"/>
            <w:shd w:val="clear" w:color="auto" w:fill="CCEEFF"/>
            <w:tcMar>
              <w:top w:w="0" w:type="dxa"/>
              <w:left w:w="0" w:type="dxa"/>
              <w:bottom w:w="50" w:type="dxa"/>
              <w:right w:w="0" w:type="dxa"/>
            </w:tcMar>
            <w:vAlign w:val="bottom"/>
            <w:hideMark/>
          </w:tcPr>
          <w:p w14:paraId="4582B59E" w14:textId="77777777" w:rsidR="00000000" w:rsidRDefault="006549D2">
            <w:pPr>
              <w:rPr>
                <w:rFonts w:eastAsia="Times New Roman"/>
                <w:b/>
                <w:bCs/>
                <w:sz w:val="20"/>
                <w:szCs w:val="20"/>
              </w:rPr>
            </w:pPr>
            <w:r>
              <w:rPr>
                <w:rFonts w:eastAsia="Times New Roman"/>
                <w:b/>
                <w:bCs/>
                <w:sz w:val="20"/>
                <w:szCs w:val="20"/>
              </w:rPr>
              <w:t>Cash – End of period</w:t>
            </w:r>
          </w:p>
        </w:tc>
        <w:tc>
          <w:tcPr>
            <w:tcW w:w="0" w:type="auto"/>
            <w:shd w:val="clear" w:color="auto" w:fill="CCEEFF"/>
            <w:tcMar>
              <w:top w:w="0" w:type="dxa"/>
              <w:left w:w="0" w:type="dxa"/>
              <w:bottom w:w="50" w:type="dxa"/>
              <w:right w:w="0" w:type="dxa"/>
            </w:tcMar>
            <w:vAlign w:val="bottom"/>
            <w:hideMark/>
          </w:tcPr>
          <w:p w14:paraId="427E3941" w14:textId="77777777" w:rsidR="00000000" w:rsidRDefault="006549D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7F6737B2" w14:textId="77777777" w:rsidR="00000000" w:rsidRDefault="006549D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35D093A3" w14:textId="77777777" w:rsidR="00000000" w:rsidRDefault="006549D2">
            <w:pPr>
              <w:jc w:val="right"/>
              <w:rPr>
                <w:rFonts w:eastAsia="Times New Roman"/>
                <w:b/>
                <w:bCs/>
                <w:sz w:val="20"/>
                <w:szCs w:val="20"/>
              </w:rPr>
            </w:pPr>
            <w:r>
              <w:rPr>
                <w:rFonts w:eastAsia="Times New Roman"/>
                <w:b/>
                <w:bCs/>
                <w:sz w:val="20"/>
                <w:szCs w:val="20"/>
              </w:rPr>
              <w:t>2,955,367</w:t>
            </w:r>
          </w:p>
        </w:tc>
        <w:tc>
          <w:tcPr>
            <w:tcW w:w="0" w:type="auto"/>
            <w:shd w:val="clear" w:color="auto" w:fill="CCEEFF"/>
            <w:tcMar>
              <w:top w:w="0" w:type="dxa"/>
              <w:left w:w="0" w:type="dxa"/>
              <w:bottom w:w="50" w:type="dxa"/>
              <w:right w:w="0" w:type="dxa"/>
            </w:tcMar>
            <w:vAlign w:val="bottom"/>
            <w:hideMark/>
          </w:tcPr>
          <w:p w14:paraId="1DBCA451" w14:textId="77777777" w:rsidR="00000000" w:rsidRDefault="006549D2">
            <w:pPr>
              <w:rPr>
                <w:rFonts w:eastAsia="Times New Roman"/>
                <w:b/>
                <w:bCs/>
                <w:sz w:val="20"/>
                <w:szCs w:val="20"/>
              </w:rPr>
            </w:pPr>
            <w:r>
              <w:rPr>
                <w:rFonts w:eastAsia="Times New Roman"/>
                <w:b/>
                <w:bCs/>
                <w:sz w:val="20"/>
                <w:szCs w:val="20"/>
              </w:rPr>
              <w:t> </w:t>
            </w:r>
          </w:p>
        </w:tc>
      </w:tr>
      <w:tr w:rsidR="00000000" w14:paraId="2B2AF68D" w14:textId="77777777">
        <w:tc>
          <w:tcPr>
            <w:tcW w:w="0" w:type="auto"/>
            <w:shd w:val="clear" w:color="auto" w:fill="FFFFFF"/>
            <w:vAlign w:val="bottom"/>
            <w:hideMark/>
          </w:tcPr>
          <w:p w14:paraId="1E29C615"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A0D78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78AC29"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716622"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567D388" w14:textId="77777777" w:rsidR="00000000" w:rsidRDefault="006549D2">
            <w:pPr>
              <w:rPr>
                <w:rFonts w:eastAsia="Times New Roman"/>
                <w:sz w:val="20"/>
                <w:szCs w:val="20"/>
              </w:rPr>
            </w:pPr>
            <w:r>
              <w:rPr>
                <w:rFonts w:eastAsia="Times New Roman"/>
                <w:sz w:val="20"/>
                <w:szCs w:val="20"/>
              </w:rPr>
              <w:t> </w:t>
            </w:r>
          </w:p>
        </w:tc>
      </w:tr>
      <w:tr w:rsidR="00000000" w14:paraId="55554025" w14:textId="77777777">
        <w:tc>
          <w:tcPr>
            <w:tcW w:w="0" w:type="auto"/>
            <w:shd w:val="clear" w:color="auto" w:fill="CCEEFF"/>
            <w:vAlign w:val="bottom"/>
            <w:hideMark/>
          </w:tcPr>
          <w:p w14:paraId="2A4159AA" w14:textId="77777777" w:rsidR="00000000" w:rsidRDefault="006549D2">
            <w:pPr>
              <w:rPr>
                <w:rFonts w:eastAsia="Times New Roman"/>
                <w:b/>
                <w:bCs/>
                <w:sz w:val="20"/>
                <w:szCs w:val="20"/>
              </w:rPr>
            </w:pPr>
            <w:r>
              <w:rPr>
                <w:rFonts w:eastAsia="Times New Roman"/>
                <w:b/>
                <w:bCs/>
                <w:sz w:val="20"/>
                <w:szCs w:val="20"/>
              </w:rPr>
              <w:t>Non-Cash investing and financing activities:</w:t>
            </w:r>
          </w:p>
        </w:tc>
        <w:tc>
          <w:tcPr>
            <w:tcW w:w="0" w:type="auto"/>
            <w:shd w:val="clear" w:color="auto" w:fill="CCEEFF"/>
            <w:vAlign w:val="bottom"/>
            <w:hideMark/>
          </w:tcPr>
          <w:p w14:paraId="28198B7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07998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9AFA88"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98A2FB6" w14:textId="77777777" w:rsidR="00000000" w:rsidRDefault="006549D2">
            <w:pPr>
              <w:rPr>
                <w:rFonts w:eastAsia="Times New Roman"/>
                <w:sz w:val="20"/>
                <w:szCs w:val="20"/>
              </w:rPr>
            </w:pPr>
            <w:r>
              <w:rPr>
                <w:rFonts w:eastAsia="Times New Roman"/>
                <w:sz w:val="20"/>
                <w:szCs w:val="20"/>
              </w:rPr>
              <w:t> </w:t>
            </w:r>
          </w:p>
        </w:tc>
      </w:tr>
      <w:tr w:rsidR="00000000" w14:paraId="0E192D82" w14:textId="77777777">
        <w:tc>
          <w:tcPr>
            <w:tcW w:w="0" w:type="auto"/>
            <w:shd w:val="clear" w:color="auto" w:fill="FFFFFF"/>
            <w:tcMar>
              <w:top w:w="0" w:type="dxa"/>
              <w:left w:w="0" w:type="dxa"/>
              <w:bottom w:w="50" w:type="dxa"/>
              <w:right w:w="0" w:type="dxa"/>
            </w:tcMar>
            <w:vAlign w:val="bottom"/>
            <w:hideMark/>
          </w:tcPr>
          <w:p w14:paraId="428A9BEA" w14:textId="77777777" w:rsidR="00000000" w:rsidRDefault="006549D2">
            <w:pPr>
              <w:rPr>
                <w:rFonts w:eastAsia="Times New Roman"/>
                <w:sz w:val="20"/>
                <w:szCs w:val="20"/>
              </w:rPr>
            </w:pPr>
            <w:r>
              <w:rPr>
                <w:rFonts w:eastAsia="Times New Roman"/>
                <w:sz w:val="20"/>
                <w:szCs w:val="20"/>
              </w:rPr>
              <w:t>Initial classification of common stock subject to redemption</w:t>
            </w:r>
          </w:p>
        </w:tc>
        <w:tc>
          <w:tcPr>
            <w:tcW w:w="0" w:type="auto"/>
            <w:shd w:val="clear" w:color="auto" w:fill="FFFFFF"/>
            <w:tcMar>
              <w:top w:w="0" w:type="dxa"/>
              <w:left w:w="0" w:type="dxa"/>
              <w:bottom w:w="50" w:type="dxa"/>
              <w:right w:w="0" w:type="dxa"/>
            </w:tcMar>
            <w:vAlign w:val="bottom"/>
            <w:hideMark/>
          </w:tcPr>
          <w:p w14:paraId="5A8C3CFE" w14:textId="77777777" w:rsidR="00000000" w:rsidRDefault="006549D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10CC612" w14:textId="77777777" w:rsidR="00000000" w:rsidRDefault="006549D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2178CA8" w14:textId="77777777" w:rsidR="00000000" w:rsidRDefault="006549D2">
            <w:pPr>
              <w:jc w:val="right"/>
              <w:rPr>
                <w:rFonts w:eastAsia="Times New Roman"/>
                <w:sz w:val="20"/>
                <w:szCs w:val="20"/>
              </w:rPr>
            </w:pPr>
            <w:r>
              <w:rPr>
                <w:rFonts w:eastAsia="Times New Roman"/>
                <w:sz w:val="20"/>
                <w:szCs w:val="20"/>
              </w:rPr>
              <w:t>1,060,389,960</w:t>
            </w:r>
          </w:p>
        </w:tc>
        <w:tc>
          <w:tcPr>
            <w:tcW w:w="0" w:type="auto"/>
            <w:shd w:val="clear" w:color="auto" w:fill="FFFFFF"/>
            <w:tcMar>
              <w:top w:w="0" w:type="dxa"/>
              <w:left w:w="0" w:type="dxa"/>
              <w:bottom w:w="50" w:type="dxa"/>
              <w:right w:w="0" w:type="dxa"/>
            </w:tcMar>
            <w:vAlign w:val="bottom"/>
            <w:hideMark/>
          </w:tcPr>
          <w:p w14:paraId="0C7C0D5C" w14:textId="77777777" w:rsidR="00000000" w:rsidRDefault="006549D2">
            <w:pPr>
              <w:rPr>
                <w:rFonts w:eastAsia="Times New Roman"/>
                <w:sz w:val="20"/>
                <w:szCs w:val="20"/>
              </w:rPr>
            </w:pPr>
            <w:r>
              <w:rPr>
                <w:rFonts w:eastAsia="Times New Roman"/>
                <w:sz w:val="20"/>
                <w:szCs w:val="20"/>
              </w:rPr>
              <w:t> </w:t>
            </w:r>
          </w:p>
        </w:tc>
      </w:tr>
      <w:tr w:rsidR="00000000" w14:paraId="6910D480" w14:textId="77777777">
        <w:tc>
          <w:tcPr>
            <w:tcW w:w="0" w:type="auto"/>
            <w:shd w:val="clear" w:color="auto" w:fill="CCEEFF"/>
            <w:tcMar>
              <w:top w:w="0" w:type="dxa"/>
              <w:left w:w="0" w:type="dxa"/>
              <w:bottom w:w="50" w:type="dxa"/>
              <w:right w:w="0" w:type="dxa"/>
            </w:tcMar>
            <w:vAlign w:val="bottom"/>
            <w:hideMark/>
          </w:tcPr>
          <w:p w14:paraId="76F398B5" w14:textId="77777777" w:rsidR="00000000" w:rsidRDefault="006549D2">
            <w:pPr>
              <w:rPr>
                <w:rFonts w:eastAsia="Times New Roman"/>
                <w:sz w:val="20"/>
                <w:szCs w:val="20"/>
              </w:rPr>
            </w:pPr>
            <w:r>
              <w:rPr>
                <w:rFonts w:eastAsia="Times New Roman"/>
                <w:sz w:val="20"/>
                <w:szCs w:val="20"/>
              </w:rPr>
              <w:t>Change in value of common stock subject to possible redemption</w:t>
            </w:r>
          </w:p>
        </w:tc>
        <w:tc>
          <w:tcPr>
            <w:tcW w:w="0" w:type="auto"/>
            <w:shd w:val="clear" w:color="auto" w:fill="CCEEFF"/>
            <w:tcMar>
              <w:top w:w="0" w:type="dxa"/>
              <w:left w:w="0" w:type="dxa"/>
              <w:bottom w:w="50" w:type="dxa"/>
              <w:right w:w="0" w:type="dxa"/>
            </w:tcMar>
            <w:vAlign w:val="bottom"/>
            <w:hideMark/>
          </w:tcPr>
          <w:p w14:paraId="7A3658B4" w14:textId="77777777" w:rsidR="00000000" w:rsidRDefault="006549D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1F5E276" w14:textId="77777777" w:rsidR="00000000" w:rsidRDefault="006549D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0FD8017" w14:textId="77777777" w:rsidR="00000000" w:rsidRDefault="006549D2">
            <w:pPr>
              <w:jc w:val="right"/>
              <w:rPr>
                <w:rFonts w:eastAsia="Times New Roman"/>
                <w:sz w:val="20"/>
                <w:szCs w:val="20"/>
              </w:rPr>
            </w:pPr>
            <w:r>
              <w:rPr>
                <w:rFonts w:eastAsia="Times New Roman"/>
                <w:sz w:val="20"/>
                <w:szCs w:val="20"/>
              </w:rPr>
              <w:t>1,710,067</w:t>
            </w:r>
          </w:p>
        </w:tc>
        <w:tc>
          <w:tcPr>
            <w:tcW w:w="0" w:type="auto"/>
            <w:shd w:val="clear" w:color="auto" w:fill="CCEEFF"/>
            <w:tcMar>
              <w:top w:w="0" w:type="dxa"/>
              <w:left w:w="0" w:type="dxa"/>
              <w:bottom w:w="50" w:type="dxa"/>
              <w:right w:w="0" w:type="dxa"/>
            </w:tcMar>
            <w:vAlign w:val="bottom"/>
            <w:hideMark/>
          </w:tcPr>
          <w:p w14:paraId="3827C72D" w14:textId="77777777" w:rsidR="00000000" w:rsidRDefault="006549D2">
            <w:pPr>
              <w:rPr>
                <w:rFonts w:eastAsia="Times New Roman"/>
                <w:sz w:val="20"/>
                <w:szCs w:val="20"/>
              </w:rPr>
            </w:pPr>
            <w:r>
              <w:rPr>
                <w:rFonts w:eastAsia="Times New Roman"/>
                <w:sz w:val="20"/>
                <w:szCs w:val="20"/>
              </w:rPr>
              <w:t> </w:t>
            </w:r>
          </w:p>
        </w:tc>
      </w:tr>
      <w:tr w:rsidR="00000000" w14:paraId="331D19A9" w14:textId="77777777">
        <w:tc>
          <w:tcPr>
            <w:tcW w:w="0" w:type="auto"/>
            <w:shd w:val="clear" w:color="auto" w:fill="FFFFFF"/>
            <w:tcMar>
              <w:top w:w="0" w:type="dxa"/>
              <w:left w:w="0" w:type="dxa"/>
              <w:bottom w:w="50" w:type="dxa"/>
              <w:right w:w="0" w:type="dxa"/>
            </w:tcMar>
            <w:vAlign w:val="bottom"/>
            <w:hideMark/>
          </w:tcPr>
          <w:p w14:paraId="45B51375" w14:textId="77777777" w:rsidR="00000000" w:rsidRDefault="006549D2">
            <w:pPr>
              <w:rPr>
                <w:rFonts w:eastAsia="Times New Roman"/>
                <w:sz w:val="20"/>
                <w:szCs w:val="20"/>
              </w:rPr>
            </w:pPr>
            <w:r>
              <w:rPr>
                <w:rFonts w:eastAsia="Times New Roman"/>
                <w:sz w:val="20"/>
                <w:szCs w:val="20"/>
              </w:rPr>
              <w:t>Deferred underwriting fee payable</w:t>
            </w:r>
          </w:p>
        </w:tc>
        <w:tc>
          <w:tcPr>
            <w:tcW w:w="0" w:type="auto"/>
            <w:shd w:val="clear" w:color="auto" w:fill="FFFFFF"/>
            <w:tcMar>
              <w:top w:w="0" w:type="dxa"/>
              <w:left w:w="0" w:type="dxa"/>
              <w:bottom w:w="50" w:type="dxa"/>
              <w:right w:w="0" w:type="dxa"/>
            </w:tcMar>
            <w:vAlign w:val="bottom"/>
            <w:hideMark/>
          </w:tcPr>
          <w:p w14:paraId="4EB84AFE" w14:textId="77777777" w:rsidR="00000000" w:rsidRDefault="006549D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F21C3CC" w14:textId="77777777" w:rsidR="00000000" w:rsidRDefault="006549D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D613491" w14:textId="77777777" w:rsidR="00000000" w:rsidRDefault="006549D2">
            <w:pPr>
              <w:jc w:val="right"/>
              <w:rPr>
                <w:rFonts w:eastAsia="Times New Roman"/>
                <w:sz w:val="20"/>
                <w:szCs w:val="20"/>
              </w:rPr>
            </w:pPr>
            <w:r>
              <w:rPr>
                <w:rFonts w:eastAsia="Times New Roman"/>
                <w:sz w:val="20"/>
                <w:szCs w:val="20"/>
              </w:rPr>
              <w:t>38,500,000</w:t>
            </w:r>
          </w:p>
        </w:tc>
        <w:tc>
          <w:tcPr>
            <w:tcW w:w="0" w:type="auto"/>
            <w:shd w:val="clear" w:color="auto" w:fill="FFFFFF"/>
            <w:tcMar>
              <w:top w:w="0" w:type="dxa"/>
              <w:left w:w="0" w:type="dxa"/>
              <w:bottom w:w="50" w:type="dxa"/>
              <w:right w:w="0" w:type="dxa"/>
            </w:tcMar>
            <w:vAlign w:val="bottom"/>
            <w:hideMark/>
          </w:tcPr>
          <w:p w14:paraId="352A4EC8" w14:textId="77777777" w:rsidR="00000000" w:rsidRDefault="006549D2">
            <w:pPr>
              <w:rPr>
                <w:rFonts w:eastAsia="Times New Roman"/>
                <w:sz w:val="20"/>
                <w:szCs w:val="20"/>
              </w:rPr>
            </w:pPr>
            <w:r>
              <w:rPr>
                <w:rFonts w:eastAsia="Times New Roman"/>
                <w:sz w:val="20"/>
                <w:szCs w:val="20"/>
              </w:rPr>
              <w:t> </w:t>
            </w:r>
          </w:p>
        </w:tc>
      </w:tr>
    </w:tbl>
    <w:p w14:paraId="7E6E3B69" w14:textId="77777777" w:rsidR="00000000" w:rsidRDefault="006549D2">
      <w:pPr>
        <w:pStyle w:val="a3"/>
        <w:spacing w:before="0" w:beforeAutospacing="0" w:after="0" w:afterAutospacing="0"/>
        <w:jc w:val="center"/>
        <w:rPr>
          <w:sz w:val="20"/>
          <w:szCs w:val="20"/>
        </w:rPr>
      </w:pPr>
      <w:r>
        <w:rPr>
          <w:sz w:val="20"/>
          <w:szCs w:val="20"/>
        </w:rPr>
        <w:t> </w:t>
      </w:r>
    </w:p>
    <w:p w14:paraId="65EA353C" w14:textId="77777777" w:rsidR="00000000" w:rsidRDefault="006549D2">
      <w:pPr>
        <w:pStyle w:val="a3"/>
        <w:spacing w:before="0" w:beforeAutospacing="0" w:after="0" w:afterAutospacing="0"/>
        <w:jc w:val="center"/>
        <w:rPr>
          <w:sz w:val="20"/>
          <w:szCs w:val="20"/>
        </w:rPr>
      </w:pPr>
      <w:r>
        <w:rPr>
          <w:sz w:val="20"/>
          <w:szCs w:val="20"/>
        </w:rPr>
        <w:t>The accompanying notes are an integral part of the unaudited condensed financial statements.</w:t>
      </w:r>
    </w:p>
    <w:p w14:paraId="65093601" w14:textId="77777777" w:rsidR="00000000" w:rsidRDefault="006549D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9D4C96C" w14:textId="77777777">
        <w:trPr>
          <w:divId w:val="1957835774"/>
        </w:trPr>
        <w:tc>
          <w:tcPr>
            <w:tcW w:w="1650" w:type="pct"/>
            <w:hideMark/>
          </w:tcPr>
          <w:p w14:paraId="2D69C431" w14:textId="77777777" w:rsidR="00000000" w:rsidRDefault="006549D2">
            <w:pPr>
              <w:rPr>
                <w:rFonts w:eastAsia="Times New Roman"/>
                <w:sz w:val="20"/>
                <w:szCs w:val="20"/>
              </w:rPr>
            </w:pPr>
            <w:r>
              <w:rPr>
                <w:rFonts w:eastAsia="Times New Roman"/>
                <w:sz w:val="20"/>
                <w:szCs w:val="20"/>
              </w:rPr>
              <w:t> </w:t>
            </w:r>
          </w:p>
        </w:tc>
        <w:tc>
          <w:tcPr>
            <w:tcW w:w="1700" w:type="pct"/>
            <w:hideMark/>
          </w:tcPr>
          <w:p w14:paraId="4D9860FE" w14:textId="77777777" w:rsidR="00000000" w:rsidRDefault="006549D2">
            <w:pPr>
              <w:jc w:val="center"/>
              <w:rPr>
                <w:rFonts w:eastAsia="Times New Roman"/>
                <w:sz w:val="20"/>
                <w:szCs w:val="20"/>
              </w:rPr>
            </w:pPr>
            <w:r>
              <w:rPr>
                <w:rFonts w:eastAsia="Times New Roman"/>
                <w:sz w:val="20"/>
                <w:szCs w:val="20"/>
              </w:rPr>
              <w:t>4</w:t>
            </w:r>
          </w:p>
        </w:tc>
        <w:tc>
          <w:tcPr>
            <w:tcW w:w="1650" w:type="pct"/>
            <w:hideMark/>
          </w:tcPr>
          <w:p w14:paraId="69CDDE44" w14:textId="77777777" w:rsidR="00000000" w:rsidRDefault="006549D2">
            <w:pPr>
              <w:jc w:val="right"/>
              <w:rPr>
                <w:rFonts w:eastAsia="Times New Roman"/>
                <w:sz w:val="20"/>
                <w:szCs w:val="20"/>
              </w:rPr>
            </w:pPr>
            <w:r>
              <w:rPr>
                <w:rFonts w:eastAsia="Times New Roman"/>
                <w:sz w:val="20"/>
                <w:szCs w:val="20"/>
              </w:rPr>
              <w:t> </w:t>
            </w:r>
          </w:p>
        </w:tc>
      </w:tr>
    </w:tbl>
    <w:p w14:paraId="133FEB3C" w14:textId="77777777" w:rsidR="00000000" w:rsidRDefault="006549D2">
      <w:pPr>
        <w:pStyle w:val="a3"/>
        <w:pageBreakBefore/>
        <w:spacing w:before="0" w:beforeAutospacing="0" w:after="0" w:afterAutospacing="0"/>
        <w:divId w:val="844199859"/>
        <w:rPr>
          <w:sz w:val="20"/>
          <w:szCs w:val="20"/>
        </w:rPr>
      </w:pPr>
      <w:r>
        <w:rPr>
          <w:sz w:val="20"/>
          <w:szCs w:val="20"/>
        </w:rPr>
        <w:t> </w:t>
      </w:r>
    </w:p>
    <w:p w14:paraId="16301CB7" w14:textId="77777777" w:rsidR="00000000" w:rsidRDefault="006549D2">
      <w:pPr>
        <w:pStyle w:val="a3"/>
        <w:spacing w:before="0" w:beforeAutospacing="0" w:after="0" w:afterAutospacing="0"/>
        <w:rPr>
          <w:sz w:val="20"/>
          <w:szCs w:val="20"/>
        </w:rPr>
      </w:pPr>
      <w:r>
        <w:rPr>
          <w:sz w:val="20"/>
          <w:szCs w:val="20"/>
        </w:rPr>
        <w:t> </w:t>
      </w:r>
    </w:p>
    <w:p w14:paraId="4ECA49A2" w14:textId="77777777" w:rsidR="00000000" w:rsidRDefault="006549D2">
      <w:pPr>
        <w:pStyle w:val="a3"/>
        <w:spacing w:before="0" w:beforeAutospacing="0" w:after="0" w:afterAutospacing="0"/>
        <w:jc w:val="center"/>
        <w:rPr>
          <w:sz w:val="20"/>
          <w:szCs w:val="20"/>
        </w:rPr>
      </w:pPr>
      <w:r>
        <w:rPr>
          <w:b/>
          <w:bCs/>
          <w:sz w:val="20"/>
          <w:szCs w:val="20"/>
        </w:rPr>
        <w:t>CHURCHILL CAPITAL CORP III</w:t>
      </w:r>
    </w:p>
    <w:p w14:paraId="4177ABAF" w14:textId="77777777" w:rsidR="00000000" w:rsidRDefault="006549D2">
      <w:pPr>
        <w:pStyle w:val="a3"/>
        <w:spacing w:before="0" w:beforeAutospacing="0" w:after="0" w:afterAutospacing="0"/>
        <w:jc w:val="center"/>
        <w:rPr>
          <w:sz w:val="20"/>
          <w:szCs w:val="20"/>
        </w:rPr>
      </w:pPr>
      <w:bookmarkStart w:id="6" w:name="notestocondensed"/>
      <w:bookmarkEnd w:id="6"/>
      <w:r>
        <w:rPr>
          <w:b/>
          <w:bCs/>
          <w:sz w:val="20"/>
          <w:szCs w:val="20"/>
        </w:rPr>
        <w:t>NOTES TO CONDENSED FINANCIAL STATEMENTS</w:t>
      </w:r>
    </w:p>
    <w:p w14:paraId="27023EA1" w14:textId="77777777" w:rsidR="00000000" w:rsidRDefault="006549D2">
      <w:pPr>
        <w:pStyle w:val="a3"/>
        <w:spacing w:before="0" w:beforeAutospacing="0" w:after="0" w:afterAutospacing="0"/>
        <w:jc w:val="center"/>
        <w:rPr>
          <w:sz w:val="20"/>
          <w:szCs w:val="20"/>
        </w:rPr>
      </w:pPr>
      <w:r>
        <w:rPr>
          <w:b/>
          <w:bCs/>
          <w:sz w:val="20"/>
          <w:szCs w:val="20"/>
        </w:rPr>
        <w:t>JUNE 30, 2020</w:t>
      </w:r>
    </w:p>
    <w:p w14:paraId="1C29691A" w14:textId="77777777" w:rsidR="00000000" w:rsidRDefault="006549D2">
      <w:pPr>
        <w:pStyle w:val="a3"/>
        <w:spacing w:before="0" w:beforeAutospacing="0" w:after="0" w:afterAutospacing="0"/>
        <w:jc w:val="center"/>
        <w:rPr>
          <w:sz w:val="20"/>
          <w:szCs w:val="20"/>
        </w:rPr>
      </w:pPr>
      <w:r>
        <w:rPr>
          <w:b/>
          <w:bCs/>
          <w:sz w:val="20"/>
          <w:szCs w:val="20"/>
        </w:rPr>
        <w:t>(Unaudited)</w:t>
      </w:r>
    </w:p>
    <w:p w14:paraId="7BB1D046" w14:textId="77777777" w:rsidR="00000000" w:rsidRDefault="006549D2">
      <w:pPr>
        <w:pStyle w:val="a3"/>
        <w:spacing w:before="0" w:beforeAutospacing="0" w:after="0" w:afterAutospacing="0"/>
        <w:jc w:val="center"/>
        <w:rPr>
          <w:sz w:val="20"/>
          <w:szCs w:val="20"/>
        </w:rPr>
      </w:pPr>
      <w:r>
        <w:rPr>
          <w:sz w:val="20"/>
          <w:szCs w:val="20"/>
        </w:rPr>
        <w:t> </w:t>
      </w:r>
    </w:p>
    <w:p w14:paraId="6F9018B8" w14:textId="77777777" w:rsidR="00000000" w:rsidRDefault="006549D2">
      <w:pPr>
        <w:pStyle w:val="a3"/>
        <w:spacing w:before="0" w:beforeAutospacing="0" w:after="0" w:afterAutospacing="0"/>
        <w:rPr>
          <w:sz w:val="20"/>
          <w:szCs w:val="20"/>
        </w:rPr>
      </w:pPr>
      <w:r>
        <w:rPr>
          <w:b/>
          <w:bCs/>
          <w:sz w:val="20"/>
          <w:szCs w:val="20"/>
        </w:rPr>
        <w:t>NOTE 1. DESCRIPTION OF ORGANIZATION AND BUSINESS OPERAT</w:t>
      </w:r>
      <w:r>
        <w:rPr>
          <w:b/>
          <w:bCs/>
          <w:sz w:val="20"/>
          <w:szCs w:val="20"/>
        </w:rPr>
        <w:t>IONS</w:t>
      </w:r>
    </w:p>
    <w:p w14:paraId="06113E76" w14:textId="77777777" w:rsidR="00000000" w:rsidRDefault="006549D2">
      <w:pPr>
        <w:pStyle w:val="a3"/>
        <w:spacing w:before="0" w:beforeAutospacing="0" w:after="0" w:afterAutospacing="0"/>
        <w:jc w:val="both"/>
        <w:rPr>
          <w:sz w:val="20"/>
          <w:szCs w:val="20"/>
        </w:rPr>
      </w:pPr>
      <w:r>
        <w:rPr>
          <w:sz w:val="20"/>
          <w:szCs w:val="20"/>
        </w:rPr>
        <w:t> </w:t>
      </w:r>
    </w:p>
    <w:p w14:paraId="5E95F2D5" w14:textId="77777777" w:rsidR="00000000" w:rsidRDefault="006549D2">
      <w:pPr>
        <w:pStyle w:val="a3"/>
        <w:spacing w:before="0" w:beforeAutospacing="0" w:after="0" w:afterAutospacing="0"/>
        <w:ind w:firstLine="400"/>
        <w:jc w:val="both"/>
        <w:rPr>
          <w:sz w:val="20"/>
          <w:szCs w:val="20"/>
        </w:rPr>
      </w:pPr>
      <w:r>
        <w:rPr>
          <w:sz w:val="20"/>
          <w:szCs w:val="20"/>
        </w:rPr>
        <w:t xml:space="preserve">Churchill Capital Corp III (formerly known as Butler Acquisition Corp) (the “Company”) was incorporated in Delaware on October 30, 2019. </w:t>
      </w:r>
      <w:r>
        <w:rPr>
          <w:sz w:val="20"/>
          <w:szCs w:val="20"/>
        </w:rPr>
        <w:t>The Company was formed for the purpose of effecting a merger, capital stock exchange, asset acquisition, stock purchase, reorganization or similar business combination with one or more businesses (the “Business Combination”).</w:t>
      </w:r>
    </w:p>
    <w:p w14:paraId="3991B789" w14:textId="77777777" w:rsidR="00000000" w:rsidRDefault="006549D2">
      <w:pPr>
        <w:pStyle w:val="a3"/>
        <w:spacing w:before="0" w:beforeAutospacing="0" w:after="0" w:afterAutospacing="0"/>
        <w:ind w:firstLine="400"/>
        <w:jc w:val="both"/>
        <w:rPr>
          <w:sz w:val="20"/>
          <w:szCs w:val="20"/>
        </w:rPr>
      </w:pPr>
      <w:r>
        <w:rPr>
          <w:sz w:val="20"/>
          <w:szCs w:val="20"/>
        </w:rPr>
        <w:t> </w:t>
      </w:r>
    </w:p>
    <w:p w14:paraId="263ADAAA" w14:textId="77777777" w:rsidR="00000000" w:rsidRDefault="006549D2">
      <w:pPr>
        <w:pStyle w:val="a3"/>
        <w:spacing w:before="0" w:beforeAutospacing="0" w:after="0" w:afterAutospacing="0"/>
        <w:ind w:firstLine="400"/>
        <w:jc w:val="both"/>
        <w:rPr>
          <w:sz w:val="20"/>
          <w:szCs w:val="20"/>
        </w:rPr>
      </w:pPr>
      <w:r>
        <w:rPr>
          <w:sz w:val="20"/>
          <w:szCs w:val="20"/>
        </w:rPr>
        <w:t>The Company is an early stag</w:t>
      </w:r>
      <w:r>
        <w:rPr>
          <w:sz w:val="20"/>
          <w:szCs w:val="20"/>
        </w:rPr>
        <w:t>e and emerging growth company and, as such, the Company is subject to all of the risks associated with early stage and emerging growth companies.</w:t>
      </w:r>
    </w:p>
    <w:p w14:paraId="3AE361B5" w14:textId="77777777" w:rsidR="00000000" w:rsidRDefault="006549D2">
      <w:pPr>
        <w:pStyle w:val="a3"/>
        <w:spacing w:before="0" w:beforeAutospacing="0" w:after="0" w:afterAutospacing="0"/>
        <w:ind w:firstLine="400"/>
        <w:jc w:val="both"/>
        <w:rPr>
          <w:sz w:val="20"/>
          <w:szCs w:val="20"/>
        </w:rPr>
      </w:pPr>
      <w:r>
        <w:rPr>
          <w:sz w:val="20"/>
          <w:szCs w:val="20"/>
        </w:rPr>
        <w:t> </w:t>
      </w:r>
    </w:p>
    <w:p w14:paraId="40282E34" w14:textId="77777777" w:rsidR="00000000" w:rsidRDefault="006549D2">
      <w:pPr>
        <w:pStyle w:val="a3"/>
        <w:spacing w:before="0" w:beforeAutospacing="0" w:after="0" w:afterAutospacing="0"/>
        <w:ind w:firstLine="400"/>
        <w:jc w:val="both"/>
        <w:rPr>
          <w:sz w:val="20"/>
          <w:szCs w:val="20"/>
        </w:rPr>
      </w:pPr>
      <w:r>
        <w:rPr>
          <w:sz w:val="20"/>
          <w:szCs w:val="20"/>
        </w:rPr>
        <w:t>As of June 30, 2020, the Company had not commenced any operations. All activity through June 30, 2020 relate</w:t>
      </w:r>
      <w:r>
        <w:rPr>
          <w:sz w:val="20"/>
          <w:szCs w:val="20"/>
        </w:rPr>
        <w:t>s to the Company’s formation, the initial public offering (“Initial Public Offering”), which is described below, identifying a target company for a Business Combination, and the proposed acquisition of Polaris Parent Corp., a Delaware corporation (“Parent”</w:t>
      </w:r>
      <w:r>
        <w:rPr>
          <w:sz w:val="20"/>
          <w:szCs w:val="20"/>
        </w:rPr>
        <w:t>), as discussed in Note 6. The Company will not generate any operating revenues until after the completion of its initial Business Combination, at the earliest. The Company generates non-operating income in the form of interest income from the proceeds der</w:t>
      </w:r>
      <w:r>
        <w:rPr>
          <w:sz w:val="20"/>
          <w:szCs w:val="20"/>
        </w:rPr>
        <w:t>ived from the Initial Public Offering.</w:t>
      </w:r>
    </w:p>
    <w:p w14:paraId="60814560" w14:textId="77777777" w:rsidR="00000000" w:rsidRDefault="006549D2">
      <w:pPr>
        <w:pStyle w:val="a3"/>
        <w:spacing w:before="0" w:beforeAutospacing="0" w:after="0" w:afterAutospacing="0"/>
        <w:ind w:firstLine="400"/>
        <w:jc w:val="both"/>
        <w:rPr>
          <w:sz w:val="20"/>
          <w:szCs w:val="20"/>
        </w:rPr>
      </w:pPr>
      <w:r>
        <w:rPr>
          <w:sz w:val="20"/>
          <w:szCs w:val="20"/>
        </w:rPr>
        <w:t> </w:t>
      </w:r>
    </w:p>
    <w:p w14:paraId="5A4F4E76" w14:textId="77777777" w:rsidR="00000000" w:rsidRDefault="006549D2">
      <w:pPr>
        <w:pStyle w:val="a3"/>
        <w:spacing w:before="0" w:beforeAutospacing="0" w:after="0" w:afterAutospacing="0"/>
        <w:ind w:firstLine="403"/>
        <w:jc w:val="both"/>
        <w:rPr>
          <w:sz w:val="20"/>
          <w:szCs w:val="20"/>
        </w:rPr>
      </w:pPr>
      <w:r>
        <w:rPr>
          <w:sz w:val="20"/>
          <w:szCs w:val="20"/>
        </w:rPr>
        <w:t>The registration statements for the Company’s Initial Public Offering were declared effective on February 13, 2020. On February 19, 2020, the Company consummated the Initial Public Offering of 110,000,000 units (the</w:t>
      </w:r>
      <w:r>
        <w:rPr>
          <w:sz w:val="20"/>
          <w:szCs w:val="20"/>
        </w:rPr>
        <w:t xml:space="preserve"> “Units” and, with respect to the shares of Class A common stock included in the Units sold, the “Public Shares”), which includes the full exercise by the underwriters of the over-allotment option to purchase an additional 10,000,000 Units, at $10.00 per U</w:t>
      </w:r>
      <w:r>
        <w:rPr>
          <w:sz w:val="20"/>
          <w:szCs w:val="20"/>
        </w:rPr>
        <w:t>nit, generating gross proceeds of $1,100,000,000, which is described in Note 3.</w:t>
      </w:r>
    </w:p>
    <w:p w14:paraId="2F81F5DC" w14:textId="77777777" w:rsidR="00000000" w:rsidRDefault="006549D2">
      <w:pPr>
        <w:pStyle w:val="a3"/>
        <w:spacing w:before="0" w:beforeAutospacing="0" w:after="0" w:afterAutospacing="0"/>
        <w:ind w:left="1397" w:right="994" w:firstLine="403"/>
        <w:jc w:val="both"/>
        <w:rPr>
          <w:sz w:val="20"/>
          <w:szCs w:val="20"/>
        </w:rPr>
      </w:pPr>
      <w:r>
        <w:rPr>
          <w:sz w:val="20"/>
          <w:szCs w:val="20"/>
        </w:rPr>
        <w:t> </w:t>
      </w:r>
    </w:p>
    <w:p w14:paraId="27C1CF77" w14:textId="77777777" w:rsidR="00000000" w:rsidRDefault="006549D2">
      <w:pPr>
        <w:pStyle w:val="a3"/>
        <w:spacing w:before="0" w:beforeAutospacing="0" w:after="0" w:afterAutospacing="0"/>
        <w:ind w:firstLine="403"/>
        <w:jc w:val="both"/>
        <w:rPr>
          <w:sz w:val="20"/>
          <w:szCs w:val="20"/>
        </w:rPr>
      </w:pPr>
      <w:r>
        <w:rPr>
          <w:sz w:val="20"/>
          <w:szCs w:val="20"/>
        </w:rPr>
        <w:t>Simultaneously with the closing of the Initial Public Offering, the Company consummated the sale of 23,000,000 warrants (the “Private Placement Warrants”) at a price of $1.00</w:t>
      </w:r>
      <w:r>
        <w:rPr>
          <w:sz w:val="20"/>
          <w:szCs w:val="20"/>
        </w:rPr>
        <w:t xml:space="preserve"> per Private Placement Warrant in a private placement to Churchill Sponsor III LLC, (the “Sponsor”), generating gross proceeds of $23,000,000 which is described in Note 4.</w:t>
      </w:r>
    </w:p>
    <w:p w14:paraId="5140DA34" w14:textId="77777777" w:rsidR="00000000" w:rsidRDefault="006549D2">
      <w:pPr>
        <w:pStyle w:val="a3"/>
        <w:spacing w:before="0" w:beforeAutospacing="0" w:after="0" w:afterAutospacing="0"/>
        <w:ind w:left="1397" w:right="994" w:firstLine="403"/>
        <w:jc w:val="both"/>
        <w:rPr>
          <w:sz w:val="20"/>
          <w:szCs w:val="20"/>
        </w:rPr>
      </w:pPr>
      <w:r>
        <w:rPr>
          <w:sz w:val="20"/>
          <w:szCs w:val="20"/>
        </w:rPr>
        <w:t> </w:t>
      </w:r>
    </w:p>
    <w:p w14:paraId="3FFFCBCA" w14:textId="77777777" w:rsidR="00000000" w:rsidRDefault="006549D2">
      <w:pPr>
        <w:pStyle w:val="a3"/>
        <w:spacing w:before="0" w:beforeAutospacing="0" w:after="0" w:afterAutospacing="0"/>
        <w:ind w:firstLine="403"/>
        <w:jc w:val="both"/>
        <w:rPr>
          <w:sz w:val="20"/>
          <w:szCs w:val="20"/>
        </w:rPr>
      </w:pPr>
      <w:r>
        <w:rPr>
          <w:sz w:val="20"/>
          <w:szCs w:val="20"/>
        </w:rPr>
        <w:t>Transaction costs amounted to $57,620,020 consisting of $18,402,000 of underwritin</w:t>
      </w:r>
      <w:r>
        <w:rPr>
          <w:sz w:val="20"/>
          <w:szCs w:val="20"/>
        </w:rPr>
        <w:t>g fees, $38,500,000 of deferred underwriting fees and $718,020 of other offering costs. As of June 30, 2020, there was $2,955,367 of cash held outside of the Trust Account (as defined below) and available for working capital purposes.</w:t>
      </w:r>
    </w:p>
    <w:p w14:paraId="5339E87C" w14:textId="77777777" w:rsidR="00000000" w:rsidRDefault="006549D2">
      <w:pPr>
        <w:pStyle w:val="a3"/>
        <w:spacing w:before="0" w:beforeAutospacing="0" w:after="0" w:afterAutospacing="0"/>
        <w:ind w:firstLine="360"/>
        <w:jc w:val="both"/>
        <w:rPr>
          <w:sz w:val="20"/>
          <w:szCs w:val="20"/>
        </w:rPr>
      </w:pPr>
      <w:r>
        <w:rPr>
          <w:sz w:val="20"/>
          <w:szCs w:val="20"/>
        </w:rPr>
        <w:t> </w:t>
      </w:r>
    </w:p>
    <w:p w14:paraId="6F98D0A9" w14:textId="77777777" w:rsidR="00000000" w:rsidRDefault="006549D2">
      <w:pPr>
        <w:pStyle w:val="a3"/>
        <w:spacing w:before="0" w:beforeAutospacing="0" w:after="0" w:afterAutospacing="0"/>
        <w:ind w:firstLine="400"/>
        <w:jc w:val="both"/>
        <w:rPr>
          <w:sz w:val="20"/>
          <w:szCs w:val="20"/>
        </w:rPr>
      </w:pPr>
      <w:r>
        <w:rPr>
          <w:sz w:val="20"/>
          <w:szCs w:val="20"/>
        </w:rPr>
        <w:t>Following the closi</w:t>
      </w:r>
      <w:r>
        <w:rPr>
          <w:sz w:val="20"/>
          <w:szCs w:val="20"/>
        </w:rPr>
        <w:t>ng of the Initial Public Offering on February 19, 2020, an amount of $1,100,000,000 ($10.00 per Unit) from the net proceeds of the sale of the Units in the Initial Public Offering and the sale of the Private Placement Warrants was placed in a trust account</w:t>
      </w:r>
      <w:r>
        <w:rPr>
          <w:sz w:val="20"/>
          <w:szCs w:val="20"/>
        </w:rPr>
        <w:t xml:space="preserve"> (the “Trust Account”) located in the United States and invested only in U.S. government securities, within the meaning set forth in Section 2(a)(16) of the Investment Company Act, with a maturity of 185 days or less or in any open-ended investment company</w:t>
      </w:r>
      <w:r>
        <w:rPr>
          <w:sz w:val="20"/>
          <w:szCs w:val="20"/>
        </w:rPr>
        <w:t xml:space="preserve"> that holds itself out as a money market fund selected by the Company meeting the conditions of Rule 2a-7 of the Investment Company Act, as determined by the Company, until the earlier of: (i) the completion of a Business Combination or (ii) the distributi</w:t>
      </w:r>
      <w:r>
        <w:rPr>
          <w:sz w:val="20"/>
          <w:szCs w:val="20"/>
        </w:rPr>
        <w:t>on of the Trust Account, as described below, except that interest earned on the Trust Account can be released to the Company to fund working capital requirements, subject to an annual limit of</w:t>
      </w:r>
      <w:r>
        <w:rPr>
          <w:sz w:val="20"/>
          <w:szCs w:val="20"/>
        </w:rPr>
        <w:t> </w:t>
      </w:r>
      <w:r>
        <w:rPr>
          <w:sz w:val="20"/>
          <w:szCs w:val="20"/>
        </w:rPr>
        <w:t xml:space="preserve"> $1,000,000 and/or to pay its tax obligations.</w:t>
      </w:r>
    </w:p>
    <w:p w14:paraId="5489C7A6" w14:textId="77777777" w:rsidR="00000000" w:rsidRDefault="006549D2">
      <w:pPr>
        <w:pStyle w:val="a3"/>
        <w:spacing w:before="0" w:beforeAutospacing="0" w:after="0" w:afterAutospacing="0"/>
        <w:ind w:firstLine="403"/>
        <w:jc w:val="both"/>
        <w:rPr>
          <w:sz w:val="20"/>
          <w:szCs w:val="20"/>
        </w:rPr>
      </w:pPr>
      <w:r>
        <w:rPr>
          <w:sz w:val="20"/>
          <w:szCs w:val="20"/>
        </w:rPr>
        <w:t> </w:t>
      </w:r>
    </w:p>
    <w:p w14:paraId="44BD06A4" w14:textId="77777777" w:rsidR="00000000" w:rsidRDefault="006549D2">
      <w:pPr>
        <w:pStyle w:val="a3"/>
        <w:spacing w:before="0" w:beforeAutospacing="0" w:after="0" w:afterAutospacing="0"/>
        <w:ind w:firstLine="400"/>
        <w:jc w:val="both"/>
        <w:rPr>
          <w:sz w:val="20"/>
          <w:szCs w:val="20"/>
        </w:rPr>
      </w:pPr>
      <w:r>
        <w:rPr>
          <w:sz w:val="20"/>
          <w:szCs w:val="20"/>
        </w:rPr>
        <w:t xml:space="preserve">The Company’s </w:t>
      </w:r>
      <w:r>
        <w:rPr>
          <w:sz w:val="20"/>
          <w:szCs w:val="20"/>
        </w:rPr>
        <w:t xml:space="preserve">management has broad discretion with respect to the specific application of the net proceeds of the Initial Public Offering and the sale of the Private Placement Warrants, although substantially all of the net proceeds are intended to be applied generally </w:t>
      </w:r>
      <w:r>
        <w:rPr>
          <w:sz w:val="20"/>
          <w:szCs w:val="20"/>
        </w:rPr>
        <w:t>toward consummating a Business Combination. There is no assurance that the Company will be able to complete a Business Combination successfully. The Company’s initial Business Combination must be with one or more target businesses that together have a fair</w:t>
      </w:r>
      <w:r>
        <w:rPr>
          <w:sz w:val="20"/>
          <w:szCs w:val="20"/>
        </w:rPr>
        <w:t xml:space="preserve"> market value equal to at least 80% of the balance in the Trust Account (excluding taxes payable on interest income earned from the Trust Account and the deferred underwriting commissions) at the time of the agreement to enter into the initial Business Com</w:t>
      </w:r>
      <w:r>
        <w:rPr>
          <w:sz w:val="20"/>
          <w:szCs w:val="20"/>
        </w:rPr>
        <w:t>bination. The Company will only complete a Business Combination if the post-transaction company owns or acquires 50% or more of the outstanding voting securities of the target or otherwise acquires a controlling interest in the target sufficient for it not</w:t>
      </w:r>
      <w:r>
        <w:rPr>
          <w:sz w:val="20"/>
          <w:szCs w:val="20"/>
        </w:rPr>
        <w:t xml:space="preserve"> to be required to register as an investment company under the Investment Company Act of 1940, as amended (the “Investment Company Act”).</w:t>
      </w:r>
    </w:p>
    <w:p w14:paraId="22B4AB87" w14:textId="77777777" w:rsidR="00000000" w:rsidRDefault="006549D2">
      <w:pPr>
        <w:pStyle w:val="a3"/>
        <w:spacing w:before="0" w:beforeAutospacing="0" w:after="0" w:afterAutospacing="0"/>
        <w:ind w:firstLine="400"/>
        <w:jc w:val="both"/>
        <w:rPr>
          <w:sz w:val="20"/>
          <w:szCs w:val="20"/>
        </w:rPr>
      </w:pPr>
      <w:r>
        <w:rPr>
          <w:sz w:val="20"/>
          <w:szCs w:val="20"/>
        </w:rPr>
        <w:t> </w:t>
      </w:r>
      <w:r>
        <w:rPr>
          <w:sz w:val="20"/>
          <w:szCs w:val="20"/>
        </w:rPr>
        <w:tab/>
      </w:r>
    </w:p>
    <w:p w14:paraId="08252DBE" w14:textId="77777777" w:rsidR="00000000" w:rsidRDefault="006549D2">
      <w:pPr>
        <w:pStyle w:val="a3"/>
        <w:spacing w:before="0" w:beforeAutospacing="0" w:after="0" w:afterAutospacing="0"/>
        <w:ind w:firstLine="400"/>
        <w:jc w:val="both"/>
        <w:rPr>
          <w:sz w:val="20"/>
          <w:szCs w:val="20"/>
        </w:rPr>
      </w:pPr>
      <w:r>
        <w:rPr>
          <w:sz w:val="20"/>
          <w:szCs w:val="20"/>
        </w:rPr>
        <w:t>The Company will provide its holders of the outstanding Public Shares (the “public stockholders”) with the opportun</w:t>
      </w:r>
      <w:r>
        <w:rPr>
          <w:sz w:val="20"/>
          <w:szCs w:val="20"/>
        </w:rPr>
        <w:t>ity to redeem all or a portion of their Public Shares upon the completion of a Business Combination either (i) in connection with a stockholder meeting called to approve the Business Combination or (ii) by means of a tender offer. The decision as to whethe</w:t>
      </w:r>
      <w:r>
        <w:rPr>
          <w:sz w:val="20"/>
          <w:szCs w:val="20"/>
        </w:rPr>
        <w:t>r the Company will seek stockholder approval of a Business Combination or conduct a tender offer will be made by the Company, solely in its discretion. The public stockholders will be entitled to redeem their Public Shares for a pro rata portion of the amo</w:t>
      </w:r>
      <w:r>
        <w:rPr>
          <w:sz w:val="20"/>
          <w:szCs w:val="20"/>
        </w:rPr>
        <w:t>unt then in the Trust Account ($10.00 per Public Share, plus any pro rata interest, net of amounts withdrawn for working capital requirements, subject to an annual limit of</w:t>
      </w:r>
      <w:r>
        <w:rPr>
          <w:sz w:val="20"/>
          <w:szCs w:val="20"/>
        </w:rPr>
        <w:t> </w:t>
      </w:r>
      <w:r>
        <w:rPr>
          <w:sz w:val="20"/>
          <w:szCs w:val="20"/>
        </w:rPr>
        <w:t xml:space="preserve"> $1,000,000 and/or to pay its taxes (“permitted withdrawals”)). The per-share amoun</w:t>
      </w:r>
      <w:r>
        <w:rPr>
          <w:sz w:val="20"/>
          <w:szCs w:val="20"/>
        </w:rPr>
        <w:t>t to be distributed to public stockholders who redeem their Public Shares will not be reduced by the deferred underwriting commissions the Company will pay to the underwriters (as discussed in Note 6). There will be no redemption rights upon the completion</w:t>
      </w:r>
      <w:r>
        <w:rPr>
          <w:sz w:val="20"/>
          <w:szCs w:val="20"/>
        </w:rPr>
        <w:t xml:space="preserve"> of a Business Combination with respect to the Company’s warrants.</w:t>
      </w:r>
    </w:p>
    <w:p w14:paraId="15588162" w14:textId="77777777" w:rsidR="00000000" w:rsidRDefault="006549D2">
      <w:pPr>
        <w:pStyle w:val="a3"/>
        <w:spacing w:before="0" w:beforeAutospacing="0" w:after="0" w:afterAutospacing="0"/>
        <w:ind w:firstLine="40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EC746A5" w14:textId="77777777">
        <w:trPr>
          <w:divId w:val="725301421"/>
        </w:trPr>
        <w:tc>
          <w:tcPr>
            <w:tcW w:w="1650" w:type="pct"/>
            <w:hideMark/>
          </w:tcPr>
          <w:p w14:paraId="7F683848" w14:textId="77777777" w:rsidR="00000000" w:rsidRDefault="006549D2">
            <w:pPr>
              <w:rPr>
                <w:rFonts w:eastAsia="Times New Roman"/>
                <w:sz w:val="20"/>
                <w:szCs w:val="20"/>
              </w:rPr>
            </w:pPr>
            <w:r>
              <w:rPr>
                <w:rFonts w:eastAsia="Times New Roman"/>
                <w:sz w:val="20"/>
                <w:szCs w:val="20"/>
              </w:rPr>
              <w:t> </w:t>
            </w:r>
          </w:p>
        </w:tc>
        <w:tc>
          <w:tcPr>
            <w:tcW w:w="1700" w:type="pct"/>
            <w:hideMark/>
          </w:tcPr>
          <w:p w14:paraId="5C441E63" w14:textId="77777777" w:rsidR="00000000" w:rsidRDefault="006549D2">
            <w:pPr>
              <w:jc w:val="center"/>
              <w:rPr>
                <w:rFonts w:eastAsia="Times New Roman"/>
                <w:sz w:val="20"/>
                <w:szCs w:val="20"/>
              </w:rPr>
            </w:pPr>
            <w:r>
              <w:rPr>
                <w:rFonts w:eastAsia="Times New Roman"/>
                <w:sz w:val="20"/>
                <w:szCs w:val="20"/>
              </w:rPr>
              <w:t>5</w:t>
            </w:r>
          </w:p>
        </w:tc>
        <w:tc>
          <w:tcPr>
            <w:tcW w:w="1650" w:type="pct"/>
            <w:hideMark/>
          </w:tcPr>
          <w:p w14:paraId="3C4E9C19" w14:textId="77777777" w:rsidR="00000000" w:rsidRDefault="006549D2">
            <w:pPr>
              <w:jc w:val="right"/>
              <w:rPr>
                <w:rFonts w:eastAsia="Times New Roman"/>
                <w:sz w:val="20"/>
                <w:szCs w:val="20"/>
              </w:rPr>
            </w:pPr>
            <w:r>
              <w:rPr>
                <w:rFonts w:eastAsia="Times New Roman"/>
                <w:sz w:val="20"/>
                <w:szCs w:val="20"/>
              </w:rPr>
              <w:t> </w:t>
            </w:r>
          </w:p>
        </w:tc>
      </w:tr>
    </w:tbl>
    <w:p w14:paraId="2DEE006F" w14:textId="77777777" w:rsidR="00000000" w:rsidRDefault="006549D2">
      <w:pPr>
        <w:pStyle w:val="a3"/>
        <w:pageBreakBefore/>
        <w:spacing w:before="0" w:beforeAutospacing="0" w:after="0" w:afterAutospacing="0"/>
        <w:divId w:val="1626234935"/>
        <w:rPr>
          <w:sz w:val="20"/>
          <w:szCs w:val="20"/>
        </w:rPr>
      </w:pPr>
      <w:r>
        <w:rPr>
          <w:sz w:val="20"/>
          <w:szCs w:val="20"/>
        </w:rPr>
        <w:t> </w:t>
      </w:r>
    </w:p>
    <w:p w14:paraId="1E9369A9" w14:textId="77777777" w:rsidR="00000000" w:rsidRDefault="006549D2">
      <w:pPr>
        <w:pStyle w:val="a3"/>
        <w:spacing w:before="0" w:beforeAutospacing="0" w:after="0" w:afterAutospacing="0"/>
        <w:ind w:firstLine="400"/>
        <w:jc w:val="both"/>
        <w:rPr>
          <w:sz w:val="20"/>
          <w:szCs w:val="20"/>
        </w:rPr>
      </w:pPr>
      <w:r>
        <w:rPr>
          <w:sz w:val="20"/>
          <w:szCs w:val="20"/>
        </w:rPr>
        <w:t> </w:t>
      </w:r>
    </w:p>
    <w:p w14:paraId="184928E0" w14:textId="77777777" w:rsidR="00000000" w:rsidRDefault="006549D2">
      <w:pPr>
        <w:pStyle w:val="a3"/>
        <w:spacing w:before="0" w:beforeAutospacing="0" w:after="0" w:afterAutospacing="0"/>
        <w:jc w:val="center"/>
        <w:rPr>
          <w:sz w:val="20"/>
          <w:szCs w:val="20"/>
        </w:rPr>
      </w:pPr>
      <w:r>
        <w:rPr>
          <w:b/>
          <w:bCs/>
          <w:sz w:val="20"/>
          <w:szCs w:val="20"/>
        </w:rPr>
        <w:t>CHURCHILL CAPITAL CORP III</w:t>
      </w:r>
    </w:p>
    <w:p w14:paraId="49B1E0DB" w14:textId="77777777" w:rsidR="00000000" w:rsidRDefault="006549D2">
      <w:pPr>
        <w:pStyle w:val="a3"/>
        <w:spacing w:before="0" w:beforeAutospacing="0" w:after="0" w:afterAutospacing="0"/>
        <w:jc w:val="center"/>
        <w:rPr>
          <w:sz w:val="20"/>
          <w:szCs w:val="20"/>
        </w:rPr>
      </w:pPr>
      <w:r>
        <w:rPr>
          <w:b/>
          <w:bCs/>
          <w:sz w:val="20"/>
          <w:szCs w:val="20"/>
        </w:rPr>
        <w:t>NOTES TO CONDENSED FINANCIAL STATEMENTS</w:t>
      </w:r>
    </w:p>
    <w:p w14:paraId="480C1656" w14:textId="77777777" w:rsidR="00000000" w:rsidRDefault="006549D2">
      <w:pPr>
        <w:pStyle w:val="a3"/>
        <w:spacing w:before="0" w:beforeAutospacing="0" w:after="0" w:afterAutospacing="0"/>
        <w:jc w:val="center"/>
        <w:rPr>
          <w:sz w:val="20"/>
          <w:szCs w:val="20"/>
        </w:rPr>
      </w:pPr>
      <w:r>
        <w:rPr>
          <w:b/>
          <w:bCs/>
          <w:sz w:val="20"/>
          <w:szCs w:val="20"/>
        </w:rPr>
        <w:t>JUNE 30, 2020</w:t>
      </w:r>
    </w:p>
    <w:p w14:paraId="12C1C6D9" w14:textId="77777777" w:rsidR="00000000" w:rsidRDefault="006549D2">
      <w:pPr>
        <w:pStyle w:val="a3"/>
        <w:spacing w:before="0" w:beforeAutospacing="0" w:after="0" w:afterAutospacing="0"/>
        <w:jc w:val="center"/>
        <w:rPr>
          <w:sz w:val="20"/>
          <w:szCs w:val="20"/>
        </w:rPr>
      </w:pPr>
      <w:r>
        <w:rPr>
          <w:b/>
          <w:bCs/>
          <w:sz w:val="20"/>
          <w:szCs w:val="20"/>
        </w:rPr>
        <w:t>(Unaudited)</w:t>
      </w:r>
    </w:p>
    <w:p w14:paraId="2EF631FF" w14:textId="77777777" w:rsidR="00000000" w:rsidRDefault="006549D2">
      <w:pPr>
        <w:pStyle w:val="a3"/>
        <w:spacing w:before="0" w:beforeAutospacing="0" w:after="0" w:afterAutospacing="0"/>
        <w:jc w:val="center"/>
        <w:rPr>
          <w:sz w:val="20"/>
          <w:szCs w:val="20"/>
        </w:rPr>
      </w:pPr>
      <w:r>
        <w:rPr>
          <w:sz w:val="20"/>
          <w:szCs w:val="20"/>
        </w:rPr>
        <w:t> </w:t>
      </w:r>
    </w:p>
    <w:p w14:paraId="35E8E232" w14:textId="77777777" w:rsidR="00000000" w:rsidRDefault="006549D2">
      <w:pPr>
        <w:pStyle w:val="a3"/>
        <w:spacing w:before="0" w:beforeAutospacing="0" w:after="0" w:afterAutospacing="0"/>
        <w:ind w:firstLine="400"/>
        <w:jc w:val="both"/>
        <w:rPr>
          <w:sz w:val="20"/>
          <w:szCs w:val="20"/>
        </w:rPr>
      </w:pPr>
      <w:r>
        <w:rPr>
          <w:sz w:val="20"/>
          <w:szCs w:val="20"/>
        </w:rPr>
        <w:t xml:space="preserve">The Company will proceed </w:t>
      </w:r>
      <w:r>
        <w:rPr>
          <w:sz w:val="20"/>
          <w:szCs w:val="20"/>
        </w:rPr>
        <w:t>with a Business Combination if the Company has net tangible assets of at least $5,000,001 upon such consummation of a Business Combination and, if the Company seeks stockholder approval, a majority of the shares voted are voted in favor of the Business Com</w:t>
      </w:r>
      <w:r>
        <w:rPr>
          <w:sz w:val="20"/>
          <w:szCs w:val="20"/>
        </w:rPr>
        <w:t>bination. If a stockholder vote is not required by law or stock exchange requirements and the Company does not decide to hold a stockholder vote for business or other legal reasons, the Company will, pursuant to its Amended and Restated Certificate of Inco</w:t>
      </w:r>
      <w:r>
        <w:rPr>
          <w:sz w:val="20"/>
          <w:szCs w:val="20"/>
        </w:rPr>
        <w:t>rporation (the “Amended and Restated Certificate of Incorporation”), conduct the redemptions pursuant to the tender offer rules of the U.S. Securities and Exchange Commission (“SEC”) and file tender offer documents with the SEC prior to completing a Busine</w:t>
      </w:r>
      <w:r>
        <w:rPr>
          <w:sz w:val="20"/>
          <w:szCs w:val="20"/>
        </w:rPr>
        <w:t>ss Combination. If, however, stockholder approval of the transaction is required by law, or the Company decides to obtain stockholder approval for business or legal reasons, the Company will offer to redeem shares in conjunction with a proxy solicitation p</w:t>
      </w:r>
      <w:r>
        <w:rPr>
          <w:sz w:val="20"/>
          <w:szCs w:val="20"/>
        </w:rPr>
        <w:t>ursuant to the proxy rules and not pursuant to the tender offer rules. If the Company seeks stockholder approval in connection with a Business Combination, the Company’s Sponsor and its permitted transferees have agreed to vote their Founder Shares (as def</w:t>
      </w:r>
      <w:r>
        <w:rPr>
          <w:sz w:val="20"/>
          <w:szCs w:val="20"/>
        </w:rPr>
        <w:t>ined in Note 5) and any Public Shares purchased during or after the Initial Public Offering in favor of approving a Business Combination. Additionally, each public stockholder may elect to redeem their Public Shares irrespective of whether they vote for or</w:t>
      </w:r>
      <w:r>
        <w:rPr>
          <w:sz w:val="20"/>
          <w:szCs w:val="20"/>
        </w:rPr>
        <w:t xml:space="preserve"> against the proposed transaction.</w:t>
      </w:r>
    </w:p>
    <w:p w14:paraId="423A7AD8" w14:textId="77777777" w:rsidR="00000000" w:rsidRDefault="006549D2">
      <w:pPr>
        <w:pStyle w:val="a3"/>
        <w:spacing w:before="0" w:beforeAutospacing="0" w:after="0" w:afterAutospacing="0"/>
        <w:ind w:firstLine="400"/>
        <w:jc w:val="both"/>
        <w:rPr>
          <w:sz w:val="20"/>
          <w:szCs w:val="20"/>
        </w:rPr>
      </w:pPr>
      <w:r>
        <w:rPr>
          <w:sz w:val="20"/>
          <w:szCs w:val="20"/>
        </w:rPr>
        <w:t> </w:t>
      </w:r>
    </w:p>
    <w:p w14:paraId="588792C6" w14:textId="77777777" w:rsidR="00000000" w:rsidRDefault="006549D2">
      <w:pPr>
        <w:pStyle w:val="a3"/>
        <w:spacing w:before="0" w:beforeAutospacing="0" w:after="0" w:afterAutospacing="0"/>
        <w:ind w:firstLine="400"/>
        <w:jc w:val="both"/>
        <w:rPr>
          <w:sz w:val="20"/>
          <w:szCs w:val="20"/>
        </w:rPr>
      </w:pPr>
      <w:r>
        <w:rPr>
          <w:sz w:val="20"/>
          <w:szCs w:val="20"/>
        </w:rPr>
        <w:t>If the Company seeks stockholder approval of a Business Combination and it does not conduct redemptions pursuant to the tender offer rules, the Amended and Restated Certificate of Incorporation provides that a public st</w:t>
      </w:r>
      <w:r>
        <w:rPr>
          <w:sz w:val="20"/>
          <w:szCs w:val="20"/>
        </w:rPr>
        <w:t>ockholder, together with any affiliate of such stockholder or any other person with whom such stockholder is acting in concert or as a “group” (as defined under Section 13 of the Securities Exchange Act of 1934, as amended (the “Exchange Act”), will be res</w:t>
      </w:r>
      <w:r>
        <w:rPr>
          <w:sz w:val="20"/>
          <w:szCs w:val="20"/>
        </w:rPr>
        <w:t>tricted from redeeming its shares with respect to more than an aggregate of 15% or more of the Public Shares, without the prior consent of the Company.</w:t>
      </w:r>
    </w:p>
    <w:p w14:paraId="64169BC1" w14:textId="77777777" w:rsidR="00000000" w:rsidRDefault="006549D2">
      <w:pPr>
        <w:pStyle w:val="a3"/>
        <w:spacing w:before="0" w:beforeAutospacing="0" w:after="0" w:afterAutospacing="0"/>
        <w:ind w:firstLine="400"/>
        <w:jc w:val="both"/>
        <w:rPr>
          <w:sz w:val="20"/>
          <w:szCs w:val="20"/>
        </w:rPr>
      </w:pPr>
      <w:r>
        <w:rPr>
          <w:sz w:val="20"/>
          <w:szCs w:val="20"/>
        </w:rPr>
        <w:t> </w:t>
      </w:r>
    </w:p>
    <w:p w14:paraId="5262358C" w14:textId="77777777" w:rsidR="00000000" w:rsidRDefault="006549D2">
      <w:pPr>
        <w:pStyle w:val="a3"/>
        <w:spacing w:before="0" w:beforeAutospacing="0" w:after="0" w:afterAutospacing="0"/>
        <w:ind w:firstLine="400"/>
        <w:jc w:val="both"/>
        <w:rPr>
          <w:sz w:val="20"/>
          <w:szCs w:val="20"/>
        </w:rPr>
      </w:pPr>
      <w:r>
        <w:rPr>
          <w:sz w:val="20"/>
          <w:szCs w:val="20"/>
        </w:rPr>
        <w:t>The Sponsor has agreed (a) to waive its redemption rights with respect to its Founder Shares and Publi</w:t>
      </w:r>
      <w:r>
        <w:rPr>
          <w:sz w:val="20"/>
          <w:szCs w:val="20"/>
        </w:rPr>
        <w:t>c Shares held by it in connection with the completion of a Business Combination, (b) to waive its rights to liquidating distributions from the Trust Account with respect to its Founder Shares if the Company fails to consummate a Business Combination within</w:t>
      </w:r>
      <w:r>
        <w:rPr>
          <w:sz w:val="20"/>
          <w:szCs w:val="20"/>
        </w:rPr>
        <w:t xml:space="preserve"> the Combination Window (as defined below) and (c) not to propose an amendment to the Company’s Amended and Restated Certificate of Incorporation that would affect the substance or timing of the Company’s obligation to redeem 100% of its Public Shares if t</w:t>
      </w:r>
      <w:r>
        <w:rPr>
          <w:sz w:val="20"/>
          <w:szCs w:val="20"/>
        </w:rPr>
        <w:t>he Company does not complete a Business Combination, unless the Company provides the public stockholders with the opportunity to redeem their shares in conjunction with any such amendment.</w:t>
      </w:r>
    </w:p>
    <w:p w14:paraId="1CAD0E0F" w14:textId="77777777" w:rsidR="00000000" w:rsidRDefault="006549D2">
      <w:pPr>
        <w:pStyle w:val="a3"/>
        <w:spacing w:before="0" w:beforeAutospacing="0" w:after="0" w:afterAutospacing="0"/>
        <w:ind w:firstLine="400"/>
        <w:jc w:val="both"/>
        <w:rPr>
          <w:sz w:val="20"/>
          <w:szCs w:val="20"/>
        </w:rPr>
      </w:pPr>
      <w:r>
        <w:rPr>
          <w:sz w:val="20"/>
          <w:szCs w:val="20"/>
        </w:rPr>
        <w:t> </w:t>
      </w:r>
    </w:p>
    <w:p w14:paraId="360112E4" w14:textId="77777777" w:rsidR="00000000" w:rsidRDefault="006549D2">
      <w:pPr>
        <w:pStyle w:val="a3"/>
        <w:spacing w:before="0" w:beforeAutospacing="0" w:after="0" w:afterAutospacing="0"/>
        <w:ind w:firstLine="400"/>
        <w:jc w:val="both"/>
        <w:rPr>
          <w:sz w:val="20"/>
          <w:szCs w:val="20"/>
        </w:rPr>
      </w:pPr>
      <w:r>
        <w:rPr>
          <w:sz w:val="20"/>
          <w:szCs w:val="20"/>
        </w:rPr>
        <w:t>If the Company is unable to complete a Business Combination by Fe</w:t>
      </w:r>
      <w:r>
        <w:rPr>
          <w:sz w:val="20"/>
          <w:szCs w:val="20"/>
        </w:rPr>
        <w:t>bruary 19, 2022 (or May 19, 2022 if the Company has an executed letter of intent, agreement in principle or definitive agreement for a Business Combination by February 19, 2022) (the “Combination Window”), the Company will (i) cease all operations except f</w:t>
      </w:r>
      <w:r>
        <w:rPr>
          <w:sz w:val="20"/>
          <w:szCs w:val="20"/>
        </w:rPr>
        <w:t>or the purpose of winding up, (ii) as promptly as reasonably possible but not more than ten business days thereafter, redeem the Public Shares, at a per-share price, payable in cash, equal to the aggregate amount then on deposit in the Trust Account includ</w:t>
      </w:r>
      <w:r>
        <w:rPr>
          <w:sz w:val="20"/>
          <w:szCs w:val="20"/>
        </w:rPr>
        <w:t>ing interest (net of permitted withdrawals and up to $100,000 to pay dissolution expenses), divided by the number of then outstanding Public Shares, which redemption will completely extinguish public stockholders’ rights as stockholders (including the righ</w:t>
      </w:r>
      <w:r>
        <w:rPr>
          <w:sz w:val="20"/>
          <w:szCs w:val="20"/>
        </w:rPr>
        <w:t>t to receive further liquidating distributions, if any), subject to applicable law, and (iii) as promptly as reasonably possible following such redemption, subject to the approval of the Company’s remaining stockholders and the Company’s board of directors</w:t>
      </w:r>
      <w:r>
        <w:rPr>
          <w:sz w:val="20"/>
          <w:szCs w:val="20"/>
        </w:rPr>
        <w:t xml:space="preserve">, dissolve and liquidate, subject in each case to the Company’s obligations under Delaware law to provide for claims of creditors and the requirements of other applicable law. There will be no redemption rights or liquidating distributions with respect to </w:t>
      </w:r>
      <w:r>
        <w:rPr>
          <w:sz w:val="20"/>
          <w:szCs w:val="20"/>
        </w:rPr>
        <w:t>the Company’s warrants, which will expire worthless if the Company fails to complete a Business Combination within the Combination Window.</w:t>
      </w:r>
    </w:p>
    <w:p w14:paraId="623E8C91" w14:textId="77777777" w:rsidR="00000000" w:rsidRDefault="006549D2">
      <w:pPr>
        <w:pStyle w:val="a3"/>
        <w:spacing w:before="0" w:beforeAutospacing="0" w:after="0" w:afterAutospacing="0"/>
        <w:ind w:firstLine="400"/>
        <w:jc w:val="both"/>
        <w:rPr>
          <w:sz w:val="20"/>
          <w:szCs w:val="20"/>
        </w:rPr>
      </w:pPr>
      <w:r>
        <w:rPr>
          <w:sz w:val="20"/>
          <w:szCs w:val="20"/>
        </w:rPr>
        <w:t> </w:t>
      </w:r>
    </w:p>
    <w:p w14:paraId="14A38B6B" w14:textId="77777777" w:rsidR="00000000" w:rsidRDefault="006549D2">
      <w:pPr>
        <w:pStyle w:val="a3"/>
        <w:spacing w:before="0" w:beforeAutospacing="0" w:after="0" w:afterAutospacing="0"/>
        <w:ind w:firstLine="400"/>
        <w:jc w:val="both"/>
        <w:rPr>
          <w:sz w:val="20"/>
          <w:szCs w:val="20"/>
        </w:rPr>
      </w:pPr>
      <w:r>
        <w:rPr>
          <w:sz w:val="20"/>
          <w:szCs w:val="20"/>
        </w:rPr>
        <w:t xml:space="preserve">The Sponsor has agreed </w:t>
      </w:r>
      <w:r>
        <w:rPr>
          <w:sz w:val="20"/>
          <w:szCs w:val="20"/>
        </w:rPr>
        <w:t xml:space="preserve">to waive its right to liquidating distributions from the Trust Account with respect to the Founder Shares if the Company fails to complete a Business Combination within the Combination Window. However, if the Sponsor acquires Public Shares in or after the </w:t>
      </w:r>
      <w:r>
        <w:rPr>
          <w:sz w:val="20"/>
          <w:szCs w:val="20"/>
        </w:rPr>
        <w:t>Initial Public Offering, such Public Shares will be entitled to liquidating distributions from the Trust Account if the Company fails to complete a Business Combination within the Combination Window. The underwriters have agreed to waive their rights to th</w:t>
      </w:r>
      <w:r>
        <w:rPr>
          <w:sz w:val="20"/>
          <w:szCs w:val="20"/>
        </w:rPr>
        <w:t>eir deferred underwriting commission (see Note 6) held in the Trust Account in the event the Company does not complete a Business Combination within the Combination Window and, in such event, such amounts will be included with the other funds held in the T</w:t>
      </w:r>
      <w:r>
        <w:rPr>
          <w:sz w:val="20"/>
          <w:szCs w:val="20"/>
        </w:rPr>
        <w:t>rust Account that will be available to fund the redemption of the Public Shares. In the event of such distribution, it is possible that the per share value of the assets remaining available for distribution will be less than the Initial Public Offering pri</w:t>
      </w:r>
      <w:r>
        <w:rPr>
          <w:sz w:val="20"/>
          <w:szCs w:val="20"/>
        </w:rPr>
        <w:t>ce per Unit ($10.00).</w:t>
      </w:r>
    </w:p>
    <w:p w14:paraId="61283B32" w14:textId="77777777" w:rsidR="00000000" w:rsidRDefault="006549D2">
      <w:pPr>
        <w:pStyle w:val="a3"/>
        <w:spacing w:before="0" w:beforeAutospacing="0" w:after="0" w:afterAutospacing="0"/>
        <w:ind w:firstLine="400"/>
        <w:jc w:val="both"/>
        <w:rPr>
          <w:sz w:val="20"/>
          <w:szCs w:val="20"/>
        </w:rPr>
      </w:pPr>
      <w:r>
        <w:rPr>
          <w:sz w:val="20"/>
          <w:szCs w:val="20"/>
        </w:rPr>
        <w:t>  </w:t>
      </w:r>
    </w:p>
    <w:p w14:paraId="5F73D743" w14:textId="77777777" w:rsidR="00000000" w:rsidRDefault="006549D2">
      <w:pPr>
        <w:pStyle w:val="a3"/>
        <w:spacing w:before="0" w:beforeAutospacing="0" w:after="0" w:afterAutospacing="0"/>
        <w:ind w:firstLine="403"/>
        <w:jc w:val="both"/>
        <w:rPr>
          <w:sz w:val="20"/>
          <w:szCs w:val="20"/>
        </w:rPr>
      </w:pPr>
      <w:r>
        <w:rPr>
          <w:sz w:val="20"/>
          <w:szCs w:val="20"/>
        </w:rPr>
        <w:t>In order to protect the amounts held in the Trust Account, the Sponsor has agreed to be liable to the Company if and to the extent any claims by a third party (other than the Company’s independent registered public accounting firm)</w:t>
      </w:r>
      <w:r>
        <w:rPr>
          <w:sz w:val="20"/>
          <w:szCs w:val="20"/>
        </w:rPr>
        <w:t xml:space="preserve"> for services rendered or products sold to the Company, or a prospective target business with which the Company has entered into a written letter of intent, confidentiality or similar agreement, reduce the amount of funds in the Trust Account to below (i) </w:t>
      </w:r>
      <w:r>
        <w:rPr>
          <w:sz w:val="20"/>
          <w:szCs w:val="20"/>
        </w:rPr>
        <w:t>$10.00 per Public Share or (ii) the amount per Public Share held in the Trust Account as of the liquidation of the Trust Account, if less than $10.00 per Public Share due to reductions in the value of the trust assets, in each case net of permitted withdra</w:t>
      </w:r>
      <w:r>
        <w:rPr>
          <w:sz w:val="20"/>
          <w:szCs w:val="20"/>
        </w:rPr>
        <w:t>wals. This liability will not apply with respect to any claims by a third party who executed a waiver of any and all rights to seek access to the Trust Account or to any claims under the Company’s indemnity of the underwriters of the Initial Public Offerin</w:t>
      </w:r>
      <w:r>
        <w:rPr>
          <w:sz w:val="20"/>
          <w:szCs w:val="20"/>
        </w:rPr>
        <w:t>g against certain liabilities, including liabilities under the Securities Act of 1933, as amended (the “Securities Act”). Moreover, in the event that an executed waiver is deemed to be unenforceable against a third party, the Sponsor will not be responsibl</w:t>
      </w:r>
      <w:r>
        <w:rPr>
          <w:sz w:val="20"/>
          <w:szCs w:val="20"/>
        </w:rPr>
        <w:t>e to the extent of any liability for such third-party claims. The Company will seek to reduce the possibility that the Sponsor will have to indemnify the Trust Account due to claims of creditors by endeavoring to have all vendors, service providers, prospe</w:t>
      </w:r>
      <w:r>
        <w:rPr>
          <w:sz w:val="20"/>
          <w:szCs w:val="20"/>
        </w:rPr>
        <w:t>ctive target businesses or other entities with which the Company does business, execute agreements with the Company waiving any right, title, interest or claim of any kind in or to monies held in the Trust Account.</w:t>
      </w:r>
    </w:p>
    <w:p w14:paraId="7A1606F8" w14:textId="77777777" w:rsidR="00000000" w:rsidRDefault="006549D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099776A" w14:textId="77777777">
        <w:trPr>
          <w:divId w:val="1045178372"/>
        </w:trPr>
        <w:tc>
          <w:tcPr>
            <w:tcW w:w="1650" w:type="pct"/>
            <w:hideMark/>
          </w:tcPr>
          <w:p w14:paraId="3A164BEF" w14:textId="77777777" w:rsidR="00000000" w:rsidRDefault="006549D2">
            <w:pPr>
              <w:rPr>
                <w:rFonts w:eastAsia="Times New Roman"/>
                <w:sz w:val="20"/>
                <w:szCs w:val="20"/>
              </w:rPr>
            </w:pPr>
            <w:r>
              <w:rPr>
                <w:rFonts w:eastAsia="Times New Roman"/>
                <w:sz w:val="20"/>
                <w:szCs w:val="20"/>
              </w:rPr>
              <w:t> </w:t>
            </w:r>
          </w:p>
        </w:tc>
        <w:tc>
          <w:tcPr>
            <w:tcW w:w="1700" w:type="pct"/>
            <w:hideMark/>
          </w:tcPr>
          <w:p w14:paraId="046BE2C6" w14:textId="77777777" w:rsidR="00000000" w:rsidRDefault="006549D2">
            <w:pPr>
              <w:jc w:val="center"/>
              <w:rPr>
                <w:rFonts w:eastAsia="Times New Roman"/>
                <w:sz w:val="20"/>
                <w:szCs w:val="20"/>
              </w:rPr>
            </w:pPr>
            <w:r>
              <w:rPr>
                <w:rFonts w:eastAsia="Times New Roman"/>
                <w:sz w:val="20"/>
                <w:szCs w:val="20"/>
              </w:rPr>
              <w:t>6</w:t>
            </w:r>
          </w:p>
        </w:tc>
        <w:tc>
          <w:tcPr>
            <w:tcW w:w="1650" w:type="pct"/>
            <w:hideMark/>
          </w:tcPr>
          <w:p w14:paraId="39E77C54" w14:textId="77777777" w:rsidR="00000000" w:rsidRDefault="006549D2">
            <w:pPr>
              <w:jc w:val="right"/>
              <w:rPr>
                <w:rFonts w:eastAsia="Times New Roman"/>
                <w:sz w:val="20"/>
                <w:szCs w:val="20"/>
              </w:rPr>
            </w:pPr>
            <w:r>
              <w:rPr>
                <w:rFonts w:eastAsia="Times New Roman"/>
                <w:sz w:val="20"/>
                <w:szCs w:val="20"/>
              </w:rPr>
              <w:t> </w:t>
            </w:r>
          </w:p>
        </w:tc>
      </w:tr>
    </w:tbl>
    <w:p w14:paraId="1A86C945" w14:textId="77777777" w:rsidR="00000000" w:rsidRDefault="006549D2">
      <w:pPr>
        <w:pStyle w:val="a3"/>
        <w:pageBreakBefore/>
        <w:spacing w:before="0" w:beforeAutospacing="0" w:after="0" w:afterAutospacing="0"/>
        <w:divId w:val="1017465873"/>
        <w:rPr>
          <w:sz w:val="20"/>
          <w:szCs w:val="20"/>
        </w:rPr>
      </w:pPr>
      <w:r>
        <w:rPr>
          <w:sz w:val="20"/>
          <w:szCs w:val="20"/>
        </w:rPr>
        <w:t> </w:t>
      </w:r>
    </w:p>
    <w:p w14:paraId="3FE4128A" w14:textId="77777777" w:rsidR="00000000" w:rsidRDefault="006549D2">
      <w:pPr>
        <w:pStyle w:val="a3"/>
        <w:spacing w:before="0" w:beforeAutospacing="0" w:after="0" w:afterAutospacing="0"/>
        <w:jc w:val="both"/>
        <w:rPr>
          <w:sz w:val="20"/>
          <w:szCs w:val="20"/>
        </w:rPr>
      </w:pPr>
      <w:r>
        <w:rPr>
          <w:sz w:val="20"/>
          <w:szCs w:val="20"/>
        </w:rPr>
        <w:t> </w:t>
      </w:r>
    </w:p>
    <w:p w14:paraId="2BA81F7F" w14:textId="77777777" w:rsidR="00000000" w:rsidRDefault="006549D2">
      <w:pPr>
        <w:pStyle w:val="a3"/>
        <w:spacing w:before="0" w:beforeAutospacing="0" w:after="0" w:afterAutospacing="0"/>
        <w:jc w:val="center"/>
        <w:rPr>
          <w:sz w:val="20"/>
          <w:szCs w:val="20"/>
        </w:rPr>
      </w:pPr>
      <w:r>
        <w:rPr>
          <w:b/>
          <w:bCs/>
          <w:sz w:val="20"/>
          <w:szCs w:val="20"/>
        </w:rPr>
        <w:t>CHURCHILL CAPITAL CORP III</w:t>
      </w:r>
    </w:p>
    <w:p w14:paraId="6BCD27BF" w14:textId="77777777" w:rsidR="00000000" w:rsidRDefault="006549D2">
      <w:pPr>
        <w:pStyle w:val="a3"/>
        <w:spacing w:before="0" w:beforeAutospacing="0" w:after="0" w:afterAutospacing="0"/>
        <w:jc w:val="center"/>
        <w:rPr>
          <w:sz w:val="20"/>
          <w:szCs w:val="20"/>
        </w:rPr>
      </w:pPr>
      <w:r>
        <w:rPr>
          <w:b/>
          <w:bCs/>
          <w:sz w:val="20"/>
          <w:szCs w:val="20"/>
        </w:rPr>
        <w:t>N</w:t>
      </w:r>
      <w:r>
        <w:rPr>
          <w:b/>
          <w:bCs/>
          <w:sz w:val="20"/>
          <w:szCs w:val="20"/>
        </w:rPr>
        <w:t>OTES TO CONDENSED FINANCIAL STATEMENTS</w:t>
      </w:r>
    </w:p>
    <w:p w14:paraId="387AB7B5" w14:textId="77777777" w:rsidR="00000000" w:rsidRDefault="006549D2">
      <w:pPr>
        <w:pStyle w:val="a3"/>
        <w:spacing w:before="0" w:beforeAutospacing="0" w:after="0" w:afterAutospacing="0"/>
        <w:jc w:val="center"/>
        <w:rPr>
          <w:sz w:val="20"/>
          <w:szCs w:val="20"/>
        </w:rPr>
      </w:pPr>
      <w:r>
        <w:rPr>
          <w:b/>
          <w:bCs/>
          <w:sz w:val="20"/>
          <w:szCs w:val="20"/>
        </w:rPr>
        <w:t>JUNE 30, 2020</w:t>
      </w:r>
    </w:p>
    <w:p w14:paraId="56E67531" w14:textId="77777777" w:rsidR="00000000" w:rsidRDefault="006549D2">
      <w:pPr>
        <w:pStyle w:val="a3"/>
        <w:spacing w:before="0" w:beforeAutospacing="0" w:after="0" w:afterAutospacing="0"/>
        <w:jc w:val="center"/>
        <w:rPr>
          <w:sz w:val="20"/>
          <w:szCs w:val="20"/>
        </w:rPr>
      </w:pPr>
      <w:r>
        <w:rPr>
          <w:b/>
          <w:bCs/>
          <w:sz w:val="20"/>
          <w:szCs w:val="20"/>
        </w:rPr>
        <w:t>(Unaudited)</w:t>
      </w:r>
    </w:p>
    <w:p w14:paraId="622ABBDB" w14:textId="77777777" w:rsidR="00000000" w:rsidRDefault="006549D2">
      <w:pPr>
        <w:pStyle w:val="a3"/>
        <w:spacing w:before="0" w:beforeAutospacing="0" w:after="0" w:afterAutospacing="0"/>
        <w:jc w:val="both"/>
        <w:rPr>
          <w:sz w:val="20"/>
          <w:szCs w:val="20"/>
        </w:rPr>
      </w:pPr>
      <w:r>
        <w:rPr>
          <w:sz w:val="20"/>
          <w:szCs w:val="20"/>
        </w:rPr>
        <w:t> </w:t>
      </w:r>
    </w:p>
    <w:p w14:paraId="1C759F58" w14:textId="77777777" w:rsidR="00000000" w:rsidRDefault="006549D2">
      <w:pPr>
        <w:pStyle w:val="a3"/>
        <w:spacing w:before="0" w:beforeAutospacing="0" w:after="0" w:afterAutospacing="0"/>
        <w:jc w:val="both"/>
        <w:rPr>
          <w:sz w:val="20"/>
          <w:szCs w:val="20"/>
        </w:rPr>
      </w:pPr>
      <w:r>
        <w:rPr>
          <w:b/>
          <w:bCs/>
          <w:sz w:val="20"/>
          <w:szCs w:val="20"/>
        </w:rPr>
        <w:t>NOTE 2. SUMMARY OF SIGNIFICANT ACCOUNTING POLICIES</w:t>
      </w:r>
    </w:p>
    <w:p w14:paraId="676EC430" w14:textId="77777777" w:rsidR="00000000" w:rsidRDefault="006549D2">
      <w:pPr>
        <w:pStyle w:val="a3"/>
        <w:spacing w:before="0" w:beforeAutospacing="0" w:after="0" w:afterAutospacing="0"/>
        <w:ind w:left="1400" w:right="996"/>
        <w:jc w:val="both"/>
        <w:rPr>
          <w:sz w:val="20"/>
          <w:szCs w:val="20"/>
        </w:rPr>
      </w:pPr>
      <w:r>
        <w:rPr>
          <w:b/>
          <w:bCs/>
          <w:sz w:val="20"/>
          <w:szCs w:val="20"/>
        </w:rPr>
        <w:t> </w:t>
      </w:r>
    </w:p>
    <w:p w14:paraId="1F6961BF" w14:textId="77777777" w:rsidR="00000000" w:rsidRDefault="006549D2">
      <w:pPr>
        <w:pStyle w:val="a3"/>
        <w:spacing w:before="0" w:beforeAutospacing="0" w:after="0" w:afterAutospacing="0"/>
        <w:jc w:val="both"/>
        <w:rPr>
          <w:sz w:val="20"/>
          <w:szCs w:val="20"/>
        </w:rPr>
      </w:pPr>
      <w:r>
        <w:rPr>
          <w:b/>
          <w:bCs/>
          <w:i/>
          <w:iCs/>
          <w:sz w:val="20"/>
          <w:szCs w:val="20"/>
        </w:rPr>
        <w:t>Basis of Presentation</w:t>
      </w:r>
    </w:p>
    <w:p w14:paraId="28D79CFA" w14:textId="77777777" w:rsidR="00000000" w:rsidRDefault="006549D2">
      <w:pPr>
        <w:pStyle w:val="a3"/>
        <w:spacing w:before="0" w:beforeAutospacing="0" w:after="0" w:afterAutospacing="0"/>
        <w:ind w:left="1400" w:right="996" w:firstLine="400"/>
        <w:jc w:val="both"/>
        <w:rPr>
          <w:sz w:val="20"/>
          <w:szCs w:val="20"/>
        </w:rPr>
      </w:pPr>
      <w:r>
        <w:rPr>
          <w:sz w:val="20"/>
          <w:szCs w:val="20"/>
        </w:rPr>
        <w:t> </w:t>
      </w:r>
    </w:p>
    <w:p w14:paraId="72ADEC52" w14:textId="77777777" w:rsidR="00000000" w:rsidRDefault="006549D2">
      <w:pPr>
        <w:pStyle w:val="a3"/>
        <w:spacing w:before="0" w:beforeAutospacing="0" w:after="0" w:afterAutospacing="0"/>
        <w:ind w:firstLine="360"/>
        <w:jc w:val="both"/>
        <w:rPr>
          <w:sz w:val="20"/>
          <w:szCs w:val="20"/>
        </w:rPr>
      </w:pPr>
      <w:r>
        <w:rPr>
          <w:sz w:val="20"/>
          <w:szCs w:val="20"/>
        </w:rPr>
        <w:t xml:space="preserve">The accompanying unaudited </w:t>
      </w:r>
      <w:r>
        <w:rPr>
          <w:sz w:val="20"/>
          <w:szCs w:val="20"/>
        </w:rPr>
        <w:t xml:space="preserve">condensed financial statements have been prepared in accordance with accounting principles generally accepted in the United States of America (“GAAP”) for interim financial information and in accordance with the instructions to Form 10-Q and Article 10 of </w:t>
      </w:r>
      <w:r>
        <w:rPr>
          <w:sz w:val="20"/>
          <w:szCs w:val="20"/>
        </w:rPr>
        <w:t>Regulation S-X of the SEC. Certain information or footnote disclosures normally included in financial statements prepared in accordance with GAAP have been condensed or omitted, pursuant to the rules and regulations of the SEC for interim financial reporti</w:t>
      </w:r>
      <w:r>
        <w:rPr>
          <w:sz w:val="20"/>
          <w:szCs w:val="20"/>
        </w:rPr>
        <w:t>ng. Accordingly, they do not include all the information and footnotes necessary for a complete presentation of financial position, results of operations, or cash flows. In the opinion of management, the accompanying unaudited condensed financial statement</w:t>
      </w:r>
      <w:r>
        <w:rPr>
          <w:sz w:val="20"/>
          <w:szCs w:val="20"/>
        </w:rPr>
        <w:t>s include all adjustments, consisting of a normal recurring nature, which are necessary for a fair presentation of the financial position, operating results and cash flows for the periods presented.</w:t>
      </w:r>
    </w:p>
    <w:p w14:paraId="15500D43" w14:textId="77777777" w:rsidR="00000000" w:rsidRDefault="006549D2">
      <w:pPr>
        <w:pStyle w:val="a3"/>
        <w:spacing w:before="0" w:beforeAutospacing="0" w:after="0" w:afterAutospacing="0"/>
        <w:jc w:val="both"/>
        <w:rPr>
          <w:sz w:val="20"/>
          <w:szCs w:val="20"/>
        </w:rPr>
      </w:pPr>
      <w:r>
        <w:rPr>
          <w:b/>
          <w:bCs/>
          <w:i/>
          <w:iCs/>
          <w:sz w:val="20"/>
          <w:szCs w:val="20"/>
        </w:rPr>
        <w:t> </w:t>
      </w:r>
    </w:p>
    <w:p w14:paraId="3B198667" w14:textId="77777777" w:rsidR="00000000" w:rsidRDefault="006549D2">
      <w:pPr>
        <w:pStyle w:val="a3"/>
        <w:spacing w:before="0" w:beforeAutospacing="0" w:after="0" w:afterAutospacing="0"/>
        <w:ind w:firstLine="360"/>
        <w:jc w:val="both"/>
        <w:rPr>
          <w:sz w:val="20"/>
          <w:szCs w:val="20"/>
        </w:rPr>
      </w:pPr>
      <w:r>
        <w:rPr>
          <w:sz w:val="20"/>
          <w:szCs w:val="20"/>
        </w:rPr>
        <w:t>The accompanying unaudited condensed financial statemen</w:t>
      </w:r>
      <w:r>
        <w:rPr>
          <w:sz w:val="20"/>
          <w:szCs w:val="20"/>
        </w:rPr>
        <w:t>ts should be read in conjunction with the Company’s prospectus for its Initial Public Offering as filed with the SEC on February 14, 2020, as well as the Company’s Current Reports on Form 8-K, as filed with the SEC on February 19, 2020 and February 25, 202</w:t>
      </w:r>
      <w:r>
        <w:rPr>
          <w:sz w:val="20"/>
          <w:szCs w:val="20"/>
        </w:rPr>
        <w:t>0. The interim results for the three and six months ended June 30, 2020 are not necessarily indicative of the results to be expected for year ended December 31, 2020 or for any future periods.</w:t>
      </w:r>
    </w:p>
    <w:p w14:paraId="5D45E6B2" w14:textId="77777777" w:rsidR="00000000" w:rsidRDefault="006549D2">
      <w:pPr>
        <w:pStyle w:val="a3"/>
        <w:spacing w:before="0" w:beforeAutospacing="0" w:after="0" w:afterAutospacing="0"/>
        <w:jc w:val="both"/>
        <w:rPr>
          <w:sz w:val="20"/>
          <w:szCs w:val="20"/>
        </w:rPr>
      </w:pPr>
      <w:r>
        <w:rPr>
          <w:b/>
          <w:bCs/>
          <w:sz w:val="20"/>
          <w:szCs w:val="20"/>
        </w:rPr>
        <w:t> </w:t>
      </w:r>
    </w:p>
    <w:p w14:paraId="5DB02D3A" w14:textId="77777777" w:rsidR="00000000" w:rsidRDefault="006549D2">
      <w:pPr>
        <w:pStyle w:val="a3"/>
        <w:spacing w:before="0" w:beforeAutospacing="0" w:after="0" w:afterAutospacing="0"/>
        <w:jc w:val="both"/>
        <w:rPr>
          <w:sz w:val="20"/>
          <w:szCs w:val="20"/>
        </w:rPr>
      </w:pPr>
      <w:r>
        <w:rPr>
          <w:b/>
          <w:bCs/>
          <w:i/>
          <w:iCs/>
          <w:sz w:val="20"/>
          <w:szCs w:val="20"/>
        </w:rPr>
        <w:t>Emerging Growth Company</w:t>
      </w:r>
    </w:p>
    <w:p w14:paraId="4AC3FFDB" w14:textId="77777777" w:rsidR="00000000" w:rsidRDefault="006549D2">
      <w:pPr>
        <w:pStyle w:val="a3"/>
        <w:spacing w:before="0" w:beforeAutospacing="0" w:after="0" w:afterAutospacing="0"/>
        <w:ind w:left="1400" w:right="996" w:firstLine="400"/>
        <w:jc w:val="both"/>
        <w:rPr>
          <w:sz w:val="20"/>
          <w:szCs w:val="20"/>
        </w:rPr>
      </w:pPr>
      <w:r>
        <w:rPr>
          <w:sz w:val="20"/>
          <w:szCs w:val="20"/>
        </w:rPr>
        <w:t> </w:t>
      </w:r>
    </w:p>
    <w:p w14:paraId="5C3B6314" w14:textId="77777777" w:rsidR="00000000" w:rsidRDefault="006549D2">
      <w:pPr>
        <w:pStyle w:val="a3"/>
        <w:spacing w:before="0" w:beforeAutospacing="0" w:after="0" w:afterAutospacing="0"/>
        <w:ind w:firstLine="400"/>
        <w:jc w:val="both"/>
        <w:rPr>
          <w:sz w:val="20"/>
          <w:szCs w:val="20"/>
        </w:rPr>
      </w:pPr>
      <w:r>
        <w:rPr>
          <w:sz w:val="20"/>
          <w:szCs w:val="20"/>
        </w:rPr>
        <w:t xml:space="preserve">The Company is an “emerging growth </w:t>
      </w:r>
      <w:r>
        <w:rPr>
          <w:sz w:val="20"/>
          <w:szCs w:val="20"/>
        </w:rPr>
        <w:t>company,” as defined in Section 2(a) of the Securities Act of 1933, as amended (the “Securities Act”), as modified by the Jumpstart Our Business Startups Act of 2012 (the “JOBS Act”), and it may take advantage of certain exemptions from various reporting r</w:t>
      </w:r>
      <w:r>
        <w:rPr>
          <w:sz w:val="20"/>
          <w:szCs w:val="20"/>
        </w:rPr>
        <w:t>equirements that are applicable to other public companies that are not emerging growth companies including, but not limited to, not being required to comply with the independent registered public accounting firm attestation requirements of Section 404 of t</w:t>
      </w:r>
      <w:r>
        <w:rPr>
          <w:sz w:val="20"/>
          <w:szCs w:val="20"/>
        </w:rPr>
        <w:t>he Sarbanes-Oxley Act, reduced disclosure obligations regarding executive compensation in its periodic reports and proxy statements, and exemptions from the requirements of holding a nonbinding advisory vote on executive compensation and stockholder approv</w:t>
      </w:r>
      <w:r>
        <w:rPr>
          <w:sz w:val="20"/>
          <w:szCs w:val="20"/>
        </w:rPr>
        <w:t>al of any golden parachute payments not previously approved.</w:t>
      </w:r>
    </w:p>
    <w:p w14:paraId="6D54CD08" w14:textId="77777777" w:rsidR="00000000" w:rsidRDefault="006549D2">
      <w:pPr>
        <w:pStyle w:val="a3"/>
        <w:spacing w:before="0" w:beforeAutospacing="0" w:after="0" w:afterAutospacing="0"/>
        <w:ind w:firstLine="400"/>
        <w:jc w:val="both"/>
        <w:rPr>
          <w:sz w:val="20"/>
          <w:szCs w:val="20"/>
        </w:rPr>
      </w:pPr>
      <w:r>
        <w:rPr>
          <w:sz w:val="20"/>
          <w:szCs w:val="20"/>
        </w:rPr>
        <w:t> </w:t>
      </w:r>
    </w:p>
    <w:p w14:paraId="694A92C8" w14:textId="77777777" w:rsidR="00000000" w:rsidRDefault="006549D2">
      <w:pPr>
        <w:pStyle w:val="a3"/>
        <w:spacing w:before="0" w:beforeAutospacing="0" w:after="0" w:afterAutospacing="0"/>
        <w:ind w:firstLine="400"/>
        <w:jc w:val="both"/>
        <w:rPr>
          <w:sz w:val="20"/>
          <w:szCs w:val="20"/>
        </w:rPr>
      </w:pPr>
      <w:r>
        <w:rPr>
          <w:sz w:val="20"/>
          <w:szCs w:val="20"/>
        </w:rPr>
        <w:t>Further, section 102(b)(1) of the JOBS Act exempts emerging growth companies from being required to comply with new or revised financial accounting standards until private companies (that is, t</w:t>
      </w:r>
      <w:r>
        <w:rPr>
          <w:sz w:val="20"/>
          <w:szCs w:val="20"/>
        </w:rPr>
        <w:t>hose that have not had a Securities Act registration statement declared effective or do not have a class of securities registered under the Exchange Act) are required to comply with the new or revised financial accounting standards. The JOBS Act provides t</w:t>
      </w:r>
      <w:r>
        <w:rPr>
          <w:sz w:val="20"/>
          <w:szCs w:val="20"/>
        </w:rPr>
        <w:t>hat a company can elect to opt out of the extended transition period and comply with the requirements that apply to non-emerging growth companies but any such election to opt out is irrevocable. The Company has elected not to opt out of such extended trans</w:t>
      </w:r>
      <w:r>
        <w:rPr>
          <w:sz w:val="20"/>
          <w:szCs w:val="20"/>
        </w:rPr>
        <w:t>ition period which means that when a standard is issued or revised and it has different application dates for public or private companies, the Company, as an emerging growth company, can adopt the new or revised standard at the time private companies adopt</w:t>
      </w:r>
      <w:r>
        <w:rPr>
          <w:sz w:val="20"/>
          <w:szCs w:val="20"/>
        </w:rPr>
        <w:t xml:space="preserve"> the new or revised standard. This may make comparison of the Company’s financial statement with another public company which is neither an emerging growth company nor an emerging growth company which has opted out of using the extended transition period d</w:t>
      </w:r>
      <w:r>
        <w:rPr>
          <w:sz w:val="20"/>
          <w:szCs w:val="20"/>
        </w:rPr>
        <w:t>ifficult or impossible because of the potential differences in accounting standards used.</w:t>
      </w:r>
    </w:p>
    <w:p w14:paraId="6CEDEBA1" w14:textId="77777777" w:rsidR="00000000" w:rsidRDefault="006549D2">
      <w:pPr>
        <w:pStyle w:val="a3"/>
        <w:spacing w:before="0" w:beforeAutospacing="0" w:after="0" w:afterAutospacing="0"/>
        <w:ind w:left="1400" w:right="996"/>
        <w:jc w:val="both"/>
        <w:rPr>
          <w:sz w:val="20"/>
          <w:szCs w:val="20"/>
        </w:rPr>
      </w:pPr>
      <w:r>
        <w:rPr>
          <w:b/>
          <w:bCs/>
          <w:i/>
          <w:iCs/>
          <w:sz w:val="20"/>
          <w:szCs w:val="20"/>
        </w:rPr>
        <w:t> </w:t>
      </w:r>
    </w:p>
    <w:p w14:paraId="7E756BAE" w14:textId="77777777" w:rsidR="00000000" w:rsidRDefault="006549D2">
      <w:pPr>
        <w:pStyle w:val="a3"/>
        <w:spacing w:before="0" w:beforeAutospacing="0" w:after="0" w:afterAutospacing="0"/>
        <w:jc w:val="both"/>
        <w:rPr>
          <w:sz w:val="20"/>
          <w:szCs w:val="20"/>
        </w:rPr>
      </w:pPr>
      <w:r>
        <w:rPr>
          <w:b/>
          <w:bCs/>
          <w:i/>
          <w:iCs/>
          <w:sz w:val="20"/>
          <w:szCs w:val="20"/>
        </w:rPr>
        <w:t>Use of Estimates</w:t>
      </w:r>
    </w:p>
    <w:p w14:paraId="79B0FD80" w14:textId="77777777" w:rsidR="00000000" w:rsidRDefault="006549D2">
      <w:pPr>
        <w:pStyle w:val="a3"/>
        <w:spacing w:before="0" w:beforeAutospacing="0" w:after="0" w:afterAutospacing="0"/>
        <w:ind w:left="1400" w:right="996" w:firstLine="400"/>
        <w:jc w:val="both"/>
        <w:rPr>
          <w:sz w:val="20"/>
          <w:szCs w:val="20"/>
        </w:rPr>
      </w:pPr>
      <w:r>
        <w:rPr>
          <w:sz w:val="20"/>
          <w:szCs w:val="20"/>
        </w:rPr>
        <w:t> </w:t>
      </w:r>
    </w:p>
    <w:p w14:paraId="15FA0B1E" w14:textId="77777777" w:rsidR="00000000" w:rsidRDefault="006549D2">
      <w:pPr>
        <w:pStyle w:val="a3"/>
        <w:spacing w:before="0" w:beforeAutospacing="0" w:after="0" w:afterAutospacing="0"/>
        <w:ind w:firstLine="360"/>
        <w:jc w:val="both"/>
        <w:rPr>
          <w:sz w:val="20"/>
          <w:szCs w:val="20"/>
        </w:rPr>
      </w:pPr>
      <w:r>
        <w:rPr>
          <w:sz w:val="20"/>
          <w:szCs w:val="20"/>
        </w:rPr>
        <w:t>The preparation of the condensed financial statements in conformity with GAAP requires the Company’s management to make estimates and assumptions</w:t>
      </w:r>
      <w:r>
        <w:rPr>
          <w:sz w:val="20"/>
          <w:szCs w:val="20"/>
        </w:rPr>
        <w:t xml:space="preserve"> that affect the reported amounts of assets and liabilities and disclosure of contingent assets and liabilities at the date of the financial statements and the reported amounts of revenues and expenses during the reporting period.</w:t>
      </w:r>
    </w:p>
    <w:p w14:paraId="34893BDD" w14:textId="77777777" w:rsidR="00000000" w:rsidRDefault="006549D2">
      <w:pPr>
        <w:pStyle w:val="a3"/>
        <w:spacing w:before="0" w:beforeAutospacing="0" w:after="0" w:afterAutospacing="0"/>
        <w:ind w:firstLine="360"/>
        <w:jc w:val="both"/>
        <w:rPr>
          <w:sz w:val="20"/>
          <w:szCs w:val="20"/>
        </w:rPr>
      </w:pPr>
      <w:r>
        <w:rPr>
          <w:sz w:val="20"/>
          <w:szCs w:val="20"/>
        </w:rPr>
        <w:t> </w:t>
      </w:r>
    </w:p>
    <w:p w14:paraId="0FCA6F72" w14:textId="77777777" w:rsidR="00000000" w:rsidRDefault="006549D2">
      <w:pPr>
        <w:pStyle w:val="a3"/>
        <w:spacing w:before="0" w:beforeAutospacing="0" w:after="0" w:afterAutospacing="0"/>
        <w:ind w:firstLine="360"/>
        <w:jc w:val="both"/>
        <w:rPr>
          <w:sz w:val="20"/>
          <w:szCs w:val="20"/>
        </w:rPr>
      </w:pPr>
      <w:r>
        <w:rPr>
          <w:sz w:val="20"/>
          <w:szCs w:val="20"/>
        </w:rPr>
        <w:t>Making estimates requir</w:t>
      </w:r>
      <w:r>
        <w:rPr>
          <w:sz w:val="20"/>
          <w:szCs w:val="20"/>
        </w:rPr>
        <w:t>es management to exercise significant judgment. It is at least reasonably possible that the estimate of the effect of a condition, situation or set of circumstances that existed at the date of the financial statements, which management considered in formul</w:t>
      </w:r>
      <w:r>
        <w:rPr>
          <w:sz w:val="20"/>
          <w:szCs w:val="20"/>
        </w:rPr>
        <w:t>ating its estimate, could change in the near term due to one or more future confirming events. Accordingly, the actual results could differ significantly from those estimates.</w:t>
      </w:r>
    </w:p>
    <w:p w14:paraId="642219F1" w14:textId="77777777" w:rsidR="00000000" w:rsidRDefault="006549D2">
      <w:pPr>
        <w:pStyle w:val="a3"/>
        <w:spacing w:before="0" w:beforeAutospacing="0" w:after="0" w:afterAutospacing="0"/>
        <w:ind w:left="1400" w:right="996"/>
        <w:jc w:val="both"/>
        <w:rPr>
          <w:sz w:val="20"/>
          <w:szCs w:val="20"/>
        </w:rPr>
      </w:pPr>
      <w:r>
        <w:rPr>
          <w:b/>
          <w:bCs/>
          <w:i/>
          <w:iCs/>
          <w:sz w:val="20"/>
          <w:szCs w:val="20"/>
        </w:rPr>
        <w:t> </w:t>
      </w:r>
    </w:p>
    <w:p w14:paraId="0B4A0EDE" w14:textId="77777777" w:rsidR="00000000" w:rsidRDefault="006549D2">
      <w:pPr>
        <w:pStyle w:val="a3"/>
        <w:spacing w:before="0" w:beforeAutospacing="0" w:after="0" w:afterAutospacing="0"/>
        <w:jc w:val="both"/>
        <w:rPr>
          <w:sz w:val="20"/>
          <w:szCs w:val="20"/>
        </w:rPr>
      </w:pPr>
      <w:r>
        <w:rPr>
          <w:b/>
          <w:bCs/>
          <w:i/>
          <w:iCs/>
          <w:sz w:val="20"/>
          <w:szCs w:val="20"/>
        </w:rPr>
        <w:t>Cash and Cash Equivalents</w:t>
      </w:r>
    </w:p>
    <w:p w14:paraId="332905BC" w14:textId="77777777" w:rsidR="00000000" w:rsidRDefault="006549D2">
      <w:pPr>
        <w:pStyle w:val="a3"/>
        <w:spacing w:before="0" w:beforeAutospacing="0" w:after="0" w:afterAutospacing="0"/>
        <w:jc w:val="both"/>
        <w:rPr>
          <w:sz w:val="20"/>
          <w:szCs w:val="20"/>
        </w:rPr>
      </w:pPr>
      <w:r>
        <w:rPr>
          <w:sz w:val="20"/>
          <w:szCs w:val="20"/>
        </w:rPr>
        <w:t> </w:t>
      </w:r>
    </w:p>
    <w:p w14:paraId="47CDC1C8" w14:textId="77777777" w:rsidR="00000000" w:rsidRDefault="006549D2">
      <w:pPr>
        <w:pStyle w:val="a3"/>
        <w:spacing w:before="0" w:beforeAutospacing="0" w:after="0" w:afterAutospacing="0"/>
        <w:ind w:firstLine="360"/>
        <w:jc w:val="both"/>
        <w:rPr>
          <w:sz w:val="20"/>
          <w:szCs w:val="20"/>
        </w:rPr>
      </w:pPr>
      <w:r>
        <w:rPr>
          <w:sz w:val="20"/>
          <w:szCs w:val="20"/>
        </w:rPr>
        <w:t xml:space="preserve">The Company considers </w:t>
      </w:r>
      <w:r>
        <w:rPr>
          <w:sz w:val="20"/>
          <w:szCs w:val="20"/>
        </w:rPr>
        <w:t>all short-term investments with an original maturity of three months or less when purchased to be cash equivalents. Cash equivalents consist of mutual funds. The Company did not have any cash equivalents as of June 30, 2020 and December 31, 2019.</w:t>
      </w:r>
    </w:p>
    <w:p w14:paraId="3B8FF03F" w14:textId="77777777" w:rsidR="00000000" w:rsidRDefault="006549D2">
      <w:pPr>
        <w:pStyle w:val="a3"/>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3DB5813" w14:textId="77777777">
        <w:trPr>
          <w:divId w:val="1692487015"/>
        </w:trPr>
        <w:tc>
          <w:tcPr>
            <w:tcW w:w="1650" w:type="pct"/>
            <w:hideMark/>
          </w:tcPr>
          <w:p w14:paraId="1C006B85" w14:textId="77777777" w:rsidR="00000000" w:rsidRDefault="006549D2">
            <w:pPr>
              <w:rPr>
                <w:rFonts w:eastAsia="Times New Roman"/>
                <w:sz w:val="20"/>
                <w:szCs w:val="20"/>
              </w:rPr>
            </w:pPr>
            <w:r>
              <w:rPr>
                <w:rFonts w:eastAsia="Times New Roman"/>
                <w:sz w:val="20"/>
                <w:szCs w:val="20"/>
              </w:rPr>
              <w:t> </w:t>
            </w:r>
          </w:p>
        </w:tc>
        <w:tc>
          <w:tcPr>
            <w:tcW w:w="1700" w:type="pct"/>
            <w:hideMark/>
          </w:tcPr>
          <w:p w14:paraId="57297D7F" w14:textId="77777777" w:rsidR="00000000" w:rsidRDefault="006549D2">
            <w:pPr>
              <w:jc w:val="center"/>
              <w:rPr>
                <w:rFonts w:eastAsia="Times New Roman"/>
                <w:sz w:val="20"/>
                <w:szCs w:val="20"/>
              </w:rPr>
            </w:pPr>
            <w:r>
              <w:rPr>
                <w:rFonts w:eastAsia="Times New Roman"/>
                <w:sz w:val="20"/>
                <w:szCs w:val="20"/>
              </w:rPr>
              <w:t>7</w:t>
            </w:r>
          </w:p>
        </w:tc>
        <w:tc>
          <w:tcPr>
            <w:tcW w:w="1650" w:type="pct"/>
            <w:hideMark/>
          </w:tcPr>
          <w:p w14:paraId="6DC0431B" w14:textId="77777777" w:rsidR="00000000" w:rsidRDefault="006549D2">
            <w:pPr>
              <w:jc w:val="right"/>
              <w:rPr>
                <w:rFonts w:eastAsia="Times New Roman"/>
                <w:sz w:val="20"/>
                <w:szCs w:val="20"/>
              </w:rPr>
            </w:pPr>
            <w:r>
              <w:rPr>
                <w:rFonts w:eastAsia="Times New Roman"/>
                <w:sz w:val="20"/>
                <w:szCs w:val="20"/>
              </w:rPr>
              <w:t> </w:t>
            </w:r>
          </w:p>
        </w:tc>
      </w:tr>
    </w:tbl>
    <w:p w14:paraId="10CE8EB9" w14:textId="77777777" w:rsidR="00000000" w:rsidRDefault="006549D2">
      <w:pPr>
        <w:pStyle w:val="a3"/>
        <w:pageBreakBefore/>
        <w:spacing w:before="0" w:beforeAutospacing="0" w:after="0" w:afterAutospacing="0"/>
        <w:divId w:val="335310118"/>
        <w:rPr>
          <w:sz w:val="20"/>
          <w:szCs w:val="20"/>
        </w:rPr>
      </w:pPr>
      <w:r>
        <w:rPr>
          <w:sz w:val="20"/>
          <w:szCs w:val="20"/>
        </w:rPr>
        <w:t> </w:t>
      </w:r>
    </w:p>
    <w:p w14:paraId="5F45FD10" w14:textId="77777777" w:rsidR="00000000" w:rsidRDefault="006549D2">
      <w:pPr>
        <w:pStyle w:val="a3"/>
        <w:spacing w:before="0" w:beforeAutospacing="0" w:after="0" w:afterAutospacing="0"/>
        <w:ind w:firstLine="360"/>
        <w:jc w:val="both"/>
        <w:rPr>
          <w:sz w:val="20"/>
          <w:szCs w:val="20"/>
        </w:rPr>
      </w:pPr>
      <w:r>
        <w:rPr>
          <w:sz w:val="20"/>
          <w:szCs w:val="20"/>
        </w:rPr>
        <w:t> </w:t>
      </w:r>
    </w:p>
    <w:p w14:paraId="1B0A2EF3" w14:textId="77777777" w:rsidR="00000000" w:rsidRDefault="006549D2">
      <w:pPr>
        <w:pStyle w:val="a3"/>
        <w:spacing w:before="0" w:beforeAutospacing="0" w:after="0" w:afterAutospacing="0"/>
        <w:jc w:val="center"/>
        <w:rPr>
          <w:sz w:val="20"/>
          <w:szCs w:val="20"/>
        </w:rPr>
      </w:pPr>
      <w:r>
        <w:rPr>
          <w:b/>
          <w:bCs/>
          <w:sz w:val="20"/>
          <w:szCs w:val="20"/>
        </w:rPr>
        <w:t>CHURCHILL CAPITAL CORP III</w:t>
      </w:r>
    </w:p>
    <w:p w14:paraId="70B7D579" w14:textId="77777777" w:rsidR="00000000" w:rsidRDefault="006549D2">
      <w:pPr>
        <w:pStyle w:val="a3"/>
        <w:spacing w:before="0" w:beforeAutospacing="0" w:after="0" w:afterAutospacing="0"/>
        <w:jc w:val="center"/>
        <w:rPr>
          <w:sz w:val="20"/>
          <w:szCs w:val="20"/>
        </w:rPr>
      </w:pPr>
      <w:r>
        <w:rPr>
          <w:b/>
          <w:bCs/>
          <w:sz w:val="20"/>
          <w:szCs w:val="20"/>
        </w:rPr>
        <w:t>NOTES TO CONDENSED FINANCIAL STATEMENTS</w:t>
      </w:r>
    </w:p>
    <w:p w14:paraId="578581CF" w14:textId="77777777" w:rsidR="00000000" w:rsidRDefault="006549D2">
      <w:pPr>
        <w:pStyle w:val="a3"/>
        <w:spacing w:before="0" w:beforeAutospacing="0" w:after="0" w:afterAutospacing="0"/>
        <w:jc w:val="center"/>
        <w:rPr>
          <w:sz w:val="20"/>
          <w:szCs w:val="20"/>
        </w:rPr>
      </w:pPr>
      <w:r>
        <w:rPr>
          <w:b/>
          <w:bCs/>
          <w:sz w:val="20"/>
          <w:szCs w:val="20"/>
        </w:rPr>
        <w:t>JUNE 30, 2020</w:t>
      </w:r>
    </w:p>
    <w:p w14:paraId="37D1CFF8" w14:textId="77777777" w:rsidR="00000000" w:rsidRDefault="006549D2">
      <w:pPr>
        <w:pStyle w:val="a3"/>
        <w:spacing w:before="0" w:beforeAutospacing="0" w:after="0" w:afterAutospacing="0"/>
        <w:jc w:val="center"/>
        <w:rPr>
          <w:sz w:val="20"/>
          <w:szCs w:val="20"/>
        </w:rPr>
      </w:pPr>
      <w:r>
        <w:rPr>
          <w:b/>
          <w:bCs/>
          <w:sz w:val="20"/>
          <w:szCs w:val="20"/>
        </w:rPr>
        <w:t>(Unaudited)</w:t>
      </w:r>
    </w:p>
    <w:p w14:paraId="07243AE8" w14:textId="77777777" w:rsidR="00000000" w:rsidRDefault="006549D2">
      <w:pPr>
        <w:pStyle w:val="a3"/>
        <w:spacing w:before="0" w:beforeAutospacing="0" w:after="0" w:afterAutospacing="0"/>
        <w:jc w:val="center"/>
        <w:rPr>
          <w:sz w:val="20"/>
          <w:szCs w:val="20"/>
        </w:rPr>
      </w:pPr>
      <w:r>
        <w:rPr>
          <w:b/>
          <w:bCs/>
          <w:sz w:val="20"/>
          <w:szCs w:val="20"/>
        </w:rPr>
        <w:t> </w:t>
      </w:r>
    </w:p>
    <w:p w14:paraId="13F499A5" w14:textId="77777777" w:rsidR="00000000" w:rsidRDefault="006549D2">
      <w:pPr>
        <w:pStyle w:val="a3"/>
        <w:spacing w:before="0" w:beforeAutospacing="0" w:after="0" w:afterAutospacing="0"/>
        <w:jc w:val="both"/>
        <w:rPr>
          <w:sz w:val="20"/>
          <w:szCs w:val="20"/>
        </w:rPr>
      </w:pPr>
      <w:r>
        <w:rPr>
          <w:b/>
          <w:bCs/>
          <w:i/>
          <w:iCs/>
          <w:sz w:val="20"/>
          <w:szCs w:val="20"/>
        </w:rPr>
        <w:t>Marketable Securities Held in Trust Account</w:t>
      </w:r>
    </w:p>
    <w:p w14:paraId="29B70DBC" w14:textId="77777777" w:rsidR="00000000" w:rsidRDefault="006549D2">
      <w:pPr>
        <w:pStyle w:val="a3"/>
        <w:spacing w:before="0" w:beforeAutospacing="0" w:after="0" w:afterAutospacing="0"/>
        <w:jc w:val="both"/>
        <w:rPr>
          <w:sz w:val="20"/>
          <w:szCs w:val="20"/>
        </w:rPr>
      </w:pPr>
      <w:r>
        <w:rPr>
          <w:sz w:val="20"/>
          <w:szCs w:val="20"/>
        </w:rPr>
        <w:t> </w:t>
      </w:r>
    </w:p>
    <w:p w14:paraId="6E96A103" w14:textId="77777777" w:rsidR="00000000" w:rsidRDefault="006549D2">
      <w:pPr>
        <w:pStyle w:val="a3"/>
        <w:spacing w:before="0" w:beforeAutospacing="0" w:after="0" w:afterAutospacing="0"/>
        <w:ind w:firstLine="360"/>
        <w:jc w:val="both"/>
        <w:rPr>
          <w:sz w:val="20"/>
          <w:szCs w:val="20"/>
        </w:rPr>
      </w:pPr>
      <w:r>
        <w:rPr>
          <w:sz w:val="20"/>
          <w:szCs w:val="20"/>
        </w:rPr>
        <w:t xml:space="preserve">At June 30, 2020, </w:t>
      </w:r>
      <w:r>
        <w:rPr>
          <w:sz w:val="20"/>
          <w:szCs w:val="20"/>
        </w:rPr>
        <w:t>substantially all of the assets held in the Trust Account were held in U.S. Treasury Bills.</w:t>
      </w:r>
    </w:p>
    <w:p w14:paraId="23ABE761" w14:textId="77777777" w:rsidR="00000000" w:rsidRDefault="006549D2">
      <w:pPr>
        <w:pStyle w:val="a3"/>
        <w:spacing w:before="0" w:beforeAutospacing="0" w:after="0" w:afterAutospacing="0"/>
        <w:ind w:firstLine="360"/>
        <w:jc w:val="both"/>
        <w:rPr>
          <w:sz w:val="20"/>
          <w:szCs w:val="20"/>
        </w:rPr>
      </w:pPr>
      <w:r>
        <w:rPr>
          <w:sz w:val="20"/>
          <w:szCs w:val="20"/>
        </w:rPr>
        <w:t>  </w:t>
      </w:r>
    </w:p>
    <w:p w14:paraId="14D82E50" w14:textId="77777777" w:rsidR="00000000" w:rsidRDefault="006549D2">
      <w:pPr>
        <w:pStyle w:val="a3"/>
        <w:spacing w:before="0" w:beforeAutospacing="0" w:after="0" w:afterAutospacing="0"/>
        <w:jc w:val="both"/>
        <w:rPr>
          <w:sz w:val="20"/>
          <w:szCs w:val="20"/>
        </w:rPr>
      </w:pPr>
      <w:r>
        <w:rPr>
          <w:b/>
          <w:bCs/>
          <w:i/>
          <w:iCs/>
          <w:sz w:val="20"/>
          <w:szCs w:val="20"/>
        </w:rPr>
        <w:t>Common Stock Subject to Possible Redemption</w:t>
      </w:r>
    </w:p>
    <w:p w14:paraId="44755DC6" w14:textId="77777777" w:rsidR="00000000" w:rsidRDefault="006549D2">
      <w:pPr>
        <w:pStyle w:val="a3"/>
        <w:spacing w:before="0" w:beforeAutospacing="0" w:after="0" w:afterAutospacing="0"/>
        <w:ind w:left="1440"/>
        <w:jc w:val="both"/>
        <w:rPr>
          <w:sz w:val="20"/>
          <w:szCs w:val="20"/>
        </w:rPr>
      </w:pPr>
      <w:r>
        <w:rPr>
          <w:sz w:val="20"/>
          <w:szCs w:val="20"/>
        </w:rPr>
        <w:t> </w:t>
      </w:r>
    </w:p>
    <w:p w14:paraId="659B3CEF" w14:textId="77777777" w:rsidR="00000000" w:rsidRDefault="006549D2">
      <w:pPr>
        <w:pStyle w:val="a3"/>
        <w:spacing w:before="0" w:beforeAutospacing="0" w:after="0" w:afterAutospacing="0"/>
        <w:ind w:firstLine="403"/>
        <w:jc w:val="both"/>
        <w:rPr>
          <w:sz w:val="20"/>
          <w:szCs w:val="20"/>
        </w:rPr>
      </w:pPr>
      <w:r>
        <w:rPr>
          <w:sz w:val="20"/>
          <w:szCs w:val="20"/>
        </w:rPr>
        <w:t>The Company accounts for its common stock subject to possible redemption in accordance with the guidance in Account</w:t>
      </w:r>
      <w:r>
        <w:rPr>
          <w:sz w:val="20"/>
          <w:szCs w:val="20"/>
        </w:rPr>
        <w:t>ing Standards Codification (“ASC”) Topic 480 “Distinguishing Liabilities from Equity.” Common stock subject to mandatory redemption is classified as a liability instrument and is measured at fair value. Conditionally redeemable common stock (including comm</w:t>
      </w:r>
      <w:r>
        <w:rPr>
          <w:sz w:val="20"/>
          <w:szCs w:val="20"/>
        </w:rPr>
        <w:t>on stock that features redemption rights that is either within the control of the holder or subject to redemption upon the occurrence of uncertain events not solely within the Company’s control) is classified as temporary equity. At all other times, common</w:t>
      </w:r>
      <w:r>
        <w:rPr>
          <w:sz w:val="20"/>
          <w:szCs w:val="20"/>
        </w:rPr>
        <w:t xml:space="preserve"> stock is classified as stockholders’ equity. The Company’s common stock features certain redemption rights that are considered to be outside of the Company’s control and subject to occurrence of uncertain future events. Accordingly, common stock subject t</w:t>
      </w:r>
      <w:r>
        <w:rPr>
          <w:sz w:val="20"/>
          <w:szCs w:val="20"/>
        </w:rPr>
        <w:t>o possible redemption is presented at redemption value as temporary equity, outside of the stockholders’ equity section of the Company’s condensed balance sheet.</w:t>
      </w:r>
    </w:p>
    <w:p w14:paraId="0F7D8C05" w14:textId="77777777" w:rsidR="00000000" w:rsidRDefault="006549D2">
      <w:pPr>
        <w:pStyle w:val="a3"/>
        <w:spacing w:before="0" w:beforeAutospacing="0" w:after="0" w:afterAutospacing="0"/>
        <w:jc w:val="both"/>
        <w:rPr>
          <w:sz w:val="20"/>
          <w:szCs w:val="20"/>
        </w:rPr>
      </w:pPr>
      <w:r>
        <w:rPr>
          <w:b/>
          <w:bCs/>
          <w:i/>
          <w:iCs/>
          <w:sz w:val="20"/>
          <w:szCs w:val="20"/>
        </w:rPr>
        <w:t> </w:t>
      </w:r>
    </w:p>
    <w:p w14:paraId="5E716492" w14:textId="77777777" w:rsidR="00000000" w:rsidRDefault="006549D2">
      <w:pPr>
        <w:pStyle w:val="a3"/>
        <w:spacing w:before="0" w:beforeAutospacing="0" w:after="0" w:afterAutospacing="0"/>
        <w:jc w:val="both"/>
        <w:rPr>
          <w:sz w:val="20"/>
          <w:szCs w:val="20"/>
        </w:rPr>
      </w:pPr>
      <w:r>
        <w:rPr>
          <w:b/>
          <w:bCs/>
          <w:i/>
          <w:iCs/>
          <w:sz w:val="20"/>
          <w:szCs w:val="20"/>
        </w:rPr>
        <w:t>Income Taxes</w:t>
      </w:r>
    </w:p>
    <w:p w14:paraId="3F2C1D31" w14:textId="77777777" w:rsidR="00000000" w:rsidRDefault="006549D2">
      <w:pPr>
        <w:pStyle w:val="a3"/>
        <w:spacing w:before="0" w:beforeAutospacing="0" w:after="0" w:afterAutospacing="0"/>
        <w:ind w:left="1400" w:right="996" w:firstLine="400"/>
        <w:jc w:val="both"/>
        <w:rPr>
          <w:sz w:val="20"/>
          <w:szCs w:val="20"/>
        </w:rPr>
      </w:pPr>
      <w:r>
        <w:rPr>
          <w:sz w:val="20"/>
          <w:szCs w:val="20"/>
        </w:rPr>
        <w:t> </w:t>
      </w:r>
    </w:p>
    <w:p w14:paraId="1A68A6B6" w14:textId="77777777" w:rsidR="00000000" w:rsidRDefault="006549D2">
      <w:pPr>
        <w:pStyle w:val="a3"/>
        <w:spacing w:before="0" w:beforeAutospacing="0" w:after="0" w:afterAutospacing="0"/>
        <w:ind w:firstLine="400"/>
        <w:jc w:val="both"/>
        <w:rPr>
          <w:sz w:val="20"/>
          <w:szCs w:val="20"/>
        </w:rPr>
      </w:pPr>
      <w:r>
        <w:rPr>
          <w:sz w:val="20"/>
          <w:szCs w:val="20"/>
        </w:rPr>
        <w:t>The Company follows the asset and liability method of accounting for income t</w:t>
      </w:r>
      <w:r>
        <w:rPr>
          <w:sz w:val="20"/>
          <w:szCs w:val="20"/>
        </w:rPr>
        <w:t>axes under ASC 740, “Income Taxes.” Deferred tax assets and liabilities are recognized for the estimated future tax consequences attributable to differences between the financial statements carrying amounts of existing assets and liabilities and their resp</w:t>
      </w:r>
      <w:r>
        <w:rPr>
          <w:sz w:val="20"/>
          <w:szCs w:val="20"/>
        </w:rPr>
        <w:t xml:space="preserve">ective tax bases. Deferred tax assets and liabilities are measured using enacted tax rates expected to apply to taxable income in the years in which those temporary differences are expected to be recovered or settled. The effect on deferred tax assets and </w:t>
      </w:r>
      <w:r>
        <w:rPr>
          <w:sz w:val="20"/>
          <w:szCs w:val="20"/>
        </w:rPr>
        <w:t>liabilities of a change in tax rates is recognized in income in the period that included the enactment date. Valuation allowances are established, when necessary, to reduce deferred tax assets to the amount expected to be realized.</w:t>
      </w:r>
    </w:p>
    <w:p w14:paraId="3BD059A7" w14:textId="77777777" w:rsidR="00000000" w:rsidRDefault="006549D2">
      <w:pPr>
        <w:pStyle w:val="a3"/>
        <w:spacing w:before="0" w:beforeAutospacing="0" w:after="0" w:afterAutospacing="0"/>
        <w:ind w:firstLine="400"/>
        <w:jc w:val="both"/>
        <w:rPr>
          <w:sz w:val="20"/>
          <w:szCs w:val="20"/>
        </w:rPr>
      </w:pPr>
      <w:r>
        <w:rPr>
          <w:sz w:val="20"/>
          <w:szCs w:val="20"/>
        </w:rPr>
        <w:t> </w:t>
      </w:r>
    </w:p>
    <w:p w14:paraId="430C24B9" w14:textId="77777777" w:rsidR="00000000" w:rsidRDefault="006549D2">
      <w:pPr>
        <w:pStyle w:val="a3"/>
        <w:spacing w:before="0" w:beforeAutospacing="0" w:after="0" w:afterAutospacing="0"/>
        <w:ind w:firstLine="400"/>
        <w:jc w:val="both"/>
        <w:rPr>
          <w:sz w:val="20"/>
          <w:szCs w:val="20"/>
        </w:rPr>
      </w:pPr>
      <w:r>
        <w:rPr>
          <w:sz w:val="20"/>
          <w:szCs w:val="20"/>
        </w:rPr>
        <w:t>ASC 740 prescribes a r</w:t>
      </w:r>
      <w:r>
        <w:rPr>
          <w:sz w:val="20"/>
          <w:szCs w:val="20"/>
        </w:rPr>
        <w:t xml:space="preserve">ecognition threshold and a measurement attribute for the financial statement recognition and measurement of tax positions taken or expected to be taken in a tax return. For those benefits to be recognized, a tax position must be more likely than not to be </w:t>
      </w:r>
      <w:r>
        <w:rPr>
          <w:sz w:val="20"/>
          <w:szCs w:val="20"/>
        </w:rPr>
        <w:t>sustained upon examination by taxing authorities. The Company recognizes accrued interest and penalties related to unrecognized tax benefits as income tax expense. There were no unrecognized tax benefits and no amounts accrued for interest and penalties as</w:t>
      </w:r>
      <w:r>
        <w:rPr>
          <w:sz w:val="20"/>
          <w:szCs w:val="20"/>
        </w:rPr>
        <w:t xml:space="preserve"> of June 30, 2020 and December 31, 2019. The Company is currently not aware of any issues under review that could result in significant payments, accruals or material deviation from its position. The Company is subject to income tax examinations by major t</w:t>
      </w:r>
      <w:r>
        <w:rPr>
          <w:sz w:val="20"/>
          <w:szCs w:val="20"/>
        </w:rPr>
        <w:t>axing authorities since inception.</w:t>
      </w:r>
    </w:p>
    <w:p w14:paraId="43E9AADE" w14:textId="77777777" w:rsidR="00000000" w:rsidRDefault="006549D2">
      <w:pPr>
        <w:pStyle w:val="a3"/>
        <w:spacing w:before="0" w:beforeAutospacing="0" w:after="0" w:afterAutospacing="0"/>
        <w:ind w:firstLine="400"/>
        <w:jc w:val="both"/>
        <w:rPr>
          <w:sz w:val="20"/>
          <w:szCs w:val="20"/>
        </w:rPr>
      </w:pPr>
      <w:r>
        <w:rPr>
          <w:sz w:val="20"/>
          <w:szCs w:val="20"/>
        </w:rPr>
        <w:t> </w:t>
      </w:r>
    </w:p>
    <w:p w14:paraId="764CE26F" w14:textId="77777777" w:rsidR="00000000" w:rsidRDefault="006549D2">
      <w:pPr>
        <w:pStyle w:val="a3"/>
        <w:spacing w:before="0" w:beforeAutospacing="0" w:after="0" w:afterAutospacing="0"/>
        <w:ind w:firstLine="400"/>
        <w:jc w:val="both"/>
        <w:rPr>
          <w:sz w:val="20"/>
          <w:szCs w:val="20"/>
        </w:rPr>
      </w:pPr>
      <w:r>
        <w:rPr>
          <w:sz w:val="20"/>
          <w:szCs w:val="20"/>
        </w:rPr>
        <w:t>On March 27, 2020, President Trump signed the Coronavirus Aid, Relief, and Economic Security “CARES” Act into law. The CARES Act includes several significant business tax provisions that, among other things, would elimi</w:t>
      </w:r>
      <w:r>
        <w:rPr>
          <w:sz w:val="20"/>
          <w:szCs w:val="20"/>
        </w:rPr>
        <w:t>nate the taxable income limit for certain net operating losses (“NOL) and allow businesses to carry back NOLs arising in 2018, 2019 and 2020 to the five prior years, suspend the excess business loss rules, accelerate refunds of previously generated corpora</w:t>
      </w:r>
      <w:r>
        <w:rPr>
          <w:sz w:val="20"/>
          <w:szCs w:val="20"/>
        </w:rPr>
        <w:t>te alternative minimum tax credits, generally loosen the business interest limitation under IRC section 163(j) from 30 percent to 50 percent among other technical corrections included in the Tax Cuts and Jobs Act tax provisions. The Company does not believ</w:t>
      </w:r>
      <w:r>
        <w:rPr>
          <w:sz w:val="20"/>
          <w:szCs w:val="20"/>
        </w:rPr>
        <w:t>e that the CARES Act will have a significant impact on Company's financial position or statement of operations.</w:t>
      </w:r>
    </w:p>
    <w:p w14:paraId="7E97A9B7" w14:textId="77777777" w:rsidR="00000000" w:rsidRDefault="006549D2">
      <w:pPr>
        <w:pStyle w:val="a3"/>
        <w:spacing w:before="0" w:beforeAutospacing="0" w:after="0" w:afterAutospacing="0"/>
        <w:ind w:firstLine="400"/>
        <w:jc w:val="both"/>
        <w:rPr>
          <w:sz w:val="20"/>
          <w:szCs w:val="20"/>
        </w:rPr>
      </w:pPr>
      <w:r>
        <w:rPr>
          <w:sz w:val="20"/>
          <w:szCs w:val="20"/>
        </w:rPr>
        <w:t> </w:t>
      </w:r>
    </w:p>
    <w:p w14:paraId="1B56D92E" w14:textId="77777777" w:rsidR="00000000" w:rsidRDefault="006549D2">
      <w:pPr>
        <w:pStyle w:val="a3"/>
        <w:spacing w:before="0" w:beforeAutospacing="0" w:after="0" w:afterAutospacing="0"/>
        <w:jc w:val="both"/>
        <w:rPr>
          <w:sz w:val="20"/>
          <w:szCs w:val="20"/>
        </w:rPr>
      </w:pPr>
      <w:r>
        <w:rPr>
          <w:b/>
          <w:bCs/>
          <w:i/>
          <w:iCs/>
          <w:sz w:val="20"/>
          <w:szCs w:val="20"/>
        </w:rPr>
        <w:t>Net Income Per Common Share</w:t>
      </w:r>
    </w:p>
    <w:p w14:paraId="6DD66B63" w14:textId="77777777" w:rsidR="00000000" w:rsidRDefault="006549D2">
      <w:pPr>
        <w:pStyle w:val="a3"/>
        <w:spacing w:before="0" w:beforeAutospacing="0" w:after="0" w:afterAutospacing="0"/>
        <w:ind w:firstLine="360"/>
        <w:jc w:val="both"/>
        <w:rPr>
          <w:sz w:val="20"/>
          <w:szCs w:val="20"/>
        </w:rPr>
      </w:pPr>
      <w:r>
        <w:rPr>
          <w:sz w:val="20"/>
          <w:szCs w:val="20"/>
        </w:rPr>
        <w:t> </w:t>
      </w:r>
    </w:p>
    <w:p w14:paraId="55E29F36" w14:textId="77777777" w:rsidR="00000000" w:rsidRDefault="006549D2">
      <w:pPr>
        <w:pStyle w:val="a3"/>
        <w:spacing w:before="0" w:beforeAutospacing="0" w:after="0" w:afterAutospacing="0"/>
        <w:ind w:firstLine="360"/>
        <w:jc w:val="both"/>
        <w:rPr>
          <w:sz w:val="20"/>
          <w:szCs w:val="20"/>
        </w:rPr>
      </w:pPr>
      <w:r>
        <w:rPr>
          <w:sz w:val="20"/>
          <w:szCs w:val="20"/>
        </w:rPr>
        <w:t xml:space="preserve">Net income per share </w:t>
      </w:r>
      <w:r>
        <w:rPr>
          <w:sz w:val="20"/>
          <w:szCs w:val="20"/>
        </w:rPr>
        <w:t xml:space="preserve">is computed by dividing net income by the weighted average number of shares of common stock outstanding during the period. The Company applies the two-class method in calculating earnings per share. Shares of common stock subject to possible redemption at </w:t>
      </w:r>
      <w:r>
        <w:rPr>
          <w:sz w:val="20"/>
          <w:szCs w:val="20"/>
        </w:rPr>
        <w:t>June 30, 2020, which are not currently redeemable and are not redeemable at fair value, have been excluded from the calculation of basic net income per common share since such shares, if redeemed, only participate in their pro rata share of the Trust Accou</w:t>
      </w:r>
      <w:r>
        <w:rPr>
          <w:sz w:val="20"/>
          <w:szCs w:val="20"/>
        </w:rPr>
        <w:t>nt earnings. The Company has not considered the effect of warrants sold in the Initial Public Offering and the private placement to purchase 50,500,000 shares of common stock in the calculation of diluted income per share, since the exercise of the warrant</w:t>
      </w:r>
      <w:r>
        <w:rPr>
          <w:sz w:val="20"/>
          <w:szCs w:val="20"/>
        </w:rPr>
        <w:t>s are contingent upon the occurrence of future events. As a result, diluted net income per common share is the same as basic net income per common share for the period presented.</w:t>
      </w:r>
    </w:p>
    <w:p w14:paraId="7202CA55" w14:textId="77777777" w:rsidR="00000000" w:rsidRDefault="006549D2">
      <w:pPr>
        <w:pStyle w:val="a3"/>
        <w:spacing w:before="0" w:beforeAutospacing="0" w:after="0" w:afterAutospacing="0"/>
        <w:ind w:firstLine="360"/>
        <w:jc w:val="both"/>
        <w:rPr>
          <w:sz w:val="20"/>
          <w:szCs w:val="20"/>
        </w:rPr>
      </w:pPr>
      <w:r>
        <w:rPr>
          <w:sz w:val="20"/>
          <w:szCs w:val="20"/>
        </w:rPr>
        <w:t> </w:t>
      </w:r>
    </w:p>
    <w:p w14:paraId="70191869" w14:textId="77777777" w:rsidR="00000000" w:rsidRDefault="006549D2">
      <w:pPr>
        <w:pStyle w:val="a3"/>
        <w:spacing w:before="0" w:beforeAutospacing="0" w:after="0" w:afterAutospacing="0"/>
        <w:jc w:val="both"/>
        <w:rPr>
          <w:sz w:val="20"/>
          <w:szCs w:val="20"/>
        </w:rPr>
      </w:pPr>
      <w:r>
        <w:rPr>
          <w:b/>
          <w:bCs/>
          <w:i/>
          <w:iCs/>
          <w:sz w:val="20"/>
          <w:szCs w:val="20"/>
        </w:rPr>
        <w:t>Reconciliation of Net Income per Common Share</w:t>
      </w:r>
    </w:p>
    <w:p w14:paraId="0DCA65F7" w14:textId="77777777" w:rsidR="00000000" w:rsidRDefault="006549D2">
      <w:pPr>
        <w:pStyle w:val="a3"/>
        <w:spacing w:before="0" w:beforeAutospacing="0" w:after="0" w:afterAutospacing="0"/>
        <w:jc w:val="both"/>
        <w:rPr>
          <w:sz w:val="20"/>
          <w:szCs w:val="20"/>
        </w:rPr>
      </w:pPr>
      <w:r>
        <w:rPr>
          <w:sz w:val="20"/>
          <w:szCs w:val="20"/>
        </w:rPr>
        <w:t> </w:t>
      </w:r>
    </w:p>
    <w:p w14:paraId="28B664E9" w14:textId="77777777" w:rsidR="00000000" w:rsidRDefault="006549D2">
      <w:pPr>
        <w:pStyle w:val="a3"/>
        <w:spacing w:before="0" w:beforeAutospacing="0" w:after="0" w:afterAutospacing="0"/>
        <w:ind w:firstLine="360"/>
        <w:jc w:val="both"/>
        <w:rPr>
          <w:sz w:val="20"/>
          <w:szCs w:val="20"/>
        </w:rPr>
      </w:pPr>
      <w:r>
        <w:rPr>
          <w:sz w:val="20"/>
          <w:szCs w:val="20"/>
        </w:rPr>
        <w:t>The Company’s net (loss) in</w:t>
      </w:r>
      <w:r>
        <w:rPr>
          <w:sz w:val="20"/>
          <w:szCs w:val="20"/>
        </w:rPr>
        <w:t>come is adjusted for the portion of income that is attributable to common stock subject to possible redemption, as these shares only participate in the earnings of the Trust Account and not the income or losses of the Company. Accordingly, basic and dilute</w:t>
      </w:r>
      <w:r>
        <w:rPr>
          <w:sz w:val="20"/>
          <w:szCs w:val="20"/>
        </w:rPr>
        <w:t>d income per common share is calculated as follows:</w:t>
      </w:r>
    </w:p>
    <w:p w14:paraId="784A109D" w14:textId="77777777" w:rsidR="00000000" w:rsidRDefault="006549D2">
      <w:pPr>
        <w:pStyle w:val="a3"/>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87A4414" w14:textId="77777777">
        <w:trPr>
          <w:divId w:val="1644698406"/>
        </w:trPr>
        <w:tc>
          <w:tcPr>
            <w:tcW w:w="1650" w:type="pct"/>
            <w:hideMark/>
          </w:tcPr>
          <w:p w14:paraId="4C6C4C4C" w14:textId="77777777" w:rsidR="00000000" w:rsidRDefault="006549D2">
            <w:pPr>
              <w:rPr>
                <w:rFonts w:eastAsia="Times New Roman"/>
                <w:sz w:val="20"/>
                <w:szCs w:val="20"/>
              </w:rPr>
            </w:pPr>
            <w:r>
              <w:rPr>
                <w:rFonts w:eastAsia="Times New Roman"/>
                <w:sz w:val="20"/>
                <w:szCs w:val="20"/>
              </w:rPr>
              <w:t> </w:t>
            </w:r>
          </w:p>
        </w:tc>
        <w:tc>
          <w:tcPr>
            <w:tcW w:w="1700" w:type="pct"/>
            <w:hideMark/>
          </w:tcPr>
          <w:p w14:paraId="71B7E3C9" w14:textId="77777777" w:rsidR="00000000" w:rsidRDefault="006549D2">
            <w:pPr>
              <w:jc w:val="center"/>
              <w:rPr>
                <w:rFonts w:eastAsia="Times New Roman"/>
                <w:sz w:val="20"/>
                <w:szCs w:val="20"/>
              </w:rPr>
            </w:pPr>
            <w:r>
              <w:rPr>
                <w:rFonts w:eastAsia="Times New Roman"/>
                <w:sz w:val="20"/>
                <w:szCs w:val="20"/>
              </w:rPr>
              <w:t>8</w:t>
            </w:r>
          </w:p>
        </w:tc>
        <w:tc>
          <w:tcPr>
            <w:tcW w:w="1650" w:type="pct"/>
            <w:hideMark/>
          </w:tcPr>
          <w:p w14:paraId="36AA909A" w14:textId="77777777" w:rsidR="00000000" w:rsidRDefault="006549D2">
            <w:pPr>
              <w:jc w:val="right"/>
              <w:rPr>
                <w:rFonts w:eastAsia="Times New Roman"/>
                <w:sz w:val="20"/>
                <w:szCs w:val="20"/>
              </w:rPr>
            </w:pPr>
            <w:r>
              <w:rPr>
                <w:rFonts w:eastAsia="Times New Roman"/>
                <w:sz w:val="20"/>
                <w:szCs w:val="20"/>
              </w:rPr>
              <w:t> </w:t>
            </w:r>
          </w:p>
        </w:tc>
      </w:tr>
    </w:tbl>
    <w:p w14:paraId="15928ED5" w14:textId="77777777" w:rsidR="00000000" w:rsidRDefault="006549D2">
      <w:pPr>
        <w:pStyle w:val="a3"/>
        <w:pageBreakBefore/>
        <w:spacing w:before="0" w:beforeAutospacing="0" w:after="0" w:afterAutospacing="0"/>
        <w:divId w:val="574705827"/>
        <w:rPr>
          <w:sz w:val="20"/>
          <w:szCs w:val="20"/>
        </w:rPr>
      </w:pPr>
      <w:r>
        <w:rPr>
          <w:sz w:val="20"/>
          <w:szCs w:val="20"/>
        </w:rPr>
        <w:t> </w:t>
      </w:r>
    </w:p>
    <w:p w14:paraId="327E3382" w14:textId="77777777" w:rsidR="00000000" w:rsidRDefault="006549D2">
      <w:pPr>
        <w:pStyle w:val="a3"/>
        <w:spacing w:before="0" w:beforeAutospacing="0" w:after="0" w:afterAutospacing="0"/>
        <w:ind w:firstLine="360"/>
        <w:jc w:val="both"/>
        <w:rPr>
          <w:sz w:val="20"/>
          <w:szCs w:val="20"/>
        </w:rPr>
      </w:pPr>
      <w:r>
        <w:rPr>
          <w:sz w:val="20"/>
          <w:szCs w:val="20"/>
        </w:rPr>
        <w:t> </w:t>
      </w:r>
    </w:p>
    <w:p w14:paraId="2E8AC98F" w14:textId="77777777" w:rsidR="00000000" w:rsidRDefault="006549D2">
      <w:pPr>
        <w:pStyle w:val="a3"/>
        <w:spacing w:before="0" w:beforeAutospacing="0" w:after="0" w:afterAutospacing="0"/>
        <w:jc w:val="center"/>
        <w:rPr>
          <w:sz w:val="20"/>
          <w:szCs w:val="20"/>
        </w:rPr>
      </w:pPr>
      <w:r>
        <w:rPr>
          <w:b/>
          <w:bCs/>
          <w:sz w:val="20"/>
          <w:szCs w:val="20"/>
        </w:rPr>
        <w:t>CHURCHILL CAPITAL CORP III</w:t>
      </w:r>
    </w:p>
    <w:p w14:paraId="1D6349CB" w14:textId="77777777" w:rsidR="00000000" w:rsidRDefault="006549D2">
      <w:pPr>
        <w:pStyle w:val="a3"/>
        <w:spacing w:before="0" w:beforeAutospacing="0" w:after="0" w:afterAutospacing="0"/>
        <w:jc w:val="center"/>
        <w:rPr>
          <w:sz w:val="20"/>
          <w:szCs w:val="20"/>
        </w:rPr>
      </w:pPr>
      <w:r>
        <w:rPr>
          <w:b/>
          <w:bCs/>
          <w:sz w:val="20"/>
          <w:szCs w:val="20"/>
        </w:rPr>
        <w:t>NOTES TO CONDENSED FINANCIAL STATEMENTS</w:t>
      </w:r>
    </w:p>
    <w:p w14:paraId="0512B83B" w14:textId="77777777" w:rsidR="00000000" w:rsidRDefault="006549D2">
      <w:pPr>
        <w:pStyle w:val="a3"/>
        <w:spacing w:before="0" w:beforeAutospacing="0" w:after="0" w:afterAutospacing="0"/>
        <w:jc w:val="center"/>
        <w:rPr>
          <w:sz w:val="20"/>
          <w:szCs w:val="20"/>
        </w:rPr>
      </w:pPr>
      <w:r>
        <w:rPr>
          <w:b/>
          <w:bCs/>
          <w:sz w:val="20"/>
          <w:szCs w:val="20"/>
        </w:rPr>
        <w:t>JUNE 30, 2020</w:t>
      </w:r>
    </w:p>
    <w:p w14:paraId="3A326DD9" w14:textId="77777777" w:rsidR="00000000" w:rsidRDefault="006549D2">
      <w:pPr>
        <w:pStyle w:val="a3"/>
        <w:spacing w:before="0" w:beforeAutospacing="0" w:after="0" w:afterAutospacing="0"/>
        <w:jc w:val="center"/>
        <w:rPr>
          <w:sz w:val="20"/>
          <w:szCs w:val="20"/>
        </w:rPr>
      </w:pPr>
      <w:r>
        <w:rPr>
          <w:b/>
          <w:bCs/>
          <w:sz w:val="20"/>
          <w:szCs w:val="20"/>
        </w:rPr>
        <w:t>(Unaudited)</w:t>
      </w:r>
    </w:p>
    <w:p w14:paraId="3BAD036F" w14:textId="77777777" w:rsidR="00000000" w:rsidRDefault="006549D2">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072"/>
        <w:gridCol w:w="50"/>
        <w:gridCol w:w="100"/>
        <w:gridCol w:w="900"/>
        <w:gridCol w:w="67"/>
        <w:gridCol w:w="50"/>
        <w:gridCol w:w="100"/>
        <w:gridCol w:w="900"/>
        <w:gridCol w:w="67"/>
      </w:tblGrid>
      <w:tr w:rsidR="00000000" w14:paraId="45A3858F" w14:textId="77777777">
        <w:tc>
          <w:tcPr>
            <w:tcW w:w="0" w:type="auto"/>
            <w:vAlign w:val="bottom"/>
            <w:hideMark/>
          </w:tcPr>
          <w:p w14:paraId="77699ED9" w14:textId="77777777" w:rsidR="00000000" w:rsidRDefault="006549D2">
            <w:pPr>
              <w:jc w:val="both"/>
              <w:rPr>
                <w:rFonts w:eastAsia="Times New Roman"/>
                <w:sz w:val="20"/>
                <w:szCs w:val="20"/>
              </w:rPr>
            </w:pPr>
            <w:r>
              <w:rPr>
                <w:rFonts w:eastAsia="Times New Roman"/>
                <w:sz w:val="20"/>
                <w:szCs w:val="20"/>
              </w:rPr>
              <w:t> </w:t>
            </w:r>
          </w:p>
        </w:tc>
        <w:tc>
          <w:tcPr>
            <w:tcW w:w="0" w:type="auto"/>
            <w:vAlign w:val="bottom"/>
            <w:hideMark/>
          </w:tcPr>
          <w:p w14:paraId="29FFEFC2" w14:textId="77777777" w:rsidR="00000000" w:rsidRDefault="006549D2">
            <w:pPr>
              <w:rPr>
                <w:rFonts w:eastAsia="Times New Roman"/>
                <w:b/>
                <w:bCs/>
                <w:sz w:val="20"/>
                <w:szCs w:val="20"/>
              </w:rPr>
            </w:pPr>
            <w:r>
              <w:rPr>
                <w:rFonts w:eastAsia="Times New Roman"/>
                <w:b/>
                <w:bCs/>
                <w:sz w:val="20"/>
                <w:szCs w:val="20"/>
              </w:rPr>
              <w:t> </w:t>
            </w:r>
          </w:p>
        </w:tc>
        <w:tc>
          <w:tcPr>
            <w:tcW w:w="0" w:type="auto"/>
            <w:gridSpan w:val="2"/>
            <w:vAlign w:val="bottom"/>
            <w:hideMark/>
          </w:tcPr>
          <w:p w14:paraId="5A9DA1F1" w14:textId="77777777" w:rsidR="00000000" w:rsidRDefault="006549D2">
            <w:pPr>
              <w:jc w:val="center"/>
              <w:rPr>
                <w:rFonts w:eastAsia="Times New Roman"/>
                <w:b/>
                <w:bCs/>
                <w:sz w:val="20"/>
                <w:szCs w:val="20"/>
              </w:rPr>
            </w:pPr>
            <w:r>
              <w:rPr>
                <w:rFonts w:eastAsia="Times New Roman"/>
                <w:b/>
                <w:bCs/>
                <w:sz w:val="20"/>
                <w:szCs w:val="20"/>
              </w:rPr>
              <w:t>Three Months</w:t>
            </w:r>
            <w:r>
              <w:rPr>
                <w:rFonts w:eastAsia="Times New Roman"/>
                <w:b/>
                <w:bCs/>
                <w:sz w:val="20"/>
                <w:szCs w:val="20"/>
              </w:rPr>
              <w:br/>
              <w:t>Ended</w:t>
            </w:r>
            <w:r>
              <w:rPr>
                <w:rFonts w:eastAsia="Times New Roman"/>
                <w:b/>
                <w:bCs/>
                <w:sz w:val="20"/>
                <w:szCs w:val="20"/>
              </w:rPr>
              <w:br/>
              <w:t>June 30,</w:t>
            </w:r>
          </w:p>
        </w:tc>
        <w:tc>
          <w:tcPr>
            <w:tcW w:w="0" w:type="auto"/>
            <w:vAlign w:val="bottom"/>
            <w:hideMark/>
          </w:tcPr>
          <w:p w14:paraId="6C5A8ACA" w14:textId="77777777" w:rsidR="00000000" w:rsidRDefault="006549D2">
            <w:pPr>
              <w:rPr>
                <w:rFonts w:eastAsia="Times New Roman"/>
                <w:b/>
                <w:bCs/>
                <w:sz w:val="20"/>
                <w:szCs w:val="20"/>
              </w:rPr>
            </w:pPr>
            <w:r>
              <w:rPr>
                <w:rFonts w:eastAsia="Times New Roman"/>
                <w:b/>
                <w:bCs/>
                <w:sz w:val="20"/>
                <w:szCs w:val="20"/>
              </w:rPr>
              <w:t> </w:t>
            </w:r>
          </w:p>
        </w:tc>
        <w:tc>
          <w:tcPr>
            <w:tcW w:w="0" w:type="auto"/>
            <w:vAlign w:val="bottom"/>
            <w:hideMark/>
          </w:tcPr>
          <w:p w14:paraId="688B6B54" w14:textId="77777777" w:rsidR="00000000" w:rsidRDefault="006549D2">
            <w:pPr>
              <w:rPr>
                <w:rFonts w:eastAsia="Times New Roman"/>
                <w:b/>
                <w:bCs/>
                <w:sz w:val="20"/>
                <w:szCs w:val="20"/>
              </w:rPr>
            </w:pPr>
            <w:r>
              <w:rPr>
                <w:rFonts w:eastAsia="Times New Roman"/>
                <w:b/>
                <w:bCs/>
                <w:sz w:val="20"/>
                <w:szCs w:val="20"/>
              </w:rPr>
              <w:t> </w:t>
            </w:r>
          </w:p>
        </w:tc>
        <w:tc>
          <w:tcPr>
            <w:tcW w:w="0" w:type="auto"/>
            <w:gridSpan w:val="2"/>
            <w:vAlign w:val="bottom"/>
            <w:hideMark/>
          </w:tcPr>
          <w:p w14:paraId="47A170C6" w14:textId="77777777" w:rsidR="00000000" w:rsidRDefault="006549D2">
            <w:pPr>
              <w:jc w:val="center"/>
              <w:rPr>
                <w:rFonts w:eastAsia="Times New Roman"/>
                <w:b/>
                <w:bCs/>
                <w:sz w:val="20"/>
                <w:szCs w:val="20"/>
              </w:rPr>
            </w:pPr>
            <w:r>
              <w:rPr>
                <w:rFonts w:eastAsia="Times New Roman"/>
                <w:b/>
                <w:bCs/>
                <w:sz w:val="20"/>
                <w:szCs w:val="20"/>
              </w:rPr>
              <w:t>Six Months</w:t>
            </w:r>
            <w:r>
              <w:rPr>
                <w:rFonts w:eastAsia="Times New Roman"/>
                <w:b/>
                <w:bCs/>
                <w:sz w:val="20"/>
                <w:szCs w:val="20"/>
              </w:rPr>
              <w:br/>
              <w:t>Ended</w:t>
            </w:r>
            <w:r>
              <w:rPr>
                <w:rFonts w:eastAsia="Times New Roman"/>
                <w:b/>
                <w:bCs/>
                <w:sz w:val="20"/>
                <w:szCs w:val="20"/>
              </w:rPr>
              <w:br/>
              <w:t>June 30,</w:t>
            </w:r>
          </w:p>
        </w:tc>
        <w:tc>
          <w:tcPr>
            <w:tcW w:w="0" w:type="auto"/>
            <w:vAlign w:val="bottom"/>
            <w:hideMark/>
          </w:tcPr>
          <w:p w14:paraId="17702E0E" w14:textId="77777777" w:rsidR="00000000" w:rsidRDefault="006549D2">
            <w:pPr>
              <w:rPr>
                <w:rFonts w:eastAsia="Times New Roman"/>
                <w:b/>
                <w:bCs/>
                <w:sz w:val="20"/>
                <w:szCs w:val="20"/>
              </w:rPr>
            </w:pPr>
            <w:r>
              <w:rPr>
                <w:rFonts w:eastAsia="Times New Roman"/>
                <w:b/>
                <w:bCs/>
                <w:sz w:val="20"/>
                <w:szCs w:val="20"/>
              </w:rPr>
              <w:t> </w:t>
            </w:r>
          </w:p>
        </w:tc>
      </w:tr>
      <w:tr w:rsidR="00000000" w14:paraId="529D48E6" w14:textId="77777777">
        <w:tc>
          <w:tcPr>
            <w:tcW w:w="0" w:type="auto"/>
            <w:vAlign w:val="bottom"/>
            <w:hideMark/>
          </w:tcPr>
          <w:p w14:paraId="2D479AD0" w14:textId="77777777" w:rsidR="00000000" w:rsidRDefault="006549D2">
            <w:pPr>
              <w:jc w:val="both"/>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14:paraId="2F0AEB90" w14:textId="77777777" w:rsidR="00000000" w:rsidRDefault="006549D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14:paraId="50FBD086" w14:textId="77777777" w:rsidR="00000000" w:rsidRDefault="006549D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20" w:type="dxa"/>
              <w:right w:w="0" w:type="dxa"/>
            </w:tcMar>
            <w:vAlign w:val="bottom"/>
            <w:hideMark/>
          </w:tcPr>
          <w:p w14:paraId="677B7D05" w14:textId="77777777" w:rsidR="00000000" w:rsidRDefault="006549D2">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14:paraId="07780894" w14:textId="77777777" w:rsidR="00000000" w:rsidRDefault="006549D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14:paraId="22EDCE7D" w14:textId="77777777" w:rsidR="00000000" w:rsidRDefault="006549D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20" w:type="dxa"/>
              <w:right w:w="0" w:type="dxa"/>
            </w:tcMar>
            <w:vAlign w:val="bottom"/>
            <w:hideMark/>
          </w:tcPr>
          <w:p w14:paraId="18175825" w14:textId="77777777" w:rsidR="00000000" w:rsidRDefault="006549D2">
            <w:pPr>
              <w:rPr>
                <w:rFonts w:eastAsia="Times New Roman"/>
                <w:b/>
                <w:bCs/>
                <w:sz w:val="20"/>
                <w:szCs w:val="20"/>
              </w:rPr>
            </w:pPr>
            <w:r>
              <w:rPr>
                <w:rFonts w:eastAsia="Times New Roman"/>
                <w:b/>
                <w:bCs/>
                <w:sz w:val="20"/>
                <w:szCs w:val="20"/>
              </w:rPr>
              <w:t> </w:t>
            </w:r>
          </w:p>
        </w:tc>
      </w:tr>
      <w:tr w:rsidR="00000000" w14:paraId="1DFB009F" w14:textId="77777777">
        <w:tc>
          <w:tcPr>
            <w:tcW w:w="3700" w:type="pct"/>
            <w:shd w:val="clear" w:color="auto" w:fill="CCEEFF"/>
            <w:vAlign w:val="bottom"/>
            <w:hideMark/>
          </w:tcPr>
          <w:p w14:paraId="77028800" w14:textId="77777777" w:rsidR="00000000" w:rsidRDefault="006549D2">
            <w:pPr>
              <w:jc w:val="both"/>
              <w:rPr>
                <w:rFonts w:eastAsia="Times New Roman"/>
                <w:sz w:val="20"/>
                <w:szCs w:val="20"/>
              </w:rPr>
            </w:pPr>
            <w:r>
              <w:rPr>
                <w:rFonts w:eastAsia="Times New Roman"/>
                <w:sz w:val="20"/>
                <w:szCs w:val="20"/>
              </w:rPr>
              <w:t>Net (loss) income</w:t>
            </w:r>
          </w:p>
        </w:tc>
        <w:tc>
          <w:tcPr>
            <w:tcW w:w="50" w:type="pct"/>
            <w:shd w:val="clear" w:color="auto" w:fill="CCEEFF"/>
            <w:vAlign w:val="bottom"/>
            <w:hideMark/>
          </w:tcPr>
          <w:p w14:paraId="37287025" w14:textId="77777777" w:rsidR="00000000" w:rsidRDefault="006549D2">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6316EE" w14:textId="77777777" w:rsidR="00000000" w:rsidRDefault="006549D2">
            <w:pPr>
              <w:rPr>
                <w:rFonts w:eastAsia="Times New Roman"/>
                <w:sz w:val="20"/>
                <w:szCs w:val="20"/>
              </w:rPr>
            </w:pPr>
            <w:r>
              <w:rPr>
                <w:rFonts w:eastAsia="Times New Roman"/>
                <w:sz w:val="20"/>
                <w:szCs w:val="20"/>
              </w:rPr>
              <w:t>$</w:t>
            </w:r>
          </w:p>
        </w:tc>
        <w:tc>
          <w:tcPr>
            <w:tcW w:w="500" w:type="pct"/>
            <w:shd w:val="clear" w:color="auto" w:fill="CCEEFF"/>
            <w:vAlign w:val="bottom"/>
            <w:hideMark/>
          </w:tcPr>
          <w:p w14:paraId="657379FB" w14:textId="77777777" w:rsidR="00000000" w:rsidRDefault="006549D2">
            <w:pPr>
              <w:jc w:val="right"/>
              <w:rPr>
                <w:rFonts w:eastAsia="Times New Roman"/>
                <w:sz w:val="20"/>
                <w:szCs w:val="20"/>
              </w:rPr>
            </w:pPr>
            <w:r>
              <w:rPr>
                <w:rFonts w:eastAsia="Times New Roman"/>
                <w:sz w:val="20"/>
                <w:szCs w:val="20"/>
              </w:rPr>
              <w:t>(1,335,040</w:t>
            </w:r>
          </w:p>
        </w:tc>
        <w:tc>
          <w:tcPr>
            <w:tcW w:w="50" w:type="pct"/>
            <w:shd w:val="clear" w:color="auto" w:fill="CCEEFF"/>
            <w:vAlign w:val="bottom"/>
            <w:hideMark/>
          </w:tcPr>
          <w:p w14:paraId="1A1B8401" w14:textId="77777777" w:rsidR="00000000" w:rsidRDefault="006549D2">
            <w:pPr>
              <w:rPr>
                <w:rFonts w:eastAsia="Times New Roman"/>
                <w:sz w:val="20"/>
                <w:szCs w:val="20"/>
              </w:rPr>
            </w:pPr>
            <w:r>
              <w:rPr>
                <w:rFonts w:eastAsia="Times New Roman"/>
                <w:sz w:val="20"/>
                <w:szCs w:val="20"/>
              </w:rPr>
              <w:t>)</w:t>
            </w:r>
          </w:p>
        </w:tc>
        <w:tc>
          <w:tcPr>
            <w:tcW w:w="50" w:type="pct"/>
            <w:shd w:val="clear" w:color="auto" w:fill="CCEEFF"/>
            <w:vAlign w:val="bottom"/>
            <w:hideMark/>
          </w:tcPr>
          <w:p w14:paraId="2CA3CA78" w14:textId="77777777" w:rsidR="00000000" w:rsidRDefault="006549D2">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9B2899" w14:textId="77777777" w:rsidR="00000000" w:rsidRDefault="006549D2">
            <w:pPr>
              <w:rPr>
                <w:rFonts w:eastAsia="Times New Roman"/>
                <w:sz w:val="20"/>
                <w:szCs w:val="20"/>
              </w:rPr>
            </w:pPr>
            <w:r>
              <w:rPr>
                <w:rFonts w:eastAsia="Times New Roman"/>
                <w:sz w:val="20"/>
                <w:szCs w:val="20"/>
              </w:rPr>
              <w:t>$</w:t>
            </w:r>
          </w:p>
        </w:tc>
        <w:tc>
          <w:tcPr>
            <w:tcW w:w="500" w:type="pct"/>
            <w:shd w:val="clear" w:color="auto" w:fill="CCEEFF"/>
            <w:vAlign w:val="bottom"/>
            <w:hideMark/>
          </w:tcPr>
          <w:p w14:paraId="3571489B" w14:textId="77777777" w:rsidR="00000000" w:rsidRDefault="006549D2">
            <w:pPr>
              <w:jc w:val="right"/>
              <w:rPr>
                <w:rFonts w:eastAsia="Times New Roman"/>
                <w:sz w:val="20"/>
                <w:szCs w:val="20"/>
              </w:rPr>
            </w:pPr>
            <w:r>
              <w:rPr>
                <w:rFonts w:eastAsia="Times New Roman"/>
                <w:sz w:val="20"/>
                <w:szCs w:val="20"/>
              </w:rPr>
              <w:t>1,696,498</w:t>
            </w:r>
          </w:p>
        </w:tc>
        <w:tc>
          <w:tcPr>
            <w:tcW w:w="50" w:type="pct"/>
            <w:shd w:val="clear" w:color="auto" w:fill="CCEEFF"/>
            <w:vAlign w:val="bottom"/>
            <w:hideMark/>
          </w:tcPr>
          <w:p w14:paraId="55FB1FAD" w14:textId="77777777" w:rsidR="00000000" w:rsidRDefault="006549D2">
            <w:pPr>
              <w:rPr>
                <w:rFonts w:eastAsia="Times New Roman"/>
                <w:sz w:val="20"/>
                <w:szCs w:val="20"/>
              </w:rPr>
            </w:pPr>
            <w:r>
              <w:rPr>
                <w:rFonts w:eastAsia="Times New Roman"/>
                <w:sz w:val="20"/>
                <w:szCs w:val="20"/>
              </w:rPr>
              <w:t> </w:t>
            </w:r>
          </w:p>
        </w:tc>
      </w:tr>
      <w:tr w:rsidR="00000000" w14:paraId="7C074247" w14:textId="77777777">
        <w:tc>
          <w:tcPr>
            <w:tcW w:w="0" w:type="auto"/>
            <w:shd w:val="clear" w:color="auto" w:fill="FFFFFF"/>
            <w:tcMar>
              <w:top w:w="0" w:type="dxa"/>
              <w:left w:w="360" w:type="dxa"/>
              <w:bottom w:w="20" w:type="dxa"/>
              <w:right w:w="0" w:type="dxa"/>
            </w:tcMar>
            <w:vAlign w:val="bottom"/>
            <w:hideMark/>
          </w:tcPr>
          <w:p w14:paraId="4153A642" w14:textId="77777777" w:rsidR="00000000" w:rsidRDefault="006549D2">
            <w:pPr>
              <w:ind w:hanging="360"/>
              <w:jc w:val="both"/>
              <w:rPr>
                <w:rFonts w:eastAsia="Times New Roman"/>
                <w:sz w:val="20"/>
                <w:szCs w:val="20"/>
              </w:rPr>
            </w:pPr>
            <w:r>
              <w:rPr>
                <w:rFonts w:eastAsia="Times New Roman"/>
                <w:sz w:val="20"/>
                <w:szCs w:val="20"/>
              </w:rPr>
              <w:t>Less: Income attributable to common stock subject to possible redemption</w:t>
            </w:r>
          </w:p>
        </w:tc>
        <w:tc>
          <w:tcPr>
            <w:tcW w:w="0" w:type="auto"/>
            <w:shd w:val="clear" w:color="auto" w:fill="FFFFFF"/>
            <w:tcMar>
              <w:top w:w="0" w:type="dxa"/>
              <w:left w:w="0" w:type="dxa"/>
              <w:bottom w:w="20" w:type="dxa"/>
              <w:right w:w="0" w:type="dxa"/>
            </w:tcMar>
            <w:vAlign w:val="bottom"/>
            <w:hideMark/>
          </w:tcPr>
          <w:p w14:paraId="411E0B4B"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38A40381"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07273BBE" w14:textId="77777777" w:rsidR="00000000" w:rsidRDefault="006549D2">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14:paraId="072B8D44"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14:paraId="2CD727BF"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551C8D26" w14:textId="77777777" w:rsidR="00000000" w:rsidRDefault="006549D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14:paraId="435FBE93" w14:textId="77777777" w:rsidR="00000000" w:rsidRDefault="006549D2">
            <w:pPr>
              <w:jc w:val="right"/>
              <w:rPr>
                <w:rFonts w:eastAsia="Times New Roman"/>
                <w:sz w:val="20"/>
                <w:szCs w:val="20"/>
              </w:rPr>
            </w:pPr>
            <w:r>
              <w:rPr>
                <w:rFonts w:eastAsia="Times New Roman"/>
                <w:sz w:val="20"/>
                <w:szCs w:val="20"/>
              </w:rPr>
              <w:t>(2,558,125</w:t>
            </w:r>
          </w:p>
        </w:tc>
        <w:tc>
          <w:tcPr>
            <w:tcW w:w="0" w:type="auto"/>
            <w:shd w:val="clear" w:color="auto" w:fill="FFFFFF"/>
            <w:tcMar>
              <w:top w:w="0" w:type="dxa"/>
              <w:left w:w="0" w:type="dxa"/>
              <w:bottom w:w="20" w:type="dxa"/>
              <w:right w:w="0" w:type="dxa"/>
            </w:tcMar>
            <w:vAlign w:val="bottom"/>
            <w:hideMark/>
          </w:tcPr>
          <w:p w14:paraId="4B1EEA17" w14:textId="77777777" w:rsidR="00000000" w:rsidRDefault="006549D2">
            <w:pPr>
              <w:rPr>
                <w:rFonts w:eastAsia="Times New Roman"/>
                <w:sz w:val="20"/>
                <w:szCs w:val="20"/>
              </w:rPr>
            </w:pPr>
            <w:r>
              <w:rPr>
                <w:rFonts w:eastAsia="Times New Roman"/>
                <w:sz w:val="20"/>
                <w:szCs w:val="20"/>
              </w:rPr>
              <w:t>)</w:t>
            </w:r>
          </w:p>
        </w:tc>
      </w:tr>
      <w:tr w:rsidR="00000000" w14:paraId="0F7A41AE" w14:textId="77777777">
        <w:tc>
          <w:tcPr>
            <w:tcW w:w="0" w:type="auto"/>
            <w:shd w:val="clear" w:color="auto" w:fill="CCEEFF"/>
            <w:tcMar>
              <w:top w:w="0" w:type="dxa"/>
              <w:left w:w="0" w:type="dxa"/>
              <w:bottom w:w="50" w:type="dxa"/>
              <w:right w:w="0" w:type="dxa"/>
            </w:tcMar>
            <w:vAlign w:val="bottom"/>
            <w:hideMark/>
          </w:tcPr>
          <w:p w14:paraId="3D869A66" w14:textId="77777777" w:rsidR="00000000" w:rsidRDefault="006549D2">
            <w:pPr>
              <w:jc w:val="both"/>
              <w:rPr>
                <w:rFonts w:eastAsia="Times New Roman"/>
                <w:sz w:val="20"/>
                <w:szCs w:val="20"/>
              </w:rPr>
            </w:pPr>
            <w:r>
              <w:rPr>
                <w:rFonts w:eastAsia="Times New Roman"/>
                <w:sz w:val="20"/>
                <w:szCs w:val="20"/>
              </w:rPr>
              <w:t>Adjusted net loss</w:t>
            </w:r>
          </w:p>
        </w:tc>
        <w:tc>
          <w:tcPr>
            <w:tcW w:w="0" w:type="auto"/>
            <w:shd w:val="clear" w:color="auto" w:fill="CCEEFF"/>
            <w:tcMar>
              <w:top w:w="0" w:type="dxa"/>
              <w:left w:w="0" w:type="dxa"/>
              <w:bottom w:w="50" w:type="dxa"/>
              <w:right w:w="0" w:type="dxa"/>
            </w:tcMar>
            <w:vAlign w:val="bottom"/>
            <w:hideMark/>
          </w:tcPr>
          <w:p w14:paraId="6FDE1797" w14:textId="77777777" w:rsidR="00000000" w:rsidRDefault="006549D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63BE235" w14:textId="77777777" w:rsidR="00000000" w:rsidRDefault="006549D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261E9E4" w14:textId="77777777" w:rsidR="00000000" w:rsidRDefault="006549D2">
            <w:pPr>
              <w:jc w:val="right"/>
              <w:rPr>
                <w:rFonts w:eastAsia="Times New Roman"/>
                <w:sz w:val="20"/>
                <w:szCs w:val="20"/>
              </w:rPr>
            </w:pPr>
            <w:r>
              <w:rPr>
                <w:rFonts w:eastAsia="Times New Roman"/>
                <w:sz w:val="20"/>
                <w:szCs w:val="20"/>
              </w:rPr>
              <w:t>(1,335,040</w:t>
            </w:r>
          </w:p>
        </w:tc>
        <w:tc>
          <w:tcPr>
            <w:tcW w:w="0" w:type="auto"/>
            <w:shd w:val="clear" w:color="auto" w:fill="CCEEFF"/>
            <w:tcMar>
              <w:top w:w="0" w:type="dxa"/>
              <w:left w:w="0" w:type="dxa"/>
              <w:bottom w:w="50" w:type="dxa"/>
              <w:right w:w="0" w:type="dxa"/>
            </w:tcMar>
            <w:vAlign w:val="bottom"/>
            <w:hideMark/>
          </w:tcPr>
          <w:p w14:paraId="7156931C" w14:textId="77777777" w:rsidR="00000000" w:rsidRDefault="006549D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21569DB9" w14:textId="77777777" w:rsidR="00000000" w:rsidRDefault="006549D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2ED8220" w14:textId="77777777" w:rsidR="00000000" w:rsidRDefault="006549D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CA5B6C7" w14:textId="77777777" w:rsidR="00000000" w:rsidRDefault="006549D2">
            <w:pPr>
              <w:jc w:val="right"/>
              <w:rPr>
                <w:rFonts w:eastAsia="Times New Roman"/>
                <w:sz w:val="20"/>
                <w:szCs w:val="20"/>
              </w:rPr>
            </w:pPr>
            <w:r>
              <w:rPr>
                <w:rFonts w:eastAsia="Times New Roman"/>
                <w:sz w:val="20"/>
                <w:szCs w:val="20"/>
              </w:rPr>
              <w:t>(861,627</w:t>
            </w:r>
          </w:p>
        </w:tc>
        <w:tc>
          <w:tcPr>
            <w:tcW w:w="0" w:type="auto"/>
            <w:shd w:val="clear" w:color="auto" w:fill="CCEEFF"/>
            <w:tcMar>
              <w:top w:w="0" w:type="dxa"/>
              <w:left w:w="0" w:type="dxa"/>
              <w:bottom w:w="50" w:type="dxa"/>
              <w:right w:w="0" w:type="dxa"/>
            </w:tcMar>
            <w:vAlign w:val="bottom"/>
            <w:hideMark/>
          </w:tcPr>
          <w:p w14:paraId="3C61D020" w14:textId="77777777" w:rsidR="00000000" w:rsidRDefault="006549D2">
            <w:pPr>
              <w:rPr>
                <w:rFonts w:eastAsia="Times New Roman"/>
                <w:sz w:val="20"/>
                <w:szCs w:val="20"/>
              </w:rPr>
            </w:pPr>
            <w:r>
              <w:rPr>
                <w:rFonts w:eastAsia="Times New Roman"/>
                <w:sz w:val="20"/>
                <w:szCs w:val="20"/>
              </w:rPr>
              <w:t>)</w:t>
            </w:r>
          </w:p>
        </w:tc>
      </w:tr>
      <w:tr w:rsidR="00000000" w14:paraId="6A262368" w14:textId="77777777">
        <w:tc>
          <w:tcPr>
            <w:tcW w:w="0" w:type="auto"/>
            <w:shd w:val="clear" w:color="auto" w:fill="FFFFFF"/>
            <w:vAlign w:val="bottom"/>
            <w:hideMark/>
          </w:tcPr>
          <w:p w14:paraId="603672D2" w14:textId="77777777" w:rsidR="00000000" w:rsidRDefault="006549D2">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23DFCE7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014FF9"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65F6FF"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7C171E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3C4A0A"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F163A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881D63"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5DC2939" w14:textId="77777777" w:rsidR="00000000" w:rsidRDefault="006549D2">
            <w:pPr>
              <w:rPr>
                <w:rFonts w:eastAsia="Times New Roman"/>
                <w:sz w:val="20"/>
                <w:szCs w:val="20"/>
              </w:rPr>
            </w:pPr>
            <w:r>
              <w:rPr>
                <w:rFonts w:eastAsia="Times New Roman"/>
                <w:sz w:val="20"/>
                <w:szCs w:val="20"/>
              </w:rPr>
              <w:t> </w:t>
            </w:r>
          </w:p>
        </w:tc>
      </w:tr>
      <w:tr w:rsidR="00000000" w14:paraId="1CFBE6F3" w14:textId="77777777">
        <w:tc>
          <w:tcPr>
            <w:tcW w:w="0" w:type="auto"/>
            <w:shd w:val="clear" w:color="auto" w:fill="CCEEFF"/>
            <w:tcMar>
              <w:top w:w="0" w:type="dxa"/>
              <w:left w:w="0" w:type="dxa"/>
              <w:bottom w:w="50" w:type="dxa"/>
              <w:right w:w="0" w:type="dxa"/>
            </w:tcMar>
            <w:vAlign w:val="bottom"/>
            <w:hideMark/>
          </w:tcPr>
          <w:p w14:paraId="5429335B" w14:textId="77777777" w:rsidR="00000000" w:rsidRDefault="006549D2">
            <w:pPr>
              <w:jc w:val="both"/>
              <w:rPr>
                <w:rFonts w:eastAsia="Times New Roman"/>
                <w:sz w:val="20"/>
                <w:szCs w:val="20"/>
              </w:rPr>
            </w:pPr>
            <w:r>
              <w:rPr>
                <w:rFonts w:eastAsia="Times New Roman"/>
                <w:sz w:val="20"/>
                <w:szCs w:val="20"/>
              </w:rPr>
              <w:t>Weighted average shares outstanding, basic and diluted</w:t>
            </w:r>
          </w:p>
        </w:tc>
        <w:tc>
          <w:tcPr>
            <w:tcW w:w="0" w:type="auto"/>
            <w:shd w:val="clear" w:color="auto" w:fill="CCEEFF"/>
            <w:tcMar>
              <w:top w:w="0" w:type="dxa"/>
              <w:left w:w="0" w:type="dxa"/>
              <w:bottom w:w="50" w:type="dxa"/>
              <w:right w:w="0" w:type="dxa"/>
            </w:tcMar>
            <w:vAlign w:val="bottom"/>
            <w:hideMark/>
          </w:tcPr>
          <w:p w14:paraId="4BA41D73" w14:textId="77777777" w:rsidR="00000000" w:rsidRDefault="006549D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20A9420" w14:textId="77777777" w:rsidR="00000000" w:rsidRDefault="006549D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AE1772E" w14:textId="77777777" w:rsidR="00000000" w:rsidRDefault="006549D2">
            <w:pPr>
              <w:jc w:val="right"/>
              <w:rPr>
                <w:rFonts w:eastAsia="Times New Roman"/>
                <w:sz w:val="20"/>
                <w:szCs w:val="20"/>
              </w:rPr>
            </w:pPr>
            <w:r>
              <w:rPr>
                <w:rFonts w:eastAsia="Times New Roman"/>
                <w:sz w:val="20"/>
                <w:szCs w:val="20"/>
              </w:rPr>
              <w:t>31,167,195</w:t>
            </w:r>
          </w:p>
        </w:tc>
        <w:tc>
          <w:tcPr>
            <w:tcW w:w="0" w:type="auto"/>
            <w:shd w:val="clear" w:color="auto" w:fill="CCEEFF"/>
            <w:tcMar>
              <w:top w:w="0" w:type="dxa"/>
              <w:left w:w="0" w:type="dxa"/>
              <w:bottom w:w="50" w:type="dxa"/>
              <w:right w:w="0" w:type="dxa"/>
            </w:tcMar>
            <w:vAlign w:val="bottom"/>
            <w:hideMark/>
          </w:tcPr>
          <w:p w14:paraId="56A5D462"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2D1A80B" w14:textId="77777777" w:rsidR="00000000" w:rsidRDefault="006549D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0286BD0" w14:textId="77777777" w:rsidR="00000000" w:rsidRDefault="006549D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9BCDEC9" w14:textId="77777777" w:rsidR="00000000" w:rsidRDefault="006549D2">
            <w:pPr>
              <w:jc w:val="right"/>
              <w:rPr>
                <w:rFonts w:eastAsia="Times New Roman"/>
                <w:sz w:val="20"/>
                <w:szCs w:val="20"/>
              </w:rPr>
            </w:pPr>
            <w:r>
              <w:rPr>
                <w:rFonts w:eastAsia="Times New Roman"/>
                <w:sz w:val="20"/>
                <w:szCs w:val="20"/>
              </w:rPr>
              <w:t>30,397,160</w:t>
            </w:r>
          </w:p>
        </w:tc>
        <w:tc>
          <w:tcPr>
            <w:tcW w:w="0" w:type="auto"/>
            <w:shd w:val="clear" w:color="auto" w:fill="CCEEFF"/>
            <w:tcMar>
              <w:top w:w="0" w:type="dxa"/>
              <w:left w:w="0" w:type="dxa"/>
              <w:bottom w:w="50" w:type="dxa"/>
              <w:right w:w="0" w:type="dxa"/>
            </w:tcMar>
            <w:vAlign w:val="bottom"/>
            <w:hideMark/>
          </w:tcPr>
          <w:p w14:paraId="7DBB7EC9" w14:textId="77777777" w:rsidR="00000000" w:rsidRDefault="006549D2">
            <w:pPr>
              <w:rPr>
                <w:rFonts w:eastAsia="Times New Roman"/>
                <w:sz w:val="20"/>
                <w:szCs w:val="20"/>
              </w:rPr>
            </w:pPr>
            <w:r>
              <w:rPr>
                <w:rFonts w:eastAsia="Times New Roman"/>
                <w:sz w:val="20"/>
                <w:szCs w:val="20"/>
              </w:rPr>
              <w:t> </w:t>
            </w:r>
          </w:p>
        </w:tc>
      </w:tr>
      <w:tr w:rsidR="00000000" w14:paraId="3F26FEBE" w14:textId="77777777">
        <w:tc>
          <w:tcPr>
            <w:tcW w:w="0" w:type="auto"/>
            <w:shd w:val="clear" w:color="auto" w:fill="FFFFFF"/>
            <w:vAlign w:val="bottom"/>
            <w:hideMark/>
          </w:tcPr>
          <w:p w14:paraId="06D7AA8F" w14:textId="77777777" w:rsidR="00000000" w:rsidRDefault="006549D2">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1AB6DEDB"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904628"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E05B20"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314B85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F1842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689B9F" w14:textId="77777777" w:rsidR="00000000" w:rsidRDefault="006549D2">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271B79"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755BC56" w14:textId="77777777" w:rsidR="00000000" w:rsidRDefault="006549D2">
            <w:pPr>
              <w:rPr>
                <w:rFonts w:eastAsia="Times New Roman"/>
                <w:sz w:val="20"/>
                <w:szCs w:val="20"/>
              </w:rPr>
            </w:pPr>
            <w:r>
              <w:rPr>
                <w:rFonts w:eastAsia="Times New Roman"/>
                <w:sz w:val="20"/>
                <w:szCs w:val="20"/>
              </w:rPr>
              <w:t> </w:t>
            </w:r>
          </w:p>
        </w:tc>
      </w:tr>
      <w:tr w:rsidR="00000000" w14:paraId="1DC677DB" w14:textId="77777777">
        <w:tc>
          <w:tcPr>
            <w:tcW w:w="0" w:type="auto"/>
            <w:shd w:val="clear" w:color="auto" w:fill="CCEEFF"/>
            <w:tcMar>
              <w:top w:w="0" w:type="dxa"/>
              <w:left w:w="0" w:type="dxa"/>
              <w:bottom w:w="50" w:type="dxa"/>
              <w:right w:w="0" w:type="dxa"/>
            </w:tcMar>
            <w:vAlign w:val="bottom"/>
            <w:hideMark/>
          </w:tcPr>
          <w:p w14:paraId="56078E26" w14:textId="77777777" w:rsidR="00000000" w:rsidRDefault="006549D2">
            <w:pPr>
              <w:jc w:val="both"/>
              <w:rPr>
                <w:rFonts w:eastAsia="Times New Roman"/>
                <w:sz w:val="20"/>
                <w:szCs w:val="20"/>
              </w:rPr>
            </w:pPr>
            <w:r>
              <w:rPr>
                <w:rFonts w:eastAsia="Times New Roman"/>
                <w:sz w:val="20"/>
                <w:szCs w:val="20"/>
              </w:rPr>
              <w:t>Basic and diluted net loss per common share</w:t>
            </w:r>
          </w:p>
        </w:tc>
        <w:tc>
          <w:tcPr>
            <w:tcW w:w="0" w:type="auto"/>
            <w:shd w:val="clear" w:color="auto" w:fill="CCEEFF"/>
            <w:tcMar>
              <w:top w:w="0" w:type="dxa"/>
              <w:left w:w="0" w:type="dxa"/>
              <w:bottom w:w="50" w:type="dxa"/>
              <w:right w:w="0" w:type="dxa"/>
            </w:tcMar>
            <w:vAlign w:val="bottom"/>
            <w:hideMark/>
          </w:tcPr>
          <w:p w14:paraId="7AE51A73" w14:textId="77777777" w:rsidR="00000000" w:rsidRDefault="006549D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2349507" w14:textId="77777777" w:rsidR="00000000" w:rsidRDefault="006549D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6461311" w14:textId="77777777" w:rsidR="00000000" w:rsidRDefault="006549D2">
            <w:pPr>
              <w:jc w:val="right"/>
              <w:rPr>
                <w:rFonts w:eastAsia="Times New Roman"/>
                <w:sz w:val="20"/>
                <w:szCs w:val="20"/>
              </w:rPr>
            </w:pPr>
            <w:r>
              <w:rPr>
                <w:rFonts w:eastAsia="Times New Roman"/>
                <w:sz w:val="20"/>
                <w:szCs w:val="20"/>
              </w:rPr>
              <w:t>(0.04</w:t>
            </w:r>
          </w:p>
        </w:tc>
        <w:tc>
          <w:tcPr>
            <w:tcW w:w="0" w:type="auto"/>
            <w:shd w:val="clear" w:color="auto" w:fill="CCEEFF"/>
            <w:tcMar>
              <w:top w:w="0" w:type="dxa"/>
              <w:left w:w="0" w:type="dxa"/>
              <w:bottom w:w="50" w:type="dxa"/>
              <w:right w:w="0" w:type="dxa"/>
            </w:tcMar>
            <w:vAlign w:val="bottom"/>
            <w:hideMark/>
          </w:tcPr>
          <w:p w14:paraId="79567818" w14:textId="77777777" w:rsidR="00000000" w:rsidRDefault="006549D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054A39EB" w14:textId="77777777" w:rsidR="00000000" w:rsidRDefault="006549D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B9C8FF7" w14:textId="77777777" w:rsidR="00000000" w:rsidRDefault="006549D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04BB4ED" w14:textId="77777777" w:rsidR="00000000" w:rsidRDefault="006549D2">
            <w:pPr>
              <w:jc w:val="right"/>
              <w:rPr>
                <w:rFonts w:eastAsia="Times New Roman"/>
                <w:sz w:val="20"/>
                <w:szCs w:val="20"/>
              </w:rPr>
            </w:pPr>
            <w:r>
              <w:rPr>
                <w:rFonts w:eastAsia="Times New Roman"/>
                <w:sz w:val="20"/>
                <w:szCs w:val="20"/>
              </w:rPr>
              <w:t>(0.03</w:t>
            </w:r>
          </w:p>
        </w:tc>
        <w:tc>
          <w:tcPr>
            <w:tcW w:w="0" w:type="auto"/>
            <w:shd w:val="clear" w:color="auto" w:fill="CCEEFF"/>
            <w:tcMar>
              <w:top w:w="0" w:type="dxa"/>
              <w:left w:w="0" w:type="dxa"/>
              <w:bottom w:w="50" w:type="dxa"/>
              <w:right w:w="0" w:type="dxa"/>
            </w:tcMar>
            <w:vAlign w:val="bottom"/>
            <w:hideMark/>
          </w:tcPr>
          <w:p w14:paraId="4368926F" w14:textId="77777777" w:rsidR="00000000" w:rsidRDefault="006549D2">
            <w:pPr>
              <w:rPr>
                <w:rFonts w:eastAsia="Times New Roman"/>
                <w:sz w:val="20"/>
                <w:szCs w:val="20"/>
              </w:rPr>
            </w:pPr>
            <w:r>
              <w:rPr>
                <w:rFonts w:eastAsia="Times New Roman"/>
                <w:sz w:val="20"/>
                <w:szCs w:val="20"/>
              </w:rPr>
              <w:t>)</w:t>
            </w:r>
          </w:p>
        </w:tc>
      </w:tr>
    </w:tbl>
    <w:p w14:paraId="61F0C3A1" w14:textId="77777777" w:rsidR="00000000" w:rsidRDefault="006549D2">
      <w:pPr>
        <w:pStyle w:val="a3"/>
        <w:spacing w:before="0" w:beforeAutospacing="0" w:after="0" w:afterAutospacing="0"/>
        <w:jc w:val="both"/>
        <w:rPr>
          <w:sz w:val="20"/>
          <w:szCs w:val="20"/>
        </w:rPr>
      </w:pPr>
      <w:r>
        <w:rPr>
          <w:b/>
          <w:bCs/>
          <w:i/>
          <w:iCs/>
          <w:sz w:val="20"/>
          <w:szCs w:val="20"/>
        </w:rPr>
        <w:t> </w:t>
      </w:r>
    </w:p>
    <w:p w14:paraId="6C8DE4BB" w14:textId="77777777" w:rsidR="00000000" w:rsidRDefault="006549D2">
      <w:pPr>
        <w:pStyle w:val="a3"/>
        <w:spacing w:before="0" w:beforeAutospacing="0" w:after="0" w:afterAutospacing="0"/>
        <w:jc w:val="both"/>
        <w:rPr>
          <w:sz w:val="20"/>
          <w:szCs w:val="20"/>
        </w:rPr>
      </w:pPr>
      <w:r>
        <w:rPr>
          <w:sz w:val="20"/>
          <w:szCs w:val="20"/>
        </w:rPr>
        <w:t> </w:t>
      </w:r>
    </w:p>
    <w:p w14:paraId="1A8CD3B2" w14:textId="77777777" w:rsidR="00000000" w:rsidRDefault="006549D2">
      <w:pPr>
        <w:pStyle w:val="a3"/>
        <w:spacing w:before="0" w:beforeAutospacing="0" w:after="0" w:afterAutospacing="0"/>
        <w:jc w:val="both"/>
        <w:rPr>
          <w:sz w:val="20"/>
          <w:szCs w:val="20"/>
        </w:rPr>
      </w:pPr>
      <w:r>
        <w:rPr>
          <w:b/>
          <w:bCs/>
          <w:i/>
          <w:iCs/>
          <w:sz w:val="20"/>
          <w:szCs w:val="20"/>
        </w:rPr>
        <w:t>Concentration of Credit Risk</w:t>
      </w:r>
    </w:p>
    <w:p w14:paraId="27A20D96" w14:textId="77777777" w:rsidR="00000000" w:rsidRDefault="006549D2">
      <w:pPr>
        <w:pStyle w:val="a3"/>
        <w:spacing w:before="0" w:beforeAutospacing="0" w:after="0" w:afterAutospacing="0"/>
        <w:ind w:left="1400" w:right="996" w:firstLine="400"/>
        <w:jc w:val="both"/>
        <w:rPr>
          <w:sz w:val="20"/>
          <w:szCs w:val="20"/>
        </w:rPr>
      </w:pPr>
      <w:r>
        <w:rPr>
          <w:sz w:val="20"/>
          <w:szCs w:val="20"/>
        </w:rPr>
        <w:t> </w:t>
      </w:r>
    </w:p>
    <w:p w14:paraId="0EEFF6A2" w14:textId="77777777" w:rsidR="00000000" w:rsidRDefault="006549D2">
      <w:pPr>
        <w:pStyle w:val="a3"/>
        <w:spacing w:before="0" w:beforeAutospacing="0" w:after="0" w:afterAutospacing="0"/>
        <w:ind w:firstLine="400"/>
        <w:jc w:val="both"/>
        <w:rPr>
          <w:sz w:val="20"/>
          <w:szCs w:val="20"/>
        </w:rPr>
      </w:pPr>
      <w:r>
        <w:rPr>
          <w:sz w:val="20"/>
          <w:szCs w:val="20"/>
        </w:rPr>
        <w:t>Financial instruments that potentially subject the Company to concentrations of credit risk consist of a cash account in a financial institution, which, at times, may exceed the Federal Depository Insurance Coverage of</w:t>
      </w:r>
      <w:r>
        <w:rPr>
          <w:sz w:val="20"/>
          <w:szCs w:val="20"/>
        </w:rPr>
        <w:t> </w:t>
      </w:r>
      <w:r>
        <w:rPr>
          <w:sz w:val="20"/>
          <w:szCs w:val="20"/>
        </w:rPr>
        <w:t>$250,000. The Company has not experie</w:t>
      </w:r>
      <w:r>
        <w:rPr>
          <w:sz w:val="20"/>
          <w:szCs w:val="20"/>
        </w:rPr>
        <w:t>nced losses on this account.</w:t>
      </w:r>
    </w:p>
    <w:p w14:paraId="26D54EBD" w14:textId="77777777" w:rsidR="00000000" w:rsidRDefault="006549D2">
      <w:pPr>
        <w:pStyle w:val="a3"/>
        <w:spacing w:before="0" w:beforeAutospacing="0" w:after="0" w:afterAutospacing="0"/>
        <w:ind w:left="1400" w:right="996"/>
        <w:jc w:val="both"/>
        <w:rPr>
          <w:sz w:val="20"/>
          <w:szCs w:val="20"/>
        </w:rPr>
      </w:pPr>
      <w:r>
        <w:rPr>
          <w:b/>
          <w:bCs/>
          <w:i/>
          <w:iCs/>
          <w:sz w:val="20"/>
          <w:szCs w:val="20"/>
        </w:rPr>
        <w:t> </w:t>
      </w:r>
    </w:p>
    <w:p w14:paraId="603A70BD" w14:textId="77777777" w:rsidR="00000000" w:rsidRDefault="006549D2">
      <w:pPr>
        <w:pStyle w:val="a3"/>
        <w:spacing w:before="0" w:beforeAutospacing="0" w:after="0" w:afterAutospacing="0"/>
        <w:jc w:val="both"/>
        <w:rPr>
          <w:sz w:val="20"/>
          <w:szCs w:val="20"/>
        </w:rPr>
      </w:pPr>
      <w:r>
        <w:rPr>
          <w:b/>
          <w:bCs/>
          <w:i/>
          <w:iCs/>
          <w:sz w:val="20"/>
          <w:szCs w:val="20"/>
        </w:rPr>
        <w:t>Fair Value of Financial Instruments</w:t>
      </w:r>
    </w:p>
    <w:p w14:paraId="3D03F8D3" w14:textId="77777777" w:rsidR="00000000" w:rsidRDefault="006549D2">
      <w:pPr>
        <w:pStyle w:val="a3"/>
        <w:spacing w:before="0" w:beforeAutospacing="0" w:after="0" w:afterAutospacing="0"/>
        <w:ind w:left="1397" w:right="994" w:firstLine="400"/>
        <w:jc w:val="both"/>
        <w:rPr>
          <w:sz w:val="20"/>
          <w:szCs w:val="20"/>
        </w:rPr>
      </w:pPr>
      <w:r>
        <w:rPr>
          <w:sz w:val="20"/>
          <w:szCs w:val="20"/>
        </w:rPr>
        <w:t> </w:t>
      </w:r>
    </w:p>
    <w:p w14:paraId="5C6D7B49" w14:textId="77777777" w:rsidR="00000000" w:rsidRDefault="006549D2">
      <w:pPr>
        <w:pStyle w:val="a3"/>
        <w:spacing w:before="0" w:beforeAutospacing="0" w:after="0" w:afterAutospacing="0"/>
        <w:ind w:firstLine="400"/>
        <w:jc w:val="both"/>
        <w:rPr>
          <w:sz w:val="20"/>
          <w:szCs w:val="20"/>
        </w:rPr>
      </w:pPr>
      <w:r>
        <w:rPr>
          <w:sz w:val="20"/>
          <w:szCs w:val="20"/>
        </w:rPr>
        <w:t>The fair value of the Company’s assets and liabilities, which qualify as financial instruments under ASC Topic 820, “Fair Value Measurement,” approximates the carrying amounts represented</w:t>
      </w:r>
      <w:r>
        <w:rPr>
          <w:sz w:val="20"/>
          <w:szCs w:val="20"/>
        </w:rPr>
        <w:t xml:space="preserve"> in the condensed balance sheets, primarily due to their short-term nature.</w:t>
      </w:r>
    </w:p>
    <w:p w14:paraId="6F1F880B" w14:textId="77777777" w:rsidR="00000000" w:rsidRDefault="006549D2">
      <w:pPr>
        <w:pStyle w:val="a3"/>
        <w:spacing w:before="0" w:beforeAutospacing="0" w:after="0" w:afterAutospacing="0"/>
        <w:ind w:left="1400" w:right="996"/>
        <w:jc w:val="both"/>
        <w:rPr>
          <w:sz w:val="20"/>
          <w:szCs w:val="20"/>
        </w:rPr>
      </w:pPr>
      <w:r>
        <w:rPr>
          <w:sz w:val="20"/>
          <w:szCs w:val="20"/>
        </w:rPr>
        <w:t>  </w:t>
      </w:r>
    </w:p>
    <w:p w14:paraId="27B2F6BF" w14:textId="77777777" w:rsidR="00000000" w:rsidRDefault="006549D2">
      <w:pPr>
        <w:pStyle w:val="a3"/>
        <w:spacing w:before="0" w:beforeAutospacing="0" w:after="0" w:afterAutospacing="0"/>
        <w:jc w:val="both"/>
        <w:rPr>
          <w:sz w:val="20"/>
          <w:szCs w:val="20"/>
        </w:rPr>
      </w:pPr>
      <w:r>
        <w:rPr>
          <w:b/>
          <w:bCs/>
          <w:i/>
          <w:iCs/>
          <w:sz w:val="20"/>
          <w:szCs w:val="20"/>
        </w:rPr>
        <w:t>Recent Accounting Standards</w:t>
      </w:r>
    </w:p>
    <w:p w14:paraId="17B0D4D5" w14:textId="77777777" w:rsidR="00000000" w:rsidRDefault="006549D2">
      <w:pPr>
        <w:pStyle w:val="a3"/>
        <w:spacing w:before="0" w:beforeAutospacing="0" w:after="0" w:afterAutospacing="0"/>
        <w:ind w:left="1400" w:right="996" w:firstLine="400"/>
        <w:jc w:val="both"/>
        <w:rPr>
          <w:sz w:val="20"/>
          <w:szCs w:val="20"/>
        </w:rPr>
      </w:pPr>
      <w:r>
        <w:rPr>
          <w:sz w:val="20"/>
          <w:szCs w:val="20"/>
        </w:rPr>
        <w:t> </w:t>
      </w:r>
    </w:p>
    <w:p w14:paraId="75E1A1E1" w14:textId="77777777" w:rsidR="00000000" w:rsidRDefault="006549D2">
      <w:pPr>
        <w:pStyle w:val="a3"/>
        <w:spacing w:before="0" w:beforeAutospacing="0" w:after="0" w:afterAutospacing="0"/>
        <w:ind w:firstLine="360"/>
        <w:jc w:val="both"/>
        <w:rPr>
          <w:sz w:val="20"/>
          <w:szCs w:val="20"/>
        </w:rPr>
      </w:pPr>
      <w:r>
        <w:rPr>
          <w:sz w:val="20"/>
          <w:szCs w:val="20"/>
        </w:rPr>
        <w:t>Management does not believe that any recently issued, but not yet effective, accounting standards, if currently adopted, would have a material effe</w:t>
      </w:r>
      <w:r>
        <w:rPr>
          <w:sz w:val="20"/>
          <w:szCs w:val="20"/>
        </w:rPr>
        <w:t>ct on the Company’s condensed financial statements.</w:t>
      </w:r>
    </w:p>
    <w:p w14:paraId="6C0C1EE9" w14:textId="77777777" w:rsidR="00000000" w:rsidRDefault="006549D2">
      <w:pPr>
        <w:pStyle w:val="a3"/>
        <w:spacing w:before="0" w:beforeAutospacing="0" w:after="0" w:afterAutospacing="0"/>
        <w:ind w:left="1400" w:right="996"/>
        <w:jc w:val="both"/>
        <w:rPr>
          <w:sz w:val="20"/>
          <w:szCs w:val="20"/>
        </w:rPr>
      </w:pPr>
      <w:r>
        <w:rPr>
          <w:b/>
          <w:bCs/>
          <w:sz w:val="20"/>
          <w:szCs w:val="20"/>
        </w:rPr>
        <w:t> </w:t>
      </w:r>
    </w:p>
    <w:p w14:paraId="280AB952" w14:textId="77777777" w:rsidR="00000000" w:rsidRDefault="006549D2">
      <w:pPr>
        <w:pStyle w:val="a3"/>
        <w:spacing w:before="0" w:beforeAutospacing="0" w:after="0" w:afterAutospacing="0"/>
        <w:jc w:val="both"/>
        <w:rPr>
          <w:sz w:val="20"/>
          <w:szCs w:val="20"/>
        </w:rPr>
      </w:pPr>
      <w:r>
        <w:rPr>
          <w:b/>
          <w:bCs/>
          <w:sz w:val="20"/>
          <w:szCs w:val="20"/>
        </w:rPr>
        <w:t>NOTE 3. PUBLIC OFFERING</w:t>
      </w:r>
    </w:p>
    <w:p w14:paraId="3E744F30" w14:textId="77777777" w:rsidR="00000000" w:rsidRDefault="006549D2">
      <w:pPr>
        <w:pStyle w:val="a3"/>
        <w:spacing w:before="0" w:beforeAutospacing="0" w:after="0" w:afterAutospacing="0"/>
        <w:ind w:left="1400" w:right="996" w:firstLine="400"/>
        <w:jc w:val="both"/>
        <w:rPr>
          <w:sz w:val="20"/>
          <w:szCs w:val="20"/>
        </w:rPr>
      </w:pPr>
      <w:r>
        <w:rPr>
          <w:sz w:val="20"/>
          <w:szCs w:val="20"/>
        </w:rPr>
        <w:t> </w:t>
      </w:r>
    </w:p>
    <w:p w14:paraId="0F0EBA75" w14:textId="77777777" w:rsidR="00000000" w:rsidRDefault="006549D2">
      <w:pPr>
        <w:pStyle w:val="a3"/>
        <w:spacing w:before="0" w:beforeAutospacing="0" w:after="0" w:afterAutospacing="0"/>
        <w:ind w:firstLine="400"/>
        <w:jc w:val="both"/>
        <w:rPr>
          <w:sz w:val="20"/>
          <w:szCs w:val="20"/>
        </w:rPr>
      </w:pPr>
      <w:r>
        <w:rPr>
          <w:sz w:val="20"/>
          <w:szCs w:val="20"/>
        </w:rPr>
        <w:t>Pursuant to the Initial Public Offering, the Company sold 110,000,000 Units, which includes the full exercise by the underwriter of its option to purchase an additional 10,000,</w:t>
      </w:r>
      <w:r>
        <w:rPr>
          <w:sz w:val="20"/>
          <w:szCs w:val="20"/>
        </w:rPr>
        <w:t>000 Units, at $10.00 per Unit. Each Unit consists of one share of Class A common stock and one-fourth of one redeemable warrant (“Public Warrant”). Each whole Public Warrant entitles the holder to purchase one share of Class A common stock at a price of</w:t>
      </w:r>
      <w:r>
        <w:rPr>
          <w:sz w:val="20"/>
          <w:szCs w:val="20"/>
        </w:rPr>
        <w:t> </w:t>
      </w:r>
      <w:r>
        <w:rPr>
          <w:sz w:val="20"/>
          <w:szCs w:val="20"/>
        </w:rPr>
        <w:t>$1</w:t>
      </w:r>
      <w:r>
        <w:rPr>
          <w:sz w:val="20"/>
          <w:szCs w:val="20"/>
        </w:rPr>
        <w:t>1.50 per share, subject to adjustment (see Note 7).</w:t>
      </w:r>
    </w:p>
    <w:p w14:paraId="4313E210" w14:textId="77777777" w:rsidR="00000000" w:rsidRDefault="006549D2">
      <w:pPr>
        <w:pStyle w:val="a3"/>
        <w:spacing w:before="0" w:beforeAutospacing="0" w:after="0" w:afterAutospacing="0"/>
        <w:ind w:left="1400" w:right="996"/>
        <w:jc w:val="both"/>
        <w:rPr>
          <w:sz w:val="20"/>
          <w:szCs w:val="20"/>
        </w:rPr>
      </w:pPr>
      <w:r>
        <w:rPr>
          <w:b/>
          <w:bCs/>
          <w:sz w:val="20"/>
          <w:szCs w:val="20"/>
        </w:rPr>
        <w:t> </w:t>
      </w:r>
    </w:p>
    <w:p w14:paraId="6CD44532" w14:textId="77777777" w:rsidR="00000000" w:rsidRDefault="006549D2">
      <w:pPr>
        <w:pStyle w:val="a3"/>
        <w:spacing w:before="0" w:beforeAutospacing="0" w:after="0" w:afterAutospacing="0"/>
        <w:jc w:val="both"/>
        <w:rPr>
          <w:sz w:val="20"/>
          <w:szCs w:val="20"/>
        </w:rPr>
      </w:pPr>
      <w:r>
        <w:rPr>
          <w:b/>
          <w:bCs/>
          <w:sz w:val="20"/>
          <w:szCs w:val="20"/>
        </w:rPr>
        <w:t>NOTE 4. PRIVATE PLACEMENT</w:t>
      </w:r>
    </w:p>
    <w:p w14:paraId="266F70A6" w14:textId="77777777" w:rsidR="00000000" w:rsidRDefault="006549D2">
      <w:pPr>
        <w:pStyle w:val="a3"/>
        <w:spacing w:before="0" w:beforeAutospacing="0" w:after="0" w:afterAutospacing="0"/>
        <w:ind w:left="1400" w:right="996" w:firstLine="400"/>
        <w:jc w:val="both"/>
        <w:rPr>
          <w:sz w:val="20"/>
          <w:szCs w:val="20"/>
        </w:rPr>
      </w:pPr>
      <w:r>
        <w:rPr>
          <w:sz w:val="20"/>
          <w:szCs w:val="20"/>
        </w:rPr>
        <w:t> </w:t>
      </w:r>
    </w:p>
    <w:p w14:paraId="1C414FEC" w14:textId="77777777" w:rsidR="00000000" w:rsidRDefault="006549D2">
      <w:pPr>
        <w:pStyle w:val="a3"/>
        <w:spacing w:before="0" w:beforeAutospacing="0" w:after="0" w:afterAutospacing="0"/>
        <w:ind w:firstLine="400"/>
        <w:jc w:val="both"/>
        <w:rPr>
          <w:sz w:val="20"/>
          <w:szCs w:val="20"/>
        </w:rPr>
      </w:pPr>
      <w:r>
        <w:rPr>
          <w:sz w:val="20"/>
          <w:szCs w:val="20"/>
        </w:rPr>
        <w:t xml:space="preserve">Simultaneously with </w:t>
      </w:r>
      <w:r>
        <w:rPr>
          <w:sz w:val="20"/>
          <w:szCs w:val="20"/>
        </w:rPr>
        <w:t>the closing of the Initial Public Offering, the Sponsor purchased an aggregate of 23,000,000 Private Placement Warrants at a price of $1.00 per Private Placement Warrant, for an aggregate purchase price of $23,000,000. Each Private Placement Warrant is exe</w:t>
      </w:r>
      <w:r>
        <w:rPr>
          <w:sz w:val="20"/>
          <w:szCs w:val="20"/>
        </w:rPr>
        <w:t>rcisable to purchase one share of Class A common stock at a price of</w:t>
      </w:r>
      <w:r>
        <w:rPr>
          <w:sz w:val="20"/>
          <w:szCs w:val="20"/>
        </w:rPr>
        <w:t> </w:t>
      </w:r>
      <w:r>
        <w:rPr>
          <w:sz w:val="20"/>
          <w:szCs w:val="20"/>
        </w:rPr>
        <w:t>$11.50 per share. The proceeds from the sale of the Private Placement Warrants were added to the proceeds from the Initial Public Offering held in the Trust Account. If the Company does n</w:t>
      </w:r>
      <w:r>
        <w:rPr>
          <w:sz w:val="20"/>
          <w:szCs w:val="20"/>
        </w:rPr>
        <w:t xml:space="preserve">ot complete a Business Combination within the Combination Window, the proceeds of the sale of the Private Placement Warrants will be used to fund the redemption of the Public Shares (subject to the requirements of applicable law) and the Private Placement </w:t>
      </w:r>
      <w:r>
        <w:rPr>
          <w:sz w:val="20"/>
          <w:szCs w:val="20"/>
        </w:rPr>
        <w:t>Warrants will expire worthless. There will be no redemption rights or liquidating distributions from the Trust Account with respect to the Private Placement Warrants.</w:t>
      </w:r>
    </w:p>
    <w:p w14:paraId="10A3CC61" w14:textId="77777777" w:rsidR="00000000" w:rsidRDefault="006549D2">
      <w:pPr>
        <w:pStyle w:val="a3"/>
        <w:spacing w:before="0" w:beforeAutospacing="0" w:after="0" w:afterAutospacing="0"/>
        <w:ind w:left="1400" w:right="996"/>
        <w:jc w:val="both"/>
        <w:rPr>
          <w:sz w:val="20"/>
          <w:szCs w:val="20"/>
        </w:rPr>
      </w:pPr>
      <w:r>
        <w:rPr>
          <w:b/>
          <w:bCs/>
          <w:sz w:val="20"/>
          <w:szCs w:val="20"/>
        </w:rPr>
        <w:t> </w:t>
      </w:r>
    </w:p>
    <w:p w14:paraId="76E46F31" w14:textId="77777777" w:rsidR="00000000" w:rsidRDefault="006549D2">
      <w:pPr>
        <w:pStyle w:val="a3"/>
        <w:spacing w:before="0" w:beforeAutospacing="0" w:after="0" w:afterAutospacing="0"/>
        <w:jc w:val="both"/>
        <w:rPr>
          <w:sz w:val="20"/>
          <w:szCs w:val="20"/>
        </w:rPr>
      </w:pPr>
      <w:r>
        <w:rPr>
          <w:b/>
          <w:bCs/>
          <w:sz w:val="20"/>
          <w:szCs w:val="20"/>
        </w:rPr>
        <w:t>NOTE 5. RELATED PARTY TRANSACTIONS</w:t>
      </w:r>
    </w:p>
    <w:p w14:paraId="348A8F5B" w14:textId="77777777" w:rsidR="00000000" w:rsidRDefault="006549D2">
      <w:pPr>
        <w:pStyle w:val="a3"/>
        <w:spacing w:before="0" w:beforeAutospacing="0" w:after="0" w:afterAutospacing="0"/>
        <w:ind w:left="1400" w:right="996"/>
        <w:jc w:val="both"/>
        <w:rPr>
          <w:sz w:val="20"/>
          <w:szCs w:val="20"/>
        </w:rPr>
      </w:pPr>
      <w:r>
        <w:rPr>
          <w:b/>
          <w:bCs/>
          <w:i/>
          <w:iCs/>
          <w:sz w:val="20"/>
          <w:szCs w:val="20"/>
        </w:rPr>
        <w:t> </w:t>
      </w:r>
    </w:p>
    <w:p w14:paraId="42AA66E8" w14:textId="77777777" w:rsidR="00000000" w:rsidRDefault="006549D2">
      <w:pPr>
        <w:pStyle w:val="a3"/>
        <w:spacing w:before="0" w:beforeAutospacing="0" w:after="0" w:afterAutospacing="0"/>
        <w:jc w:val="both"/>
        <w:rPr>
          <w:sz w:val="20"/>
          <w:szCs w:val="20"/>
        </w:rPr>
      </w:pPr>
      <w:r>
        <w:rPr>
          <w:b/>
          <w:bCs/>
          <w:i/>
          <w:iCs/>
          <w:sz w:val="20"/>
          <w:szCs w:val="20"/>
        </w:rPr>
        <w:t>Founder Shares</w:t>
      </w:r>
    </w:p>
    <w:p w14:paraId="1E3AABBF" w14:textId="77777777" w:rsidR="00000000" w:rsidRDefault="006549D2">
      <w:pPr>
        <w:pStyle w:val="a3"/>
        <w:spacing w:before="0" w:beforeAutospacing="0" w:after="0" w:afterAutospacing="0"/>
        <w:ind w:left="1400" w:right="996" w:firstLine="400"/>
        <w:jc w:val="both"/>
        <w:rPr>
          <w:sz w:val="20"/>
          <w:szCs w:val="20"/>
        </w:rPr>
      </w:pPr>
      <w:r>
        <w:rPr>
          <w:sz w:val="20"/>
          <w:szCs w:val="20"/>
        </w:rPr>
        <w:t> </w:t>
      </w:r>
    </w:p>
    <w:p w14:paraId="4BDB9394" w14:textId="77777777" w:rsidR="00000000" w:rsidRDefault="006549D2">
      <w:pPr>
        <w:pStyle w:val="a3"/>
        <w:spacing w:before="0" w:beforeAutospacing="0" w:after="0" w:afterAutospacing="0"/>
        <w:ind w:firstLine="400"/>
        <w:jc w:val="both"/>
        <w:rPr>
          <w:sz w:val="20"/>
          <w:szCs w:val="20"/>
        </w:rPr>
      </w:pPr>
      <w:r>
        <w:rPr>
          <w:sz w:val="20"/>
          <w:szCs w:val="20"/>
        </w:rPr>
        <w:t xml:space="preserve">On December 6, 2019, the Sponsor </w:t>
      </w:r>
      <w:r>
        <w:rPr>
          <w:sz w:val="20"/>
          <w:szCs w:val="20"/>
        </w:rPr>
        <w:t>purchased 17,250,000 shares of the Company’s Class B common stock for an aggregate price of</w:t>
      </w:r>
      <w:r>
        <w:rPr>
          <w:sz w:val="20"/>
          <w:szCs w:val="20"/>
        </w:rPr>
        <w:t> </w:t>
      </w:r>
      <w:r>
        <w:rPr>
          <w:sz w:val="20"/>
          <w:szCs w:val="20"/>
        </w:rPr>
        <w:t>$25,000. On February 12, 2020, the Company effected a stock dividend of one-third of a share outstanding and on February 13, 2020, the Company effected a stock divi</w:t>
      </w:r>
      <w:r>
        <w:rPr>
          <w:sz w:val="20"/>
          <w:szCs w:val="20"/>
        </w:rPr>
        <w:t>dend of approximately 0.1957 shares of Class B common stock for each outstanding share, resulting in 27,500,000 shares of Class B common stock being issued and outstanding (the “Founder Shares”). The Founder Shares will automatically convert into shares of</w:t>
      </w:r>
      <w:r>
        <w:rPr>
          <w:sz w:val="20"/>
          <w:szCs w:val="20"/>
        </w:rPr>
        <w:t xml:space="preserve"> Class A common stock upon consummation of a Business Combination on a one-for-one basis, subject to certain adjustments, as described in Note 7.</w:t>
      </w:r>
    </w:p>
    <w:p w14:paraId="41B982C3" w14:textId="77777777" w:rsidR="00000000" w:rsidRDefault="006549D2">
      <w:pPr>
        <w:pStyle w:val="a3"/>
        <w:spacing w:before="0" w:beforeAutospacing="0" w:after="0" w:afterAutospacing="0"/>
        <w:ind w:firstLine="40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41A4681" w14:textId="77777777">
        <w:trPr>
          <w:divId w:val="1453137567"/>
        </w:trPr>
        <w:tc>
          <w:tcPr>
            <w:tcW w:w="1650" w:type="pct"/>
            <w:hideMark/>
          </w:tcPr>
          <w:p w14:paraId="04DA3F32" w14:textId="77777777" w:rsidR="00000000" w:rsidRDefault="006549D2">
            <w:pPr>
              <w:rPr>
                <w:rFonts w:eastAsia="Times New Roman"/>
                <w:sz w:val="20"/>
                <w:szCs w:val="20"/>
              </w:rPr>
            </w:pPr>
            <w:r>
              <w:rPr>
                <w:rFonts w:eastAsia="Times New Roman"/>
                <w:sz w:val="20"/>
                <w:szCs w:val="20"/>
              </w:rPr>
              <w:t> </w:t>
            </w:r>
          </w:p>
        </w:tc>
        <w:tc>
          <w:tcPr>
            <w:tcW w:w="1700" w:type="pct"/>
            <w:hideMark/>
          </w:tcPr>
          <w:p w14:paraId="43B71829" w14:textId="77777777" w:rsidR="00000000" w:rsidRDefault="006549D2">
            <w:pPr>
              <w:jc w:val="center"/>
              <w:rPr>
                <w:rFonts w:eastAsia="Times New Roman"/>
                <w:sz w:val="20"/>
                <w:szCs w:val="20"/>
              </w:rPr>
            </w:pPr>
            <w:r>
              <w:rPr>
                <w:rFonts w:eastAsia="Times New Roman"/>
                <w:sz w:val="20"/>
                <w:szCs w:val="20"/>
              </w:rPr>
              <w:t>9</w:t>
            </w:r>
          </w:p>
        </w:tc>
        <w:tc>
          <w:tcPr>
            <w:tcW w:w="1650" w:type="pct"/>
            <w:hideMark/>
          </w:tcPr>
          <w:p w14:paraId="6226C32B" w14:textId="77777777" w:rsidR="00000000" w:rsidRDefault="006549D2">
            <w:pPr>
              <w:jc w:val="right"/>
              <w:rPr>
                <w:rFonts w:eastAsia="Times New Roman"/>
                <w:sz w:val="20"/>
                <w:szCs w:val="20"/>
              </w:rPr>
            </w:pPr>
            <w:r>
              <w:rPr>
                <w:rFonts w:eastAsia="Times New Roman"/>
                <w:sz w:val="20"/>
                <w:szCs w:val="20"/>
              </w:rPr>
              <w:t> </w:t>
            </w:r>
          </w:p>
        </w:tc>
      </w:tr>
    </w:tbl>
    <w:p w14:paraId="7F0F7C54" w14:textId="77777777" w:rsidR="00000000" w:rsidRDefault="006549D2">
      <w:pPr>
        <w:pStyle w:val="a3"/>
        <w:pageBreakBefore/>
        <w:spacing w:before="0" w:beforeAutospacing="0" w:after="0" w:afterAutospacing="0"/>
        <w:divId w:val="1397776275"/>
        <w:rPr>
          <w:sz w:val="20"/>
          <w:szCs w:val="20"/>
        </w:rPr>
      </w:pPr>
      <w:r>
        <w:rPr>
          <w:sz w:val="20"/>
          <w:szCs w:val="20"/>
        </w:rPr>
        <w:t> </w:t>
      </w:r>
    </w:p>
    <w:p w14:paraId="1021AEEF" w14:textId="77777777" w:rsidR="00000000" w:rsidRDefault="006549D2">
      <w:pPr>
        <w:pStyle w:val="a3"/>
        <w:spacing w:before="0" w:beforeAutospacing="0" w:after="0" w:afterAutospacing="0"/>
        <w:ind w:firstLine="400"/>
        <w:jc w:val="both"/>
        <w:rPr>
          <w:sz w:val="20"/>
          <w:szCs w:val="20"/>
        </w:rPr>
      </w:pPr>
      <w:r>
        <w:rPr>
          <w:sz w:val="20"/>
          <w:szCs w:val="20"/>
        </w:rPr>
        <w:t> </w:t>
      </w:r>
    </w:p>
    <w:p w14:paraId="7740C995" w14:textId="77777777" w:rsidR="00000000" w:rsidRDefault="006549D2">
      <w:pPr>
        <w:pStyle w:val="a3"/>
        <w:spacing w:before="0" w:beforeAutospacing="0" w:after="0" w:afterAutospacing="0"/>
        <w:jc w:val="center"/>
        <w:rPr>
          <w:sz w:val="20"/>
          <w:szCs w:val="20"/>
        </w:rPr>
      </w:pPr>
      <w:r>
        <w:rPr>
          <w:b/>
          <w:bCs/>
          <w:sz w:val="20"/>
          <w:szCs w:val="20"/>
        </w:rPr>
        <w:t>CHURCHILL CAPITAL CORP III</w:t>
      </w:r>
    </w:p>
    <w:p w14:paraId="0B825344" w14:textId="77777777" w:rsidR="00000000" w:rsidRDefault="006549D2">
      <w:pPr>
        <w:pStyle w:val="a3"/>
        <w:spacing w:before="0" w:beforeAutospacing="0" w:after="0" w:afterAutospacing="0"/>
        <w:jc w:val="center"/>
        <w:rPr>
          <w:sz w:val="20"/>
          <w:szCs w:val="20"/>
        </w:rPr>
      </w:pPr>
      <w:r>
        <w:rPr>
          <w:b/>
          <w:bCs/>
          <w:sz w:val="20"/>
          <w:szCs w:val="20"/>
        </w:rPr>
        <w:t>NOTES TO CONDENSED FINANCIAL STATEMENTS</w:t>
      </w:r>
    </w:p>
    <w:p w14:paraId="21C10E2E" w14:textId="77777777" w:rsidR="00000000" w:rsidRDefault="006549D2">
      <w:pPr>
        <w:pStyle w:val="a3"/>
        <w:spacing w:before="0" w:beforeAutospacing="0" w:after="0" w:afterAutospacing="0"/>
        <w:jc w:val="center"/>
        <w:rPr>
          <w:sz w:val="20"/>
          <w:szCs w:val="20"/>
        </w:rPr>
      </w:pPr>
      <w:r>
        <w:rPr>
          <w:b/>
          <w:bCs/>
          <w:sz w:val="20"/>
          <w:szCs w:val="20"/>
        </w:rPr>
        <w:t>JUNE 30, 2020</w:t>
      </w:r>
    </w:p>
    <w:p w14:paraId="0649B037" w14:textId="77777777" w:rsidR="00000000" w:rsidRDefault="006549D2">
      <w:pPr>
        <w:pStyle w:val="a3"/>
        <w:spacing w:before="0" w:beforeAutospacing="0" w:after="0" w:afterAutospacing="0"/>
        <w:jc w:val="center"/>
        <w:rPr>
          <w:sz w:val="20"/>
          <w:szCs w:val="20"/>
        </w:rPr>
      </w:pPr>
      <w:r>
        <w:rPr>
          <w:b/>
          <w:bCs/>
          <w:sz w:val="20"/>
          <w:szCs w:val="20"/>
        </w:rPr>
        <w:t>(Unaudited)</w:t>
      </w:r>
    </w:p>
    <w:p w14:paraId="53F9D59E" w14:textId="77777777" w:rsidR="00000000" w:rsidRDefault="006549D2">
      <w:pPr>
        <w:pStyle w:val="a3"/>
        <w:spacing w:before="0" w:beforeAutospacing="0" w:after="0" w:afterAutospacing="0"/>
        <w:jc w:val="center"/>
        <w:rPr>
          <w:sz w:val="20"/>
          <w:szCs w:val="20"/>
        </w:rPr>
      </w:pPr>
      <w:r>
        <w:rPr>
          <w:sz w:val="20"/>
          <w:szCs w:val="20"/>
        </w:rPr>
        <w:t> </w:t>
      </w:r>
    </w:p>
    <w:p w14:paraId="3284EB9C" w14:textId="77777777" w:rsidR="00000000" w:rsidRDefault="006549D2">
      <w:pPr>
        <w:pStyle w:val="a3"/>
        <w:spacing w:before="0" w:beforeAutospacing="0" w:after="0" w:afterAutospacing="0"/>
        <w:ind w:firstLine="403"/>
        <w:jc w:val="both"/>
        <w:rPr>
          <w:sz w:val="20"/>
          <w:szCs w:val="20"/>
        </w:rPr>
      </w:pPr>
      <w:r>
        <w:rPr>
          <w:sz w:val="20"/>
          <w:szCs w:val="20"/>
        </w:rPr>
        <w:t>The Founder Shares included an aggregate of up to 2,500,000 shares subject to forfeiture to the extent that the underwriters’ over-allotment option was not exercised in full or in part, so</w:t>
      </w:r>
      <w:r>
        <w:rPr>
          <w:sz w:val="20"/>
          <w:szCs w:val="20"/>
        </w:rPr>
        <w:t xml:space="preserve"> that the Sponsor would own, on an as-converted basis, 20% of the Company’s issued and outstanding shares after the Initial Public Offering (assuming the Sponsor did not purchase any Public Shares in the Initial Public Offering). As a result of the underwr</w:t>
      </w:r>
      <w:r>
        <w:rPr>
          <w:sz w:val="20"/>
          <w:szCs w:val="20"/>
        </w:rPr>
        <w:t>iters’ election to fully exercise their over-allotment option, 2,500,000 Founder Shares are no longer subject to forfeiture.</w:t>
      </w:r>
    </w:p>
    <w:p w14:paraId="304F9803" w14:textId="77777777" w:rsidR="00000000" w:rsidRDefault="006549D2">
      <w:pPr>
        <w:pStyle w:val="a3"/>
        <w:spacing w:before="0" w:beforeAutospacing="0" w:after="0" w:afterAutospacing="0"/>
        <w:ind w:firstLine="400"/>
        <w:jc w:val="both"/>
        <w:rPr>
          <w:sz w:val="20"/>
          <w:szCs w:val="20"/>
        </w:rPr>
      </w:pPr>
      <w:r>
        <w:rPr>
          <w:sz w:val="20"/>
          <w:szCs w:val="20"/>
        </w:rPr>
        <w:t> </w:t>
      </w:r>
    </w:p>
    <w:p w14:paraId="78878AD8" w14:textId="77777777" w:rsidR="00000000" w:rsidRDefault="006549D2">
      <w:pPr>
        <w:pStyle w:val="a3"/>
        <w:spacing w:before="0" w:beforeAutospacing="0" w:after="0" w:afterAutospacing="0"/>
        <w:ind w:firstLine="400"/>
        <w:jc w:val="both"/>
        <w:rPr>
          <w:sz w:val="20"/>
          <w:szCs w:val="20"/>
        </w:rPr>
      </w:pPr>
      <w:r>
        <w:rPr>
          <w:sz w:val="20"/>
          <w:szCs w:val="20"/>
        </w:rPr>
        <w:t>The Sponsor has agreed, subject to limited exceptions, not to transfer, assign or sell any of its Founder Shares until the earlie</w:t>
      </w:r>
      <w:r>
        <w:rPr>
          <w:sz w:val="20"/>
          <w:szCs w:val="20"/>
        </w:rPr>
        <w:t>r to occur of: (A) one year after the completion of a Business Combination or (B) the date on which the Company completes a liquidation, merger, stock exchange, reorganization or similar transaction after a Business Combination that results in all of the C</w:t>
      </w:r>
      <w:r>
        <w:rPr>
          <w:sz w:val="20"/>
          <w:szCs w:val="20"/>
        </w:rPr>
        <w:t>ompany’s stockholders having the right to exchange their shares of common stock for cash, securities or other property. Notwithstanding the foregoing, if the closing price of the Class A common stock equals or exceeds $12.00 per share (as adjusted for stoc</w:t>
      </w:r>
      <w:r>
        <w:rPr>
          <w:sz w:val="20"/>
          <w:szCs w:val="20"/>
        </w:rPr>
        <w:t>k splits, stock dividends, reorganizations, recapitalizations and the like) for any 20 trading days within any 30-trading day period commencing at least 150 days after a Business Combination, the Founder Shares will be released form the lock-up.</w:t>
      </w:r>
    </w:p>
    <w:p w14:paraId="02E685EC" w14:textId="77777777" w:rsidR="00000000" w:rsidRDefault="006549D2">
      <w:pPr>
        <w:pStyle w:val="a3"/>
        <w:spacing w:before="0" w:beforeAutospacing="0" w:after="0" w:afterAutospacing="0"/>
        <w:ind w:firstLine="360"/>
        <w:jc w:val="both"/>
        <w:rPr>
          <w:sz w:val="20"/>
          <w:szCs w:val="20"/>
        </w:rPr>
      </w:pPr>
      <w:r>
        <w:rPr>
          <w:sz w:val="20"/>
          <w:szCs w:val="20"/>
        </w:rPr>
        <w:t>   </w:t>
      </w:r>
    </w:p>
    <w:p w14:paraId="60AC4F2D" w14:textId="77777777" w:rsidR="00000000" w:rsidRDefault="006549D2">
      <w:pPr>
        <w:pStyle w:val="a3"/>
        <w:spacing w:before="0" w:beforeAutospacing="0" w:after="0" w:afterAutospacing="0"/>
        <w:jc w:val="both"/>
        <w:rPr>
          <w:sz w:val="20"/>
          <w:szCs w:val="20"/>
        </w:rPr>
      </w:pPr>
      <w:r>
        <w:rPr>
          <w:b/>
          <w:bCs/>
          <w:i/>
          <w:iCs/>
          <w:sz w:val="20"/>
          <w:szCs w:val="20"/>
        </w:rPr>
        <w:t>Promis</w:t>
      </w:r>
      <w:r>
        <w:rPr>
          <w:b/>
          <w:bCs/>
          <w:i/>
          <w:iCs/>
          <w:sz w:val="20"/>
          <w:szCs w:val="20"/>
        </w:rPr>
        <w:t>sory Note — Related Party</w:t>
      </w:r>
    </w:p>
    <w:p w14:paraId="4D666424" w14:textId="77777777" w:rsidR="00000000" w:rsidRDefault="006549D2">
      <w:pPr>
        <w:pStyle w:val="a3"/>
        <w:spacing w:before="0" w:beforeAutospacing="0" w:after="0" w:afterAutospacing="0"/>
        <w:ind w:left="1400" w:right="996" w:firstLine="400"/>
        <w:jc w:val="both"/>
        <w:rPr>
          <w:sz w:val="20"/>
          <w:szCs w:val="20"/>
        </w:rPr>
      </w:pPr>
      <w:r>
        <w:rPr>
          <w:sz w:val="20"/>
          <w:szCs w:val="20"/>
        </w:rPr>
        <w:t> </w:t>
      </w:r>
    </w:p>
    <w:p w14:paraId="6C1C8E0B" w14:textId="77777777" w:rsidR="00000000" w:rsidRDefault="006549D2">
      <w:pPr>
        <w:pStyle w:val="a3"/>
        <w:spacing w:before="0" w:beforeAutospacing="0" w:after="0" w:afterAutospacing="0"/>
        <w:ind w:firstLine="403"/>
        <w:jc w:val="both"/>
        <w:rPr>
          <w:sz w:val="20"/>
          <w:szCs w:val="20"/>
        </w:rPr>
      </w:pPr>
      <w:r>
        <w:rPr>
          <w:sz w:val="20"/>
          <w:szCs w:val="20"/>
        </w:rPr>
        <w:t xml:space="preserve">On December 6, 2019, as amended on February 12, 2020, the Sponsor agreed to loan the Company an aggregate of up to $600,000 to cover expenses related to the Initial Public Offering pursuant to a promissory note (the “Promissory </w:t>
      </w:r>
      <w:r>
        <w:rPr>
          <w:sz w:val="20"/>
          <w:szCs w:val="20"/>
        </w:rPr>
        <w:t xml:space="preserve">Note”). The Promissory Note was non-interest bearing and payable on the earlier of December 31, 2020 or the completion of the Initial Public Offering. The borrowings outstanding under the note in the amount of $334,600 were repaid upon the consummation of </w:t>
      </w:r>
      <w:r>
        <w:rPr>
          <w:sz w:val="20"/>
          <w:szCs w:val="20"/>
        </w:rPr>
        <w:t>the Initial Public Offering on February 19, 2020.</w:t>
      </w:r>
    </w:p>
    <w:p w14:paraId="1E823B74" w14:textId="77777777" w:rsidR="00000000" w:rsidRDefault="006549D2">
      <w:pPr>
        <w:pStyle w:val="a3"/>
        <w:spacing w:before="0" w:beforeAutospacing="0" w:after="0" w:afterAutospacing="0"/>
        <w:jc w:val="both"/>
        <w:rPr>
          <w:sz w:val="20"/>
          <w:szCs w:val="20"/>
        </w:rPr>
      </w:pPr>
      <w:r>
        <w:rPr>
          <w:b/>
          <w:bCs/>
          <w:i/>
          <w:iCs/>
          <w:sz w:val="20"/>
          <w:szCs w:val="20"/>
        </w:rPr>
        <w:t> </w:t>
      </w:r>
    </w:p>
    <w:p w14:paraId="052F8392" w14:textId="77777777" w:rsidR="00000000" w:rsidRDefault="006549D2">
      <w:pPr>
        <w:pStyle w:val="a3"/>
        <w:spacing w:before="0" w:beforeAutospacing="0" w:after="0" w:afterAutospacing="0"/>
        <w:jc w:val="both"/>
        <w:rPr>
          <w:sz w:val="20"/>
          <w:szCs w:val="20"/>
        </w:rPr>
      </w:pPr>
      <w:r>
        <w:rPr>
          <w:b/>
          <w:bCs/>
          <w:i/>
          <w:iCs/>
          <w:sz w:val="20"/>
          <w:szCs w:val="20"/>
        </w:rPr>
        <w:t>Administrative Support Agreement</w:t>
      </w:r>
    </w:p>
    <w:p w14:paraId="0AD734E2" w14:textId="77777777" w:rsidR="00000000" w:rsidRDefault="006549D2">
      <w:pPr>
        <w:pStyle w:val="a3"/>
        <w:spacing w:before="0" w:beforeAutospacing="0" w:after="0" w:afterAutospacing="0"/>
        <w:ind w:left="1400" w:right="996" w:firstLine="400"/>
        <w:jc w:val="both"/>
        <w:rPr>
          <w:sz w:val="20"/>
          <w:szCs w:val="20"/>
        </w:rPr>
      </w:pPr>
      <w:r>
        <w:rPr>
          <w:sz w:val="20"/>
          <w:szCs w:val="20"/>
        </w:rPr>
        <w:t> </w:t>
      </w:r>
    </w:p>
    <w:p w14:paraId="7D148875" w14:textId="77777777" w:rsidR="00000000" w:rsidRDefault="006549D2">
      <w:pPr>
        <w:pStyle w:val="a3"/>
        <w:spacing w:before="0" w:beforeAutospacing="0" w:after="0" w:afterAutospacing="0"/>
        <w:ind w:firstLine="403"/>
        <w:jc w:val="both"/>
        <w:rPr>
          <w:sz w:val="20"/>
          <w:szCs w:val="20"/>
        </w:rPr>
      </w:pPr>
      <w:r>
        <w:rPr>
          <w:sz w:val="20"/>
          <w:szCs w:val="20"/>
        </w:rPr>
        <w:t>The Company entered into an agreement whereby, commencing on February 13, 2020 through the earlier of the Company’s consummation of a Business Combination and its liquid</w:t>
      </w:r>
      <w:r>
        <w:rPr>
          <w:sz w:val="20"/>
          <w:szCs w:val="20"/>
        </w:rPr>
        <w:t>ation, the Company will pay an affiliate of the Sponsor a total of</w:t>
      </w:r>
      <w:r>
        <w:rPr>
          <w:sz w:val="20"/>
          <w:szCs w:val="20"/>
        </w:rPr>
        <w:t> </w:t>
      </w:r>
      <w:r>
        <w:rPr>
          <w:sz w:val="20"/>
          <w:szCs w:val="20"/>
        </w:rPr>
        <w:t xml:space="preserve">$50,000 per month for office space, administrative and support services. For the three and six months ended June 30, 2020, the Company incurred and paid $150,000 and $229,310 of such fees, </w:t>
      </w:r>
      <w:r>
        <w:rPr>
          <w:sz w:val="20"/>
          <w:szCs w:val="20"/>
        </w:rPr>
        <w:t>respectively.</w:t>
      </w:r>
    </w:p>
    <w:p w14:paraId="17C3DFDA" w14:textId="77777777" w:rsidR="00000000" w:rsidRDefault="006549D2">
      <w:pPr>
        <w:pStyle w:val="a3"/>
        <w:spacing w:before="0" w:beforeAutospacing="0" w:after="0" w:afterAutospacing="0"/>
        <w:ind w:left="1400" w:right="996"/>
        <w:jc w:val="both"/>
        <w:rPr>
          <w:sz w:val="20"/>
          <w:szCs w:val="20"/>
        </w:rPr>
      </w:pPr>
      <w:r>
        <w:rPr>
          <w:b/>
          <w:bCs/>
          <w:sz w:val="20"/>
          <w:szCs w:val="20"/>
        </w:rPr>
        <w:t> </w:t>
      </w:r>
    </w:p>
    <w:p w14:paraId="506F5EAC" w14:textId="77777777" w:rsidR="00000000" w:rsidRDefault="006549D2">
      <w:pPr>
        <w:pStyle w:val="a3"/>
        <w:spacing w:before="0" w:beforeAutospacing="0" w:after="0" w:afterAutospacing="0"/>
        <w:jc w:val="both"/>
        <w:rPr>
          <w:sz w:val="20"/>
          <w:szCs w:val="20"/>
        </w:rPr>
      </w:pPr>
      <w:r>
        <w:rPr>
          <w:b/>
          <w:bCs/>
          <w:i/>
          <w:iCs/>
          <w:sz w:val="20"/>
          <w:szCs w:val="20"/>
        </w:rPr>
        <w:t>Advisory Fee</w:t>
      </w:r>
    </w:p>
    <w:p w14:paraId="5B8FDA54" w14:textId="77777777" w:rsidR="00000000" w:rsidRDefault="006549D2">
      <w:pPr>
        <w:pStyle w:val="a3"/>
        <w:spacing w:before="0" w:beforeAutospacing="0" w:after="0" w:afterAutospacing="0"/>
        <w:ind w:left="1400" w:right="996" w:firstLine="400"/>
        <w:jc w:val="both"/>
        <w:rPr>
          <w:sz w:val="20"/>
          <w:szCs w:val="20"/>
        </w:rPr>
      </w:pPr>
      <w:r>
        <w:rPr>
          <w:sz w:val="20"/>
          <w:szCs w:val="20"/>
        </w:rPr>
        <w:t> </w:t>
      </w:r>
    </w:p>
    <w:p w14:paraId="38B7AD4C" w14:textId="77777777" w:rsidR="00000000" w:rsidRDefault="006549D2">
      <w:pPr>
        <w:pStyle w:val="a3"/>
        <w:spacing w:before="0" w:beforeAutospacing="0" w:after="0" w:afterAutospacing="0"/>
        <w:ind w:firstLine="400"/>
        <w:jc w:val="both"/>
        <w:rPr>
          <w:sz w:val="20"/>
          <w:szCs w:val="20"/>
        </w:rPr>
      </w:pPr>
      <w:r>
        <w:rPr>
          <w:sz w:val="20"/>
          <w:szCs w:val="20"/>
        </w:rPr>
        <w:t xml:space="preserve">The Company may engage </w:t>
      </w:r>
      <w:r>
        <w:rPr>
          <w:sz w:val="20"/>
          <w:szCs w:val="20"/>
        </w:rPr>
        <w:t>M. Klein and Company, LLC, an affiliate of the Sponsor, or another affiliate of the Sponsor, as its lead financial advisor in connection with a Business Combination and may pay such affiliate a customary financial advisory fee in an amount that constitutes</w:t>
      </w:r>
      <w:r>
        <w:rPr>
          <w:sz w:val="20"/>
          <w:szCs w:val="20"/>
        </w:rPr>
        <w:t xml:space="preserve"> a market standard financial advisory fee for comparable transactions.</w:t>
      </w:r>
    </w:p>
    <w:p w14:paraId="797FFBD8" w14:textId="77777777" w:rsidR="00000000" w:rsidRDefault="006549D2">
      <w:pPr>
        <w:pStyle w:val="a3"/>
        <w:spacing w:before="0" w:beforeAutospacing="0" w:after="0" w:afterAutospacing="0"/>
        <w:ind w:firstLine="400"/>
        <w:jc w:val="both"/>
        <w:rPr>
          <w:sz w:val="20"/>
          <w:szCs w:val="20"/>
        </w:rPr>
      </w:pPr>
      <w:r>
        <w:rPr>
          <w:sz w:val="20"/>
          <w:szCs w:val="20"/>
        </w:rPr>
        <w:t> </w:t>
      </w:r>
    </w:p>
    <w:p w14:paraId="3DED995C" w14:textId="77777777" w:rsidR="00000000" w:rsidRDefault="006549D2">
      <w:pPr>
        <w:pStyle w:val="a3"/>
        <w:spacing w:before="0" w:beforeAutospacing="0" w:after="0" w:afterAutospacing="0"/>
        <w:ind w:firstLine="400"/>
        <w:jc w:val="both"/>
        <w:rPr>
          <w:sz w:val="20"/>
          <w:szCs w:val="20"/>
        </w:rPr>
      </w:pPr>
      <w:r>
        <w:rPr>
          <w:sz w:val="20"/>
          <w:szCs w:val="20"/>
        </w:rPr>
        <w:t>See Note 6 below for further information on the Company’s engagement of M. Klein and Company, LLC.</w:t>
      </w:r>
    </w:p>
    <w:p w14:paraId="5F213D0E" w14:textId="77777777" w:rsidR="00000000" w:rsidRDefault="006549D2">
      <w:pPr>
        <w:pStyle w:val="a3"/>
        <w:spacing w:before="0" w:beforeAutospacing="0" w:after="0" w:afterAutospacing="0"/>
        <w:jc w:val="both"/>
        <w:rPr>
          <w:sz w:val="20"/>
          <w:szCs w:val="20"/>
        </w:rPr>
      </w:pPr>
      <w:r>
        <w:rPr>
          <w:b/>
          <w:bCs/>
          <w:i/>
          <w:iCs/>
          <w:sz w:val="20"/>
          <w:szCs w:val="20"/>
        </w:rPr>
        <w:t> </w:t>
      </w:r>
    </w:p>
    <w:p w14:paraId="19302BBD" w14:textId="77777777" w:rsidR="00000000" w:rsidRDefault="006549D2">
      <w:pPr>
        <w:pStyle w:val="a3"/>
        <w:spacing w:before="0" w:beforeAutospacing="0" w:after="0" w:afterAutospacing="0"/>
        <w:jc w:val="both"/>
        <w:rPr>
          <w:sz w:val="20"/>
          <w:szCs w:val="20"/>
        </w:rPr>
      </w:pPr>
      <w:r>
        <w:rPr>
          <w:b/>
          <w:bCs/>
          <w:i/>
          <w:iCs/>
          <w:sz w:val="20"/>
          <w:szCs w:val="20"/>
        </w:rPr>
        <w:t>Related Party Loans</w:t>
      </w:r>
    </w:p>
    <w:p w14:paraId="680AA97B" w14:textId="77777777" w:rsidR="00000000" w:rsidRDefault="006549D2">
      <w:pPr>
        <w:pStyle w:val="a3"/>
        <w:spacing w:before="0" w:beforeAutospacing="0" w:after="0" w:afterAutospacing="0"/>
        <w:ind w:left="1400" w:right="996" w:firstLine="400"/>
        <w:jc w:val="both"/>
        <w:rPr>
          <w:sz w:val="20"/>
          <w:szCs w:val="20"/>
        </w:rPr>
      </w:pPr>
      <w:r>
        <w:rPr>
          <w:sz w:val="20"/>
          <w:szCs w:val="20"/>
        </w:rPr>
        <w:t> </w:t>
      </w:r>
    </w:p>
    <w:p w14:paraId="7C14B9E2" w14:textId="77777777" w:rsidR="00000000" w:rsidRDefault="006549D2">
      <w:pPr>
        <w:pStyle w:val="a3"/>
        <w:spacing w:before="0" w:beforeAutospacing="0" w:after="0" w:afterAutospacing="0"/>
        <w:ind w:firstLine="400"/>
        <w:jc w:val="both"/>
        <w:rPr>
          <w:sz w:val="20"/>
          <w:szCs w:val="20"/>
        </w:rPr>
      </w:pPr>
      <w:r>
        <w:rPr>
          <w:sz w:val="20"/>
          <w:szCs w:val="20"/>
        </w:rPr>
        <w:t>In order to finance transaction costs in connection with a B</w:t>
      </w:r>
      <w:r>
        <w:rPr>
          <w:sz w:val="20"/>
          <w:szCs w:val="20"/>
        </w:rPr>
        <w:t xml:space="preserve">usiness Combination, the Sponsor, an affiliate of the Sponsor, or the Company’s officers and directors may, but are not obligated to, loan the Company funds as may be required (“Working Capital Loans”). If the Company completes a Business Combination, the </w:t>
      </w:r>
      <w:r>
        <w:rPr>
          <w:sz w:val="20"/>
          <w:szCs w:val="20"/>
        </w:rPr>
        <w:t>Company would repay the Working Capital Loans out of the proceeds of the Trust Account released to the Company. In the event that a Business Combination does not close, the Company may use a portion of proceeds held outside the Trust Account to repay the W</w:t>
      </w:r>
      <w:r>
        <w:rPr>
          <w:sz w:val="20"/>
          <w:szCs w:val="20"/>
        </w:rPr>
        <w:t>orking Capital Loans but no proceeds held in the Trust Account would be used to repay the Working Capital Loans. Except for the foregoing, the terms of such Working Capital Loans, if any, have not been determined and no written agreements exist with respec</w:t>
      </w:r>
      <w:r>
        <w:rPr>
          <w:sz w:val="20"/>
          <w:szCs w:val="20"/>
        </w:rPr>
        <w:t>t to such loans. The Working Capital Loans would either be repaid upon consummation of a Business Combination, without interest, or, at the lender’s discretion, up to $1,500,000 of such Working Capital Loans may be convertible into warrants at a price of</w:t>
      </w:r>
      <w:r>
        <w:rPr>
          <w:sz w:val="20"/>
          <w:szCs w:val="20"/>
        </w:rPr>
        <w:t> </w:t>
      </w:r>
      <w:r>
        <w:rPr>
          <w:sz w:val="20"/>
          <w:szCs w:val="20"/>
        </w:rPr>
        <w:t>$</w:t>
      </w:r>
      <w:r>
        <w:rPr>
          <w:sz w:val="20"/>
          <w:szCs w:val="20"/>
        </w:rPr>
        <w:t>1.00 per warrant. The warrants would be identical to the Private Placement Warrants.</w:t>
      </w:r>
    </w:p>
    <w:p w14:paraId="422C0A03" w14:textId="77777777" w:rsidR="00000000" w:rsidRDefault="006549D2">
      <w:pPr>
        <w:pStyle w:val="a3"/>
        <w:spacing w:before="0" w:beforeAutospacing="0" w:after="0" w:afterAutospacing="0"/>
        <w:ind w:left="1400" w:right="996"/>
        <w:jc w:val="both"/>
        <w:rPr>
          <w:sz w:val="20"/>
          <w:szCs w:val="20"/>
        </w:rPr>
      </w:pPr>
      <w:r>
        <w:rPr>
          <w:b/>
          <w:bCs/>
          <w:sz w:val="20"/>
          <w:szCs w:val="20"/>
        </w:rPr>
        <w:t> </w:t>
      </w:r>
    </w:p>
    <w:p w14:paraId="2E88F91F" w14:textId="77777777" w:rsidR="00000000" w:rsidRDefault="006549D2">
      <w:pPr>
        <w:pStyle w:val="a3"/>
        <w:spacing w:before="0" w:beforeAutospacing="0" w:after="0" w:afterAutospacing="0"/>
        <w:ind w:firstLine="400"/>
        <w:jc w:val="both"/>
        <w:rPr>
          <w:sz w:val="20"/>
          <w:szCs w:val="20"/>
        </w:rPr>
      </w:pPr>
      <w:r>
        <w:rPr>
          <w:sz w:val="20"/>
          <w:szCs w:val="20"/>
        </w:rPr>
        <w:t>On July 12, 2020, the Company issued a $1,500,000 unsecured promissory note (the “Note”) to the Sponsor. The Note is non-interest bearing and payable on the earlier of (</w:t>
      </w:r>
      <w:r>
        <w:rPr>
          <w:sz w:val="20"/>
          <w:szCs w:val="20"/>
        </w:rPr>
        <w:t>i) the consummation of a Business Combination or (ii) the date of liquidation. Up to $1,500,000 of such loans may be convertible into warrants at a price of $1.00 per warrant, at the lender’s discretion. The warrants would be identical to the Private Place</w:t>
      </w:r>
      <w:r>
        <w:rPr>
          <w:sz w:val="20"/>
          <w:szCs w:val="20"/>
        </w:rPr>
        <w:t>ment Warrants. On July 12, 2020, the Company drew down $1,500,000 under the Note (see Note 9).</w:t>
      </w:r>
    </w:p>
    <w:p w14:paraId="57C9E08B" w14:textId="77777777" w:rsidR="00000000" w:rsidRDefault="006549D2">
      <w:pPr>
        <w:pStyle w:val="a3"/>
        <w:spacing w:before="0" w:beforeAutospacing="0" w:after="0" w:afterAutospacing="0"/>
        <w:ind w:firstLine="400"/>
        <w:jc w:val="both"/>
        <w:rPr>
          <w:sz w:val="20"/>
          <w:szCs w:val="20"/>
        </w:rPr>
      </w:pPr>
      <w:r>
        <w:rPr>
          <w:sz w:val="20"/>
          <w:szCs w:val="20"/>
        </w:rPr>
        <w:t> </w:t>
      </w:r>
    </w:p>
    <w:p w14:paraId="76B81CDE" w14:textId="77777777" w:rsidR="00000000" w:rsidRDefault="006549D2">
      <w:pPr>
        <w:pStyle w:val="a3"/>
        <w:spacing w:before="0" w:beforeAutospacing="0" w:after="0" w:afterAutospacing="0"/>
        <w:ind w:firstLine="400"/>
        <w:jc w:val="both"/>
        <w:rPr>
          <w:sz w:val="20"/>
          <w:szCs w:val="20"/>
        </w:rPr>
      </w:pPr>
      <w:r>
        <w:rPr>
          <w:sz w:val="20"/>
          <w:szCs w:val="20"/>
        </w:rPr>
        <w:t>See Note 6 below for a description of the Agreement and Plan of Merger the Company entered into on July 12, 2020 and the transactions contemplated thereby.</w:t>
      </w:r>
    </w:p>
    <w:p w14:paraId="103871D4" w14:textId="77777777" w:rsidR="00000000" w:rsidRDefault="006549D2">
      <w:pPr>
        <w:pStyle w:val="a3"/>
        <w:spacing w:before="0" w:beforeAutospacing="0" w:after="0" w:afterAutospacing="0"/>
        <w:ind w:left="1400" w:right="996"/>
        <w:jc w:val="both"/>
        <w:rPr>
          <w:sz w:val="20"/>
          <w:szCs w:val="20"/>
        </w:rPr>
      </w:pPr>
      <w:r>
        <w:rPr>
          <w:b/>
          <w:bCs/>
          <w:sz w:val="20"/>
          <w:szCs w:val="20"/>
        </w:rPr>
        <w:t> </w:t>
      </w:r>
      <w:r>
        <w:rPr>
          <w:sz w:val="20"/>
          <w:szCs w:val="20"/>
        </w:rPr>
        <w:t> </w:t>
      </w:r>
    </w:p>
    <w:p w14:paraId="60738B2F" w14:textId="77777777" w:rsidR="00000000" w:rsidRDefault="006549D2">
      <w:pPr>
        <w:pStyle w:val="a3"/>
        <w:spacing w:before="0" w:beforeAutospacing="0" w:after="0" w:afterAutospacing="0"/>
        <w:ind w:right="996"/>
        <w:jc w:val="both"/>
        <w:rPr>
          <w:sz w:val="20"/>
          <w:szCs w:val="20"/>
        </w:rPr>
      </w:pPr>
      <w:r>
        <w:rPr>
          <w:b/>
          <w:bCs/>
          <w:sz w:val="20"/>
          <w:szCs w:val="20"/>
        </w:rPr>
        <w:t>NOTE 6. COMMITMENTS</w:t>
      </w:r>
      <w:r>
        <w:rPr>
          <w:b/>
          <w:bCs/>
          <w:i/>
          <w:iCs/>
          <w:sz w:val="20"/>
          <w:szCs w:val="20"/>
        </w:rPr>
        <w:t> </w:t>
      </w:r>
    </w:p>
    <w:p w14:paraId="4BAF7A9E" w14:textId="77777777" w:rsidR="00000000" w:rsidRDefault="006549D2">
      <w:pPr>
        <w:pStyle w:val="a3"/>
        <w:spacing w:before="0" w:beforeAutospacing="0" w:after="0" w:afterAutospacing="0"/>
        <w:jc w:val="both"/>
        <w:rPr>
          <w:sz w:val="20"/>
          <w:szCs w:val="20"/>
        </w:rPr>
      </w:pPr>
      <w:r>
        <w:rPr>
          <w:b/>
          <w:bCs/>
          <w:i/>
          <w:iCs/>
          <w:sz w:val="20"/>
          <w:szCs w:val="20"/>
        </w:rPr>
        <w:t> </w:t>
      </w:r>
    </w:p>
    <w:p w14:paraId="25FFD27F" w14:textId="77777777" w:rsidR="00000000" w:rsidRDefault="006549D2">
      <w:pPr>
        <w:pStyle w:val="a3"/>
        <w:spacing w:before="0" w:beforeAutospacing="0" w:after="0" w:afterAutospacing="0"/>
        <w:jc w:val="both"/>
        <w:rPr>
          <w:sz w:val="20"/>
          <w:szCs w:val="20"/>
        </w:rPr>
      </w:pPr>
      <w:r>
        <w:rPr>
          <w:b/>
          <w:bCs/>
          <w:i/>
          <w:iCs/>
          <w:sz w:val="20"/>
          <w:szCs w:val="20"/>
        </w:rPr>
        <w:t>Registration Rights</w:t>
      </w:r>
    </w:p>
    <w:p w14:paraId="623B1678" w14:textId="77777777" w:rsidR="00000000" w:rsidRDefault="006549D2">
      <w:pPr>
        <w:pStyle w:val="a3"/>
        <w:spacing w:before="0" w:beforeAutospacing="0" w:after="0" w:afterAutospacing="0"/>
        <w:ind w:left="1400" w:right="996" w:firstLine="400"/>
        <w:jc w:val="both"/>
        <w:rPr>
          <w:sz w:val="20"/>
          <w:szCs w:val="20"/>
        </w:rPr>
      </w:pPr>
      <w:r>
        <w:rPr>
          <w:sz w:val="20"/>
          <w:szCs w:val="20"/>
        </w:rPr>
        <w:t> </w:t>
      </w:r>
    </w:p>
    <w:p w14:paraId="0FD9EC9D" w14:textId="77777777" w:rsidR="00000000" w:rsidRDefault="006549D2">
      <w:pPr>
        <w:pStyle w:val="a3"/>
        <w:spacing w:before="0" w:beforeAutospacing="0" w:after="0" w:afterAutospacing="0"/>
        <w:ind w:firstLine="400"/>
        <w:jc w:val="both"/>
        <w:rPr>
          <w:sz w:val="20"/>
          <w:szCs w:val="20"/>
        </w:rPr>
      </w:pPr>
      <w:r>
        <w:rPr>
          <w:sz w:val="20"/>
          <w:szCs w:val="20"/>
        </w:rPr>
        <w:t xml:space="preserve">Pursuant to a registration </w:t>
      </w:r>
      <w:r>
        <w:rPr>
          <w:sz w:val="20"/>
          <w:szCs w:val="20"/>
        </w:rPr>
        <w:t>rights agreement entered into on February 13, 2020, the holders of the Founder Shares, Private Placement Warrants and warrants that may be issued upon conversion of Working Capital Loans (and any shares of Class A common stock issuable upon the exercise of</w:t>
      </w:r>
      <w:r>
        <w:rPr>
          <w:sz w:val="20"/>
          <w:szCs w:val="20"/>
        </w:rPr>
        <w:t xml:space="preserve"> the Private Placement Warrants or warrants that may be issued upon conversion of Working Capital Loans and upon conversion of the Founder Shares) will be entitled to registration rights requiring the Company to register such securities for resale (in the </w:t>
      </w:r>
      <w:r>
        <w:rPr>
          <w:sz w:val="20"/>
          <w:szCs w:val="20"/>
        </w:rPr>
        <w:t>case of the Founder Shares, only after conversion to Class A common stock). The holders of these securities will be entitled to make up to three demands, excluding short form demands, that the Company register such securities. In addition, the holders have</w:t>
      </w:r>
      <w:r>
        <w:rPr>
          <w:sz w:val="20"/>
          <w:szCs w:val="20"/>
        </w:rPr>
        <w:t xml:space="preserve"> certain “piggy-back” registration rights with respect to registration statements filed subsequent to the completion of a Business Combination and rights to require the Company to register for resale such securities pursuant to Rule 415 under the Securitie</w:t>
      </w:r>
      <w:r>
        <w:rPr>
          <w:sz w:val="20"/>
          <w:szCs w:val="20"/>
        </w:rPr>
        <w:t>s Act. The Company will bear the expenses incurred in connection with the filing of any such registration statements.</w:t>
      </w:r>
    </w:p>
    <w:p w14:paraId="3656EF8B" w14:textId="77777777" w:rsidR="00000000" w:rsidRDefault="006549D2">
      <w:pPr>
        <w:pStyle w:val="a3"/>
        <w:spacing w:before="0" w:beforeAutospacing="0" w:after="0" w:afterAutospacing="0"/>
        <w:ind w:left="1400" w:right="996"/>
        <w:jc w:val="both"/>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BF40754" w14:textId="77777777">
        <w:trPr>
          <w:divId w:val="1649019383"/>
        </w:trPr>
        <w:tc>
          <w:tcPr>
            <w:tcW w:w="1650" w:type="pct"/>
            <w:hideMark/>
          </w:tcPr>
          <w:p w14:paraId="40307D4A" w14:textId="77777777" w:rsidR="00000000" w:rsidRDefault="006549D2">
            <w:pPr>
              <w:rPr>
                <w:rFonts w:eastAsia="Times New Roman"/>
                <w:sz w:val="20"/>
                <w:szCs w:val="20"/>
              </w:rPr>
            </w:pPr>
            <w:r>
              <w:rPr>
                <w:rFonts w:eastAsia="Times New Roman"/>
                <w:sz w:val="20"/>
                <w:szCs w:val="20"/>
              </w:rPr>
              <w:t> </w:t>
            </w:r>
          </w:p>
        </w:tc>
        <w:tc>
          <w:tcPr>
            <w:tcW w:w="1700" w:type="pct"/>
            <w:hideMark/>
          </w:tcPr>
          <w:p w14:paraId="1F4358E6" w14:textId="77777777" w:rsidR="00000000" w:rsidRDefault="006549D2">
            <w:pPr>
              <w:jc w:val="center"/>
              <w:rPr>
                <w:rFonts w:eastAsia="Times New Roman"/>
                <w:sz w:val="20"/>
                <w:szCs w:val="20"/>
              </w:rPr>
            </w:pPr>
            <w:r>
              <w:rPr>
                <w:rFonts w:eastAsia="Times New Roman"/>
                <w:sz w:val="20"/>
                <w:szCs w:val="20"/>
              </w:rPr>
              <w:t>1</w:t>
            </w:r>
            <w:r>
              <w:rPr>
                <w:rFonts w:eastAsia="Times New Roman"/>
                <w:sz w:val="20"/>
                <w:szCs w:val="20"/>
              </w:rPr>
              <w:t>0</w:t>
            </w:r>
          </w:p>
        </w:tc>
        <w:tc>
          <w:tcPr>
            <w:tcW w:w="1650" w:type="pct"/>
            <w:hideMark/>
          </w:tcPr>
          <w:p w14:paraId="75B6414C" w14:textId="77777777" w:rsidR="00000000" w:rsidRDefault="006549D2">
            <w:pPr>
              <w:jc w:val="right"/>
              <w:rPr>
                <w:rFonts w:eastAsia="Times New Roman"/>
                <w:sz w:val="20"/>
                <w:szCs w:val="20"/>
              </w:rPr>
            </w:pPr>
            <w:r>
              <w:rPr>
                <w:rFonts w:eastAsia="Times New Roman"/>
                <w:sz w:val="20"/>
                <w:szCs w:val="20"/>
              </w:rPr>
              <w:t> </w:t>
            </w:r>
          </w:p>
        </w:tc>
      </w:tr>
    </w:tbl>
    <w:p w14:paraId="0BCA1223" w14:textId="77777777" w:rsidR="00000000" w:rsidRDefault="006549D2">
      <w:pPr>
        <w:pStyle w:val="a3"/>
        <w:pageBreakBefore/>
        <w:spacing w:before="0" w:beforeAutospacing="0" w:after="0" w:afterAutospacing="0"/>
        <w:divId w:val="1543444141"/>
        <w:rPr>
          <w:sz w:val="20"/>
          <w:szCs w:val="20"/>
        </w:rPr>
      </w:pPr>
      <w:r>
        <w:rPr>
          <w:sz w:val="20"/>
          <w:szCs w:val="20"/>
        </w:rPr>
        <w:t> </w:t>
      </w:r>
    </w:p>
    <w:p w14:paraId="62267C7D" w14:textId="77777777" w:rsidR="00000000" w:rsidRDefault="006549D2">
      <w:pPr>
        <w:pStyle w:val="a3"/>
        <w:spacing w:before="0" w:beforeAutospacing="0" w:after="0" w:afterAutospacing="0"/>
        <w:jc w:val="center"/>
        <w:rPr>
          <w:sz w:val="20"/>
          <w:szCs w:val="20"/>
        </w:rPr>
      </w:pPr>
      <w:r>
        <w:rPr>
          <w:sz w:val="20"/>
          <w:szCs w:val="20"/>
        </w:rPr>
        <w:t> </w:t>
      </w:r>
    </w:p>
    <w:p w14:paraId="7982B4F4" w14:textId="77777777" w:rsidR="00000000" w:rsidRDefault="006549D2">
      <w:pPr>
        <w:pStyle w:val="a3"/>
        <w:spacing w:before="0" w:beforeAutospacing="0" w:after="0" w:afterAutospacing="0"/>
        <w:jc w:val="center"/>
        <w:rPr>
          <w:sz w:val="20"/>
          <w:szCs w:val="20"/>
        </w:rPr>
      </w:pPr>
      <w:r>
        <w:rPr>
          <w:b/>
          <w:bCs/>
          <w:sz w:val="20"/>
          <w:szCs w:val="20"/>
        </w:rPr>
        <w:t>CHURCHILL CAPITAL CORP III</w:t>
      </w:r>
    </w:p>
    <w:p w14:paraId="2664E3E9" w14:textId="77777777" w:rsidR="00000000" w:rsidRDefault="006549D2">
      <w:pPr>
        <w:pStyle w:val="a3"/>
        <w:spacing w:before="0" w:beforeAutospacing="0" w:after="0" w:afterAutospacing="0"/>
        <w:jc w:val="center"/>
        <w:rPr>
          <w:sz w:val="20"/>
          <w:szCs w:val="20"/>
        </w:rPr>
      </w:pPr>
      <w:r>
        <w:rPr>
          <w:b/>
          <w:bCs/>
          <w:sz w:val="20"/>
          <w:szCs w:val="20"/>
        </w:rPr>
        <w:t>NOTES TO CONDENSED FINANCIAL STATEMENTS</w:t>
      </w:r>
    </w:p>
    <w:p w14:paraId="07883172" w14:textId="77777777" w:rsidR="00000000" w:rsidRDefault="006549D2">
      <w:pPr>
        <w:pStyle w:val="a3"/>
        <w:spacing w:before="0" w:beforeAutospacing="0" w:after="0" w:afterAutospacing="0"/>
        <w:jc w:val="center"/>
        <w:rPr>
          <w:sz w:val="20"/>
          <w:szCs w:val="20"/>
        </w:rPr>
      </w:pPr>
      <w:r>
        <w:rPr>
          <w:b/>
          <w:bCs/>
          <w:sz w:val="20"/>
          <w:szCs w:val="20"/>
        </w:rPr>
        <w:t>JUNE 30, 2020</w:t>
      </w:r>
    </w:p>
    <w:p w14:paraId="0EDDA70D" w14:textId="77777777" w:rsidR="00000000" w:rsidRDefault="006549D2">
      <w:pPr>
        <w:pStyle w:val="a3"/>
        <w:spacing w:before="0" w:beforeAutospacing="0" w:after="0" w:afterAutospacing="0"/>
        <w:jc w:val="center"/>
        <w:rPr>
          <w:sz w:val="20"/>
          <w:szCs w:val="20"/>
        </w:rPr>
      </w:pPr>
      <w:r>
        <w:rPr>
          <w:b/>
          <w:bCs/>
          <w:sz w:val="20"/>
          <w:szCs w:val="20"/>
        </w:rPr>
        <w:t>(Unaudited)</w:t>
      </w:r>
    </w:p>
    <w:p w14:paraId="685E5FE2" w14:textId="77777777" w:rsidR="00000000" w:rsidRDefault="006549D2">
      <w:pPr>
        <w:pStyle w:val="a3"/>
        <w:spacing w:before="0" w:beforeAutospacing="0" w:after="0" w:afterAutospacing="0"/>
        <w:ind w:left="1400" w:right="996"/>
        <w:jc w:val="both"/>
        <w:rPr>
          <w:sz w:val="20"/>
          <w:szCs w:val="20"/>
        </w:rPr>
      </w:pPr>
      <w:r>
        <w:rPr>
          <w:b/>
          <w:bCs/>
          <w:i/>
          <w:iCs/>
          <w:sz w:val="20"/>
          <w:szCs w:val="20"/>
        </w:rPr>
        <w:t> </w:t>
      </w:r>
    </w:p>
    <w:p w14:paraId="079149DB" w14:textId="77777777" w:rsidR="00000000" w:rsidRDefault="006549D2">
      <w:pPr>
        <w:pStyle w:val="a3"/>
        <w:spacing w:before="0" w:beforeAutospacing="0" w:after="0" w:afterAutospacing="0"/>
        <w:jc w:val="both"/>
        <w:rPr>
          <w:sz w:val="20"/>
          <w:szCs w:val="20"/>
        </w:rPr>
      </w:pPr>
      <w:r>
        <w:rPr>
          <w:b/>
          <w:bCs/>
          <w:i/>
          <w:iCs/>
          <w:sz w:val="20"/>
          <w:szCs w:val="20"/>
        </w:rPr>
        <w:t>Underwriting Agreement</w:t>
      </w:r>
    </w:p>
    <w:p w14:paraId="6BCB077C" w14:textId="77777777" w:rsidR="00000000" w:rsidRDefault="006549D2">
      <w:pPr>
        <w:pStyle w:val="a3"/>
        <w:spacing w:before="0" w:beforeAutospacing="0" w:after="0" w:afterAutospacing="0"/>
        <w:ind w:left="1397" w:right="994" w:firstLine="400"/>
        <w:jc w:val="both"/>
        <w:rPr>
          <w:sz w:val="20"/>
          <w:szCs w:val="20"/>
        </w:rPr>
      </w:pPr>
      <w:r>
        <w:rPr>
          <w:sz w:val="20"/>
          <w:szCs w:val="20"/>
        </w:rPr>
        <w:t> </w:t>
      </w:r>
    </w:p>
    <w:p w14:paraId="66EB1156" w14:textId="77777777" w:rsidR="00000000" w:rsidRDefault="006549D2">
      <w:pPr>
        <w:pStyle w:val="a3"/>
        <w:spacing w:before="0" w:beforeAutospacing="0" w:after="0" w:afterAutospacing="0"/>
        <w:ind w:firstLine="400"/>
        <w:jc w:val="both"/>
        <w:rPr>
          <w:sz w:val="20"/>
          <w:szCs w:val="20"/>
        </w:rPr>
      </w:pPr>
      <w:r>
        <w:rPr>
          <w:sz w:val="20"/>
          <w:szCs w:val="20"/>
        </w:rPr>
        <w:t>The underwriters are entitled to a deferred fee of</w:t>
      </w:r>
      <w:r>
        <w:rPr>
          <w:sz w:val="20"/>
          <w:szCs w:val="20"/>
        </w:rPr>
        <w:t> </w:t>
      </w:r>
      <w:r>
        <w:rPr>
          <w:sz w:val="20"/>
          <w:szCs w:val="20"/>
        </w:rPr>
        <w:t>$0.35 per Unit, or $38,500,000 in the aggregate. The deferred fee will be waived by the underwriters in the event that the Company does not complete a Business Combination, subject</w:t>
      </w:r>
      <w:r>
        <w:rPr>
          <w:sz w:val="20"/>
          <w:szCs w:val="20"/>
        </w:rPr>
        <w:t xml:space="preserve"> to the terms of the underwriting agreement. On February 13, 2020, the underwriters agreed to waive the upfront underwriting discount on 17,990,000 Units, resulting in a reduction of the upfront underwriting discount of $3,598,000.</w:t>
      </w:r>
    </w:p>
    <w:p w14:paraId="630502A8" w14:textId="77777777" w:rsidR="00000000" w:rsidRDefault="006549D2">
      <w:pPr>
        <w:pStyle w:val="a3"/>
        <w:spacing w:before="0" w:beforeAutospacing="0" w:after="0" w:afterAutospacing="0"/>
        <w:jc w:val="both"/>
        <w:rPr>
          <w:sz w:val="20"/>
          <w:szCs w:val="20"/>
        </w:rPr>
      </w:pPr>
      <w:r>
        <w:rPr>
          <w:b/>
          <w:bCs/>
          <w:sz w:val="20"/>
          <w:szCs w:val="20"/>
        </w:rPr>
        <w:t> </w:t>
      </w:r>
    </w:p>
    <w:p w14:paraId="5243CEE2" w14:textId="77777777" w:rsidR="00000000" w:rsidRDefault="006549D2">
      <w:pPr>
        <w:pStyle w:val="a3"/>
        <w:spacing w:before="0" w:beforeAutospacing="0" w:after="0" w:afterAutospacing="0"/>
        <w:jc w:val="both"/>
        <w:rPr>
          <w:sz w:val="20"/>
          <w:szCs w:val="20"/>
        </w:rPr>
      </w:pPr>
      <w:r>
        <w:rPr>
          <w:b/>
          <w:bCs/>
          <w:i/>
          <w:iCs/>
          <w:sz w:val="20"/>
          <w:szCs w:val="20"/>
        </w:rPr>
        <w:t>Merger Agreement and R</w:t>
      </w:r>
      <w:r>
        <w:rPr>
          <w:b/>
          <w:bCs/>
          <w:i/>
          <w:iCs/>
          <w:sz w:val="20"/>
          <w:szCs w:val="20"/>
        </w:rPr>
        <w:t>elated Transactions</w:t>
      </w:r>
    </w:p>
    <w:p w14:paraId="0E648481" w14:textId="77777777" w:rsidR="00000000" w:rsidRDefault="006549D2">
      <w:pPr>
        <w:pStyle w:val="a3"/>
        <w:spacing w:before="0" w:beforeAutospacing="0" w:after="0" w:afterAutospacing="0"/>
        <w:jc w:val="both"/>
        <w:rPr>
          <w:sz w:val="20"/>
          <w:szCs w:val="20"/>
        </w:rPr>
      </w:pPr>
      <w:r>
        <w:rPr>
          <w:b/>
          <w:bCs/>
          <w:sz w:val="20"/>
          <w:szCs w:val="20"/>
        </w:rPr>
        <w:t> </w:t>
      </w:r>
    </w:p>
    <w:p w14:paraId="413BF885" w14:textId="77777777" w:rsidR="00000000" w:rsidRDefault="006549D2">
      <w:pPr>
        <w:pStyle w:val="a3"/>
        <w:spacing w:before="0" w:beforeAutospacing="0" w:after="0" w:afterAutospacing="0"/>
        <w:ind w:firstLine="400"/>
        <w:jc w:val="both"/>
        <w:rPr>
          <w:sz w:val="20"/>
          <w:szCs w:val="20"/>
        </w:rPr>
      </w:pPr>
      <w:r>
        <w:rPr>
          <w:sz w:val="20"/>
          <w:szCs w:val="20"/>
        </w:rPr>
        <w:t>On July 12, 2020, the Company entered into an Agreement and Plan of Merger (the “Merger Agreement”) with Music Merger Sub I, Inc., a Delaware corporation and wholly owned subsidiary of the Company (“First Merger Sub”), Music Merger Su</w:t>
      </w:r>
      <w:r>
        <w:rPr>
          <w:sz w:val="20"/>
          <w:szCs w:val="20"/>
        </w:rPr>
        <w:t>b II, LLC, a Delaware limited liability company and direct, wholly owned subsidiary of the Company (“Second Merger Sub”), Polaris Parent Corp., a Delaware corporation (“Parent”), and Polaris Investment Holdings, L.P., a Delaware limited partnership (“Holdi</w:t>
      </w:r>
      <w:r>
        <w:rPr>
          <w:sz w:val="20"/>
          <w:szCs w:val="20"/>
        </w:rPr>
        <w:t>ngs”).</w:t>
      </w:r>
    </w:p>
    <w:p w14:paraId="34B9CDE0" w14:textId="77777777" w:rsidR="00000000" w:rsidRDefault="006549D2">
      <w:pPr>
        <w:pStyle w:val="a3"/>
        <w:spacing w:before="0" w:beforeAutospacing="0" w:after="0" w:afterAutospacing="0"/>
        <w:ind w:firstLine="400"/>
        <w:jc w:val="both"/>
        <w:rPr>
          <w:sz w:val="20"/>
          <w:szCs w:val="20"/>
        </w:rPr>
      </w:pPr>
      <w:r>
        <w:rPr>
          <w:sz w:val="20"/>
          <w:szCs w:val="20"/>
        </w:rPr>
        <w:t> </w:t>
      </w:r>
    </w:p>
    <w:p w14:paraId="571BCFC2" w14:textId="77777777" w:rsidR="00000000" w:rsidRDefault="006549D2">
      <w:pPr>
        <w:pStyle w:val="a3"/>
        <w:spacing w:before="0" w:beforeAutospacing="0" w:after="0" w:afterAutospacing="0"/>
        <w:ind w:firstLine="400"/>
        <w:jc w:val="both"/>
        <w:rPr>
          <w:sz w:val="20"/>
          <w:szCs w:val="20"/>
        </w:rPr>
      </w:pPr>
      <w:r>
        <w:rPr>
          <w:sz w:val="20"/>
          <w:szCs w:val="20"/>
        </w:rPr>
        <w:t xml:space="preserve">Pursuant to the Merger Agreement, First Merger Sub will merge with and into Parent with Parent surviving such merger (the “First Merger”) and (ii) Second Merger Sub will merge with and into Parent with Second Merger Sub surviving such merger (the </w:t>
      </w:r>
      <w:r>
        <w:rPr>
          <w:sz w:val="20"/>
          <w:szCs w:val="20"/>
        </w:rPr>
        <w:t>“Second Merger” and, together with the First Merger, being collectively referred to as the “Mergers” and, together with the other transactions contemplated by the Merger Agreement, the “Transactions”).</w:t>
      </w:r>
    </w:p>
    <w:p w14:paraId="60FE26F5" w14:textId="77777777" w:rsidR="00000000" w:rsidRDefault="006549D2">
      <w:pPr>
        <w:pStyle w:val="a3"/>
        <w:spacing w:before="0" w:beforeAutospacing="0" w:after="0" w:afterAutospacing="0"/>
        <w:ind w:firstLine="400"/>
        <w:jc w:val="both"/>
        <w:rPr>
          <w:sz w:val="20"/>
          <w:szCs w:val="20"/>
        </w:rPr>
      </w:pPr>
      <w:r>
        <w:rPr>
          <w:sz w:val="20"/>
          <w:szCs w:val="20"/>
        </w:rPr>
        <w:t> </w:t>
      </w:r>
    </w:p>
    <w:p w14:paraId="11296AE9" w14:textId="77777777" w:rsidR="00000000" w:rsidRDefault="006549D2">
      <w:pPr>
        <w:pStyle w:val="a3"/>
        <w:spacing w:before="0" w:beforeAutospacing="0" w:after="0" w:afterAutospacing="0"/>
        <w:ind w:firstLine="400"/>
        <w:jc w:val="both"/>
        <w:rPr>
          <w:sz w:val="20"/>
          <w:szCs w:val="20"/>
        </w:rPr>
      </w:pPr>
      <w:r>
        <w:rPr>
          <w:sz w:val="20"/>
          <w:szCs w:val="20"/>
        </w:rPr>
        <w:t>The aggregate consideration to be paid to Holdings w</w:t>
      </w:r>
      <w:r>
        <w:rPr>
          <w:sz w:val="20"/>
          <w:szCs w:val="20"/>
        </w:rPr>
        <w:t>ill be equal to $5,678,000,000 (the “Closing Merger Consideration”) and will be paid in a combination of stock and cash consideration. The cash consideration will be an amount equal to (i) (x) all amounts in the Company’s Trust Account (after reduction for</w:t>
      </w:r>
      <w:r>
        <w:rPr>
          <w:sz w:val="20"/>
          <w:szCs w:val="20"/>
        </w:rPr>
        <w:t xml:space="preserve"> the aggregate amount of payments required to be made in connection with any valid stockholder redemptions), plus (y) the aggregate amount of cash that has been funded to and remains with the Company pursuant to the Subscription Agreements (as defined belo</w:t>
      </w:r>
      <w:r>
        <w:rPr>
          <w:sz w:val="20"/>
          <w:szCs w:val="20"/>
        </w:rPr>
        <w:t>w) as of immediately prior to the closing (such amounts in clauses (x) and (y), the “Available Closing Acquiror Cash”), minus (ii) the aggregate principal amount of a subsidiary of Parent’s outstanding 8.500% / 9.250% Senior PIK Toggle Notes due 2022 (excl</w:t>
      </w:r>
      <w:r>
        <w:rPr>
          <w:sz w:val="20"/>
          <w:szCs w:val="20"/>
        </w:rPr>
        <w:t xml:space="preserve">uding any accrued and unpaid interest or applicable premium thereunder) (such amount, the “Closing Cash Consideration); provided, that in no event will the Closing Cash Consideration be greater than $1,521,000,000. If the closing occurs when less than all </w:t>
      </w:r>
      <w:r>
        <w:rPr>
          <w:sz w:val="20"/>
          <w:szCs w:val="20"/>
        </w:rPr>
        <w:t>of the Convertible PIPE Investment (as defined below) has been funded to the Company and the Closing Cash Consideration as otherwise determined in accordance with the definition thereof would be less than $1,521,000,000, then (other than in specified circu</w:t>
      </w:r>
      <w:r>
        <w:rPr>
          <w:sz w:val="20"/>
          <w:szCs w:val="20"/>
        </w:rPr>
        <w:t>mstances), the Closing Cash Consideration will be increased, notwithstanding such calculation to $1,521,000,000. The remainder of the Closing Merger Consideration will be paid in shares of Class A common stock, par value $0.0001 per share, of the Company i</w:t>
      </w:r>
      <w:r>
        <w:rPr>
          <w:sz w:val="20"/>
          <w:szCs w:val="20"/>
        </w:rPr>
        <w:t>n an amount equal to $10.00 per share (the “Closing Share Consideration”).</w:t>
      </w:r>
    </w:p>
    <w:p w14:paraId="7CF72151" w14:textId="77777777" w:rsidR="00000000" w:rsidRDefault="006549D2">
      <w:pPr>
        <w:pStyle w:val="a3"/>
        <w:spacing w:before="0" w:beforeAutospacing="0" w:after="0" w:afterAutospacing="0"/>
        <w:ind w:firstLine="400"/>
        <w:jc w:val="both"/>
        <w:rPr>
          <w:sz w:val="20"/>
          <w:szCs w:val="20"/>
        </w:rPr>
      </w:pPr>
      <w:r>
        <w:rPr>
          <w:sz w:val="20"/>
          <w:szCs w:val="20"/>
        </w:rPr>
        <w:t> </w:t>
      </w:r>
    </w:p>
    <w:p w14:paraId="2FC614DE" w14:textId="77777777" w:rsidR="00000000" w:rsidRDefault="006549D2">
      <w:pPr>
        <w:pStyle w:val="a3"/>
        <w:spacing w:before="0" w:beforeAutospacing="0" w:after="0" w:afterAutospacing="0"/>
        <w:ind w:firstLine="400"/>
        <w:jc w:val="both"/>
        <w:rPr>
          <w:sz w:val="20"/>
          <w:szCs w:val="20"/>
        </w:rPr>
      </w:pPr>
      <w:r>
        <w:rPr>
          <w:sz w:val="20"/>
          <w:szCs w:val="20"/>
        </w:rPr>
        <w:t>At the effective time of the First Merger, the shares of Class A common stock of Parent will be cancelled and automatically deemed for all purposes to represent the right to recei</w:t>
      </w:r>
      <w:r>
        <w:rPr>
          <w:sz w:val="20"/>
          <w:szCs w:val="20"/>
        </w:rPr>
        <w:t xml:space="preserve">ve, in the aggregate, the Closing Share Consideration. At the effective time of the First Merger, the shares of Class B common stock of Parent will be cancelled and automatically deemed for all purposes to represent the right to receive, in the aggregate, </w:t>
      </w:r>
      <w:r>
        <w:rPr>
          <w:sz w:val="20"/>
          <w:szCs w:val="20"/>
        </w:rPr>
        <w:t>the Closing Cash Consideration.</w:t>
      </w:r>
    </w:p>
    <w:p w14:paraId="5D1B469D" w14:textId="77777777" w:rsidR="00000000" w:rsidRDefault="006549D2">
      <w:pPr>
        <w:pStyle w:val="a3"/>
        <w:spacing w:before="0" w:beforeAutospacing="0" w:after="0" w:afterAutospacing="0"/>
        <w:ind w:firstLine="400"/>
        <w:jc w:val="both"/>
        <w:rPr>
          <w:sz w:val="20"/>
          <w:szCs w:val="20"/>
        </w:rPr>
      </w:pPr>
      <w:r>
        <w:rPr>
          <w:sz w:val="20"/>
          <w:szCs w:val="20"/>
        </w:rPr>
        <w:t> </w:t>
      </w:r>
    </w:p>
    <w:p w14:paraId="7A70D730" w14:textId="77777777" w:rsidR="00000000" w:rsidRDefault="006549D2">
      <w:pPr>
        <w:pStyle w:val="a3"/>
        <w:spacing w:before="0" w:beforeAutospacing="0" w:after="0" w:afterAutospacing="0"/>
        <w:ind w:firstLine="400"/>
        <w:jc w:val="both"/>
        <w:rPr>
          <w:sz w:val="20"/>
          <w:szCs w:val="20"/>
        </w:rPr>
      </w:pPr>
      <w:r>
        <w:rPr>
          <w:sz w:val="20"/>
          <w:szCs w:val="20"/>
        </w:rPr>
        <w:t>In connection with the execution of the Merger Agreement, (a) the Company entered into a common stock subscription agreement (the “PIF Common Subscription Agreement”) with The Public Investment Fund of The Kingdom of Saudi</w:t>
      </w:r>
      <w:r>
        <w:rPr>
          <w:sz w:val="20"/>
          <w:szCs w:val="20"/>
        </w:rPr>
        <w:t xml:space="preserve"> Arabia (the “PIF”) and (b) the Company, Holdings and Parent entered into certain common stock subscription agreements (the “Other Common Subscription Agreements” and, together with the PIF Common Subscription Agreement, the “Common Subscription Agreements</w:t>
      </w:r>
      <w:r>
        <w:rPr>
          <w:sz w:val="20"/>
          <w:szCs w:val="20"/>
        </w:rPr>
        <w:t>”) with certain investment funds (together with the PIF, (the “Common PIPE Investors”) pursuant to which, the Company has agreed to issue and sell to the Common PIPE Investors (x) $1,300,000,000 of Class A Common Stock (the “Common PIPE Shares”) at a purch</w:t>
      </w:r>
      <w:r>
        <w:rPr>
          <w:sz w:val="20"/>
          <w:szCs w:val="20"/>
        </w:rPr>
        <w:t>ase price of $10.00 per share and (y) 1/20th of a warrant (the “Common PIPE Warrants”) to purchase one share of Class A Common Stock, with each whole warrant having a strike price of $12.50 per share and a 5-year maturity from the closing of the Transactio</w:t>
      </w:r>
      <w:r>
        <w:rPr>
          <w:sz w:val="20"/>
          <w:szCs w:val="20"/>
        </w:rPr>
        <w:t>ns (the “Common PIPE Investment”). There is an original issue discount (“OID”) of 1% for subscriptions of equal to or less than $250,000,000 and an OID of 2.5% for subscriptions of more than $250,000,000. The closing of the Common PIPE Investment is condit</w:t>
      </w:r>
      <w:r>
        <w:rPr>
          <w:sz w:val="20"/>
          <w:szCs w:val="20"/>
        </w:rPr>
        <w:t>ioned on all conditions set forth in the Merger Agreement having been satisfied or waived and other customary closing conditions, and the Transactions will be consummated immediately following the closing of the Common PIPE Investment. The Common Subscript</w:t>
      </w:r>
      <w:r>
        <w:rPr>
          <w:sz w:val="20"/>
          <w:szCs w:val="20"/>
        </w:rPr>
        <w:t>ion Agreements will terminate upon the earlier to occur of (i) the termination of the Merger Agreement and (ii) the mutual written agreement of the parties thereto. The counterparties to certain of the Common Subscription Agreements are affiliates of direc</w:t>
      </w:r>
      <w:r>
        <w:rPr>
          <w:sz w:val="20"/>
          <w:szCs w:val="20"/>
        </w:rPr>
        <w:t>tors of the Company and such Common Subscription Agreements have been approved by the Company’s audit committee and board of directors in accordance with the Company’s related persons transaction policy.</w:t>
      </w:r>
    </w:p>
    <w:p w14:paraId="55FC4AB1" w14:textId="77777777" w:rsidR="00000000" w:rsidRDefault="006549D2">
      <w:pPr>
        <w:pStyle w:val="a3"/>
        <w:spacing w:before="0" w:beforeAutospacing="0" w:after="0" w:afterAutospacing="0"/>
        <w:ind w:firstLine="400"/>
        <w:jc w:val="both"/>
        <w:rPr>
          <w:sz w:val="20"/>
          <w:szCs w:val="20"/>
        </w:rPr>
      </w:pPr>
      <w:r>
        <w:rPr>
          <w:sz w:val="20"/>
          <w:szCs w:val="20"/>
        </w:rPr>
        <w:t> </w:t>
      </w:r>
    </w:p>
    <w:p w14:paraId="4ACA44B0" w14:textId="77777777" w:rsidR="00000000" w:rsidRDefault="006549D2">
      <w:pPr>
        <w:pStyle w:val="a3"/>
        <w:spacing w:before="0" w:beforeAutospacing="0" w:after="0" w:afterAutospacing="0"/>
        <w:ind w:firstLine="400"/>
        <w:jc w:val="both"/>
        <w:rPr>
          <w:sz w:val="20"/>
          <w:szCs w:val="20"/>
        </w:rPr>
      </w:pPr>
      <w:r>
        <w:rPr>
          <w:sz w:val="20"/>
          <w:szCs w:val="20"/>
        </w:rPr>
        <w:t>In addition, the Company entered into certain convertible note subscription agreements (the “Convertible Subscription Agreements,” and together with the Common Subscription Agreements, the “Subscription Agreements”) with certain investment funds affiliated</w:t>
      </w:r>
      <w:r>
        <w:rPr>
          <w:sz w:val="20"/>
          <w:szCs w:val="20"/>
        </w:rPr>
        <w:t xml:space="preserve"> with Franklin Advisers, Inc., Magnetar Capital LLC, Oak Hill Advisors LP, and Pacific Investment Management Company LLC (the “Convertible Investors”) pursuant to which the Convertible Investors will provide convertible debt financing in the form of Conver</w:t>
      </w:r>
      <w:r>
        <w:rPr>
          <w:sz w:val="20"/>
          <w:szCs w:val="20"/>
        </w:rPr>
        <w:t xml:space="preserve">tible Senior PIK Toggle Notes (the “Convertible Notes”) to the Company in the aggregate principal amount of $1,300,000,000 (the “Convertible PIPE Investment” and, together with the Common PIPE Investment, the “PIPE Investment”). The Convertible Notes will </w:t>
      </w:r>
      <w:r>
        <w:rPr>
          <w:sz w:val="20"/>
          <w:szCs w:val="20"/>
        </w:rPr>
        <w:t>mature in seven years. The coupon rate of the Convertible Notes is, at the Company’s option, 6% per annum payable semi-annually in arrears in cash or 7% per annum payable semi-annually in arrears in-kind. Holders may convert the Convertible Notes into shar</w:t>
      </w:r>
      <w:r>
        <w:rPr>
          <w:sz w:val="20"/>
          <w:szCs w:val="20"/>
        </w:rPr>
        <w:t>es of Class A Common Stock based on a $13.00 conversion price, subject to customary anti-dilution adjustments. The Company may redeem the Convertible Notes after the third anniversary of the issuance of the Convertible Notes, subject to a holder’s prior ri</w:t>
      </w:r>
      <w:r>
        <w:rPr>
          <w:sz w:val="20"/>
          <w:szCs w:val="20"/>
        </w:rPr>
        <w:t xml:space="preserve">ght to convert, if the trading price of the Class A Common Stock exceeds 130% of the conversion price 20 out of the preceding 30 trading days. There will be customary registration rights with respect to the Class A Common Stock issuable upon conversion of </w:t>
      </w:r>
      <w:r>
        <w:rPr>
          <w:sz w:val="20"/>
          <w:szCs w:val="20"/>
        </w:rPr>
        <w:t xml:space="preserve">the Convertible Notes. Subject to the condition that the Convertible PIPE Investment is funded in full on the Closing Date, the Convertible Notes will be guaranteed by a subsidiary of Parent. The Convertible Notes are being issued with an OID of 2.5%. The </w:t>
      </w:r>
      <w:r>
        <w:rPr>
          <w:sz w:val="20"/>
          <w:szCs w:val="20"/>
        </w:rPr>
        <w:t>proceeds of the PIPE Investment will be used to fund a portion of the amount necessary to consummate the Transactions, including the repayment of certain specified debt of a subsidiary of Parent. The counterparty to one of the Convertible Subscription Agre</w:t>
      </w:r>
      <w:r>
        <w:rPr>
          <w:sz w:val="20"/>
          <w:szCs w:val="20"/>
        </w:rPr>
        <w:t>ements is an affiliate of a director of the Company and such Convertible Subscription Agreement has been approved by the Company’s audit committee and board of directors in accordance with the Company’s related persons transaction policy.</w:t>
      </w:r>
    </w:p>
    <w:p w14:paraId="4CB9EC5A" w14:textId="77777777" w:rsidR="00000000" w:rsidRDefault="006549D2">
      <w:pPr>
        <w:pStyle w:val="a3"/>
        <w:spacing w:before="0" w:beforeAutospacing="0" w:after="0" w:afterAutospacing="0"/>
        <w:ind w:firstLine="400"/>
        <w:jc w:val="both"/>
        <w:rPr>
          <w:sz w:val="20"/>
          <w:szCs w:val="20"/>
        </w:rPr>
      </w:pPr>
      <w:r>
        <w:rPr>
          <w:sz w:val="20"/>
          <w:szCs w:val="20"/>
        </w:rPr>
        <w:t> </w:t>
      </w:r>
    </w:p>
    <w:p w14:paraId="13AD1F6D" w14:textId="77777777" w:rsidR="00000000" w:rsidRDefault="006549D2">
      <w:pPr>
        <w:pStyle w:val="a3"/>
        <w:spacing w:before="0" w:beforeAutospacing="0" w:after="0" w:afterAutospacing="0"/>
        <w:ind w:firstLine="400"/>
        <w:jc w:val="both"/>
        <w:rPr>
          <w:sz w:val="20"/>
          <w:szCs w:val="20"/>
        </w:rPr>
      </w:pPr>
      <w:r>
        <w:rPr>
          <w:sz w:val="20"/>
          <w:szCs w:val="20"/>
        </w:rPr>
        <w:t>The Company has</w:t>
      </w:r>
      <w:r>
        <w:rPr>
          <w:sz w:val="20"/>
          <w:szCs w:val="20"/>
        </w:rPr>
        <w:t xml:space="preserve"> engaged The Klein Group, LLC, an affiliate of M. Klein and Company, LLC and of Churchill Sponsor III LLC, to act as the Company’s financial advisor in connection with the Mergers. Pursuant to this engagement, the Company will pay The Klein Group, LLC a tr</w:t>
      </w:r>
      <w:r>
        <w:rPr>
          <w:sz w:val="20"/>
          <w:szCs w:val="20"/>
        </w:rPr>
        <w:t>ansaction fee of $15 million and a placement fee of $15.5 million (of which up to $15 million shall be payable in shares of the Company based on $10 per share), which shall be earned upon the closing of the Mergers and such engagement shall be terminated i</w:t>
      </w:r>
      <w:r>
        <w:rPr>
          <w:sz w:val="20"/>
          <w:szCs w:val="20"/>
        </w:rPr>
        <w:t>n full at such time. The payment of such fee is conditioned upon the completion of the Mergers. The Klein Group, LLC intends to direct the Company to pay a portion of such fees totaling $8 million to Project Isaiah, a philanthropic entity formed to provide</w:t>
      </w:r>
      <w:r>
        <w:rPr>
          <w:sz w:val="20"/>
          <w:szCs w:val="20"/>
        </w:rPr>
        <w:t xml:space="preserve"> meals in underserved communities in the United States impacted by the COVID-19 crisis of 2020. Michael Klein is the Chairman of Project Isaiah. The engagement of The Klein Group, LLC and the payment of the advisory fee has been approved by the Company’s a</w:t>
      </w:r>
      <w:r>
        <w:rPr>
          <w:sz w:val="20"/>
          <w:szCs w:val="20"/>
        </w:rPr>
        <w:t>udit committee and board of directors in accordance with the Company’s related persons transaction policy.</w:t>
      </w:r>
    </w:p>
    <w:p w14:paraId="739B4D32" w14:textId="77777777" w:rsidR="00000000" w:rsidRDefault="006549D2">
      <w:pPr>
        <w:pStyle w:val="a3"/>
        <w:spacing w:before="0" w:beforeAutospacing="0" w:after="0" w:afterAutospacing="0"/>
        <w:ind w:firstLine="400"/>
        <w:jc w:val="both"/>
        <w:rPr>
          <w:sz w:val="20"/>
          <w:szCs w:val="20"/>
        </w:rPr>
      </w:pPr>
      <w:r>
        <w:rPr>
          <w:sz w:val="20"/>
          <w:szCs w:val="20"/>
        </w:rPr>
        <w:t> </w:t>
      </w:r>
    </w:p>
    <w:p w14:paraId="27ED64A3" w14:textId="77777777" w:rsidR="00000000" w:rsidRDefault="006549D2">
      <w:pPr>
        <w:pStyle w:val="a3"/>
        <w:spacing w:before="0" w:beforeAutospacing="0" w:after="0" w:afterAutospacing="0"/>
        <w:ind w:firstLine="400"/>
        <w:jc w:val="both"/>
        <w:rPr>
          <w:sz w:val="20"/>
          <w:szCs w:val="20"/>
        </w:rPr>
      </w:pPr>
      <w:r>
        <w:rPr>
          <w:sz w:val="20"/>
          <w:szCs w:val="20"/>
        </w:rPr>
        <w:t>The Transactions will be consummated after the required approval by the stockholders of the Company and the satisfaction of certain other condition</w:t>
      </w:r>
      <w:r>
        <w:rPr>
          <w:sz w:val="20"/>
          <w:szCs w:val="20"/>
        </w:rPr>
        <w:t>s as further described in the Merger Agreement.</w:t>
      </w:r>
    </w:p>
    <w:p w14:paraId="593A833A" w14:textId="77777777" w:rsidR="00000000" w:rsidRDefault="006549D2">
      <w:pPr>
        <w:pStyle w:val="a3"/>
        <w:spacing w:before="0" w:beforeAutospacing="0" w:after="0" w:afterAutospacing="0"/>
        <w:ind w:firstLine="400"/>
        <w:jc w:val="both"/>
        <w:rPr>
          <w:sz w:val="20"/>
          <w:szCs w:val="20"/>
        </w:rPr>
      </w:pPr>
      <w:r>
        <w:rPr>
          <w:sz w:val="20"/>
          <w:szCs w:val="20"/>
        </w:rPr>
        <w:t> </w:t>
      </w:r>
    </w:p>
    <w:p w14:paraId="34C922E2" w14:textId="77777777" w:rsidR="00000000" w:rsidRDefault="006549D2">
      <w:pPr>
        <w:pStyle w:val="a3"/>
        <w:spacing w:before="0" w:beforeAutospacing="0" w:after="0" w:afterAutospacing="0"/>
        <w:jc w:val="both"/>
        <w:rPr>
          <w:sz w:val="20"/>
          <w:szCs w:val="20"/>
        </w:rPr>
      </w:pPr>
      <w:r>
        <w:rPr>
          <w:b/>
          <w:bCs/>
          <w:sz w:val="20"/>
          <w:szCs w:val="20"/>
        </w:rPr>
        <w:t>NOTE 7. STOCKHOLDERS’ EQUITY</w:t>
      </w:r>
    </w:p>
    <w:p w14:paraId="234C17A3" w14:textId="77777777" w:rsidR="00000000" w:rsidRDefault="006549D2">
      <w:pPr>
        <w:pStyle w:val="a3"/>
        <w:spacing w:before="0" w:beforeAutospacing="0" w:after="0" w:afterAutospacing="0"/>
        <w:ind w:left="1400" w:right="996" w:firstLine="400"/>
        <w:jc w:val="both"/>
        <w:rPr>
          <w:sz w:val="20"/>
          <w:szCs w:val="20"/>
        </w:rPr>
      </w:pPr>
      <w:r>
        <w:rPr>
          <w:b/>
          <w:bCs/>
          <w:i/>
          <w:iCs/>
          <w:sz w:val="20"/>
          <w:szCs w:val="20"/>
        </w:rPr>
        <w:t> </w:t>
      </w:r>
    </w:p>
    <w:p w14:paraId="39339265" w14:textId="77777777" w:rsidR="00000000" w:rsidRDefault="006549D2">
      <w:pPr>
        <w:pStyle w:val="a3"/>
        <w:spacing w:before="0" w:beforeAutospacing="0" w:after="0" w:afterAutospacing="0"/>
        <w:ind w:firstLine="400"/>
        <w:jc w:val="both"/>
        <w:rPr>
          <w:sz w:val="20"/>
          <w:szCs w:val="20"/>
        </w:rPr>
      </w:pPr>
      <w:r>
        <w:rPr>
          <w:b/>
          <w:bCs/>
          <w:i/>
          <w:iCs/>
          <w:sz w:val="20"/>
          <w:szCs w:val="20"/>
        </w:rPr>
        <w:t>Preferred Stock</w:t>
      </w:r>
      <w:r>
        <w:rPr>
          <w:sz w:val="20"/>
          <w:szCs w:val="20"/>
        </w:rPr>
        <w:t> </w:t>
      </w:r>
      <w:r>
        <w:rPr>
          <w:sz w:val="20"/>
          <w:szCs w:val="20"/>
        </w:rPr>
        <w:t>—</w:t>
      </w:r>
      <w:r>
        <w:rPr>
          <w:sz w:val="20"/>
          <w:szCs w:val="20"/>
        </w:rPr>
        <w:t> </w:t>
      </w:r>
      <w:r>
        <w:rPr>
          <w:sz w:val="20"/>
          <w:szCs w:val="20"/>
        </w:rPr>
        <w:t>The Company is authorized to issue 1,000,000 shares of preferred stock with a par value of</w:t>
      </w:r>
      <w:r>
        <w:rPr>
          <w:sz w:val="20"/>
          <w:szCs w:val="20"/>
        </w:rPr>
        <w:t> </w:t>
      </w:r>
      <w:r>
        <w:rPr>
          <w:sz w:val="20"/>
          <w:szCs w:val="20"/>
        </w:rPr>
        <w:t xml:space="preserve">$0.0001 per share with such designations, voting and other rights </w:t>
      </w:r>
      <w:r>
        <w:rPr>
          <w:sz w:val="20"/>
          <w:szCs w:val="20"/>
        </w:rPr>
        <w:t>and preferences as may be determined from time to time by the Company’s board of directors. At June 30, 2020 and December 31, 2019, there were no shares of preferred stock issued or outstanding.</w:t>
      </w:r>
    </w:p>
    <w:p w14:paraId="0A83FFCA" w14:textId="77777777" w:rsidR="00000000" w:rsidRDefault="006549D2">
      <w:pPr>
        <w:pStyle w:val="a3"/>
        <w:spacing w:before="0" w:beforeAutospacing="0" w:after="0" w:afterAutospacing="0"/>
        <w:ind w:firstLine="360"/>
        <w:jc w:val="both"/>
        <w:rPr>
          <w:sz w:val="20"/>
          <w:szCs w:val="20"/>
        </w:rPr>
      </w:pPr>
      <w:r>
        <w:rPr>
          <w:sz w:val="20"/>
          <w:szCs w:val="20"/>
        </w:rPr>
        <w:t>  </w:t>
      </w:r>
    </w:p>
    <w:p w14:paraId="04F8ACB9" w14:textId="77777777" w:rsidR="00000000" w:rsidRDefault="006549D2">
      <w:pPr>
        <w:pStyle w:val="a3"/>
        <w:spacing w:before="0" w:beforeAutospacing="0" w:after="0" w:afterAutospacing="0"/>
        <w:jc w:val="both"/>
        <w:rPr>
          <w:sz w:val="20"/>
          <w:szCs w:val="20"/>
        </w:rPr>
      </w:pPr>
      <w:r>
        <w:rPr>
          <w:b/>
          <w:bCs/>
          <w:i/>
          <w:iCs/>
          <w:sz w:val="20"/>
          <w:szCs w:val="20"/>
        </w:rPr>
        <w:t>Common Stock</w:t>
      </w:r>
    </w:p>
    <w:p w14:paraId="5306DB7F" w14:textId="77777777" w:rsidR="00000000" w:rsidRDefault="006549D2">
      <w:pPr>
        <w:pStyle w:val="a3"/>
        <w:spacing w:before="0" w:beforeAutospacing="0" w:after="0" w:afterAutospacing="0"/>
        <w:ind w:left="1400" w:right="996" w:firstLine="400"/>
        <w:jc w:val="both"/>
        <w:rPr>
          <w:sz w:val="20"/>
          <w:szCs w:val="20"/>
        </w:rPr>
      </w:pPr>
      <w:r>
        <w:rPr>
          <w:b/>
          <w:bCs/>
          <w:i/>
          <w:iCs/>
          <w:sz w:val="20"/>
          <w:szCs w:val="20"/>
        </w:rPr>
        <w:t> </w:t>
      </w:r>
    </w:p>
    <w:p w14:paraId="491F6A02" w14:textId="77777777" w:rsidR="00000000" w:rsidRDefault="006549D2">
      <w:pPr>
        <w:pStyle w:val="a3"/>
        <w:spacing w:before="0" w:beforeAutospacing="0" w:after="0" w:afterAutospacing="0"/>
        <w:ind w:firstLine="403"/>
        <w:jc w:val="both"/>
        <w:rPr>
          <w:sz w:val="20"/>
          <w:szCs w:val="20"/>
        </w:rPr>
      </w:pPr>
      <w:r>
        <w:rPr>
          <w:b/>
          <w:bCs/>
          <w:i/>
          <w:iCs/>
          <w:sz w:val="20"/>
          <w:szCs w:val="20"/>
        </w:rPr>
        <w:t>Class A Common Stock</w:t>
      </w:r>
      <w:r>
        <w:rPr>
          <w:sz w:val="20"/>
          <w:szCs w:val="20"/>
        </w:rPr>
        <w:t> </w:t>
      </w:r>
      <w:r>
        <w:rPr>
          <w:sz w:val="20"/>
          <w:szCs w:val="20"/>
        </w:rPr>
        <w:t>—</w:t>
      </w:r>
      <w:r>
        <w:rPr>
          <w:sz w:val="20"/>
          <w:szCs w:val="20"/>
        </w:rPr>
        <w:t> </w:t>
      </w:r>
      <w:r>
        <w:rPr>
          <w:sz w:val="20"/>
          <w:szCs w:val="20"/>
        </w:rPr>
        <w:t>The Company is autho</w:t>
      </w:r>
      <w:r>
        <w:rPr>
          <w:sz w:val="20"/>
          <w:szCs w:val="20"/>
        </w:rPr>
        <w:t>rized to issue 250,000,000 shares of Class A common stock with a par value of</w:t>
      </w:r>
      <w:r>
        <w:rPr>
          <w:sz w:val="20"/>
          <w:szCs w:val="20"/>
        </w:rPr>
        <w:t> </w:t>
      </w:r>
      <w:r>
        <w:rPr>
          <w:sz w:val="20"/>
          <w:szCs w:val="20"/>
        </w:rPr>
        <w:t>$0.0001 per share. Holders of Class A common stock are entitled to one vote for each share. At June 30, 2020, there were 4,141,928 shares of Class A common stock issued and outst</w:t>
      </w:r>
      <w:r>
        <w:rPr>
          <w:sz w:val="20"/>
          <w:szCs w:val="20"/>
        </w:rPr>
        <w:t>anding, excluding 105,858,072 shares of Class A common stock subject to possible redemption. There were no shares of Class A common stock issued or outstanding at December 31, 2019.</w:t>
      </w:r>
    </w:p>
    <w:p w14:paraId="5532A485" w14:textId="77777777" w:rsidR="00000000" w:rsidRDefault="006549D2">
      <w:pPr>
        <w:pStyle w:val="a3"/>
        <w:spacing w:before="0" w:beforeAutospacing="0" w:after="0" w:afterAutospacing="0"/>
        <w:ind w:firstLine="400"/>
        <w:jc w:val="both"/>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D34D64E" w14:textId="77777777">
        <w:trPr>
          <w:divId w:val="806894710"/>
        </w:trPr>
        <w:tc>
          <w:tcPr>
            <w:tcW w:w="1650" w:type="pct"/>
            <w:hideMark/>
          </w:tcPr>
          <w:p w14:paraId="12DE5B56" w14:textId="77777777" w:rsidR="00000000" w:rsidRDefault="006549D2">
            <w:pPr>
              <w:rPr>
                <w:rFonts w:eastAsia="Times New Roman"/>
                <w:sz w:val="20"/>
                <w:szCs w:val="20"/>
              </w:rPr>
            </w:pPr>
            <w:r>
              <w:rPr>
                <w:rFonts w:eastAsia="Times New Roman"/>
                <w:sz w:val="20"/>
                <w:szCs w:val="20"/>
              </w:rPr>
              <w:t> </w:t>
            </w:r>
          </w:p>
        </w:tc>
        <w:tc>
          <w:tcPr>
            <w:tcW w:w="1700" w:type="pct"/>
            <w:hideMark/>
          </w:tcPr>
          <w:p w14:paraId="77629D9F" w14:textId="77777777" w:rsidR="00000000" w:rsidRDefault="006549D2">
            <w:pPr>
              <w:jc w:val="center"/>
              <w:rPr>
                <w:rFonts w:eastAsia="Times New Roman"/>
                <w:sz w:val="20"/>
                <w:szCs w:val="20"/>
              </w:rPr>
            </w:pPr>
            <w:r>
              <w:rPr>
                <w:rFonts w:eastAsia="Times New Roman"/>
                <w:sz w:val="20"/>
                <w:szCs w:val="20"/>
              </w:rPr>
              <w:t>1</w:t>
            </w:r>
            <w:r>
              <w:rPr>
                <w:rFonts w:eastAsia="Times New Roman"/>
                <w:sz w:val="20"/>
                <w:szCs w:val="20"/>
              </w:rPr>
              <w:t>1</w:t>
            </w:r>
          </w:p>
        </w:tc>
        <w:tc>
          <w:tcPr>
            <w:tcW w:w="1650" w:type="pct"/>
            <w:hideMark/>
          </w:tcPr>
          <w:p w14:paraId="1D45E37C" w14:textId="77777777" w:rsidR="00000000" w:rsidRDefault="006549D2">
            <w:pPr>
              <w:jc w:val="right"/>
              <w:rPr>
                <w:rFonts w:eastAsia="Times New Roman"/>
                <w:sz w:val="20"/>
                <w:szCs w:val="20"/>
              </w:rPr>
            </w:pPr>
            <w:r>
              <w:rPr>
                <w:rFonts w:eastAsia="Times New Roman"/>
                <w:sz w:val="20"/>
                <w:szCs w:val="20"/>
              </w:rPr>
              <w:t> </w:t>
            </w:r>
          </w:p>
        </w:tc>
      </w:tr>
    </w:tbl>
    <w:p w14:paraId="0F0E220A" w14:textId="77777777" w:rsidR="00000000" w:rsidRDefault="006549D2">
      <w:pPr>
        <w:pStyle w:val="a3"/>
        <w:pageBreakBefore/>
        <w:spacing w:before="0" w:beforeAutospacing="0" w:after="0" w:afterAutospacing="0"/>
        <w:divId w:val="581136788"/>
        <w:rPr>
          <w:sz w:val="20"/>
          <w:szCs w:val="20"/>
        </w:rPr>
      </w:pPr>
      <w:r>
        <w:rPr>
          <w:sz w:val="20"/>
          <w:szCs w:val="20"/>
        </w:rPr>
        <w:t> </w:t>
      </w:r>
    </w:p>
    <w:p w14:paraId="2C3C99D9" w14:textId="77777777" w:rsidR="00000000" w:rsidRDefault="006549D2">
      <w:pPr>
        <w:pStyle w:val="a3"/>
        <w:spacing w:before="0" w:beforeAutospacing="0" w:after="0" w:afterAutospacing="0"/>
        <w:ind w:firstLine="400"/>
        <w:jc w:val="both"/>
        <w:rPr>
          <w:sz w:val="20"/>
          <w:szCs w:val="20"/>
        </w:rPr>
      </w:pPr>
      <w:r>
        <w:rPr>
          <w:b/>
          <w:bCs/>
          <w:i/>
          <w:iCs/>
          <w:sz w:val="20"/>
          <w:szCs w:val="20"/>
        </w:rPr>
        <w:t> </w:t>
      </w:r>
    </w:p>
    <w:p w14:paraId="2BE6E6DC" w14:textId="77777777" w:rsidR="00000000" w:rsidRDefault="006549D2">
      <w:pPr>
        <w:pStyle w:val="a3"/>
        <w:spacing w:before="0" w:beforeAutospacing="0" w:after="0" w:afterAutospacing="0"/>
        <w:jc w:val="center"/>
        <w:rPr>
          <w:sz w:val="20"/>
          <w:szCs w:val="20"/>
        </w:rPr>
      </w:pPr>
      <w:r>
        <w:rPr>
          <w:b/>
          <w:bCs/>
          <w:sz w:val="20"/>
          <w:szCs w:val="20"/>
        </w:rPr>
        <w:t>CHURCHILL CAPITAL CORP III</w:t>
      </w:r>
    </w:p>
    <w:p w14:paraId="54335545" w14:textId="77777777" w:rsidR="00000000" w:rsidRDefault="006549D2">
      <w:pPr>
        <w:pStyle w:val="a3"/>
        <w:spacing w:before="0" w:beforeAutospacing="0" w:after="0" w:afterAutospacing="0"/>
        <w:jc w:val="center"/>
        <w:rPr>
          <w:sz w:val="20"/>
          <w:szCs w:val="20"/>
        </w:rPr>
      </w:pPr>
      <w:r>
        <w:rPr>
          <w:b/>
          <w:bCs/>
          <w:sz w:val="20"/>
          <w:szCs w:val="20"/>
        </w:rPr>
        <w:t>NOTES TO CONDENSED FINANCIAL STATEMENTS</w:t>
      </w:r>
    </w:p>
    <w:p w14:paraId="505B1F9E" w14:textId="77777777" w:rsidR="00000000" w:rsidRDefault="006549D2">
      <w:pPr>
        <w:pStyle w:val="a3"/>
        <w:spacing w:before="0" w:beforeAutospacing="0" w:after="0" w:afterAutospacing="0"/>
        <w:jc w:val="center"/>
        <w:rPr>
          <w:sz w:val="20"/>
          <w:szCs w:val="20"/>
        </w:rPr>
      </w:pPr>
      <w:r>
        <w:rPr>
          <w:b/>
          <w:bCs/>
          <w:sz w:val="20"/>
          <w:szCs w:val="20"/>
        </w:rPr>
        <w:t>JUNE 30, 2020</w:t>
      </w:r>
    </w:p>
    <w:p w14:paraId="52D8CB49" w14:textId="77777777" w:rsidR="00000000" w:rsidRDefault="006549D2">
      <w:pPr>
        <w:pStyle w:val="a3"/>
        <w:spacing w:before="0" w:beforeAutospacing="0" w:after="0" w:afterAutospacing="0"/>
        <w:jc w:val="center"/>
        <w:rPr>
          <w:sz w:val="20"/>
          <w:szCs w:val="20"/>
        </w:rPr>
      </w:pPr>
      <w:r>
        <w:rPr>
          <w:b/>
          <w:bCs/>
          <w:sz w:val="20"/>
          <w:szCs w:val="20"/>
        </w:rPr>
        <w:t>(Unaudited)</w:t>
      </w:r>
    </w:p>
    <w:p w14:paraId="61FB9605" w14:textId="77777777" w:rsidR="00000000" w:rsidRDefault="006549D2">
      <w:pPr>
        <w:pStyle w:val="a3"/>
        <w:spacing w:before="0" w:beforeAutospacing="0" w:after="0" w:afterAutospacing="0"/>
        <w:ind w:firstLine="400"/>
        <w:jc w:val="both"/>
        <w:rPr>
          <w:sz w:val="20"/>
          <w:szCs w:val="20"/>
        </w:rPr>
      </w:pPr>
      <w:r>
        <w:rPr>
          <w:b/>
          <w:bCs/>
          <w:i/>
          <w:iCs/>
          <w:sz w:val="20"/>
          <w:szCs w:val="20"/>
        </w:rPr>
        <w:t> </w:t>
      </w:r>
    </w:p>
    <w:p w14:paraId="0BB72A3E" w14:textId="77777777" w:rsidR="00000000" w:rsidRDefault="006549D2">
      <w:pPr>
        <w:pStyle w:val="a3"/>
        <w:spacing w:before="0" w:beforeAutospacing="0" w:after="0" w:afterAutospacing="0"/>
        <w:ind w:firstLine="400"/>
        <w:jc w:val="both"/>
        <w:rPr>
          <w:sz w:val="20"/>
          <w:szCs w:val="20"/>
        </w:rPr>
      </w:pPr>
      <w:r>
        <w:rPr>
          <w:b/>
          <w:bCs/>
          <w:i/>
          <w:iCs/>
          <w:sz w:val="20"/>
          <w:szCs w:val="20"/>
        </w:rPr>
        <w:t>Class B Common Stock</w:t>
      </w:r>
      <w:r>
        <w:rPr>
          <w:sz w:val="20"/>
          <w:szCs w:val="20"/>
        </w:rPr>
        <w:t> </w:t>
      </w:r>
      <w:r>
        <w:rPr>
          <w:sz w:val="20"/>
          <w:szCs w:val="20"/>
        </w:rPr>
        <w:t>—</w:t>
      </w:r>
      <w:r>
        <w:rPr>
          <w:sz w:val="20"/>
          <w:szCs w:val="20"/>
        </w:rPr>
        <w:t> </w:t>
      </w:r>
      <w:r>
        <w:rPr>
          <w:sz w:val="20"/>
          <w:szCs w:val="20"/>
        </w:rPr>
        <w:t>The Company is authorized to issue 50,000,000 shares of Class B common stock with a par value of</w:t>
      </w:r>
      <w:r>
        <w:rPr>
          <w:sz w:val="20"/>
          <w:szCs w:val="20"/>
        </w:rPr>
        <w:t> </w:t>
      </w:r>
      <w:r>
        <w:rPr>
          <w:sz w:val="20"/>
          <w:szCs w:val="20"/>
        </w:rPr>
        <w:t>$0.0001 per share. Holders of Class B common stock are entitled to o</w:t>
      </w:r>
      <w:r>
        <w:rPr>
          <w:sz w:val="20"/>
          <w:szCs w:val="20"/>
        </w:rPr>
        <w:t>ne vote for each share. At June 30, 2020 and December 31, 2019, there were 27,500,000 shares of Class B common stock issued and outstanding.</w:t>
      </w:r>
    </w:p>
    <w:p w14:paraId="0CDC39A2" w14:textId="77777777" w:rsidR="00000000" w:rsidRDefault="006549D2">
      <w:pPr>
        <w:pStyle w:val="a3"/>
        <w:spacing w:before="0" w:beforeAutospacing="0" w:after="0" w:afterAutospacing="0"/>
        <w:ind w:firstLine="400"/>
        <w:jc w:val="both"/>
        <w:rPr>
          <w:sz w:val="20"/>
          <w:szCs w:val="20"/>
        </w:rPr>
      </w:pPr>
      <w:r>
        <w:rPr>
          <w:sz w:val="20"/>
          <w:szCs w:val="20"/>
        </w:rPr>
        <w:t> </w:t>
      </w:r>
    </w:p>
    <w:p w14:paraId="779BBCA9" w14:textId="77777777" w:rsidR="00000000" w:rsidRDefault="006549D2">
      <w:pPr>
        <w:pStyle w:val="a3"/>
        <w:spacing w:before="0" w:beforeAutospacing="0" w:after="0" w:afterAutospacing="0"/>
        <w:ind w:firstLine="400"/>
        <w:jc w:val="both"/>
        <w:rPr>
          <w:sz w:val="20"/>
          <w:szCs w:val="20"/>
        </w:rPr>
      </w:pPr>
      <w:r>
        <w:rPr>
          <w:sz w:val="20"/>
          <w:szCs w:val="20"/>
        </w:rPr>
        <w:t>Holders of Class B common stock will have the right to elect all of the Company’s directors prior to a Business C</w:t>
      </w:r>
      <w:r>
        <w:rPr>
          <w:sz w:val="20"/>
          <w:szCs w:val="20"/>
        </w:rPr>
        <w:t>ombination. Holders of Class A common stock and Class B common stock will vote together as a single class on all other matters submitted to a vote of stockholders except as required by law.</w:t>
      </w:r>
    </w:p>
    <w:p w14:paraId="2CA1A42B" w14:textId="77777777" w:rsidR="00000000" w:rsidRDefault="006549D2">
      <w:pPr>
        <w:pStyle w:val="a3"/>
        <w:spacing w:before="0" w:beforeAutospacing="0" w:after="0" w:afterAutospacing="0"/>
        <w:ind w:firstLine="403"/>
        <w:jc w:val="both"/>
        <w:rPr>
          <w:sz w:val="20"/>
          <w:szCs w:val="20"/>
        </w:rPr>
      </w:pPr>
      <w:r>
        <w:rPr>
          <w:sz w:val="20"/>
          <w:szCs w:val="20"/>
        </w:rPr>
        <w:t> </w:t>
      </w:r>
    </w:p>
    <w:p w14:paraId="5023DA5D" w14:textId="77777777" w:rsidR="00000000" w:rsidRDefault="006549D2">
      <w:pPr>
        <w:pStyle w:val="a3"/>
        <w:spacing w:before="0" w:beforeAutospacing="0" w:after="0" w:afterAutospacing="0"/>
        <w:ind w:firstLine="403"/>
        <w:jc w:val="both"/>
        <w:rPr>
          <w:sz w:val="20"/>
          <w:szCs w:val="20"/>
        </w:rPr>
      </w:pPr>
      <w:r>
        <w:rPr>
          <w:sz w:val="20"/>
          <w:szCs w:val="20"/>
        </w:rPr>
        <w:t>The shares of Class B common stock will automatically convert in</w:t>
      </w:r>
      <w:r>
        <w:rPr>
          <w:sz w:val="20"/>
          <w:szCs w:val="20"/>
        </w:rPr>
        <w:t>to shares of Class A common stock at the time of a Business Combination on a one-for-one basis, subject to adjustment. In the case that additional shares of Class A common stock, or equity-linked securities, are issued or deemed issued in excess of the amo</w:t>
      </w:r>
      <w:r>
        <w:rPr>
          <w:sz w:val="20"/>
          <w:szCs w:val="20"/>
        </w:rPr>
        <w:t xml:space="preserve">unts offered in the Initial Public Offering and related to the closing of a Business Combination, the ratio at which shares of Class B common stock shall convert into shares of Class A common stock will be adjusted (unless the holders of a majority of the </w:t>
      </w:r>
      <w:r>
        <w:rPr>
          <w:sz w:val="20"/>
          <w:szCs w:val="20"/>
        </w:rPr>
        <w:t xml:space="preserve">outstanding shares of Class B common stock agree to waive such adjustment with respect to any such issuance or deemed issuance) so that the number of shares of Class A common stock issuable upon conversion of all shares of Class B common stock will equal, </w:t>
      </w:r>
      <w:r>
        <w:rPr>
          <w:sz w:val="20"/>
          <w:szCs w:val="20"/>
        </w:rPr>
        <w:t>in the aggregate, on an as-converted basis, 20% of the sum of the total number of all shares of common stock outstanding upon the completion of the Initial Public Offering plus all shares of Class A common stock and equity-linked securities issued or deeme</w:t>
      </w:r>
      <w:r>
        <w:rPr>
          <w:sz w:val="20"/>
          <w:szCs w:val="20"/>
        </w:rPr>
        <w:t>d issued in connection with a Business Combination (net of the number of shares of Class A common stock redeemed in connection with our initial business combination) excluding any shares or equity-linked securities issued, or to be issued, to any seller in</w:t>
      </w:r>
      <w:r>
        <w:rPr>
          <w:sz w:val="20"/>
          <w:szCs w:val="20"/>
        </w:rPr>
        <w:t xml:space="preserve"> a Business Combination, any private placement-equivalent warrants issued, or to be issued, to any seller in a Business Combination.</w:t>
      </w:r>
    </w:p>
    <w:p w14:paraId="0A7D0C56" w14:textId="77777777" w:rsidR="00000000" w:rsidRDefault="006549D2">
      <w:pPr>
        <w:pStyle w:val="a3"/>
        <w:spacing w:before="0" w:beforeAutospacing="0" w:after="0" w:afterAutospacing="0"/>
        <w:ind w:firstLine="360"/>
        <w:jc w:val="both"/>
        <w:rPr>
          <w:sz w:val="20"/>
          <w:szCs w:val="20"/>
        </w:rPr>
      </w:pPr>
      <w:r>
        <w:rPr>
          <w:b/>
          <w:bCs/>
          <w:i/>
          <w:iCs/>
          <w:sz w:val="20"/>
          <w:szCs w:val="20"/>
        </w:rPr>
        <w:t> </w:t>
      </w:r>
    </w:p>
    <w:p w14:paraId="7A4EFDF4" w14:textId="77777777" w:rsidR="00000000" w:rsidRDefault="006549D2">
      <w:pPr>
        <w:pStyle w:val="a3"/>
        <w:spacing w:before="0" w:beforeAutospacing="0" w:after="0" w:afterAutospacing="0"/>
        <w:ind w:firstLine="400"/>
        <w:jc w:val="both"/>
        <w:rPr>
          <w:sz w:val="20"/>
          <w:szCs w:val="20"/>
        </w:rPr>
      </w:pPr>
      <w:r>
        <w:rPr>
          <w:b/>
          <w:bCs/>
          <w:i/>
          <w:iCs/>
          <w:sz w:val="20"/>
          <w:szCs w:val="20"/>
        </w:rPr>
        <w:t>Warrants</w:t>
      </w:r>
      <w:r>
        <w:rPr>
          <w:sz w:val="20"/>
          <w:szCs w:val="20"/>
        </w:rPr>
        <w:t> </w:t>
      </w:r>
      <w:r>
        <w:rPr>
          <w:sz w:val="20"/>
          <w:szCs w:val="20"/>
        </w:rPr>
        <w:t>—</w:t>
      </w:r>
      <w:r>
        <w:rPr>
          <w:sz w:val="20"/>
          <w:szCs w:val="20"/>
        </w:rPr>
        <w:t> </w:t>
      </w:r>
      <w:r>
        <w:rPr>
          <w:sz w:val="20"/>
          <w:szCs w:val="20"/>
        </w:rPr>
        <w:t>Public Warrants may only be exercised for a whole number of shares. No fractional warrants will be issued upon</w:t>
      </w:r>
      <w:r>
        <w:rPr>
          <w:sz w:val="20"/>
          <w:szCs w:val="20"/>
        </w:rPr>
        <w:t xml:space="preserve"> separation of the Units and only whole warrants will trade. The Public Warrants will become exercisable on the later of</w:t>
      </w:r>
      <w:r>
        <w:rPr>
          <w:sz w:val="20"/>
          <w:szCs w:val="20"/>
        </w:rPr>
        <w:t> </w:t>
      </w:r>
      <w:r>
        <w:rPr>
          <w:sz w:val="20"/>
          <w:szCs w:val="20"/>
        </w:rPr>
        <w:t>(a) 30 days after the completion of a Business Combination or (b) 12 months from the closing of the Initial Public Offering. The Public</w:t>
      </w:r>
      <w:r>
        <w:rPr>
          <w:sz w:val="20"/>
          <w:szCs w:val="20"/>
        </w:rPr>
        <w:t xml:space="preserve"> Warrants will expire five years after the completion of a Business Combination or earlier upon redemption or liquidation.</w:t>
      </w:r>
    </w:p>
    <w:p w14:paraId="43717B1E" w14:textId="77777777" w:rsidR="00000000" w:rsidRDefault="006549D2">
      <w:pPr>
        <w:pStyle w:val="a3"/>
        <w:spacing w:before="0" w:beforeAutospacing="0" w:after="0" w:afterAutospacing="0"/>
        <w:ind w:firstLine="400"/>
        <w:jc w:val="both"/>
        <w:rPr>
          <w:sz w:val="20"/>
          <w:szCs w:val="20"/>
        </w:rPr>
      </w:pPr>
      <w:r>
        <w:rPr>
          <w:sz w:val="20"/>
          <w:szCs w:val="20"/>
        </w:rPr>
        <w:t> </w:t>
      </w:r>
    </w:p>
    <w:p w14:paraId="738D02F0" w14:textId="77777777" w:rsidR="00000000" w:rsidRDefault="006549D2">
      <w:pPr>
        <w:pStyle w:val="a3"/>
        <w:spacing w:before="0" w:beforeAutospacing="0" w:after="0" w:afterAutospacing="0"/>
        <w:ind w:firstLine="400"/>
        <w:jc w:val="both"/>
        <w:rPr>
          <w:sz w:val="20"/>
          <w:szCs w:val="20"/>
        </w:rPr>
      </w:pPr>
      <w:r>
        <w:rPr>
          <w:sz w:val="20"/>
          <w:szCs w:val="20"/>
        </w:rPr>
        <w:t>The Company will not be obligated to deliver any shares of Class A common stock pursuant to the exercise of a warrant and will have</w:t>
      </w:r>
      <w:r>
        <w:rPr>
          <w:sz w:val="20"/>
          <w:szCs w:val="20"/>
        </w:rPr>
        <w:t xml:space="preserve"> no obligation to settle such warrant exercise unless a registration statement under the Securities Act covering the issuance of the shares of Class A common issuable upon exercise of the warrants is then effective and a current prospectus relating to thos</w:t>
      </w:r>
      <w:r>
        <w:rPr>
          <w:sz w:val="20"/>
          <w:szCs w:val="20"/>
        </w:rPr>
        <w:t>e shares of Class A common stock is available, subject to the Company satisfying its obligations with respect to registration. No warrant will be exercisable for cash or on a cashless basis, and the Company will not be obligated to issue any shares to hold</w:t>
      </w:r>
      <w:r>
        <w:rPr>
          <w:sz w:val="20"/>
          <w:szCs w:val="20"/>
        </w:rPr>
        <w:t>ers seeking to exercise their warrants, unless the issuance of the shares upon such exercise is registered or qualified under the securities laws of the state of the exercising holder, or an exemption from registration is available.</w:t>
      </w:r>
    </w:p>
    <w:p w14:paraId="03B6B79D" w14:textId="77777777" w:rsidR="00000000" w:rsidRDefault="006549D2">
      <w:pPr>
        <w:pStyle w:val="a3"/>
        <w:spacing w:before="0" w:beforeAutospacing="0" w:after="0" w:afterAutospacing="0"/>
        <w:ind w:firstLine="400"/>
        <w:jc w:val="both"/>
        <w:rPr>
          <w:sz w:val="20"/>
          <w:szCs w:val="20"/>
        </w:rPr>
      </w:pPr>
      <w:r>
        <w:rPr>
          <w:sz w:val="20"/>
          <w:szCs w:val="20"/>
        </w:rPr>
        <w:t> </w:t>
      </w:r>
    </w:p>
    <w:p w14:paraId="13AEB06B" w14:textId="77777777" w:rsidR="00000000" w:rsidRDefault="006549D2">
      <w:pPr>
        <w:pStyle w:val="a3"/>
        <w:spacing w:before="0" w:beforeAutospacing="0" w:after="0" w:afterAutospacing="0"/>
        <w:ind w:firstLine="400"/>
        <w:jc w:val="both"/>
        <w:rPr>
          <w:sz w:val="20"/>
          <w:szCs w:val="20"/>
        </w:rPr>
      </w:pPr>
      <w:r>
        <w:rPr>
          <w:sz w:val="20"/>
          <w:szCs w:val="20"/>
        </w:rPr>
        <w:t>The Company has agreed that as soon as practicable, but in no event later than 15 business days after the closing of a Business Combination, the Company will use its best efforts to file with the SEC, and within 60 business days following a Business Combin</w:t>
      </w:r>
      <w:r>
        <w:rPr>
          <w:sz w:val="20"/>
          <w:szCs w:val="20"/>
        </w:rPr>
        <w:t>ation to have declared effective, a registration statement covering the issuance of the shares of Class A common stock issuable upon exercise of the warrants and to maintain a current prospectus relating to those shares of Class A common stock until the wa</w:t>
      </w:r>
      <w:r>
        <w:rPr>
          <w:sz w:val="20"/>
          <w:szCs w:val="20"/>
        </w:rPr>
        <w:t>rrants expire or are redeemed. Notwithstanding the above, if the Class A common stock is at the time of any exercise of a warrant not listed on a national securities exchange such that it satisfies the definition of a “covered security” under Section 18(b)</w:t>
      </w:r>
      <w:r>
        <w:rPr>
          <w:sz w:val="20"/>
          <w:szCs w:val="20"/>
        </w:rPr>
        <w:t>(1) of the Securities Act, the Company may, at its option, require holders of Public Warrants who exercise their warrants to do so on a “cashless basis” in accordance with Section 3(a)(9) of the Securities Act and, in the event the Company so elects, the C</w:t>
      </w:r>
      <w:r>
        <w:rPr>
          <w:sz w:val="20"/>
          <w:szCs w:val="20"/>
        </w:rPr>
        <w:t>ompany will not be required to file or maintain in effect a registration statement, but will use its reasonable best efforts to qualify the shares under applicable blue sky laws to the extent an exemption is not available.</w:t>
      </w:r>
    </w:p>
    <w:p w14:paraId="2FB2BD0F" w14:textId="77777777" w:rsidR="00000000" w:rsidRDefault="006549D2">
      <w:pPr>
        <w:pStyle w:val="a3"/>
        <w:spacing w:before="0" w:beforeAutospacing="0" w:after="0" w:afterAutospacing="0"/>
        <w:ind w:firstLine="400"/>
        <w:jc w:val="both"/>
        <w:rPr>
          <w:sz w:val="20"/>
          <w:szCs w:val="20"/>
        </w:rPr>
      </w:pPr>
      <w:r>
        <w:rPr>
          <w:sz w:val="20"/>
          <w:szCs w:val="20"/>
        </w:rPr>
        <w:t> </w:t>
      </w:r>
    </w:p>
    <w:p w14:paraId="770BA729" w14:textId="77777777" w:rsidR="00000000" w:rsidRDefault="006549D2">
      <w:pPr>
        <w:pStyle w:val="a3"/>
        <w:spacing w:before="0" w:beforeAutospacing="0" w:after="0" w:afterAutospacing="0"/>
        <w:jc w:val="both"/>
        <w:rPr>
          <w:sz w:val="20"/>
          <w:szCs w:val="20"/>
        </w:rPr>
      </w:pPr>
      <w:r>
        <w:rPr>
          <w:sz w:val="20"/>
          <w:szCs w:val="20"/>
        </w:rPr>
        <w:t>Once the warrants become exerci</w:t>
      </w:r>
      <w:r>
        <w:rPr>
          <w:sz w:val="20"/>
          <w:szCs w:val="20"/>
        </w:rPr>
        <w:t>sable, the Company may redeem the Public Warrants:</w:t>
      </w:r>
    </w:p>
    <w:p w14:paraId="1518D160" w14:textId="77777777" w:rsidR="00000000" w:rsidRDefault="006549D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9"/>
        <w:gridCol w:w="249"/>
        <w:gridCol w:w="7808"/>
      </w:tblGrid>
      <w:tr w:rsidR="00000000" w14:paraId="2DA44F20" w14:textId="77777777">
        <w:tc>
          <w:tcPr>
            <w:tcW w:w="150" w:type="pct"/>
            <w:tcMar>
              <w:top w:w="0" w:type="dxa"/>
              <w:left w:w="0" w:type="dxa"/>
              <w:bottom w:w="0" w:type="dxa"/>
              <w:right w:w="16" w:type="dxa"/>
            </w:tcMar>
            <w:hideMark/>
          </w:tcPr>
          <w:p w14:paraId="7424FE8D" w14:textId="77777777" w:rsidR="00000000" w:rsidRDefault="006549D2">
            <w:pPr>
              <w:jc w:val="both"/>
              <w:rPr>
                <w:rFonts w:eastAsia="Times New Roman"/>
                <w:sz w:val="20"/>
                <w:szCs w:val="20"/>
              </w:rPr>
            </w:pPr>
            <w:r>
              <w:rPr>
                <w:rFonts w:eastAsia="Times New Roman"/>
                <w:sz w:val="20"/>
                <w:szCs w:val="20"/>
              </w:rPr>
              <w:t> </w:t>
            </w:r>
          </w:p>
        </w:tc>
        <w:tc>
          <w:tcPr>
            <w:tcW w:w="150" w:type="pct"/>
            <w:tcMar>
              <w:top w:w="0" w:type="dxa"/>
              <w:left w:w="0" w:type="dxa"/>
              <w:bottom w:w="0" w:type="dxa"/>
              <w:right w:w="16" w:type="dxa"/>
            </w:tcMar>
            <w:hideMark/>
          </w:tcPr>
          <w:p w14:paraId="4A466DA5" w14:textId="77777777" w:rsidR="00000000" w:rsidRDefault="006549D2">
            <w:pPr>
              <w:jc w:val="both"/>
              <w:rPr>
                <w:rFonts w:eastAsia="Times New Roman"/>
                <w:sz w:val="20"/>
                <w:szCs w:val="20"/>
              </w:rPr>
            </w:pPr>
            <w:r>
              <w:rPr>
                <w:rFonts w:eastAsia="Times New Roman"/>
                <w:sz w:val="20"/>
                <w:szCs w:val="20"/>
              </w:rPr>
              <w:t>•</w:t>
            </w:r>
          </w:p>
        </w:tc>
        <w:tc>
          <w:tcPr>
            <w:tcW w:w="4700" w:type="pct"/>
            <w:tcMar>
              <w:top w:w="0" w:type="dxa"/>
              <w:left w:w="0" w:type="dxa"/>
              <w:bottom w:w="0" w:type="dxa"/>
              <w:right w:w="16" w:type="dxa"/>
            </w:tcMar>
            <w:hideMark/>
          </w:tcPr>
          <w:p w14:paraId="0AE927B0" w14:textId="77777777" w:rsidR="00000000" w:rsidRDefault="006549D2">
            <w:pPr>
              <w:jc w:val="both"/>
              <w:rPr>
                <w:rFonts w:eastAsia="Times New Roman"/>
                <w:sz w:val="20"/>
                <w:szCs w:val="20"/>
              </w:rPr>
            </w:pPr>
            <w:r>
              <w:rPr>
                <w:rFonts w:eastAsia="Times New Roman"/>
                <w:sz w:val="20"/>
                <w:szCs w:val="20"/>
              </w:rPr>
              <w:t>in whole and not in part;</w:t>
            </w:r>
          </w:p>
        </w:tc>
      </w:tr>
      <w:tr w:rsidR="00000000" w14:paraId="30E38486" w14:textId="77777777">
        <w:tc>
          <w:tcPr>
            <w:tcW w:w="0" w:type="auto"/>
            <w:tcMar>
              <w:top w:w="0" w:type="dxa"/>
              <w:left w:w="0" w:type="dxa"/>
              <w:bottom w:w="0" w:type="dxa"/>
              <w:right w:w="16" w:type="dxa"/>
            </w:tcMar>
            <w:hideMark/>
          </w:tcPr>
          <w:p w14:paraId="137C3D58" w14:textId="77777777" w:rsidR="00000000" w:rsidRDefault="006549D2">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14:paraId="204A0DB8" w14:textId="77777777" w:rsidR="00000000" w:rsidRDefault="006549D2">
            <w:pPr>
              <w:jc w:val="both"/>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14:paraId="53FD20E3" w14:textId="77777777" w:rsidR="00000000" w:rsidRDefault="006549D2">
            <w:pPr>
              <w:jc w:val="both"/>
              <w:rPr>
                <w:rFonts w:eastAsia="Times New Roman"/>
                <w:sz w:val="20"/>
                <w:szCs w:val="20"/>
              </w:rPr>
            </w:pPr>
            <w:r>
              <w:rPr>
                <w:rFonts w:eastAsia="Times New Roman"/>
                <w:sz w:val="20"/>
                <w:szCs w:val="20"/>
              </w:rPr>
              <w:t>at a price of</w:t>
            </w:r>
            <w:r>
              <w:rPr>
                <w:rFonts w:eastAsia="Times New Roman"/>
                <w:sz w:val="20"/>
                <w:szCs w:val="20"/>
              </w:rPr>
              <w:t> </w:t>
            </w:r>
            <w:r>
              <w:rPr>
                <w:rFonts w:eastAsia="Times New Roman"/>
                <w:sz w:val="20"/>
                <w:szCs w:val="20"/>
              </w:rPr>
              <w:t>$0.01 per warrant;</w:t>
            </w:r>
          </w:p>
        </w:tc>
      </w:tr>
      <w:tr w:rsidR="00000000" w14:paraId="78C5A200" w14:textId="77777777">
        <w:tc>
          <w:tcPr>
            <w:tcW w:w="0" w:type="auto"/>
            <w:tcMar>
              <w:top w:w="0" w:type="dxa"/>
              <w:left w:w="0" w:type="dxa"/>
              <w:bottom w:w="0" w:type="dxa"/>
              <w:right w:w="16" w:type="dxa"/>
            </w:tcMar>
            <w:hideMark/>
          </w:tcPr>
          <w:p w14:paraId="235FDD47" w14:textId="77777777" w:rsidR="00000000" w:rsidRDefault="006549D2">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14:paraId="2FB8A30B" w14:textId="77777777" w:rsidR="00000000" w:rsidRDefault="006549D2">
            <w:pPr>
              <w:jc w:val="both"/>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14:paraId="5953A3F4" w14:textId="77777777" w:rsidR="00000000" w:rsidRDefault="006549D2">
            <w:pPr>
              <w:jc w:val="both"/>
              <w:rPr>
                <w:rFonts w:eastAsia="Times New Roman"/>
                <w:sz w:val="20"/>
                <w:szCs w:val="20"/>
              </w:rPr>
            </w:pPr>
            <w:r>
              <w:rPr>
                <w:rFonts w:eastAsia="Times New Roman"/>
                <w:sz w:val="20"/>
                <w:szCs w:val="20"/>
              </w:rPr>
              <w:t>upon a minimum of 30 days’ prior written notice of redemption, or the 30-day redemption period, to each warrant holder; and</w:t>
            </w:r>
          </w:p>
        </w:tc>
      </w:tr>
      <w:tr w:rsidR="00000000" w14:paraId="4F31EE97" w14:textId="77777777">
        <w:tc>
          <w:tcPr>
            <w:tcW w:w="0" w:type="auto"/>
            <w:tcMar>
              <w:top w:w="0" w:type="dxa"/>
              <w:left w:w="0" w:type="dxa"/>
              <w:bottom w:w="0" w:type="dxa"/>
              <w:right w:w="16" w:type="dxa"/>
            </w:tcMar>
            <w:hideMark/>
          </w:tcPr>
          <w:p w14:paraId="50E4DC73" w14:textId="77777777" w:rsidR="00000000" w:rsidRDefault="006549D2">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14:paraId="76EA0AC1" w14:textId="77777777" w:rsidR="00000000" w:rsidRDefault="006549D2">
            <w:pPr>
              <w:jc w:val="both"/>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14:paraId="0BAB8C4C" w14:textId="77777777" w:rsidR="00000000" w:rsidRDefault="006549D2">
            <w:pPr>
              <w:jc w:val="both"/>
              <w:rPr>
                <w:rFonts w:eastAsia="Times New Roman"/>
                <w:sz w:val="20"/>
                <w:szCs w:val="20"/>
              </w:rPr>
            </w:pPr>
            <w:r>
              <w:rPr>
                <w:rFonts w:eastAsia="Times New Roman"/>
                <w:sz w:val="20"/>
                <w:szCs w:val="20"/>
              </w:rPr>
              <w:t>if, and only if, the closing price of the Company’s Class A common stock equals or exceeds $18.00 per share for any 20 trading days within a 30-trading day period ending on the third trading day prior to the date on which we send the notice of redemption t</w:t>
            </w:r>
            <w:r>
              <w:rPr>
                <w:rFonts w:eastAsia="Times New Roman"/>
                <w:sz w:val="20"/>
                <w:szCs w:val="20"/>
              </w:rPr>
              <w:t>o the warrant holders.</w:t>
            </w:r>
          </w:p>
        </w:tc>
      </w:tr>
    </w:tbl>
    <w:p w14:paraId="499AEC6C" w14:textId="77777777" w:rsidR="00000000" w:rsidRDefault="006549D2">
      <w:pPr>
        <w:pStyle w:val="a3"/>
        <w:spacing w:before="0" w:beforeAutospacing="0" w:after="0" w:afterAutospacing="0"/>
        <w:jc w:val="both"/>
        <w:rPr>
          <w:sz w:val="20"/>
          <w:szCs w:val="20"/>
        </w:rPr>
      </w:pPr>
      <w:r>
        <w:rPr>
          <w:sz w:val="20"/>
          <w:szCs w:val="20"/>
        </w:rPr>
        <w:t>  </w:t>
      </w:r>
    </w:p>
    <w:p w14:paraId="576CD5B5" w14:textId="77777777" w:rsidR="00000000" w:rsidRDefault="006549D2">
      <w:pPr>
        <w:pStyle w:val="a3"/>
        <w:spacing w:before="0" w:beforeAutospacing="0" w:after="0" w:afterAutospacing="0"/>
        <w:ind w:firstLine="400"/>
        <w:jc w:val="both"/>
        <w:rPr>
          <w:sz w:val="20"/>
          <w:szCs w:val="20"/>
        </w:rPr>
      </w:pPr>
      <w:r>
        <w:rPr>
          <w:sz w:val="20"/>
          <w:szCs w:val="20"/>
        </w:rPr>
        <w:t>If and when the warrants become redeemable by the Company, the Company may exercise its redemption right even if it is unable to register or qualify the underlying securities for sale under all applicable state securities laws.</w:t>
      </w:r>
    </w:p>
    <w:p w14:paraId="054F5EDE" w14:textId="77777777" w:rsidR="00000000" w:rsidRDefault="006549D2">
      <w:pPr>
        <w:pStyle w:val="a3"/>
        <w:spacing w:before="0" w:beforeAutospacing="0" w:after="0" w:afterAutospacing="0"/>
        <w:ind w:firstLine="40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3C6060D3" w14:textId="77777777">
        <w:trPr>
          <w:divId w:val="238760242"/>
        </w:trPr>
        <w:tc>
          <w:tcPr>
            <w:tcW w:w="1650" w:type="pct"/>
            <w:hideMark/>
          </w:tcPr>
          <w:p w14:paraId="50F72385" w14:textId="77777777" w:rsidR="00000000" w:rsidRDefault="006549D2">
            <w:pPr>
              <w:rPr>
                <w:rFonts w:eastAsia="Times New Roman"/>
                <w:sz w:val="20"/>
                <w:szCs w:val="20"/>
              </w:rPr>
            </w:pPr>
            <w:r>
              <w:rPr>
                <w:rFonts w:eastAsia="Times New Roman"/>
                <w:sz w:val="20"/>
                <w:szCs w:val="20"/>
              </w:rPr>
              <w:t> </w:t>
            </w:r>
          </w:p>
        </w:tc>
        <w:tc>
          <w:tcPr>
            <w:tcW w:w="1700" w:type="pct"/>
            <w:hideMark/>
          </w:tcPr>
          <w:p w14:paraId="341A79FD" w14:textId="77777777" w:rsidR="00000000" w:rsidRDefault="006549D2">
            <w:pPr>
              <w:jc w:val="center"/>
              <w:rPr>
                <w:rFonts w:eastAsia="Times New Roman"/>
                <w:sz w:val="20"/>
                <w:szCs w:val="20"/>
              </w:rPr>
            </w:pPr>
            <w:r>
              <w:rPr>
                <w:rFonts w:eastAsia="Times New Roman"/>
                <w:sz w:val="20"/>
                <w:szCs w:val="20"/>
              </w:rPr>
              <w:t>1</w:t>
            </w:r>
            <w:r>
              <w:rPr>
                <w:rFonts w:eastAsia="Times New Roman"/>
                <w:sz w:val="20"/>
                <w:szCs w:val="20"/>
              </w:rPr>
              <w:t>2</w:t>
            </w:r>
          </w:p>
        </w:tc>
        <w:tc>
          <w:tcPr>
            <w:tcW w:w="1650" w:type="pct"/>
            <w:hideMark/>
          </w:tcPr>
          <w:p w14:paraId="76C69C20" w14:textId="77777777" w:rsidR="00000000" w:rsidRDefault="006549D2">
            <w:pPr>
              <w:jc w:val="right"/>
              <w:rPr>
                <w:rFonts w:eastAsia="Times New Roman"/>
                <w:sz w:val="20"/>
                <w:szCs w:val="20"/>
              </w:rPr>
            </w:pPr>
            <w:r>
              <w:rPr>
                <w:rFonts w:eastAsia="Times New Roman"/>
                <w:sz w:val="20"/>
                <w:szCs w:val="20"/>
              </w:rPr>
              <w:t> </w:t>
            </w:r>
          </w:p>
        </w:tc>
      </w:tr>
    </w:tbl>
    <w:p w14:paraId="586F5964" w14:textId="77777777" w:rsidR="00000000" w:rsidRDefault="006549D2">
      <w:pPr>
        <w:pStyle w:val="a3"/>
        <w:pageBreakBefore/>
        <w:spacing w:before="0" w:beforeAutospacing="0" w:after="0" w:afterAutospacing="0"/>
        <w:divId w:val="1824810498"/>
        <w:rPr>
          <w:sz w:val="20"/>
          <w:szCs w:val="20"/>
        </w:rPr>
      </w:pPr>
      <w:r>
        <w:rPr>
          <w:sz w:val="20"/>
          <w:szCs w:val="20"/>
        </w:rPr>
        <w:t> </w:t>
      </w:r>
    </w:p>
    <w:p w14:paraId="42C529E5" w14:textId="77777777" w:rsidR="00000000" w:rsidRDefault="006549D2">
      <w:pPr>
        <w:pStyle w:val="a3"/>
        <w:spacing w:before="0" w:beforeAutospacing="0" w:after="0" w:afterAutospacing="0"/>
        <w:ind w:firstLine="400"/>
        <w:jc w:val="both"/>
        <w:rPr>
          <w:sz w:val="20"/>
          <w:szCs w:val="20"/>
        </w:rPr>
      </w:pPr>
      <w:r>
        <w:rPr>
          <w:sz w:val="20"/>
          <w:szCs w:val="20"/>
        </w:rPr>
        <w:t> </w:t>
      </w:r>
    </w:p>
    <w:p w14:paraId="20E5047E" w14:textId="77777777" w:rsidR="00000000" w:rsidRDefault="006549D2">
      <w:pPr>
        <w:pStyle w:val="a3"/>
        <w:spacing w:before="0" w:beforeAutospacing="0" w:after="0" w:afterAutospacing="0"/>
        <w:jc w:val="center"/>
        <w:rPr>
          <w:sz w:val="20"/>
          <w:szCs w:val="20"/>
        </w:rPr>
      </w:pPr>
      <w:r>
        <w:rPr>
          <w:b/>
          <w:bCs/>
          <w:sz w:val="20"/>
          <w:szCs w:val="20"/>
        </w:rPr>
        <w:t>CHURCHILL CAPITAL CORP III</w:t>
      </w:r>
    </w:p>
    <w:p w14:paraId="0CEA287F" w14:textId="77777777" w:rsidR="00000000" w:rsidRDefault="006549D2">
      <w:pPr>
        <w:pStyle w:val="a3"/>
        <w:spacing w:before="0" w:beforeAutospacing="0" w:after="0" w:afterAutospacing="0"/>
        <w:jc w:val="center"/>
        <w:rPr>
          <w:sz w:val="20"/>
          <w:szCs w:val="20"/>
        </w:rPr>
      </w:pPr>
      <w:r>
        <w:rPr>
          <w:b/>
          <w:bCs/>
          <w:sz w:val="20"/>
          <w:szCs w:val="20"/>
        </w:rPr>
        <w:t>NOTES TO CONDENSED FINANCIAL STATEMENTS</w:t>
      </w:r>
    </w:p>
    <w:p w14:paraId="0E2057FF" w14:textId="77777777" w:rsidR="00000000" w:rsidRDefault="006549D2">
      <w:pPr>
        <w:pStyle w:val="a3"/>
        <w:spacing w:before="0" w:beforeAutospacing="0" w:after="0" w:afterAutospacing="0"/>
        <w:jc w:val="center"/>
        <w:rPr>
          <w:sz w:val="20"/>
          <w:szCs w:val="20"/>
        </w:rPr>
      </w:pPr>
      <w:r>
        <w:rPr>
          <w:b/>
          <w:bCs/>
          <w:sz w:val="20"/>
          <w:szCs w:val="20"/>
        </w:rPr>
        <w:t>JUNE 30, 2020</w:t>
      </w:r>
    </w:p>
    <w:p w14:paraId="09DC8C89" w14:textId="77777777" w:rsidR="00000000" w:rsidRDefault="006549D2">
      <w:pPr>
        <w:pStyle w:val="a3"/>
        <w:spacing w:before="0" w:beforeAutospacing="0" w:after="0" w:afterAutospacing="0"/>
        <w:jc w:val="center"/>
        <w:rPr>
          <w:sz w:val="20"/>
          <w:szCs w:val="20"/>
        </w:rPr>
      </w:pPr>
      <w:r>
        <w:rPr>
          <w:b/>
          <w:bCs/>
          <w:sz w:val="20"/>
          <w:szCs w:val="20"/>
        </w:rPr>
        <w:t>(Unaudited)</w:t>
      </w:r>
    </w:p>
    <w:p w14:paraId="6D080E67" w14:textId="77777777" w:rsidR="00000000" w:rsidRDefault="006549D2">
      <w:pPr>
        <w:pStyle w:val="a3"/>
        <w:spacing w:before="0" w:beforeAutospacing="0" w:after="0" w:afterAutospacing="0"/>
        <w:jc w:val="center"/>
        <w:rPr>
          <w:sz w:val="20"/>
          <w:szCs w:val="20"/>
        </w:rPr>
      </w:pPr>
      <w:r>
        <w:rPr>
          <w:sz w:val="20"/>
          <w:szCs w:val="20"/>
        </w:rPr>
        <w:t> </w:t>
      </w:r>
    </w:p>
    <w:p w14:paraId="691D6CD1" w14:textId="77777777" w:rsidR="00000000" w:rsidRDefault="006549D2">
      <w:pPr>
        <w:pStyle w:val="a3"/>
        <w:spacing w:before="0" w:beforeAutospacing="0" w:after="0" w:afterAutospacing="0"/>
        <w:ind w:firstLine="400"/>
        <w:jc w:val="both"/>
        <w:rPr>
          <w:sz w:val="20"/>
          <w:szCs w:val="20"/>
        </w:rPr>
      </w:pPr>
      <w:r>
        <w:rPr>
          <w:sz w:val="20"/>
          <w:szCs w:val="20"/>
        </w:rPr>
        <w:t xml:space="preserve">If the Company calls </w:t>
      </w:r>
      <w:r>
        <w:rPr>
          <w:sz w:val="20"/>
          <w:szCs w:val="20"/>
        </w:rPr>
        <w:t>the Public Warrants for redemption, management will have the option to require all holders that wish to exercise the Public Warrants to do so on a “cashless basis,” as described in the warrant agreement. The exercise price and number of shares of Class A c</w:t>
      </w:r>
      <w:r>
        <w:rPr>
          <w:sz w:val="20"/>
          <w:szCs w:val="20"/>
        </w:rPr>
        <w:t>ommon stock issuable upon exercise of the warrants may be adjusted in certain circumstances including in the event of a stock dividend, or recapitalization, reorganization, merger or consolidation. However, the warrants will not be adjusted for issuance of</w:t>
      </w:r>
      <w:r>
        <w:rPr>
          <w:sz w:val="20"/>
          <w:szCs w:val="20"/>
        </w:rPr>
        <w:t xml:space="preserve"> Class A common stock at a price below its exercise price. Additionally, in no event will the Company be required to net cash settle the warrants. If the Company is unable to complete a Business Combination within the Combination Window and the Company liq</w:t>
      </w:r>
      <w:r>
        <w:rPr>
          <w:sz w:val="20"/>
          <w:szCs w:val="20"/>
        </w:rPr>
        <w:t xml:space="preserve">uidates the funds held in the Trust Account, holders of warrants will not receive any of such funds with respect to their warrants, nor will they receive any distribution from the Company’s assets held outside of the Trust Account with the respect to such </w:t>
      </w:r>
      <w:r>
        <w:rPr>
          <w:sz w:val="20"/>
          <w:szCs w:val="20"/>
        </w:rPr>
        <w:t>warrants. Accordingly, the warrants may expire worthless.</w:t>
      </w:r>
    </w:p>
    <w:p w14:paraId="28E4813E" w14:textId="77777777" w:rsidR="00000000" w:rsidRDefault="006549D2">
      <w:pPr>
        <w:pStyle w:val="a3"/>
        <w:spacing w:before="0" w:beforeAutospacing="0" w:after="0" w:afterAutospacing="0"/>
        <w:ind w:firstLine="400"/>
        <w:jc w:val="both"/>
        <w:rPr>
          <w:sz w:val="20"/>
          <w:szCs w:val="20"/>
        </w:rPr>
      </w:pPr>
      <w:r>
        <w:rPr>
          <w:sz w:val="20"/>
          <w:szCs w:val="20"/>
        </w:rPr>
        <w:t> </w:t>
      </w:r>
    </w:p>
    <w:p w14:paraId="613EEFE7" w14:textId="77777777" w:rsidR="00000000" w:rsidRDefault="006549D2">
      <w:pPr>
        <w:pStyle w:val="a3"/>
        <w:spacing w:before="0" w:beforeAutospacing="0" w:after="0" w:afterAutospacing="0"/>
        <w:ind w:firstLine="400"/>
        <w:jc w:val="both"/>
        <w:rPr>
          <w:sz w:val="20"/>
          <w:szCs w:val="20"/>
        </w:rPr>
      </w:pPr>
      <w:r>
        <w:rPr>
          <w:sz w:val="20"/>
          <w:szCs w:val="20"/>
        </w:rPr>
        <w:t>The Private Placement Warrants are identical to the Public Warrants underlying the Units sold in the Initial Public Offering, except that the Private Placement Warrants and the Class A common stoc</w:t>
      </w:r>
      <w:r>
        <w:rPr>
          <w:sz w:val="20"/>
          <w:szCs w:val="20"/>
        </w:rPr>
        <w:t>k issuable upon the exercise of the Placement Warrants will not be transferable, assignable or salable until 30 days after the completion of a Business Combination, subject to certain limited exceptions. Additionally, the Private Placement Warrants will be</w:t>
      </w:r>
      <w:r>
        <w:rPr>
          <w:sz w:val="20"/>
          <w:szCs w:val="20"/>
        </w:rPr>
        <w:t xml:space="preserve"> exercisable on a cashless basis and be non-redeemable so long as they are held by the initial purchasers or their permitted transferees. If the Private Placement Warrants are held by someone other than the initial purchasers or their permitted transferees</w:t>
      </w:r>
      <w:r>
        <w:rPr>
          <w:sz w:val="20"/>
          <w:szCs w:val="20"/>
        </w:rPr>
        <w:t>, the Private Placement Warrants will be redeemable by the Company and exercisable by such holders on the same basis as the Public Warrants.</w:t>
      </w:r>
    </w:p>
    <w:p w14:paraId="46865C97" w14:textId="77777777" w:rsidR="00000000" w:rsidRDefault="006549D2">
      <w:pPr>
        <w:pStyle w:val="a3"/>
        <w:spacing w:before="0" w:beforeAutospacing="0" w:after="0" w:afterAutospacing="0"/>
        <w:jc w:val="both"/>
        <w:rPr>
          <w:sz w:val="20"/>
          <w:szCs w:val="20"/>
        </w:rPr>
      </w:pPr>
      <w:r>
        <w:rPr>
          <w:b/>
          <w:bCs/>
          <w:sz w:val="20"/>
          <w:szCs w:val="20"/>
        </w:rPr>
        <w:t> </w:t>
      </w:r>
    </w:p>
    <w:p w14:paraId="2B9AE75F" w14:textId="77777777" w:rsidR="00000000" w:rsidRDefault="006549D2">
      <w:pPr>
        <w:pStyle w:val="a3"/>
        <w:spacing w:before="0" w:beforeAutospacing="0" w:after="0" w:afterAutospacing="0"/>
        <w:jc w:val="both"/>
        <w:rPr>
          <w:sz w:val="20"/>
          <w:szCs w:val="20"/>
        </w:rPr>
      </w:pPr>
      <w:r>
        <w:rPr>
          <w:b/>
          <w:bCs/>
          <w:sz w:val="20"/>
          <w:szCs w:val="20"/>
        </w:rPr>
        <w:t>NOTE 8. FAIR VALUE MEASUREMENTS </w:t>
      </w:r>
    </w:p>
    <w:p w14:paraId="70AAEB2B" w14:textId="77777777" w:rsidR="00000000" w:rsidRDefault="006549D2">
      <w:pPr>
        <w:pStyle w:val="a3"/>
        <w:spacing w:before="0" w:beforeAutospacing="0" w:after="0" w:afterAutospacing="0"/>
        <w:ind w:left="1400" w:right="996"/>
        <w:jc w:val="both"/>
        <w:rPr>
          <w:sz w:val="20"/>
          <w:szCs w:val="20"/>
        </w:rPr>
      </w:pPr>
      <w:r>
        <w:rPr>
          <w:b/>
          <w:bCs/>
          <w:sz w:val="20"/>
          <w:szCs w:val="20"/>
        </w:rPr>
        <w:t> </w:t>
      </w:r>
    </w:p>
    <w:p w14:paraId="680CD1A5" w14:textId="77777777" w:rsidR="00000000" w:rsidRDefault="006549D2">
      <w:pPr>
        <w:pStyle w:val="a3"/>
        <w:spacing w:before="0" w:beforeAutospacing="0" w:after="0" w:afterAutospacing="0"/>
        <w:ind w:firstLine="360"/>
        <w:jc w:val="both"/>
        <w:rPr>
          <w:sz w:val="20"/>
          <w:szCs w:val="20"/>
        </w:rPr>
      </w:pPr>
      <w:r>
        <w:rPr>
          <w:sz w:val="20"/>
          <w:szCs w:val="20"/>
        </w:rPr>
        <w:t xml:space="preserve">The Company follows </w:t>
      </w:r>
      <w:r>
        <w:rPr>
          <w:sz w:val="20"/>
          <w:szCs w:val="20"/>
        </w:rPr>
        <w:t>the guidance in ASC 820 for its financial assets and liabilities that are re-measured and reported at fair value at each reporting period, and non-financial assets and liabilities that are re-measured and reported at fair value at least annually. </w:t>
      </w:r>
    </w:p>
    <w:p w14:paraId="4ED39F0D" w14:textId="77777777" w:rsidR="00000000" w:rsidRDefault="006549D2">
      <w:pPr>
        <w:pStyle w:val="a3"/>
        <w:spacing w:before="0" w:beforeAutospacing="0" w:after="0" w:afterAutospacing="0"/>
        <w:ind w:firstLine="360"/>
        <w:jc w:val="both"/>
        <w:rPr>
          <w:sz w:val="20"/>
          <w:szCs w:val="20"/>
        </w:rPr>
      </w:pPr>
      <w:r>
        <w:rPr>
          <w:sz w:val="20"/>
          <w:szCs w:val="20"/>
        </w:rPr>
        <w:t> </w:t>
      </w:r>
    </w:p>
    <w:p w14:paraId="27899615" w14:textId="77777777" w:rsidR="00000000" w:rsidRDefault="006549D2">
      <w:pPr>
        <w:pStyle w:val="a3"/>
        <w:spacing w:before="0" w:beforeAutospacing="0" w:after="0" w:afterAutospacing="0"/>
        <w:ind w:firstLine="360"/>
        <w:jc w:val="both"/>
        <w:rPr>
          <w:sz w:val="20"/>
          <w:szCs w:val="20"/>
        </w:rPr>
      </w:pPr>
      <w:r>
        <w:rPr>
          <w:sz w:val="20"/>
          <w:szCs w:val="20"/>
        </w:rPr>
        <w:t>The fa</w:t>
      </w:r>
      <w:r>
        <w:rPr>
          <w:sz w:val="20"/>
          <w:szCs w:val="20"/>
        </w:rPr>
        <w:t>ir value of the Company’s financial assets and liabilities reflects management’s estimate of amounts that the Company would have received in connection with the sale of the assets or paid in connection with the transfer of the liabilities in an orderly tra</w:t>
      </w:r>
      <w:r>
        <w:rPr>
          <w:sz w:val="20"/>
          <w:szCs w:val="20"/>
        </w:rPr>
        <w:t>nsaction between market participants at the measurement date. In connection with measuring the fair value of its assets and liabilities, the Company seeks to maximize the use of observable inputs (market data obtained from independent sources) and to minim</w:t>
      </w:r>
      <w:r>
        <w:rPr>
          <w:sz w:val="20"/>
          <w:szCs w:val="20"/>
        </w:rPr>
        <w:t>ize the use of unobservable inputs (internal assumptions about how market participants would price assets and liabilities). The following fair value hierarchy is used to classify assets and liabilities based on the observable inputs and unobservable inputs</w:t>
      </w:r>
      <w:r>
        <w:rPr>
          <w:sz w:val="20"/>
          <w:szCs w:val="20"/>
        </w:rPr>
        <w:t xml:space="preserve"> used in order to value the assets and liabilities:</w:t>
      </w:r>
    </w:p>
    <w:p w14:paraId="644F6DBB" w14:textId="77777777" w:rsidR="00000000" w:rsidRDefault="006549D2">
      <w:pPr>
        <w:pStyle w:val="a3"/>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3"/>
        <w:gridCol w:w="677"/>
        <w:gridCol w:w="7386"/>
      </w:tblGrid>
      <w:tr w:rsidR="00000000" w14:paraId="3BC45A2E" w14:textId="77777777">
        <w:tc>
          <w:tcPr>
            <w:tcW w:w="150" w:type="pct"/>
            <w:tcMar>
              <w:top w:w="0" w:type="dxa"/>
              <w:left w:w="0" w:type="dxa"/>
              <w:bottom w:w="0" w:type="dxa"/>
              <w:right w:w="16" w:type="dxa"/>
            </w:tcMar>
            <w:hideMark/>
          </w:tcPr>
          <w:p w14:paraId="5631916C" w14:textId="77777777" w:rsidR="00000000" w:rsidRDefault="006549D2">
            <w:pPr>
              <w:jc w:val="both"/>
              <w:rPr>
                <w:rFonts w:eastAsia="Times New Roman"/>
                <w:sz w:val="20"/>
                <w:szCs w:val="20"/>
              </w:rPr>
            </w:pPr>
            <w:r>
              <w:rPr>
                <w:rFonts w:eastAsia="Times New Roman"/>
                <w:sz w:val="20"/>
                <w:szCs w:val="20"/>
              </w:rPr>
              <w:t> </w:t>
            </w:r>
          </w:p>
        </w:tc>
        <w:tc>
          <w:tcPr>
            <w:tcW w:w="400" w:type="pct"/>
            <w:tcMar>
              <w:top w:w="0" w:type="dxa"/>
              <w:left w:w="0" w:type="dxa"/>
              <w:bottom w:w="0" w:type="dxa"/>
              <w:right w:w="16" w:type="dxa"/>
            </w:tcMar>
            <w:hideMark/>
          </w:tcPr>
          <w:p w14:paraId="46A4CB0E" w14:textId="77777777" w:rsidR="00000000" w:rsidRDefault="006549D2">
            <w:pPr>
              <w:jc w:val="both"/>
              <w:rPr>
                <w:rFonts w:eastAsia="Times New Roman"/>
                <w:sz w:val="20"/>
                <w:szCs w:val="20"/>
              </w:rPr>
            </w:pPr>
            <w:r>
              <w:rPr>
                <w:rFonts w:eastAsia="Times New Roman"/>
                <w:sz w:val="20"/>
                <w:szCs w:val="20"/>
              </w:rPr>
              <w:t>Level 1:</w:t>
            </w:r>
          </w:p>
        </w:tc>
        <w:tc>
          <w:tcPr>
            <w:tcW w:w="4450" w:type="pct"/>
            <w:tcMar>
              <w:top w:w="0" w:type="dxa"/>
              <w:left w:w="0" w:type="dxa"/>
              <w:bottom w:w="0" w:type="dxa"/>
              <w:right w:w="16" w:type="dxa"/>
            </w:tcMar>
            <w:hideMark/>
          </w:tcPr>
          <w:p w14:paraId="3B0EA45D" w14:textId="77777777" w:rsidR="00000000" w:rsidRDefault="006549D2">
            <w:pPr>
              <w:jc w:val="both"/>
              <w:rPr>
                <w:rFonts w:eastAsia="Times New Roman"/>
                <w:sz w:val="20"/>
                <w:szCs w:val="20"/>
              </w:rPr>
            </w:pPr>
            <w:r>
              <w:rPr>
                <w:rFonts w:eastAsia="Times New Roman"/>
                <w:sz w:val="20"/>
                <w:szCs w:val="20"/>
              </w:rPr>
              <w:t>Quoted prices in active markets for identical assets or liabilities. An active market for an asset or liability is a market in which transactions for the asset or liability occur with suffici</w:t>
            </w:r>
            <w:r>
              <w:rPr>
                <w:rFonts w:eastAsia="Times New Roman"/>
                <w:sz w:val="20"/>
                <w:szCs w:val="20"/>
              </w:rPr>
              <w:t>ent frequency and volume to provide pricing information on an ongoing basis.</w:t>
            </w:r>
          </w:p>
        </w:tc>
      </w:tr>
      <w:tr w:rsidR="00000000" w14:paraId="406C4B38" w14:textId="77777777">
        <w:tc>
          <w:tcPr>
            <w:tcW w:w="0" w:type="auto"/>
            <w:tcMar>
              <w:top w:w="0" w:type="dxa"/>
              <w:left w:w="0" w:type="dxa"/>
              <w:bottom w:w="0" w:type="dxa"/>
              <w:right w:w="16" w:type="dxa"/>
            </w:tcMar>
            <w:hideMark/>
          </w:tcPr>
          <w:p w14:paraId="76C45ABE" w14:textId="77777777" w:rsidR="00000000" w:rsidRDefault="006549D2">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14:paraId="65DA2887" w14:textId="77777777" w:rsidR="00000000" w:rsidRDefault="006549D2">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14:paraId="7D51A678" w14:textId="77777777" w:rsidR="00000000" w:rsidRDefault="006549D2">
            <w:pPr>
              <w:jc w:val="both"/>
              <w:rPr>
                <w:rFonts w:eastAsia="Times New Roman"/>
                <w:sz w:val="20"/>
                <w:szCs w:val="20"/>
              </w:rPr>
            </w:pPr>
            <w:r>
              <w:rPr>
                <w:rFonts w:eastAsia="Times New Roman"/>
                <w:sz w:val="20"/>
                <w:szCs w:val="20"/>
              </w:rPr>
              <w:t> </w:t>
            </w:r>
          </w:p>
        </w:tc>
      </w:tr>
      <w:tr w:rsidR="00000000" w14:paraId="0E763EAA" w14:textId="77777777">
        <w:tc>
          <w:tcPr>
            <w:tcW w:w="0" w:type="auto"/>
            <w:tcMar>
              <w:top w:w="0" w:type="dxa"/>
              <w:left w:w="0" w:type="dxa"/>
              <w:bottom w:w="0" w:type="dxa"/>
              <w:right w:w="16" w:type="dxa"/>
            </w:tcMar>
            <w:hideMark/>
          </w:tcPr>
          <w:p w14:paraId="158E867A" w14:textId="77777777" w:rsidR="00000000" w:rsidRDefault="006549D2">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14:paraId="17C9B5B6" w14:textId="77777777" w:rsidR="00000000" w:rsidRDefault="006549D2">
            <w:pPr>
              <w:jc w:val="both"/>
              <w:rPr>
                <w:rFonts w:eastAsia="Times New Roman"/>
                <w:sz w:val="20"/>
                <w:szCs w:val="20"/>
              </w:rPr>
            </w:pPr>
            <w:r>
              <w:rPr>
                <w:rFonts w:eastAsia="Times New Roman"/>
                <w:sz w:val="20"/>
                <w:szCs w:val="20"/>
              </w:rPr>
              <w:t>Level 2:</w:t>
            </w:r>
          </w:p>
        </w:tc>
        <w:tc>
          <w:tcPr>
            <w:tcW w:w="0" w:type="auto"/>
            <w:tcMar>
              <w:top w:w="0" w:type="dxa"/>
              <w:left w:w="0" w:type="dxa"/>
              <w:bottom w:w="0" w:type="dxa"/>
              <w:right w:w="16" w:type="dxa"/>
            </w:tcMar>
            <w:hideMark/>
          </w:tcPr>
          <w:p w14:paraId="304CD438" w14:textId="77777777" w:rsidR="00000000" w:rsidRDefault="006549D2">
            <w:pPr>
              <w:jc w:val="both"/>
              <w:rPr>
                <w:rFonts w:eastAsia="Times New Roman"/>
                <w:sz w:val="20"/>
                <w:szCs w:val="20"/>
              </w:rPr>
            </w:pPr>
            <w:r>
              <w:rPr>
                <w:rFonts w:eastAsia="Times New Roman"/>
                <w:sz w:val="20"/>
                <w:szCs w:val="20"/>
              </w:rPr>
              <w:t>Observable inputs other than Level 1 inputs. Examples of Level 2 inputs include quoted prices in active markets for similar assets or liabilities and quoted prices for identical assets or liabilities in markets that are not active.</w:t>
            </w:r>
          </w:p>
        </w:tc>
      </w:tr>
      <w:tr w:rsidR="00000000" w14:paraId="1159B5BB" w14:textId="77777777">
        <w:tc>
          <w:tcPr>
            <w:tcW w:w="0" w:type="auto"/>
            <w:tcMar>
              <w:top w:w="0" w:type="dxa"/>
              <w:left w:w="0" w:type="dxa"/>
              <w:bottom w:w="0" w:type="dxa"/>
              <w:right w:w="16" w:type="dxa"/>
            </w:tcMar>
            <w:hideMark/>
          </w:tcPr>
          <w:p w14:paraId="694EBCD2" w14:textId="77777777" w:rsidR="00000000" w:rsidRDefault="006549D2">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14:paraId="0CAEC5EB" w14:textId="77777777" w:rsidR="00000000" w:rsidRDefault="006549D2">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14:paraId="27EB84FD" w14:textId="77777777" w:rsidR="00000000" w:rsidRDefault="006549D2">
            <w:pPr>
              <w:jc w:val="both"/>
              <w:rPr>
                <w:rFonts w:eastAsia="Times New Roman"/>
                <w:sz w:val="20"/>
                <w:szCs w:val="20"/>
              </w:rPr>
            </w:pPr>
            <w:r>
              <w:rPr>
                <w:rFonts w:eastAsia="Times New Roman"/>
                <w:sz w:val="20"/>
                <w:szCs w:val="20"/>
              </w:rPr>
              <w:t> </w:t>
            </w:r>
          </w:p>
        </w:tc>
      </w:tr>
      <w:tr w:rsidR="00000000" w14:paraId="088ADB7D" w14:textId="77777777">
        <w:tc>
          <w:tcPr>
            <w:tcW w:w="0" w:type="auto"/>
            <w:tcMar>
              <w:top w:w="0" w:type="dxa"/>
              <w:left w:w="0" w:type="dxa"/>
              <w:bottom w:w="0" w:type="dxa"/>
              <w:right w:w="16" w:type="dxa"/>
            </w:tcMar>
            <w:hideMark/>
          </w:tcPr>
          <w:p w14:paraId="399D75EA" w14:textId="77777777" w:rsidR="00000000" w:rsidRDefault="006549D2">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14:paraId="68C16793" w14:textId="77777777" w:rsidR="00000000" w:rsidRDefault="006549D2">
            <w:pPr>
              <w:jc w:val="both"/>
              <w:rPr>
                <w:rFonts w:eastAsia="Times New Roman"/>
                <w:sz w:val="20"/>
                <w:szCs w:val="20"/>
              </w:rPr>
            </w:pPr>
            <w:r>
              <w:rPr>
                <w:rFonts w:eastAsia="Times New Roman"/>
                <w:sz w:val="20"/>
                <w:szCs w:val="20"/>
              </w:rPr>
              <w:t>Level 3:</w:t>
            </w:r>
          </w:p>
        </w:tc>
        <w:tc>
          <w:tcPr>
            <w:tcW w:w="0" w:type="auto"/>
            <w:tcMar>
              <w:top w:w="0" w:type="dxa"/>
              <w:left w:w="0" w:type="dxa"/>
              <w:bottom w:w="0" w:type="dxa"/>
              <w:right w:w="16" w:type="dxa"/>
            </w:tcMar>
            <w:hideMark/>
          </w:tcPr>
          <w:p w14:paraId="5EAF5CE0" w14:textId="77777777" w:rsidR="00000000" w:rsidRDefault="006549D2">
            <w:pPr>
              <w:jc w:val="both"/>
              <w:rPr>
                <w:rFonts w:eastAsia="Times New Roman"/>
                <w:sz w:val="20"/>
                <w:szCs w:val="20"/>
              </w:rPr>
            </w:pPr>
            <w:r>
              <w:rPr>
                <w:rFonts w:eastAsia="Times New Roman"/>
                <w:sz w:val="20"/>
                <w:szCs w:val="20"/>
              </w:rPr>
              <w:t>Unobs</w:t>
            </w:r>
            <w:r>
              <w:rPr>
                <w:rFonts w:eastAsia="Times New Roman"/>
                <w:sz w:val="20"/>
                <w:szCs w:val="20"/>
              </w:rPr>
              <w:t>ervable inputs based on our assessment of the assumptions that market participants would use in pricing the asset or liability.</w:t>
            </w:r>
          </w:p>
        </w:tc>
      </w:tr>
    </w:tbl>
    <w:p w14:paraId="52130348" w14:textId="77777777" w:rsidR="00000000" w:rsidRDefault="006549D2">
      <w:pPr>
        <w:pStyle w:val="a3"/>
        <w:spacing w:before="0" w:beforeAutospacing="0" w:after="0" w:afterAutospacing="0"/>
        <w:ind w:firstLine="360"/>
        <w:jc w:val="both"/>
        <w:rPr>
          <w:sz w:val="20"/>
          <w:szCs w:val="20"/>
        </w:rPr>
      </w:pPr>
      <w:r>
        <w:rPr>
          <w:sz w:val="20"/>
          <w:szCs w:val="20"/>
        </w:rPr>
        <w:t> </w:t>
      </w:r>
    </w:p>
    <w:p w14:paraId="3E71B5D3" w14:textId="77777777" w:rsidR="00000000" w:rsidRDefault="006549D2">
      <w:pPr>
        <w:pStyle w:val="a3"/>
        <w:spacing w:before="0" w:beforeAutospacing="0" w:after="0" w:afterAutospacing="0"/>
        <w:ind w:firstLine="360"/>
        <w:jc w:val="both"/>
        <w:rPr>
          <w:sz w:val="20"/>
          <w:szCs w:val="20"/>
        </w:rPr>
      </w:pPr>
      <w:r>
        <w:rPr>
          <w:sz w:val="20"/>
          <w:szCs w:val="20"/>
        </w:rPr>
        <w:t>The following table presents information about the Company’s assets that are measured at fair value on a recurring basis at J</w:t>
      </w:r>
      <w:r>
        <w:rPr>
          <w:sz w:val="20"/>
          <w:szCs w:val="20"/>
        </w:rPr>
        <w:t>une 30, 2020, and indicates the fair value hierarchy of the valuation inputs the Company utilized to determine such fair value:</w:t>
      </w:r>
    </w:p>
    <w:p w14:paraId="2B59433C" w14:textId="77777777" w:rsidR="00000000" w:rsidRDefault="006549D2">
      <w:pPr>
        <w:pStyle w:val="a3"/>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075"/>
        <w:gridCol w:w="50"/>
        <w:gridCol w:w="51"/>
        <w:gridCol w:w="730"/>
        <w:gridCol w:w="50"/>
        <w:gridCol w:w="50"/>
        <w:gridCol w:w="100"/>
        <w:gridCol w:w="1150"/>
        <w:gridCol w:w="50"/>
      </w:tblGrid>
      <w:tr w:rsidR="00000000" w14:paraId="2D5A0D14" w14:textId="77777777">
        <w:tc>
          <w:tcPr>
            <w:tcW w:w="0" w:type="auto"/>
            <w:tcBorders>
              <w:bottom w:val="single" w:sz="8" w:space="0" w:color="000000"/>
            </w:tcBorders>
            <w:vAlign w:val="bottom"/>
            <w:hideMark/>
          </w:tcPr>
          <w:p w14:paraId="1A7517A3" w14:textId="77777777" w:rsidR="00000000" w:rsidRDefault="006549D2">
            <w:pPr>
              <w:jc w:val="both"/>
              <w:rPr>
                <w:rFonts w:eastAsia="Times New Roman"/>
                <w:b/>
                <w:bCs/>
                <w:sz w:val="20"/>
                <w:szCs w:val="20"/>
              </w:rPr>
            </w:pPr>
            <w:r>
              <w:rPr>
                <w:rFonts w:eastAsia="Times New Roman"/>
                <w:b/>
                <w:bCs/>
                <w:sz w:val="20"/>
                <w:szCs w:val="20"/>
              </w:rPr>
              <w:t>Description</w:t>
            </w:r>
          </w:p>
        </w:tc>
        <w:tc>
          <w:tcPr>
            <w:tcW w:w="0" w:type="auto"/>
            <w:tcMar>
              <w:top w:w="0" w:type="dxa"/>
              <w:left w:w="0" w:type="dxa"/>
              <w:bottom w:w="20" w:type="dxa"/>
              <w:right w:w="0" w:type="dxa"/>
            </w:tcMar>
            <w:vAlign w:val="bottom"/>
            <w:hideMark/>
          </w:tcPr>
          <w:p w14:paraId="19187C98" w14:textId="77777777" w:rsidR="00000000" w:rsidRDefault="006549D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14:paraId="5B70856B" w14:textId="77777777" w:rsidR="00000000" w:rsidRDefault="006549D2">
            <w:pPr>
              <w:jc w:val="center"/>
              <w:rPr>
                <w:rFonts w:eastAsia="Times New Roman"/>
                <w:b/>
                <w:bCs/>
                <w:sz w:val="20"/>
                <w:szCs w:val="20"/>
              </w:rPr>
            </w:pPr>
            <w:r>
              <w:rPr>
                <w:rFonts w:eastAsia="Times New Roman"/>
                <w:b/>
                <w:bCs/>
                <w:sz w:val="20"/>
                <w:szCs w:val="20"/>
              </w:rPr>
              <w:t>Level</w:t>
            </w:r>
          </w:p>
        </w:tc>
        <w:tc>
          <w:tcPr>
            <w:tcW w:w="0" w:type="auto"/>
            <w:tcMar>
              <w:top w:w="0" w:type="dxa"/>
              <w:left w:w="0" w:type="dxa"/>
              <w:bottom w:w="20" w:type="dxa"/>
              <w:right w:w="0" w:type="dxa"/>
            </w:tcMar>
            <w:vAlign w:val="bottom"/>
            <w:hideMark/>
          </w:tcPr>
          <w:p w14:paraId="06BB4E8A" w14:textId="77777777" w:rsidR="00000000" w:rsidRDefault="006549D2">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14:paraId="5AC0B07D" w14:textId="77777777" w:rsidR="00000000" w:rsidRDefault="006549D2">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14:paraId="2D3F99A2" w14:textId="77777777" w:rsidR="00000000" w:rsidRDefault="006549D2">
            <w:pPr>
              <w:pStyle w:val="a3"/>
              <w:spacing w:before="0" w:beforeAutospacing="0" w:after="0" w:afterAutospacing="0"/>
              <w:ind w:right="52"/>
              <w:jc w:val="center"/>
              <w:rPr>
                <w:sz w:val="20"/>
                <w:szCs w:val="20"/>
              </w:rPr>
            </w:pPr>
            <w:r>
              <w:rPr>
                <w:b/>
                <w:bCs/>
                <w:sz w:val="20"/>
                <w:szCs w:val="20"/>
              </w:rPr>
              <w:t>June 30,</w:t>
            </w:r>
          </w:p>
          <w:p w14:paraId="7BF596BE" w14:textId="77777777" w:rsidR="00000000" w:rsidRDefault="006549D2">
            <w:pPr>
              <w:pStyle w:val="a3"/>
              <w:spacing w:before="0" w:beforeAutospacing="0" w:after="0" w:afterAutospacing="0"/>
              <w:ind w:right="52"/>
              <w:jc w:val="center"/>
              <w:rPr>
                <w:sz w:val="20"/>
                <w:szCs w:val="20"/>
              </w:rPr>
            </w:pPr>
            <w:r>
              <w:rPr>
                <w:b/>
                <w:bCs/>
                <w:sz w:val="20"/>
                <w:szCs w:val="20"/>
              </w:rPr>
              <w:t>2020</w:t>
            </w:r>
          </w:p>
        </w:tc>
        <w:tc>
          <w:tcPr>
            <w:tcW w:w="0" w:type="auto"/>
            <w:tcMar>
              <w:top w:w="0" w:type="dxa"/>
              <w:left w:w="0" w:type="dxa"/>
              <w:bottom w:w="20" w:type="dxa"/>
              <w:right w:w="0" w:type="dxa"/>
            </w:tcMar>
            <w:vAlign w:val="bottom"/>
            <w:hideMark/>
          </w:tcPr>
          <w:p w14:paraId="17A4EE63" w14:textId="77777777" w:rsidR="00000000" w:rsidRDefault="006549D2">
            <w:pPr>
              <w:rPr>
                <w:rFonts w:eastAsia="Times New Roman"/>
                <w:sz w:val="20"/>
                <w:szCs w:val="20"/>
              </w:rPr>
            </w:pPr>
            <w:r>
              <w:rPr>
                <w:rFonts w:eastAsia="Times New Roman"/>
                <w:sz w:val="20"/>
                <w:szCs w:val="20"/>
              </w:rPr>
              <w:t> </w:t>
            </w:r>
          </w:p>
        </w:tc>
      </w:tr>
      <w:tr w:rsidR="00000000" w14:paraId="6DF4B143" w14:textId="77777777">
        <w:tc>
          <w:tcPr>
            <w:tcW w:w="0" w:type="auto"/>
            <w:shd w:val="clear" w:color="auto" w:fill="CCEEFF"/>
            <w:vAlign w:val="bottom"/>
            <w:hideMark/>
          </w:tcPr>
          <w:p w14:paraId="72B48C2F" w14:textId="77777777" w:rsidR="00000000" w:rsidRDefault="006549D2">
            <w:pPr>
              <w:jc w:val="both"/>
              <w:rPr>
                <w:rFonts w:eastAsia="Times New Roman"/>
                <w:sz w:val="20"/>
                <w:szCs w:val="20"/>
              </w:rPr>
            </w:pPr>
            <w:r>
              <w:rPr>
                <w:rFonts w:eastAsia="Times New Roman"/>
                <w:sz w:val="20"/>
                <w:szCs w:val="20"/>
              </w:rPr>
              <w:t>Assets:</w:t>
            </w:r>
          </w:p>
        </w:tc>
        <w:tc>
          <w:tcPr>
            <w:tcW w:w="0" w:type="auto"/>
            <w:shd w:val="clear" w:color="auto" w:fill="CCEEFF"/>
            <w:vAlign w:val="bottom"/>
            <w:hideMark/>
          </w:tcPr>
          <w:p w14:paraId="1372D1B3"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E385C9"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904DFB"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80C677C"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EAB697"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6BC80D" w14:textId="77777777" w:rsidR="00000000" w:rsidRDefault="006549D2">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E664AC" w14:textId="77777777" w:rsidR="00000000" w:rsidRDefault="006549D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3B12566" w14:textId="77777777" w:rsidR="00000000" w:rsidRDefault="006549D2">
            <w:pPr>
              <w:rPr>
                <w:rFonts w:eastAsia="Times New Roman"/>
                <w:sz w:val="20"/>
                <w:szCs w:val="20"/>
              </w:rPr>
            </w:pPr>
            <w:r>
              <w:rPr>
                <w:rFonts w:eastAsia="Times New Roman"/>
                <w:sz w:val="20"/>
                <w:szCs w:val="20"/>
              </w:rPr>
              <w:t> </w:t>
            </w:r>
          </w:p>
        </w:tc>
      </w:tr>
      <w:tr w:rsidR="00000000" w14:paraId="64274F71" w14:textId="77777777">
        <w:tc>
          <w:tcPr>
            <w:tcW w:w="3700" w:type="pct"/>
            <w:shd w:val="clear" w:color="auto" w:fill="FFFFFF"/>
            <w:vAlign w:val="bottom"/>
            <w:hideMark/>
          </w:tcPr>
          <w:p w14:paraId="5F41573E" w14:textId="77777777" w:rsidR="00000000" w:rsidRDefault="006549D2">
            <w:pPr>
              <w:jc w:val="both"/>
              <w:rPr>
                <w:rFonts w:eastAsia="Times New Roman"/>
                <w:sz w:val="20"/>
                <w:szCs w:val="20"/>
              </w:rPr>
            </w:pPr>
            <w:r>
              <w:rPr>
                <w:rFonts w:eastAsia="Times New Roman"/>
                <w:sz w:val="20"/>
                <w:szCs w:val="20"/>
              </w:rPr>
              <w:t>Marketable securities held in Trust Account</w:t>
            </w:r>
          </w:p>
        </w:tc>
        <w:tc>
          <w:tcPr>
            <w:tcW w:w="50" w:type="pct"/>
            <w:shd w:val="clear" w:color="auto" w:fill="FFFFFF"/>
            <w:vAlign w:val="bottom"/>
            <w:hideMark/>
          </w:tcPr>
          <w:p w14:paraId="68BCC1C2" w14:textId="77777777" w:rsidR="00000000" w:rsidRDefault="006549D2">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622052" w14:textId="77777777" w:rsidR="00000000" w:rsidRDefault="006549D2">
            <w:pPr>
              <w:rPr>
                <w:rFonts w:eastAsia="Times New Roman"/>
                <w:sz w:val="20"/>
                <w:szCs w:val="20"/>
              </w:rPr>
            </w:pPr>
            <w:r>
              <w:rPr>
                <w:rFonts w:eastAsia="Times New Roman"/>
                <w:sz w:val="20"/>
                <w:szCs w:val="20"/>
              </w:rPr>
              <w:t> </w:t>
            </w:r>
          </w:p>
        </w:tc>
        <w:tc>
          <w:tcPr>
            <w:tcW w:w="500" w:type="pct"/>
            <w:shd w:val="clear" w:color="auto" w:fill="FFFFFF"/>
            <w:vAlign w:val="bottom"/>
            <w:hideMark/>
          </w:tcPr>
          <w:p w14:paraId="4B7EB265" w14:textId="77777777" w:rsidR="00000000" w:rsidRDefault="006549D2">
            <w:pPr>
              <w:jc w:val="center"/>
              <w:rPr>
                <w:rFonts w:eastAsia="Times New Roman"/>
                <w:sz w:val="20"/>
                <w:szCs w:val="20"/>
              </w:rPr>
            </w:pPr>
            <w:r>
              <w:rPr>
                <w:rFonts w:eastAsia="Times New Roman"/>
                <w:sz w:val="20"/>
                <w:szCs w:val="20"/>
              </w:rPr>
              <w:t>1</w:t>
            </w:r>
          </w:p>
        </w:tc>
        <w:tc>
          <w:tcPr>
            <w:tcW w:w="50" w:type="pct"/>
            <w:shd w:val="clear" w:color="auto" w:fill="FFFFFF"/>
            <w:vAlign w:val="bottom"/>
            <w:hideMark/>
          </w:tcPr>
          <w:p w14:paraId="568EA6E7" w14:textId="77777777" w:rsidR="00000000" w:rsidRDefault="006549D2">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A5E06F" w14:textId="77777777" w:rsidR="00000000" w:rsidRDefault="006549D2">
            <w:pPr>
              <w:rPr>
                <w:rFonts w:eastAsia="Times New Roman"/>
                <w:sz w:val="20"/>
                <w:szCs w:val="20"/>
              </w:rPr>
            </w:pPr>
            <w:r>
              <w:rPr>
                <w:rFonts w:eastAsia="Times New Roman"/>
                <w:sz w:val="20"/>
                <w:szCs w:val="20"/>
              </w:rPr>
              <w:t> </w:t>
            </w:r>
          </w:p>
        </w:tc>
        <w:tc>
          <w:tcPr>
            <w:tcW w:w="50" w:type="pct"/>
            <w:shd w:val="clear" w:color="auto" w:fill="FFFFFF"/>
            <w:vAlign w:val="bottom"/>
            <w:hideMark/>
          </w:tcPr>
          <w:p w14:paraId="2B9FC71C" w14:textId="77777777" w:rsidR="00000000" w:rsidRDefault="006549D2">
            <w:pPr>
              <w:rPr>
                <w:rFonts w:eastAsia="Times New Roman"/>
                <w:sz w:val="20"/>
                <w:szCs w:val="20"/>
              </w:rPr>
            </w:pPr>
            <w:r>
              <w:rPr>
                <w:rFonts w:eastAsia="Times New Roman"/>
                <w:sz w:val="20"/>
                <w:szCs w:val="20"/>
              </w:rPr>
              <w:t>$</w:t>
            </w:r>
          </w:p>
        </w:tc>
        <w:tc>
          <w:tcPr>
            <w:tcW w:w="500" w:type="pct"/>
            <w:shd w:val="clear" w:color="auto" w:fill="FFFFFF"/>
            <w:vAlign w:val="bottom"/>
            <w:hideMark/>
          </w:tcPr>
          <w:p w14:paraId="2BA64D46" w14:textId="77777777" w:rsidR="00000000" w:rsidRDefault="006549D2">
            <w:pPr>
              <w:jc w:val="right"/>
              <w:rPr>
                <w:rFonts w:eastAsia="Times New Roman"/>
                <w:sz w:val="20"/>
                <w:szCs w:val="20"/>
              </w:rPr>
            </w:pPr>
            <w:r>
              <w:rPr>
                <w:rFonts w:eastAsia="Times New Roman"/>
                <w:sz w:val="20"/>
                <w:szCs w:val="20"/>
              </w:rPr>
              <w:t>1,104,209,313</w:t>
            </w:r>
          </w:p>
        </w:tc>
        <w:tc>
          <w:tcPr>
            <w:tcW w:w="50" w:type="pct"/>
            <w:shd w:val="clear" w:color="auto" w:fill="FFFFFF"/>
            <w:vAlign w:val="bottom"/>
            <w:hideMark/>
          </w:tcPr>
          <w:p w14:paraId="25EF3093" w14:textId="77777777" w:rsidR="00000000" w:rsidRDefault="006549D2">
            <w:pPr>
              <w:rPr>
                <w:rFonts w:eastAsia="Times New Roman"/>
                <w:sz w:val="20"/>
                <w:szCs w:val="20"/>
              </w:rPr>
            </w:pPr>
            <w:r>
              <w:rPr>
                <w:rFonts w:eastAsia="Times New Roman"/>
                <w:sz w:val="20"/>
                <w:szCs w:val="20"/>
              </w:rPr>
              <w:t> </w:t>
            </w:r>
          </w:p>
        </w:tc>
      </w:tr>
    </w:tbl>
    <w:p w14:paraId="531F8C4C" w14:textId="77777777" w:rsidR="00000000" w:rsidRDefault="006549D2">
      <w:pPr>
        <w:pStyle w:val="a3"/>
        <w:spacing w:before="0" w:beforeAutospacing="0" w:after="0" w:afterAutospacing="0"/>
        <w:ind w:left="1400" w:right="996"/>
        <w:jc w:val="both"/>
        <w:rPr>
          <w:sz w:val="20"/>
          <w:szCs w:val="20"/>
        </w:rPr>
      </w:pPr>
      <w:r>
        <w:rPr>
          <w:b/>
          <w:bCs/>
          <w:sz w:val="20"/>
          <w:szCs w:val="20"/>
        </w:rPr>
        <w:t> </w:t>
      </w:r>
    </w:p>
    <w:p w14:paraId="7C562F2D" w14:textId="77777777" w:rsidR="00000000" w:rsidRDefault="006549D2">
      <w:pPr>
        <w:pStyle w:val="a3"/>
        <w:spacing w:before="0" w:beforeAutospacing="0" w:after="0" w:afterAutospacing="0"/>
        <w:ind w:right="996"/>
        <w:jc w:val="both"/>
        <w:rPr>
          <w:sz w:val="20"/>
          <w:szCs w:val="20"/>
        </w:rPr>
      </w:pPr>
      <w:r>
        <w:rPr>
          <w:b/>
          <w:bCs/>
          <w:sz w:val="20"/>
          <w:szCs w:val="20"/>
        </w:rPr>
        <w:t>NOTE 9. SUBSEQUENT EVENTS</w:t>
      </w:r>
      <w:r>
        <w:rPr>
          <w:sz w:val="20"/>
          <w:szCs w:val="20"/>
        </w:rPr>
        <w:t> </w:t>
      </w:r>
    </w:p>
    <w:p w14:paraId="115CBCF3" w14:textId="77777777" w:rsidR="00000000" w:rsidRDefault="006549D2">
      <w:pPr>
        <w:pStyle w:val="a3"/>
        <w:spacing w:before="0" w:beforeAutospacing="0" w:after="0" w:afterAutospacing="0"/>
        <w:ind w:firstLine="360"/>
        <w:jc w:val="both"/>
        <w:rPr>
          <w:sz w:val="20"/>
          <w:szCs w:val="20"/>
        </w:rPr>
      </w:pPr>
      <w:r>
        <w:rPr>
          <w:sz w:val="20"/>
          <w:szCs w:val="20"/>
        </w:rPr>
        <w:t> </w:t>
      </w:r>
    </w:p>
    <w:p w14:paraId="2DC96376" w14:textId="77777777" w:rsidR="00000000" w:rsidRDefault="006549D2">
      <w:pPr>
        <w:pStyle w:val="a3"/>
        <w:spacing w:before="0" w:beforeAutospacing="0" w:after="0" w:afterAutospacing="0"/>
        <w:ind w:firstLine="360"/>
        <w:jc w:val="both"/>
        <w:rPr>
          <w:sz w:val="20"/>
          <w:szCs w:val="20"/>
        </w:rPr>
      </w:pPr>
      <w:r>
        <w:rPr>
          <w:sz w:val="20"/>
          <w:szCs w:val="20"/>
        </w:rPr>
        <w:t xml:space="preserve">The Company evaluated </w:t>
      </w:r>
      <w:r>
        <w:rPr>
          <w:sz w:val="20"/>
          <w:szCs w:val="20"/>
        </w:rPr>
        <w:t>subsequent events and transactions that occurred after the balance sheet date up to the date that the condensed financial statements were issued. Other than as described in these financial statements, the Company did not identify any subsequent events that</w:t>
      </w:r>
      <w:r>
        <w:rPr>
          <w:sz w:val="20"/>
          <w:szCs w:val="20"/>
        </w:rPr>
        <w:t xml:space="preserve"> would have required adjustment or disclosure in the condensed financial statements.</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F29A146" w14:textId="77777777">
        <w:trPr>
          <w:divId w:val="1817062417"/>
        </w:trPr>
        <w:tc>
          <w:tcPr>
            <w:tcW w:w="1650" w:type="pct"/>
            <w:hideMark/>
          </w:tcPr>
          <w:p w14:paraId="21F96DA7" w14:textId="77777777" w:rsidR="00000000" w:rsidRDefault="006549D2">
            <w:pPr>
              <w:rPr>
                <w:rFonts w:eastAsia="Times New Roman"/>
                <w:sz w:val="20"/>
                <w:szCs w:val="20"/>
              </w:rPr>
            </w:pPr>
            <w:r>
              <w:rPr>
                <w:rFonts w:eastAsia="Times New Roman"/>
                <w:sz w:val="20"/>
                <w:szCs w:val="20"/>
              </w:rPr>
              <w:t> </w:t>
            </w:r>
          </w:p>
        </w:tc>
        <w:tc>
          <w:tcPr>
            <w:tcW w:w="1700" w:type="pct"/>
            <w:hideMark/>
          </w:tcPr>
          <w:p w14:paraId="78F05397" w14:textId="77777777" w:rsidR="00000000" w:rsidRDefault="006549D2">
            <w:pPr>
              <w:jc w:val="center"/>
              <w:rPr>
                <w:rFonts w:eastAsia="Times New Roman"/>
                <w:sz w:val="20"/>
                <w:szCs w:val="20"/>
              </w:rPr>
            </w:pPr>
            <w:r>
              <w:rPr>
                <w:rFonts w:eastAsia="Times New Roman"/>
                <w:sz w:val="20"/>
                <w:szCs w:val="20"/>
              </w:rPr>
              <w:t>1</w:t>
            </w:r>
            <w:r>
              <w:rPr>
                <w:rFonts w:eastAsia="Times New Roman"/>
                <w:sz w:val="20"/>
                <w:szCs w:val="20"/>
              </w:rPr>
              <w:t>3</w:t>
            </w:r>
          </w:p>
        </w:tc>
        <w:tc>
          <w:tcPr>
            <w:tcW w:w="1650" w:type="pct"/>
            <w:hideMark/>
          </w:tcPr>
          <w:p w14:paraId="36C3C357" w14:textId="77777777" w:rsidR="00000000" w:rsidRDefault="006549D2">
            <w:pPr>
              <w:jc w:val="right"/>
              <w:rPr>
                <w:rFonts w:eastAsia="Times New Roman"/>
                <w:sz w:val="20"/>
                <w:szCs w:val="20"/>
              </w:rPr>
            </w:pPr>
            <w:r>
              <w:rPr>
                <w:rFonts w:eastAsia="Times New Roman"/>
                <w:sz w:val="20"/>
                <w:szCs w:val="20"/>
              </w:rPr>
              <w:t> </w:t>
            </w:r>
          </w:p>
        </w:tc>
      </w:tr>
    </w:tbl>
    <w:p w14:paraId="4B1CA48A" w14:textId="77777777" w:rsidR="00000000" w:rsidRDefault="006549D2">
      <w:pPr>
        <w:pStyle w:val="a3"/>
        <w:pageBreakBefore/>
        <w:spacing w:before="0" w:beforeAutospacing="0" w:after="0" w:afterAutospacing="0"/>
        <w:divId w:val="630596782"/>
        <w:rPr>
          <w:sz w:val="20"/>
          <w:szCs w:val="20"/>
        </w:rPr>
      </w:pPr>
      <w:r>
        <w:rPr>
          <w:sz w:val="20"/>
          <w:szCs w:val="20"/>
        </w:rPr>
        <w:t> </w:t>
      </w:r>
    </w:p>
    <w:p w14:paraId="24E11F1F" w14:textId="77777777" w:rsidR="00000000" w:rsidRDefault="006549D2">
      <w:pPr>
        <w:pStyle w:val="a3"/>
        <w:spacing w:before="0" w:beforeAutospacing="0" w:after="0" w:afterAutospacing="0"/>
        <w:ind w:firstLine="360"/>
        <w:jc w:val="both"/>
        <w:rPr>
          <w:sz w:val="20"/>
          <w:szCs w:val="20"/>
        </w:rPr>
      </w:pPr>
      <w:r>
        <w:rPr>
          <w:sz w:val="20"/>
          <w:szCs w:val="20"/>
        </w:rPr>
        <w:t> </w:t>
      </w:r>
    </w:p>
    <w:p w14:paraId="6B73ABB2" w14:textId="77777777" w:rsidR="00000000" w:rsidRDefault="006549D2">
      <w:pPr>
        <w:pStyle w:val="a3"/>
        <w:spacing w:before="0" w:beforeAutospacing="0" w:after="0" w:afterAutospacing="0"/>
        <w:rPr>
          <w:sz w:val="20"/>
          <w:szCs w:val="20"/>
        </w:rPr>
      </w:pPr>
      <w:bookmarkStart w:id="7" w:name="item2managementdiscussion"/>
      <w:bookmarkEnd w:id="7"/>
      <w:r>
        <w:rPr>
          <w:b/>
          <w:bCs/>
          <w:sz w:val="20"/>
          <w:szCs w:val="20"/>
        </w:rPr>
        <w:t>Item 2. Management’s Discussion and Analysis of Financial Condition and Results of Operations</w:t>
      </w:r>
    </w:p>
    <w:p w14:paraId="4F8EB7C9" w14:textId="77777777" w:rsidR="00000000" w:rsidRDefault="006549D2">
      <w:pPr>
        <w:pStyle w:val="a3"/>
        <w:spacing w:before="0" w:beforeAutospacing="0" w:after="0" w:afterAutospacing="0"/>
        <w:rPr>
          <w:sz w:val="20"/>
          <w:szCs w:val="20"/>
        </w:rPr>
      </w:pPr>
      <w:r>
        <w:rPr>
          <w:sz w:val="20"/>
          <w:szCs w:val="20"/>
        </w:rPr>
        <w:t> </w:t>
      </w:r>
    </w:p>
    <w:p w14:paraId="312D780E" w14:textId="77777777" w:rsidR="00000000" w:rsidRDefault="006549D2">
      <w:pPr>
        <w:pStyle w:val="a3"/>
        <w:spacing w:before="0" w:beforeAutospacing="0" w:after="0" w:afterAutospacing="0"/>
        <w:ind w:firstLine="360"/>
        <w:jc w:val="both"/>
        <w:rPr>
          <w:sz w:val="20"/>
          <w:szCs w:val="20"/>
        </w:rPr>
      </w:pPr>
      <w:r>
        <w:rPr>
          <w:sz w:val="20"/>
          <w:szCs w:val="20"/>
        </w:rPr>
        <w:t>References in this report (the “</w:t>
      </w:r>
      <w:r>
        <w:rPr>
          <w:sz w:val="20"/>
          <w:szCs w:val="20"/>
        </w:rPr>
        <w:t>Quarterly Report”) to “we,” “us” or the “Company” refer to Churchill Capital Corp III. References to our “management” or our “management team” refer to our officers and directors, and references to the “Sponsor” refer to Churchill Sponsor III LLC. The foll</w:t>
      </w:r>
      <w:r>
        <w:rPr>
          <w:sz w:val="20"/>
          <w:szCs w:val="20"/>
        </w:rPr>
        <w:t>owing discussion and analysis of the Company’s financial condition and results of operations should be read in conjunction with the financial statements and the notes thereto contained elsewhere in this Quarterly Report. Certain information contained in th</w:t>
      </w:r>
      <w:r>
        <w:rPr>
          <w:sz w:val="20"/>
          <w:szCs w:val="20"/>
        </w:rPr>
        <w:t>e discussion and analysis set forth below includes forward-looking statements that involve risks and uncertainties.</w:t>
      </w:r>
    </w:p>
    <w:p w14:paraId="3863895A" w14:textId="77777777" w:rsidR="00000000" w:rsidRDefault="006549D2">
      <w:pPr>
        <w:pStyle w:val="a3"/>
        <w:spacing w:before="0" w:beforeAutospacing="0" w:after="0" w:afterAutospacing="0"/>
        <w:ind w:firstLine="720"/>
        <w:jc w:val="both"/>
        <w:rPr>
          <w:sz w:val="20"/>
          <w:szCs w:val="20"/>
        </w:rPr>
      </w:pPr>
      <w:r>
        <w:rPr>
          <w:sz w:val="20"/>
          <w:szCs w:val="20"/>
        </w:rPr>
        <w:t> </w:t>
      </w:r>
    </w:p>
    <w:p w14:paraId="5D991A7C" w14:textId="77777777" w:rsidR="00000000" w:rsidRDefault="006549D2">
      <w:pPr>
        <w:pStyle w:val="a3"/>
        <w:spacing w:before="0" w:beforeAutospacing="0" w:after="0" w:afterAutospacing="0"/>
        <w:jc w:val="both"/>
        <w:rPr>
          <w:sz w:val="20"/>
          <w:szCs w:val="20"/>
        </w:rPr>
      </w:pPr>
      <w:r>
        <w:rPr>
          <w:b/>
          <w:bCs/>
          <w:sz w:val="20"/>
          <w:szCs w:val="20"/>
        </w:rPr>
        <w:t>Special Note Regarding Forward-Looking Statements</w:t>
      </w:r>
    </w:p>
    <w:p w14:paraId="5599EA40" w14:textId="77777777" w:rsidR="00000000" w:rsidRDefault="006549D2">
      <w:pPr>
        <w:pStyle w:val="a3"/>
        <w:spacing w:before="0" w:beforeAutospacing="0" w:after="0" w:afterAutospacing="0"/>
        <w:ind w:hanging="1"/>
        <w:rPr>
          <w:sz w:val="20"/>
          <w:szCs w:val="20"/>
        </w:rPr>
      </w:pPr>
      <w:r>
        <w:rPr>
          <w:sz w:val="20"/>
          <w:szCs w:val="20"/>
        </w:rPr>
        <w:t> </w:t>
      </w:r>
    </w:p>
    <w:p w14:paraId="0CBC85F9" w14:textId="77777777" w:rsidR="00000000" w:rsidRDefault="006549D2">
      <w:pPr>
        <w:pStyle w:val="a3"/>
        <w:spacing w:before="0" w:beforeAutospacing="0" w:after="0" w:afterAutospacing="0"/>
        <w:ind w:firstLine="360"/>
        <w:jc w:val="both"/>
        <w:rPr>
          <w:sz w:val="20"/>
          <w:szCs w:val="20"/>
        </w:rPr>
      </w:pPr>
      <w:r>
        <w:rPr>
          <w:sz w:val="20"/>
          <w:szCs w:val="20"/>
        </w:rPr>
        <w:t>This Quarterly Report includes “forward-looking statements” within the meaning of Sect</w:t>
      </w:r>
      <w:r>
        <w:rPr>
          <w:sz w:val="20"/>
          <w:szCs w:val="20"/>
        </w:rPr>
        <w:t>ion 27A of the Securities Act and Section 21E of the Exchange Act that are not historical facts and involve risks and uncertainties that could cause actual results to differ materially from those expected and projected. All statements, other than statement</w:t>
      </w:r>
      <w:r>
        <w:rPr>
          <w:sz w:val="20"/>
          <w:szCs w:val="20"/>
        </w:rPr>
        <w:t>s of historical fact included in this Quarterly Report including, without limitation, statements in this “Management’s Discussion and Analysis of Financial Condition and Results of Operations” regarding the Company’s financial position, business strategy a</w:t>
      </w:r>
      <w:r>
        <w:rPr>
          <w:sz w:val="20"/>
          <w:szCs w:val="20"/>
        </w:rPr>
        <w:t>nd the plans and objectives of management for future operations, are forward-looking statements. Words such as “expect,” “believe,” “anticipate,” “intend,” “estimate,” “seek” and variations and similar words and expressions are intended to identify such fo</w:t>
      </w:r>
      <w:r>
        <w:rPr>
          <w:sz w:val="20"/>
          <w:szCs w:val="20"/>
        </w:rPr>
        <w:t>rward-looking statements. Such forward-looking statements relate to future events or future performance, but reflect management’s current beliefs, based on information currently available. A number of factors could cause actual events, performance or resul</w:t>
      </w:r>
      <w:r>
        <w:rPr>
          <w:sz w:val="20"/>
          <w:szCs w:val="20"/>
        </w:rPr>
        <w:t>ts to differ materially from the events, performance and results discussed in the forward-looking statements. For information identifying important factors that could cause actual results to differ materially from those anticipated in the forward-looking s</w:t>
      </w:r>
      <w:r>
        <w:rPr>
          <w:sz w:val="20"/>
          <w:szCs w:val="20"/>
        </w:rPr>
        <w:t>tatements, please refer to the Risk Factors section of this Quarterly Report and the Risk Factors section of the Registration Statements on Form S-1 (Registration No. 333-236153</w:t>
      </w:r>
      <w:r>
        <w:rPr>
          <w:sz w:val="20"/>
          <w:szCs w:val="20"/>
        </w:rPr>
        <w:t>​</w:t>
      </w:r>
      <w:r>
        <w:rPr>
          <w:sz w:val="20"/>
          <w:szCs w:val="20"/>
        </w:rPr>
        <w:t xml:space="preserve"> and 333-236427) filed with the SEC. The Company’s securities filings can be a</w:t>
      </w:r>
      <w:r>
        <w:rPr>
          <w:sz w:val="20"/>
          <w:szCs w:val="20"/>
        </w:rPr>
        <w:t>ccessed on the EDGAR section of the SEC’s website at www.sec.gov. Except as expressly required by applicable securities law, the Company disclaims any intention or obligation to update or revise any forward-looking statements whether as a result of new inf</w:t>
      </w:r>
      <w:r>
        <w:rPr>
          <w:sz w:val="20"/>
          <w:szCs w:val="20"/>
        </w:rPr>
        <w:t>ormation, future events or otherwise.</w:t>
      </w:r>
    </w:p>
    <w:p w14:paraId="376C6A70" w14:textId="77777777" w:rsidR="00000000" w:rsidRDefault="006549D2">
      <w:pPr>
        <w:pStyle w:val="a3"/>
        <w:spacing w:before="0" w:beforeAutospacing="0" w:after="0" w:afterAutospacing="0"/>
        <w:jc w:val="both"/>
        <w:rPr>
          <w:sz w:val="20"/>
          <w:szCs w:val="20"/>
        </w:rPr>
      </w:pPr>
      <w:r>
        <w:rPr>
          <w:sz w:val="20"/>
          <w:szCs w:val="20"/>
        </w:rPr>
        <w:t> </w:t>
      </w:r>
    </w:p>
    <w:p w14:paraId="553C2161" w14:textId="77777777" w:rsidR="00000000" w:rsidRDefault="006549D2">
      <w:pPr>
        <w:pStyle w:val="a3"/>
        <w:spacing w:before="0" w:beforeAutospacing="0" w:after="0" w:afterAutospacing="0"/>
        <w:jc w:val="both"/>
        <w:rPr>
          <w:sz w:val="20"/>
          <w:szCs w:val="20"/>
        </w:rPr>
      </w:pPr>
      <w:r>
        <w:rPr>
          <w:b/>
          <w:bCs/>
          <w:sz w:val="20"/>
          <w:szCs w:val="20"/>
        </w:rPr>
        <w:t>Overview</w:t>
      </w:r>
    </w:p>
    <w:p w14:paraId="7ED96625" w14:textId="77777777" w:rsidR="00000000" w:rsidRDefault="006549D2">
      <w:pPr>
        <w:pStyle w:val="a3"/>
        <w:spacing w:before="0" w:beforeAutospacing="0" w:after="0" w:afterAutospacing="0"/>
        <w:jc w:val="both"/>
        <w:rPr>
          <w:sz w:val="20"/>
          <w:szCs w:val="20"/>
        </w:rPr>
      </w:pPr>
      <w:r>
        <w:rPr>
          <w:sz w:val="20"/>
          <w:szCs w:val="20"/>
        </w:rPr>
        <w:t> </w:t>
      </w:r>
    </w:p>
    <w:p w14:paraId="75308676" w14:textId="77777777" w:rsidR="00000000" w:rsidRDefault="006549D2">
      <w:pPr>
        <w:pStyle w:val="a3"/>
        <w:spacing w:before="0" w:beforeAutospacing="0" w:after="0" w:afterAutospacing="0"/>
        <w:ind w:firstLine="360"/>
        <w:jc w:val="both"/>
        <w:rPr>
          <w:sz w:val="20"/>
          <w:szCs w:val="20"/>
        </w:rPr>
      </w:pPr>
      <w:r>
        <w:rPr>
          <w:sz w:val="20"/>
          <w:szCs w:val="20"/>
        </w:rPr>
        <w:t>We are a blank check company formed under the laws of the State of Delaware for the purpose of effecting a merger, capital stock exchange, asset acquisition, stock purchase, reorganization or other similar</w:t>
      </w:r>
      <w:r>
        <w:rPr>
          <w:sz w:val="20"/>
          <w:szCs w:val="20"/>
        </w:rPr>
        <w:t xml:space="preserve"> business combination with one or more businesses. We intend to effectuate our Business Combination using cash from the proceeds of the Initial Public Offering and the sale of the Private Placement Warrants, our capital stock, debt or a combination of cash</w:t>
      </w:r>
      <w:r>
        <w:rPr>
          <w:sz w:val="20"/>
          <w:szCs w:val="20"/>
        </w:rPr>
        <w:t>, stock and debt.</w:t>
      </w:r>
    </w:p>
    <w:p w14:paraId="61A341CB" w14:textId="77777777" w:rsidR="00000000" w:rsidRDefault="006549D2">
      <w:pPr>
        <w:pStyle w:val="a3"/>
        <w:spacing w:before="0" w:beforeAutospacing="0" w:after="0" w:afterAutospacing="0"/>
        <w:jc w:val="both"/>
        <w:rPr>
          <w:sz w:val="20"/>
          <w:szCs w:val="20"/>
        </w:rPr>
      </w:pPr>
      <w:r>
        <w:rPr>
          <w:sz w:val="20"/>
          <w:szCs w:val="20"/>
        </w:rPr>
        <w:t> </w:t>
      </w:r>
    </w:p>
    <w:p w14:paraId="4F1FFC5C" w14:textId="77777777" w:rsidR="00000000" w:rsidRDefault="006549D2">
      <w:pPr>
        <w:pStyle w:val="a3"/>
        <w:spacing w:before="0" w:beforeAutospacing="0" w:after="0" w:afterAutospacing="0"/>
        <w:ind w:firstLine="360"/>
        <w:jc w:val="both"/>
        <w:rPr>
          <w:sz w:val="20"/>
          <w:szCs w:val="20"/>
        </w:rPr>
      </w:pPr>
      <w:r>
        <w:rPr>
          <w:sz w:val="20"/>
          <w:szCs w:val="20"/>
        </w:rPr>
        <w:t>The issuance of additional shares of our stock in a Business Combination:</w:t>
      </w:r>
    </w:p>
    <w:p w14:paraId="192139AE" w14:textId="77777777" w:rsidR="00000000" w:rsidRDefault="006549D2">
      <w:pPr>
        <w:pStyle w:val="a3"/>
        <w:spacing w:before="0" w:beforeAutospacing="0" w:after="0" w:afterAutospacing="0"/>
        <w:ind w:firstLine="36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9"/>
        <w:gridCol w:w="249"/>
        <w:gridCol w:w="7558"/>
      </w:tblGrid>
      <w:tr w:rsidR="00000000" w14:paraId="69A4C9B0" w14:textId="77777777">
        <w:tc>
          <w:tcPr>
            <w:tcW w:w="300" w:type="pct"/>
            <w:tcMar>
              <w:top w:w="0" w:type="dxa"/>
              <w:left w:w="0" w:type="dxa"/>
              <w:bottom w:w="0" w:type="dxa"/>
              <w:right w:w="16" w:type="dxa"/>
            </w:tcMar>
            <w:hideMark/>
          </w:tcPr>
          <w:p w14:paraId="2AAE7D09" w14:textId="77777777" w:rsidR="00000000" w:rsidRDefault="006549D2">
            <w:pPr>
              <w:rPr>
                <w:rFonts w:eastAsia="Times New Roman"/>
                <w:sz w:val="20"/>
                <w:szCs w:val="20"/>
              </w:rPr>
            </w:pPr>
            <w:r>
              <w:rPr>
                <w:rFonts w:eastAsia="Times New Roman"/>
                <w:sz w:val="20"/>
                <w:szCs w:val="20"/>
              </w:rPr>
              <w:t> </w:t>
            </w:r>
          </w:p>
        </w:tc>
        <w:tc>
          <w:tcPr>
            <w:tcW w:w="150" w:type="pct"/>
            <w:tcMar>
              <w:top w:w="0" w:type="dxa"/>
              <w:left w:w="0" w:type="dxa"/>
              <w:bottom w:w="0" w:type="dxa"/>
              <w:right w:w="16" w:type="dxa"/>
            </w:tcMar>
            <w:hideMark/>
          </w:tcPr>
          <w:p w14:paraId="02FF9E49" w14:textId="77777777" w:rsidR="00000000" w:rsidRDefault="006549D2">
            <w:pPr>
              <w:rPr>
                <w:rFonts w:eastAsia="Times New Roman"/>
                <w:sz w:val="20"/>
                <w:szCs w:val="20"/>
              </w:rPr>
            </w:pPr>
            <w:r>
              <w:rPr>
                <w:rFonts w:eastAsia="Times New Roman"/>
                <w:sz w:val="20"/>
                <w:szCs w:val="20"/>
              </w:rPr>
              <w:t>•</w:t>
            </w:r>
          </w:p>
        </w:tc>
        <w:tc>
          <w:tcPr>
            <w:tcW w:w="4550" w:type="pct"/>
            <w:tcMar>
              <w:top w:w="0" w:type="dxa"/>
              <w:left w:w="0" w:type="dxa"/>
              <w:bottom w:w="0" w:type="dxa"/>
              <w:right w:w="16" w:type="dxa"/>
            </w:tcMar>
            <w:hideMark/>
          </w:tcPr>
          <w:p w14:paraId="23680C18" w14:textId="77777777" w:rsidR="00000000" w:rsidRDefault="006549D2">
            <w:pPr>
              <w:jc w:val="both"/>
              <w:rPr>
                <w:rFonts w:eastAsia="Times New Roman"/>
                <w:sz w:val="20"/>
                <w:szCs w:val="20"/>
              </w:rPr>
            </w:pPr>
            <w:r>
              <w:rPr>
                <w:rFonts w:eastAsia="Times New Roman"/>
                <w:sz w:val="20"/>
                <w:szCs w:val="20"/>
              </w:rPr>
              <w:t>may significantly dilute the equity interest of investors in this offering, which dilution would increase if the anti-dilution provisions in the Class B common stock resulted in the issuance of Class A shares on a greater than one-to-one basis upon convers</w:t>
            </w:r>
            <w:r>
              <w:rPr>
                <w:rFonts w:eastAsia="Times New Roman"/>
                <w:sz w:val="20"/>
                <w:szCs w:val="20"/>
              </w:rPr>
              <w:t>ion of the Class B common stock;</w:t>
            </w:r>
          </w:p>
        </w:tc>
      </w:tr>
      <w:tr w:rsidR="00000000" w14:paraId="760CD994" w14:textId="77777777">
        <w:tc>
          <w:tcPr>
            <w:tcW w:w="0" w:type="auto"/>
            <w:tcMar>
              <w:top w:w="0" w:type="dxa"/>
              <w:left w:w="0" w:type="dxa"/>
              <w:bottom w:w="0" w:type="dxa"/>
              <w:right w:w="16" w:type="dxa"/>
            </w:tcMar>
            <w:hideMark/>
          </w:tcPr>
          <w:p w14:paraId="71DA5507" w14:textId="77777777" w:rsidR="00000000" w:rsidRDefault="006549D2">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14:paraId="5FFCE38E" w14:textId="77777777" w:rsidR="00000000" w:rsidRDefault="006549D2">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14:paraId="03B29BBA" w14:textId="77777777" w:rsidR="00000000" w:rsidRDefault="006549D2">
            <w:pPr>
              <w:jc w:val="both"/>
              <w:rPr>
                <w:rFonts w:eastAsia="Times New Roman"/>
                <w:sz w:val="20"/>
                <w:szCs w:val="20"/>
              </w:rPr>
            </w:pPr>
            <w:r>
              <w:rPr>
                <w:rFonts w:eastAsia="Times New Roman"/>
                <w:sz w:val="20"/>
                <w:szCs w:val="20"/>
              </w:rPr>
              <w:t>may subordinate the rights of holders of common stock if preferred stock is issued with rights senior to those afforded our common stock;</w:t>
            </w:r>
          </w:p>
        </w:tc>
      </w:tr>
      <w:tr w:rsidR="00000000" w14:paraId="189307B1" w14:textId="77777777">
        <w:tc>
          <w:tcPr>
            <w:tcW w:w="0" w:type="auto"/>
            <w:tcMar>
              <w:top w:w="0" w:type="dxa"/>
              <w:left w:w="0" w:type="dxa"/>
              <w:bottom w:w="0" w:type="dxa"/>
              <w:right w:w="16" w:type="dxa"/>
            </w:tcMar>
            <w:hideMark/>
          </w:tcPr>
          <w:p w14:paraId="6603E6A5" w14:textId="77777777" w:rsidR="00000000" w:rsidRDefault="006549D2">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14:paraId="3EB426BA" w14:textId="77777777" w:rsidR="00000000" w:rsidRDefault="006549D2">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14:paraId="203E7ECB" w14:textId="77777777" w:rsidR="00000000" w:rsidRDefault="006549D2">
            <w:pPr>
              <w:jc w:val="both"/>
              <w:rPr>
                <w:rFonts w:eastAsia="Times New Roman"/>
                <w:sz w:val="20"/>
                <w:szCs w:val="20"/>
              </w:rPr>
            </w:pPr>
            <w:r>
              <w:rPr>
                <w:rFonts w:eastAsia="Times New Roman"/>
                <w:sz w:val="20"/>
                <w:szCs w:val="20"/>
              </w:rPr>
              <w:t>could cause a change of control if a substantial number of shares of our co</w:t>
            </w:r>
            <w:r>
              <w:rPr>
                <w:rFonts w:eastAsia="Times New Roman"/>
                <w:sz w:val="20"/>
                <w:szCs w:val="20"/>
              </w:rPr>
              <w:t>mmon stock are issued, which may affect, among other things, our ability to use our net operating loss carry forwards, if any, and could result in the resignation or removal of our present officers and directors;</w:t>
            </w:r>
          </w:p>
        </w:tc>
      </w:tr>
      <w:tr w:rsidR="00000000" w14:paraId="4F1E5EF8" w14:textId="77777777">
        <w:tc>
          <w:tcPr>
            <w:tcW w:w="0" w:type="auto"/>
            <w:tcMar>
              <w:top w:w="0" w:type="dxa"/>
              <w:left w:w="0" w:type="dxa"/>
              <w:bottom w:w="0" w:type="dxa"/>
              <w:right w:w="16" w:type="dxa"/>
            </w:tcMar>
            <w:hideMark/>
          </w:tcPr>
          <w:p w14:paraId="5B9AD1E3" w14:textId="77777777" w:rsidR="00000000" w:rsidRDefault="006549D2">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14:paraId="5D72E155" w14:textId="77777777" w:rsidR="00000000" w:rsidRDefault="006549D2">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14:paraId="1B3B5AFD" w14:textId="77777777" w:rsidR="00000000" w:rsidRDefault="006549D2">
            <w:pPr>
              <w:jc w:val="both"/>
              <w:rPr>
                <w:rFonts w:eastAsia="Times New Roman"/>
                <w:sz w:val="20"/>
                <w:szCs w:val="20"/>
              </w:rPr>
            </w:pPr>
            <w:r>
              <w:rPr>
                <w:rFonts w:eastAsia="Times New Roman"/>
                <w:sz w:val="20"/>
                <w:szCs w:val="20"/>
              </w:rPr>
              <w:t>may have the effect of delaying or pre</w:t>
            </w:r>
            <w:r>
              <w:rPr>
                <w:rFonts w:eastAsia="Times New Roman"/>
                <w:sz w:val="20"/>
                <w:szCs w:val="20"/>
              </w:rPr>
              <w:t>venting a change of control of us by diluting the stock ownership or voting rights of a person seeking to obtain control of us; and</w:t>
            </w:r>
          </w:p>
        </w:tc>
      </w:tr>
      <w:tr w:rsidR="00000000" w14:paraId="3292F046" w14:textId="77777777">
        <w:tc>
          <w:tcPr>
            <w:tcW w:w="0" w:type="auto"/>
            <w:tcMar>
              <w:top w:w="0" w:type="dxa"/>
              <w:left w:w="0" w:type="dxa"/>
              <w:bottom w:w="0" w:type="dxa"/>
              <w:right w:w="16" w:type="dxa"/>
            </w:tcMar>
            <w:hideMark/>
          </w:tcPr>
          <w:p w14:paraId="5B2E3FBC" w14:textId="77777777" w:rsidR="00000000" w:rsidRDefault="006549D2">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14:paraId="185001DD" w14:textId="77777777" w:rsidR="00000000" w:rsidRDefault="006549D2">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14:paraId="50644AB5" w14:textId="77777777" w:rsidR="00000000" w:rsidRDefault="006549D2">
            <w:pPr>
              <w:jc w:val="both"/>
              <w:rPr>
                <w:rFonts w:eastAsia="Times New Roman"/>
                <w:sz w:val="20"/>
                <w:szCs w:val="20"/>
              </w:rPr>
            </w:pPr>
            <w:r>
              <w:rPr>
                <w:rFonts w:eastAsia="Times New Roman"/>
                <w:sz w:val="20"/>
                <w:szCs w:val="20"/>
              </w:rPr>
              <w:t>may adversely affect prevailing market prices for our Class </w:t>
            </w:r>
            <w:r>
              <w:rPr>
                <w:rFonts w:eastAsia="Times New Roman"/>
                <w:sz w:val="20"/>
                <w:szCs w:val="20"/>
              </w:rPr>
              <w:t>A common stock and/or warrants.</w:t>
            </w:r>
          </w:p>
        </w:tc>
      </w:tr>
    </w:tbl>
    <w:p w14:paraId="4A188432" w14:textId="77777777" w:rsidR="00000000" w:rsidRDefault="006549D2">
      <w:pPr>
        <w:pStyle w:val="a3"/>
        <w:spacing w:before="0" w:beforeAutospacing="0" w:after="0" w:afterAutospacing="0"/>
        <w:ind w:left="1400"/>
        <w:rPr>
          <w:sz w:val="20"/>
          <w:szCs w:val="20"/>
        </w:rPr>
      </w:pPr>
      <w:r>
        <w:rPr>
          <w:sz w:val="20"/>
          <w:szCs w:val="20"/>
        </w:rPr>
        <w:t> </w:t>
      </w:r>
    </w:p>
    <w:p w14:paraId="2994590B" w14:textId="77777777" w:rsidR="00000000" w:rsidRDefault="006549D2">
      <w:pPr>
        <w:pStyle w:val="a3"/>
        <w:spacing w:before="0" w:beforeAutospacing="0" w:after="0" w:afterAutospacing="0"/>
        <w:ind w:firstLine="360"/>
        <w:jc w:val="both"/>
        <w:rPr>
          <w:sz w:val="20"/>
          <w:szCs w:val="20"/>
        </w:rPr>
      </w:pPr>
      <w:r>
        <w:rPr>
          <w:sz w:val="20"/>
          <w:szCs w:val="20"/>
        </w:rPr>
        <w:t>Similarly, if we issue debt securities or otherwise incur significant indebtedness, it could result in:</w:t>
      </w:r>
    </w:p>
    <w:p w14:paraId="3B28BD88" w14:textId="77777777" w:rsidR="00000000" w:rsidRDefault="006549D2">
      <w:pPr>
        <w:pStyle w:val="a3"/>
        <w:spacing w:before="0" w:beforeAutospacing="0" w:after="0" w:afterAutospacing="0"/>
        <w:ind w:left="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9"/>
        <w:gridCol w:w="249"/>
        <w:gridCol w:w="7558"/>
      </w:tblGrid>
      <w:tr w:rsidR="00000000" w14:paraId="62A687B9" w14:textId="77777777">
        <w:tc>
          <w:tcPr>
            <w:tcW w:w="300" w:type="pct"/>
            <w:tcMar>
              <w:top w:w="0" w:type="dxa"/>
              <w:left w:w="0" w:type="dxa"/>
              <w:bottom w:w="0" w:type="dxa"/>
              <w:right w:w="16" w:type="dxa"/>
            </w:tcMar>
            <w:hideMark/>
          </w:tcPr>
          <w:p w14:paraId="24FBEFA3" w14:textId="77777777" w:rsidR="00000000" w:rsidRDefault="006549D2">
            <w:pPr>
              <w:rPr>
                <w:rFonts w:eastAsia="Times New Roman"/>
                <w:sz w:val="20"/>
                <w:szCs w:val="20"/>
              </w:rPr>
            </w:pPr>
            <w:r>
              <w:rPr>
                <w:rFonts w:eastAsia="Times New Roman"/>
                <w:sz w:val="20"/>
                <w:szCs w:val="20"/>
              </w:rPr>
              <w:t> </w:t>
            </w:r>
          </w:p>
        </w:tc>
        <w:tc>
          <w:tcPr>
            <w:tcW w:w="150" w:type="pct"/>
            <w:tcMar>
              <w:top w:w="0" w:type="dxa"/>
              <w:left w:w="0" w:type="dxa"/>
              <w:bottom w:w="0" w:type="dxa"/>
              <w:right w:w="16" w:type="dxa"/>
            </w:tcMar>
            <w:hideMark/>
          </w:tcPr>
          <w:p w14:paraId="702502E6" w14:textId="77777777" w:rsidR="00000000" w:rsidRDefault="006549D2">
            <w:pPr>
              <w:rPr>
                <w:rFonts w:eastAsia="Times New Roman"/>
                <w:sz w:val="20"/>
                <w:szCs w:val="20"/>
              </w:rPr>
            </w:pPr>
            <w:r>
              <w:rPr>
                <w:rFonts w:eastAsia="Times New Roman"/>
                <w:sz w:val="20"/>
                <w:szCs w:val="20"/>
              </w:rPr>
              <w:t>•</w:t>
            </w:r>
          </w:p>
        </w:tc>
        <w:tc>
          <w:tcPr>
            <w:tcW w:w="4550" w:type="pct"/>
            <w:tcMar>
              <w:top w:w="0" w:type="dxa"/>
              <w:left w:w="0" w:type="dxa"/>
              <w:bottom w:w="0" w:type="dxa"/>
              <w:right w:w="16" w:type="dxa"/>
            </w:tcMar>
            <w:hideMark/>
          </w:tcPr>
          <w:p w14:paraId="56ED24B8" w14:textId="77777777" w:rsidR="00000000" w:rsidRDefault="006549D2">
            <w:pPr>
              <w:jc w:val="both"/>
              <w:rPr>
                <w:rFonts w:eastAsia="Times New Roman"/>
                <w:sz w:val="20"/>
                <w:szCs w:val="20"/>
              </w:rPr>
            </w:pPr>
            <w:r>
              <w:rPr>
                <w:rFonts w:eastAsia="Times New Roman"/>
                <w:sz w:val="20"/>
                <w:szCs w:val="20"/>
              </w:rPr>
              <w:t>default and foreclosure on our assets if our operating revenues after an initial Business Combination are insuf</w:t>
            </w:r>
            <w:r>
              <w:rPr>
                <w:rFonts w:eastAsia="Times New Roman"/>
                <w:sz w:val="20"/>
                <w:szCs w:val="20"/>
              </w:rPr>
              <w:t>ficient to repay our debt obligations;</w:t>
            </w:r>
          </w:p>
        </w:tc>
      </w:tr>
      <w:tr w:rsidR="00000000" w14:paraId="6C78DB41" w14:textId="77777777">
        <w:tc>
          <w:tcPr>
            <w:tcW w:w="0" w:type="auto"/>
            <w:tcMar>
              <w:top w:w="0" w:type="dxa"/>
              <w:left w:w="0" w:type="dxa"/>
              <w:bottom w:w="0" w:type="dxa"/>
              <w:right w:w="16" w:type="dxa"/>
            </w:tcMar>
            <w:hideMark/>
          </w:tcPr>
          <w:p w14:paraId="29B1BF17" w14:textId="77777777" w:rsidR="00000000" w:rsidRDefault="006549D2">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14:paraId="22FCAB00" w14:textId="77777777" w:rsidR="00000000" w:rsidRDefault="006549D2">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14:paraId="5238EA14" w14:textId="77777777" w:rsidR="00000000" w:rsidRDefault="006549D2">
            <w:pPr>
              <w:jc w:val="both"/>
              <w:rPr>
                <w:rFonts w:eastAsia="Times New Roman"/>
                <w:sz w:val="20"/>
                <w:szCs w:val="20"/>
              </w:rPr>
            </w:pPr>
            <w:r>
              <w:rPr>
                <w:rFonts w:eastAsia="Times New Roman"/>
                <w:sz w:val="20"/>
                <w:szCs w:val="20"/>
              </w:rPr>
              <w:t>acceleration of our obligations to repay the indebtedness even if we make all principal and interest payments when due if we breach certain covenants that require the maintenance of certain financial ratios or re</w:t>
            </w:r>
            <w:r>
              <w:rPr>
                <w:rFonts w:eastAsia="Times New Roman"/>
                <w:sz w:val="20"/>
                <w:szCs w:val="20"/>
              </w:rPr>
              <w:t>serves without a waiver or renegotiation of that covenant;</w:t>
            </w:r>
          </w:p>
        </w:tc>
      </w:tr>
      <w:tr w:rsidR="00000000" w14:paraId="554B9B59" w14:textId="77777777">
        <w:tc>
          <w:tcPr>
            <w:tcW w:w="0" w:type="auto"/>
            <w:tcMar>
              <w:top w:w="0" w:type="dxa"/>
              <w:left w:w="0" w:type="dxa"/>
              <w:bottom w:w="0" w:type="dxa"/>
              <w:right w:w="16" w:type="dxa"/>
            </w:tcMar>
            <w:hideMark/>
          </w:tcPr>
          <w:p w14:paraId="73802C38" w14:textId="77777777" w:rsidR="00000000" w:rsidRDefault="006549D2">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14:paraId="172D57DB" w14:textId="77777777" w:rsidR="00000000" w:rsidRDefault="006549D2">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14:paraId="41903B9C" w14:textId="77777777" w:rsidR="00000000" w:rsidRDefault="006549D2">
            <w:pPr>
              <w:jc w:val="both"/>
              <w:rPr>
                <w:rFonts w:eastAsia="Times New Roman"/>
                <w:sz w:val="20"/>
                <w:szCs w:val="20"/>
              </w:rPr>
            </w:pPr>
            <w:r>
              <w:rPr>
                <w:rFonts w:eastAsia="Times New Roman"/>
                <w:sz w:val="20"/>
                <w:szCs w:val="20"/>
              </w:rPr>
              <w:t>our immediate payment of all principal and accrued interest, if any, if the debt is payable on demand;</w:t>
            </w:r>
          </w:p>
        </w:tc>
      </w:tr>
      <w:tr w:rsidR="00000000" w14:paraId="096E66E9" w14:textId="77777777">
        <w:tc>
          <w:tcPr>
            <w:tcW w:w="0" w:type="auto"/>
            <w:tcMar>
              <w:top w:w="0" w:type="dxa"/>
              <w:left w:w="0" w:type="dxa"/>
              <w:bottom w:w="0" w:type="dxa"/>
              <w:right w:w="16" w:type="dxa"/>
            </w:tcMar>
            <w:hideMark/>
          </w:tcPr>
          <w:p w14:paraId="509390B4" w14:textId="77777777" w:rsidR="00000000" w:rsidRDefault="006549D2">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14:paraId="48232E65" w14:textId="77777777" w:rsidR="00000000" w:rsidRDefault="006549D2">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14:paraId="08B7ACD7" w14:textId="77777777" w:rsidR="00000000" w:rsidRDefault="006549D2">
            <w:pPr>
              <w:jc w:val="both"/>
              <w:rPr>
                <w:rFonts w:eastAsia="Times New Roman"/>
                <w:sz w:val="20"/>
                <w:szCs w:val="20"/>
              </w:rPr>
            </w:pPr>
            <w:r>
              <w:rPr>
                <w:rFonts w:eastAsia="Times New Roman"/>
                <w:sz w:val="20"/>
                <w:szCs w:val="20"/>
              </w:rPr>
              <w:t>our inability to obtain necessary additional financing if the debt contains covenants restricting our ability to obtain such financing while the deb</w:t>
            </w:r>
            <w:r>
              <w:rPr>
                <w:rFonts w:eastAsia="Times New Roman"/>
                <w:sz w:val="20"/>
                <w:szCs w:val="20"/>
              </w:rPr>
              <w:t>t is outstanding;</w:t>
            </w:r>
          </w:p>
        </w:tc>
      </w:tr>
      <w:tr w:rsidR="00000000" w14:paraId="389C4006" w14:textId="77777777">
        <w:tc>
          <w:tcPr>
            <w:tcW w:w="0" w:type="auto"/>
            <w:tcMar>
              <w:top w:w="0" w:type="dxa"/>
              <w:left w:w="0" w:type="dxa"/>
              <w:bottom w:w="0" w:type="dxa"/>
              <w:right w:w="16" w:type="dxa"/>
            </w:tcMar>
            <w:hideMark/>
          </w:tcPr>
          <w:p w14:paraId="6B6EB1F6" w14:textId="77777777" w:rsidR="00000000" w:rsidRDefault="006549D2">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14:paraId="10AE28D9" w14:textId="77777777" w:rsidR="00000000" w:rsidRDefault="006549D2">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14:paraId="0461D7B0" w14:textId="77777777" w:rsidR="00000000" w:rsidRDefault="006549D2">
            <w:pPr>
              <w:jc w:val="both"/>
              <w:rPr>
                <w:rFonts w:eastAsia="Times New Roman"/>
                <w:sz w:val="20"/>
                <w:szCs w:val="20"/>
              </w:rPr>
            </w:pPr>
            <w:r>
              <w:rPr>
                <w:rFonts w:eastAsia="Times New Roman"/>
                <w:sz w:val="20"/>
                <w:szCs w:val="20"/>
              </w:rPr>
              <w:t>our inability to pay dividends on our common stock;</w:t>
            </w:r>
          </w:p>
        </w:tc>
      </w:tr>
      <w:tr w:rsidR="00000000" w14:paraId="36688CF4" w14:textId="77777777">
        <w:tc>
          <w:tcPr>
            <w:tcW w:w="0" w:type="auto"/>
            <w:tcMar>
              <w:top w:w="0" w:type="dxa"/>
              <w:left w:w="0" w:type="dxa"/>
              <w:bottom w:w="0" w:type="dxa"/>
              <w:right w:w="16" w:type="dxa"/>
            </w:tcMar>
            <w:hideMark/>
          </w:tcPr>
          <w:p w14:paraId="5D50EBC9" w14:textId="77777777" w:rsidR="00000000" w:rsidRDefault="006549D2">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14:paraId="04727469" w14:textId="77777777" w:rsidR="00000000" w:rsidRDefault="006549D2">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14:paraId="35E89352" w14:textId="77777777" w:rsidR="00000000" w:rsidRDefault="006549D2">
            <w:pPr>
              <w:jc w:val="both"/>
              <w:rPr>
                <w:rFonts w:eastAsia="Times New Roman"/>
                <w:sz w:val="20"/>
                <w:szCs w:val="20"/>
              </w:rPr>
            </w:pPr>
            <w:r>
              <w:rPr>
                <w:rFonts w:eastAsia="Times New Roman"/>
                <w:sz w:val="20"/>
                <w:szCs w:val="20"/>
              </w:rPr>
              <w:t>using a substantial portion of our cash flow to pay principal and interest on our debt, which will reduce the funds available for dividends on our common stock if declared, exp</w:t>
            </w:r>
            <w:r>
              <w:rPr>
                <w:rFonts w:eastAsia="Times New Roman"/>
                <w:sz w:val="20"/>
                <w:szCs w:val="20"/>
              </w:rPr>
              <w:t>enses, capital expenditures, acquisitions and other general corporate purposes;</w:t>
            </w:r>
          </w:p>
        </w:tc>
      </w:tr>
      <w:tr w:rsidR="00000000" w14:paraId="258E5794" w14:textId="77777777">
        <w:tc>
          <w:tcPr>
            <w:tcW w:w="0" w:type="auto"/>
            <w:tcMar>
              <w:top w:w="0" w:type="dxa"/>
              <w:left w:w="0" w:type="dxa"/>
              <w:bottom w:w="0" w:type="dxa"/>
              <w:right w:w="16" w:type="dxa"/>
            </w:tcMar>
            <w:hideMark/>
          </w:tcPr>
          <w:p w14:paraId="63F43026" w14:textId="77777777" w:rsidR="00000000" w:rsidRDefault="006549D2">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14:paraId="29E814E5" w14:textId="77777777" w:rsidR="00000000" w:rsidRDefault="006549D2">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14:paraId="47766F08" w14:textId="77777777" w:rsidR="00000000" w:rsidRDefault="006549D2">
            <w:pPr>
              <w:jc w:val="both"/>
              <w:rPr>
                <w:rFonts w:eastAsia="Times New Roman"/>
                <w:sz w:val="20"/>
                <w:szCs w:val="20"/>
              </w:rPr>
            </w:pPr>
            <w:r>
              <w:rPr>
                <w:rFonts w:eastAsia="Times New Roman"/>
                <w:sz w:val="20"/>
                <w:szCs w:val="20"/>
              </w:rPr>
              <w:t>limitations on our flexibility in planning for and reacting to changes in our business and in the industry in which we operate;</w:t>
            </w:r>
          </w:p>
        </w:tc>
      </w:tr>
      <w:tr w:rsidR="00000000" w14:paraId="7EFA9F68" w14:textId="77777777">
        <w:tc>
          <w:tcPr>
            <w:tcW w:w="0" w:type="auto"/>
            <w:tcMar>
              <w:top w:w="0" w:type="dxa"/>
              <w:left w:w="0" w:type="dxa"/>
              <w:bottom w:w="0" w:type="dxa"/>
              <w:right w:w="16" w:type="dxa"/>
            </w:tcMar>
            <w:hideMark/>
          </w:tcPr>
          <w:p w14:paraId="60C2A227" w14:textId="77777777" w:rsidR="00000000" w:rsidRDefault="006549D2">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14:paraId="25D3A6C2" w14:textId="77777777" w:rsidR="00000000" w:rsidRDefault="006549D2">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14:paraId="43B12C3B" w14:textId="77777777" w:rsidR="00000000" w:rsidRDefault="006549D2">
            <w:pPr>
              <w:jc w:val="both"/>
              <w:rPr>
                <w:rFonts w:eastAsia="Times New Roman"/>
                <w:sz w:val="20"/>
                <w:szCs w:val="20"/>
              </w:rPr>
            </w:pPr>
            <w:r>
              <w:rPr>
                <w:rFonts w:eastAsia="Times New Roman"/>
                <w:sz w:val="20"/>
                <w:szCs w:val="20"/>
              </w:rPr>
              <w:t>increased vulnerability to adverse cha</w:t>
            </w:r>
            <w:r>
              <w:rPr>
                <w:rFonts w:eastAsia="Times New Roman"/>
                <w:sz w:val="20"/>
                <w:szCs w:val="20"/>
              </w:rPr>
              <w:t>nges in general economic, industry and competitive conditions and adverse changes in government regulation; and</w:t>
            </w:r>
          </w:p>
        </w:tc>
      </w:tr>
      <w:tr w:rsidR="00000000" w14:paraId="26809558" w14:textId="77777777">
        <w:tc>
          <w:tcPr>
            <w:tcW w:w="0" w:type="auto"/>
            <w:tcMar>
              <w:top w:w="0" w:type="dxa"/>
              <w:left w:w="0" w:type="dxa"/>
              <w:bottom w:w="0" w:type="dxa"/>
              <w:right w:w="16" w:type="dxa"/>
            </w:tcMar>
            <w:hideMark/>
          </w:tcPr>
          <w:p w14:paraId="6FC26006" w14:textId="77777777" w:rsidR="00000000" w:rsidRDefault="006549D2">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14:paraId="0EEAC124" w14:textId="77777777" w:rsidR="00000000" w:rsidRDefault="006549D2">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14:paraId="5F003866" w14:textId="77777777" w:rsidR="00000000" w:rsidRDefault="006549D2">
            <w:pPr>
              <w:jc w:val="both"/>
              <w:rPr>
                <w:rFonts w:eastAsia="Times New Roman"/>
                <w:sz w:val="20"/>
                <w:szCs w:val="20"/>
              </w:rPr>
            </w:pPr>
            <w:r>
              <w:rPr>
                <w:rFonts w:eastAsia="Times New Roman"/>
                <w:sz w:val="20"/>
                <w:szCs w:val="20"/>
              </w:rPr>
              <w:t>limitations on our ability to borrow additional amounts for expenses, capital expenditures, acquisitions, debt service requirements, execution of our strategy and other purposes and other disadvantages compared to our competitors who have less debt.</w:t>
            </w:r>
          </w:p>
        </w:tc>
      </w:tr>
    </w:tbl>
    <w:p w14:paraId="2DEE2736" w14:textId="77777777" w:rsidR="00000000" w:rsidRDefault="006549D2">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5E3628FB" w14:textId="77777777">
        <w:trPr>
          <w:divId w:val="885265356"/>
        </w:trPr>
        <w:tc>
          <w:tcPr>
            <w:tcW w:w="1650" w:type="pct"/>
            <w:hideMark/>
          </w:tcPr>
          <w:p w14:paraId="24631F15" w14:textId="77777777" w:rsidR="00000000" w:rsidRDefault="006549D2">
            <w:pPr>
              <w:rPr>
                <w:rFonts w:eastAsia="Times New Roman"/>
                <w:sz w:val="20"/>
                <w:szCs w:val="20"/>
              </w:rPr>
            </w:pPr>
            <w:r>
              <w:rPr>
                <w:rFonts w:eastAsia="Times New Roman"/>
                <w:sz w:val="20"/>
                <w:szCs w:val="20"/>
              </w:rPr>
              <w:t> </w:t>
            </w:r>
          </w:p>
        </w:tc>
        <w:tc>
          <w:tcPr>
            <w:tcW w:w="1700" w:type="pct"/>
            <w:hideMark/>
          </w:tcPr>
          <w:p w14:paraId="09AC21A7" w14:textId="77777777" w:rsidR="00000000" w:rsidRDefault="006549D2">
            <w:pPr>
              <w:jc w:val="center"/>
              <w:rPr>
                <w:rFonts w:eastAsia="Times New Roman"/>
                <w:sz w:val="20"/>
                <w:szCs w:val="20"/>
              </w:rPr>
            </w:pPr>
            <w:r>
              <w:rPr>
                <w:rFonts w:eastAsia="Times New Roman"/>
                <w:sz w:val="20"/>
                <w:szCs w:val="20"/>
              </w:rPr>
              <w:t>1</w:t>
            </w:r>
            <w:r>
              <w:rPr>
                <w:rFonts w:eastAsia="Times New Roman"/>
                <w:sz w:val="20"/>
                <w:szCs w:val="20"/>
              </w:rPr>
              <w:t>4</w:t>
            </w:r>
          </w:p>
        </w:tc>
        <w:tc>
          <w:tcPr>
            <w:tcW w:w="1650" w:type="pct"/>
            <w:hideMark/>
          </w:tcPr>
          <w:p w14:paraId="2B93BFE9" w14:textId="77777777" w:rsidR="00000000" w:rsidRDefault="006549D2">
            <w:pPr>
              <w:jc w:val="right"/>
              <w:rPr>
                <w:rFonts w:eastAsia="Times New Roman"/>
                <w:sz w:val="20"/>
                <w:szCs w:val="20"/>
              </w:rPr>
            </w:pPr>
            <w:r>
              <w:rPr>
                <w:rFonts w:eastAsia="Times New Roman"/>
                <w:sz w:val="20"/>
                <w:szCs w:val="20"/>
              </w:rPr>
              <w:t> </w:t>
            </w:r>
          </w:p>
        </w:tc>
      </w:tr>
    </w:tbl>
    <w:p w14:paraId="5ECF0F21" w14:textId="77777777" w:rsidR="00000000" w:rsidRDefault="006549D2">
      <w:pPr>
        <w:pStyle w:val="a3"/>
        <w:pageBreakBefore/>
        <w:spacing w:before="0" w:beforeAutospacing="0" w:after="0" w:afterAutospacing="0"/>
        <w:divId w:val="194393930"/>
        <w:rPr>
          <w:sz w:val="20"/>
          <w:szCs w:val="20"/>
        </w:rPr>
      </w:pPr>
      <w:r>
        <w:rPr>
          <w:sz w:val="20"/>
          <w:szCs w:val="20"/>
        </w:rPr>
        <w:t> </w:t>
      </w:r>
    </w:p>
    <w:p w14:paraId="48845F0C" w14:textId="77777777" w:rsidR="00000000" w:rsidRDefault="006549D2">
      <w:pPr>
        <w:pStyle w:val="a3"/>
        <w:spacing w:before="0" w:beforeAutospacing="0" w:after="0" w:afterAutospacing="0"/>
        <w:jc w:val="both"/>
        <w:rPr>
          <w:sz w:val="20"/>
          <w:szCs w:val="20"/>
        </w:rPr>
      </w:pPr>
      <w:r>
        <w:rPr>
          <w:sz w:val="20"/>
          <w:szCs w:val="20"/>
        </w:rPr>
        <w:t> </w:t>
      </w:r>
    </w:p>
    <w:p w14:paraId="193F2514" w14:textId="77777777" w:rsidR="00000000" w:rsidRDefault="006549D2">
      <w:pPr>
        <w:pStyle w:val="a3"/>
        <w:spacing w:before="0" w:beforeAutospacing="0" w:after="0" w:afterAutospacing="0"/>
        <w:ind w:firstLine="360"/>
        <w:jc w:val="both"/>
        <w:rPr>
          <w:sz w:val="20"/>
          <w:szCs w:val="20"/>
        </w:rPr>
      </w:pPr>
      <w:r>
        <w:rPr>
          <w:sz w:val="20"/>
          <w:szCs w:val="20"/>
        </w:rPr>
        <w:t>We expect to continue to incur significant costs in the pursuit of our acquisition plans. We cannot assure you that our plans to raise capital or to complete our initial Business Combination will be successful.</w:t>
      </w:r>
    </w:p>
    <w:p w14:paraId="267E4250" w14:textId="77777777" w:rsidR="00000000" w:rsidRDefault="006549D2">
      <w:pPr>
        <w:pStyle w:val="a3"/>
        <w:spacing w:before="0" w:beforeAutospacing="0" w:after="0" w:afterAutospacing="0"/>
        <w:jc w:val="both"/>
        <w:rPr>
          <w:sz w:val="20"/>
          <w:szCs w:val="20"/>
        </w:rPr>
      </w:pPr>
      <w:r>
        <w:rPr>
          <w:sz w:val="20"/>
          <w:szCs w:val="20"/>
        </w:rPr>
        <w:t> </w:t>
      </w:r>
    </w:p>
    <w:p w14:paraId="54C2CCEE" w14:textId="77777777" w:rsidR="00000000" w:rsidRDefault="006549D2">
      <w:pPr>
        <w:pStyle w:val="a3"/>
        <w:spacing w:before="0" w:beforeAutospacing="0" w:after="0" w:afterAutospacing="0"/>
        <w:rPr>
          <w:sz w:val="20"/>
          <w:szCs w:val="20"/>
        </w:rPr>
      </w:pPr>
      <w:r>
        <w:rPr>
          <w:b/>
          <w:bCs/>
          <w:sz w:val="20"/>
          <w:szCs w:val="20"/>
        </w:rPr>
        <w:t>Recent Developments</w:t>
      </w:r>
    </w:p>
    <w:p w14:paraId="503CA672" w14:textId="77777777" w:rsidR="00000000" w:rsidRDefault="006549D2">
      <w:pPr>
        <w:pStyle w:val="a3"/>
        <w:spacing w:before="0" w:beforeAutospacing="0" w:after="0" w:afterAutospacing="0"/>
        <w:jc w:val="both"/>
        <w:rPr>
          <w:sz w:val="20"/>
          <w:szCs w:val="20"/>
        </w:rPr>
      </w:pPr>
      <w:r>
        <w:rPr>
          <w:sz w:val="20"/>
          <w:szCs w:val="20"/>
        </w:rPr>
        <w:t>  </w:t>
      </w:r>
    </w:p>
    <w:p w14:paraId="41CA310A" w14:textId="77777777" w:rsidR="00000000" w:rsidRDefault="006549D2">
      <w:pPr>
        <w:pStyle w:val="a3"/>
        <w:spacing w:before="0" w:beforeAutospacing="0" w:after="0" w:afterAutospacing="0"/>
        <w:ind w:firstLine="360"/>
        <w:jc w:val="both"/>
        <w:rPr>
          <w:sz w:val="20"/>
          <w:szCs w:val="20"/>
        </w:rPr>
      </w:pPr>
      <w:r>
        <w:rPr>
          <w:sz w:val="20"/>
          <w:szCs w:val="20"/>
        </w:rPr>
        <w:t>On July 12, 2020, we entered into a Merger Agreement with Parent, pursuant to which we will pay to Holdings an aggregate consideration equal to $5,678,000,000 which will be paid in a combination of stock and cash consideration. See Note 6 to Item 1 above f</w:t>
      </w:r>
      <w:r>
        <w:rPr>
          <w:sz w:val="20"/>
          <w:szCs w:val="20"/>
        </w:rPr>
        <w:t>or a description of the Merger Agreement and the transactions contemplated thereby.</w:t>
      </w:r>
    </w:p>
    <w:p w14:paraId="04C82D5F" w14:textId="77777777" w:rsidR="00000000" w:rsidRDefault="006549D2">
      <w:pPr>
        <w:pStyle w:val="a3"/>
        <w:spacing w:before="0" w:beforeAutospacing="0" w:after="0" w:afterAutospacing="0"/>
        <w:jc w:val="both"/>
        <w:rPr>
          <w:sz w:val="20"/>
          <w:szCs w:val="20"/>
        </w:rPr>
      </w:pPr>
      <w:r>
        <w:rPr>
          <w:sz w:val="20"/>
          <w:szCs w:val="20"/>
        </w:rPr>
        <w:t> </w:t>
      </w:r>
    </w:p>
    <w:p w14:paraId="0E8135BC" w14:textId="77777777" w:rsidR="00000000" w:rsidRDefault="006549D2">
      <w:pPr>
        <w:pStyle w:val="a3"/>
        <w:spacing w:before="0" w:beforeAutospacing="0" w:after="0" w:afterAutospacing="0"/>
        <w:jc w:val="both"/>
        <w:rPr>
          <w:sz w:val="20"/>
          <w:szCs w:val="20"/>
        </w:rPr>
      </w:pPr>
      <w:r>
        <w:rPr>
          <w:b/>
          <w:bCs/>
          <w:sz w:val="20"/>
          <w:szCs w:val="20"/>
        </w:rPr>
        <w:t>Results of Operations</w:t>
      </w:r>
    </w:p>
    <w:p w14:paraId="0DF724D2" w14:textId="77777777" w:rsidR="00000000" w:rsidRDefault="006549D2">
      <w:pPr>
        <w:pStyle w:val="a3"/>
        <w:spacing w:before="0" w:beforeAutospacing="0" w:after="0" w:afterAutospacing="0"/>
        <w:jc w:val="both"/>
        <w:rPr>
          <w:sz w:val="20"/>
          <w:szCs w:val="20"/>
        </w:rPr>
      </w:pPr>
      <w:r>
        <w:rPr>
          <w:sz w:val="20"/>
          <w:szCs w:val="20"/>
        </w:rPr>
        <w:t> </w:t>
      </w:r>
    </w:p>
    <w:p w14:paraId="5D4C569E" w14:textId="77777777" w:rsidR="00000000" w:rsidRDefault="006549D2">
      <w:pPr>
        <w:pStyle w:val="a3"/>
        <w:spacing w:before="0" w:beforeAutospacing="0" w:after="0" w:afterAutospacing="0"/>
        <w:ind w:firstLine="360"/>
        <w:jc w:val="both"/>
        <w:rPr>
          <w:sz w:val="20"/>
          <w:szCs w:val="20"/>
        </w:rPr>
      </w:pPr>
      <w:r>
        <w:rPr>
          <w:sz w:val="20"/>
          <w:szCs w:val="20"/>
        </w:rPr>
        <w:t>We have neither engaged in any operations nor generated any revenues to date. Our only activities through June 30, 2020 were organizational activi</w:t>
      </w:r>
      <w:r>
        <w:rPr>
          <w:sz w:val="20"/>
          <w:szCs w:val="20"/>
        </w:rPr>
        <w:t>ties, those necessary to prepare for the Initial Public Offering, described below, and, after our Initial Public Offering, identifying a target company for a Business Combination. We do not expect to generate any operating revenues until after the completi</w:t>
      </w:r>
      <w:r>
        <w:rPr>
          <w:sz w:val="20"/>
          <w:szCs w:val="20"/>
        </w:rPr>
        <w:t>on of our Business Combination. We generate non-operating income in the form of interest income on marketable securities held in the Trust Account. We incur expenses as a result of being a public company (for legal, financial reporting, accounting and audi</w:t>
      </w:r>
      <w:r>
        <w:rPr>
          <w:sz w:val="20"/>
          <w:szCs w:val="20"/>
        </w:rPr>
        <w:t>ting compliance), as well as for due diligence expenses.</w:t>
      </w:r>
    </w:p>
    <w:p w14:paraId="54A3CC6E" w14:textId="77777777" w:rsidR="00000000" w:rsidRDefault="006549D2">
      <w:pPr>
        <w:pStyle w:val="a3"/>
        <w:spacing w:before="0" w:beforeAutospacing="0" w:after="0" w:afterAutospacing="0"/>
        <w:jc w:val="both"/>
        <w:rPr>
          <w:sz w:val="20"/>
          <w:szCs w:val="20"/>
        </w:rPr>
      </w:pPr>
      <w:r>
        <w:rPr>
          <w:sz w:val="20"/>
          <w:szCs w:val="20"/>
        </w:rPr>
        <w:t> </w:t>
      </w:r>
    </w:p>
    <w:p w14:paraId="2AE67A6B" w14:textId="77777777" w:rsidR="00000000" w:rsidRDefault="006549D2">
      <w:pPr>
        <w:pStyle w:val="a3"/>
        <w:spacing w:before="0" w:beforeAutospacing="0" w:after="0" w:afterAutospacing="0"/>
        <w:ind w:firstLine="360"/>
        <w:jc w:val="both"/>
        <w:rPr>
          <w:sz w:val="20"/>
          <w:szCs w:val="20"/>
        </w:rPr>
      </w:pPr>
      <w:r>
        <w:rPr>
          <w:sz w:val="20"/>
          <w:szCs w:val="20"/>
        </w:rPr>
        <w:t xml:space="preserve">For the three months ended June 30, 2020, we had a net loss of $1,335,040, which consists of operating costs of $1,846,344 and an unrealized loss on marketable securities held in our Trust Account </w:t>
      </w:r>
      <w:r>
        <w:rPr>
          <w:sz w:val="20"/>
          <w:szCs w:val="20"/>
        </w:rPr>
        <w:t>of $2,237,592, offset by interest income on marketable securities held in the Trust Account of $2,394,013 and an income tax benefit of $354,883.</w:t>
      </w:r>
    </w:p>
    <w:p w14:paraId="66F32845" w14:textId="77777777" w:rsidR="00000000" w:rsidRDefault="006549D2">
      <w:pPr>
        <w:pStyle w:val="a3"/>
        <w:spacing w:before="0" w:beforeAutospacing="0" w:after="0" w:afterAutospacing="0"/>
        <w:ind w:firstLine="360"/>
        <w:jc w:val="both"/>
        <w:rPr>
          <w:sz w:val="20"/>
          <w:szCs w:val="20"/>
        </w:rPr>
      </w:pPr>
      <w:r>
        <w:rPr>
          <w:sz w:val="20"/>
          <w:szCs w:val="20"/>
        </w:rPr>
        <w:t> </w:t>
      </w:r>
    </w:p>
    <w:p w14:paraId="195CD143" w14:textId="77777777" w:rsidR="00000000" w:rsidRDefault="006549D2">
      <w:pPr>
        <w:pStyle w:val="a3"/>
        <w:spacing w:before="0" w:beforeAutospacing="0" w:after="0" w:afterAutospacing="0"/>
        <w:ind w:firstLine="360"/>
        <w:jc w:val="both"/>
        <w:rPr>
          <w:sz w:val="20"/>
          <w:szCs w:val="20"/>
        </w:rPr>
      </w:pPr>
      <w:r>
        <w:rPr>
          <w:sz w:val="20"/>
          <w:szCs w:val="20"/>
        </w:rPr>
        <w:t>For the six months ended June 30, 2020, we had net income of $1,696,498, which consists of interest income on</w:t>
      </w:r>
      <w:r>
        <w:rPr>
          <w:sz w:val="20"/>
          <w:szCs w:val="20"/>
        </w:rPr>
        <w:t xml:space="preserve"> marketable securities held in the Trust Account of $4,215,679, offset by an unrealized loss on marketable securities held in our Trust Account of $6,366, operating costs of $2,061,847 and a provision for income taxes of $450,968.</w:t>
      </w:r>
    </w:p>
    <w:p w14:paraId="18D4A3ED" w14:textId="77777777" w:rsidR="00000000" w:rsidRDefault="006549D2">
      <w:pPr>
        <w:pStyle w:val="a3"/>
        <w:spacing w:before="0" w:beforeAutospacing="0" w:after="0" w:afterAutospacing="0"/>
        <w:ind w:firstLine="360"/>
        <w:jc w:val="both"/>
        <w:rPr>
          <w:sz w:val="20"/>
          <w:szCs w:val="20"/>
        </w:rPr>
      </w:pPr>
      <w:r>
        <w:rPr>
          <w:sz w:val="20"/>
          <w:szCs w:val="20"/>
        </w:rPr>
        <w:t> </w:t>
      </w:r>
    </w:p>
    <w:p w14:paraId="30A1717F" w14:textId="77777777" w:rsidR="00000000" w:rsidRDefault="006549D2">
      <w:pPr>
        <w:pStyle w:val="a3"/>
        <w:spacing w:before="0" w:beforeAutospacing="0" w:after="0" w:afterAutospacing="0"/>
        <w:jc w:val="both"/>
        <w:rPr>
          <w:sz w:val="20"/>
          <w:szCs w:val="20"/>
        </w:rPr>
      </w:pPr>
      <w:r>
        <w:rPr>
          <w:b/>
          <w:bCs/>
          <w:sz w:val="20"/>
          <w:szCs w:val="20"/>
        </w:rPr>
        <w:t>Liquidity and Capital R</w:t>
      </w:r>
      <w:r>
        <w:rPr>
          <w:b/>
          <w:bCs/>
          <w:sz w:val="20"/>
          <w:szCs w:val="20"/>
        </w:rPr>
        <w:t>esources</w:t>
      </w:r>
    </w:p>
    <w:p w14:paraId="3C8BEA08" w14:textId="77777777" w:rsidR="00000000" w:rsidRDefault="006549D2">
      <w:pPr>
        <w:pStyle w:val="a3"/>
        <w:spacing w:before="0" w:beforeAutospacing="0" w:after="0" w:afterAutospacing="0"/>
        <w:jc w:val="both"/>
        <w:rPr>
          <w:sz w:val="20"/>
          <w:szCs w:val="20"/>
        </w:rPr>
      </w:pPr>
      <w:r>
        <w:rPr>
          <w:sz w:val="20"/>
          <w:szCs w:val="20"/>
        </w:rPr>
        <w:t> </w:t>
      </w:r>
    </w:p>
    <w:p w14:paraId="5E9E0707" w14:textId="77777777" w:rsidR="00000000" w:rsidRDefault="006549D2">
      <w:pPr>
        <w:pStyle w:val="a3"/>
        <w:spacing w:before="0" w:beforeAutospacing="0" w:after="0" w:afterAutospacing="0"/>
        <w:ind w:firstLine="360"/>
        <w:jc w:val="both"/>
        <w:rPr>
          <w:sz w:val="20"/>
          <w:szCs w:val="20"/>
        </w:rPr>
      </w:pPr>
      <w:r>
        <w:rPr>
          <w:sz w:val="20"/>
          <w:szCs w:val="20"/>
        </w:rPr>
        <w:t>On February 19, 2020, we consummated the Initial Public Offering of 110,000,000 Units, which includes the full exercise by the underwriters of the over-allotment option, at $10.00 per unit, generating gross proceeds of $1,100,000,000. Simultaneo</w:t>
      </w:r>
      <w:r>
        <w:rPr>
          <w:sz w:val="20"/>
          <w:szCs w:val="20"/>
        </w:rPr>
        <w:t>usly with the closing of the Initial Public Offering, we consummated the sale of 23,000,000 Private Placement Warrants to the Sponsor at a price of $1.00 per warrant, generating gross proceeds of $23,000,000.</w:t>
      </w:r>
    </w:p>
    <w:p w14:paraId="6F807460" w14:textId="77777777" w:rsidR="00000000" w:rsidRDefault="006549D2">
      <w:pPr>
        <w:pStyle w:val="a3"/>
        <w:spacing w:before="0" w:beforeAutospacing="0" w:after="0" w:afterAutospacing="0"/>
        <w:ind w:firstLine="360"/>
        <w:jc w:val="both"/>
        <w:rPr>
          <w:sz w:val="20"/>
          <w:szCs w:val="20"/>
        </w:rPr>
      </w:pPr>
      <w:r>
        <w:rPr>
          <w:sz w:val="20"/>
          <w:szCs w:val="20"/>
        </w:rPr>
        <w:t> </w:t>
      </w:r>
    </w:p>
    <w:p w14:paraId="2DFD891A" w14:textId="77777777" w:rsidR="00000000" w:rsidRDefault="006549D2">
      <w:pPr>
        <w:pStyle w:val="a3"/>
        <w:spacing w:before="0" w:beforeAutospacing="0" w:after="0" w:afterAutospacing="0"/>
        <w:ind w:firstLine="360"/>
        <w:jc w:val="both"/>
        <w:rPr>
          <w:sz w:val="20"/>
          <w:szCs w:val="20"/>
        </w:rPr>
      </w:pPr>
      <w:r>
        <w:rPr>
          <w:sz w:val="20"/>
          <w:szCs w:val="20"/>
        </w:rPr>
        <w:t>Following the Initial Public Offering, the ex</w:t>
      </w:r>
      <w:r>
        <w:rPr>
          <w:sz w:val="20"/>
          <w:szCs w:val="20"/>
        </w:rPr>
        <w:t>ercise of the over-allotment option and the sale of the Private Placement Warrants, a total of $1,100,000,000 was placed in the Trust Account. We incurred $57,620,020 in transaction costs, including $18,402,000 of underwriting fees, $38,500,000 of deferred</w:t>
      </w:r>
      <w:r>
        <w:rPr>
          <w:sz w:val="20"/>
          <w:szCs w:val="20"/>
        </w:rPr>
        <w:t xml:space="preserve"> underwriting fees and $718,020 of other costs.</w:t>
      </w:r>
    </w:p>
    <w:p w14:paraId="72817898" w14:textId="77777777" w:rsidR="00000000" w:rsidRDefault="006549D2">
      <w:pPr>
        <w:pStyle w:val="a3"/>
        <w:spacing w:before="0" w:beforeAutospacing="0" w:after="0" w:afterAutospacing="0"/>
        <w:ind w:firstLine="360"/>
        <w:jc w:val="both"/>
        <w:rPr>
          <w:sz w:val="20"/>
          <w:szCs w:val="20"/>
        </w:rPr>
      </w:pPr>
      <w:r>
        <w:rPr>
          <w:sz w:val="20"/>
          <w:szCs w:val="20"/>
        </w:rPr>
        <w:t> </w:t>
      </w:r>
    </w:p>
    <w:p w14:paraId="6BFC4A5D" w14:textId="77777777" w:rsidR="00000000" w:rsidRDefault="006549D2">
      <w:pPr>
        <w:pStyle w:val="a3"/>
        <w:spacing w:before="0" w:beforeAutospacing="0" w:after="0" w:afterAutospacing="0"/>
        <w:ind w:firstLine="360"/>
        <w:jc w:val="both"/>
        <w:rPr>
          <w:sz w:val="20"/>
          <w:szCs w:val="20"/>
        </w:rPr>
      </w:pPr>
      <w:r>
        <w:rPr>
          <w:sz w:val="20"/>
          <w:szCs w:val="20"/>
        </w:rPr>
        <w:t>As of June 30, 2020, we had marketable securities held in the Trust Account of $1,104,209,313 (including approximately $4,209,000 of interest income and unrealized gains) consisting of U.S. Treasury Bills w</w:t>
      </w:r>
      <w:r>
        <w:rPr>
          <w:sz w:val="20"/>
          <w:szCs w:val="20"/>
        </w:rPr>
        <w:t xml:space="preserve">ith a maturity of 180 days or less. Interest income on the balance in the Trust Account may be used by us to pay taxes. Through June 30, 2020, we did not withdraw any interest earned on the Trust Account. </w:t>
      </w:r>
      <w:r>
        <w:rPr>
          <w:b/>
          <w:bCs/>
          <w:sz w:val="20"/>
          <w:szCs w:val="20"/>
        </w:rPr>
        <w:t> </w:t>
      </w:r>
    </w:p>
    <w:p w14:paraId="48BDC865" w14:textId="77777777" w:rsidR="00000000" w:rsidRDefault="006549D2">
      <w:pPr>
        <w:pStyle w:val="a3"/>
        <w:spacing w:before="0" w:beforeAutospacing="0" w:after="0" w:afterAutospacing="0"/>
        <w:ind w:firstLine="360"/>
        <w:jc w:val="both"/>
        <w:rPr>
          <w:sz w:val="20"/>
          <w:szCs w:val="20"/>
        </w:rPr>
      </w:pPr>
      <w:r>
        <w:rPr>
          <w:sz w:val="20"/>
          <w:szCs w:val="20"/>
        </w:rPr>
        <w:t> </w:t>
      </w:r>
    </w:p>
    <w:p w14:paraId="33BDB936" w14:textId="77777777" w:rsidR="00000000" w:rsidRDefault="006549D2">
      <w:pPr>
        <w:pStyle w:val="a3"/>
        <w:spacing w:before="0" w:beforeAutospacing="0" w:after="0" w:afterAutospacing="0"/>
        <w:ind w:firstLine="360"/>
        <w:jc w:val="both"/>
        <w:rPr>
          <w:sz w:val="20"/>
          <w:szCs w:val="20"/>
        </w:rPr>
      </w:pPr>
      <w:r>
        <w:rPr>
          <w:sz w:val="20"/>
          <w:szCs w:val="20"/>
        </w:rPr>
        <w:t xml:space="preserve">For the six months June 30, 2020, cash used in </w:t>
      </w:r>
      <w:r>
        <w:rPr>
          <w:sz w:val="20"/>
          <w:szCs w:val="20"/>
        </w:rPr>
        <w:t>operating activities was $949,613. Net income of $1,696,498 was affected by interest earned on marketable securities held in the Trust Account of $4,215,679, an unrealized loss on marketable securities held in our Trust Account of $6,366 and a deferred tax</w:t>
      </w:r>
      <w:r>
        <w:rPr>
          <w:sz w:val="20"/>
          <w:szCs w:val="20"/>
        </w:rPr>
        <w:t xml:space="preserve"> benefit of $1,337. Changes in operating assets and liabilities provided $1,564,539 of cash for operating activities.  </w:t>
      </w:r>
    </w:p>
    <w:p w14:paraId="10772363" w14:textId="77777777" w:rsidR="00000000" w:rsidRDefault="006549D2">
      <w:pPr>
        <w:pStyle w:val="a3"/>
        <w:spacing w:before="0" w:beforeAutospacing="0" w:after="0" w:afterAutospacing="0"/>
        <w:ind w:firstLine="360"/>
        <w:jc w:val="both"/>
        <w:rPr>
          <w:sz w:val="20"/>
          <w:szCs w:val="20"/>
        </w:rPr>
      </w:pPr>
      <w:r>
        <w:rPr>
          <w:sz w:val="20"/>
          <w:szCs w:val="20"/>
        </w:rPr>
        <w:t> </w:t>
      </w:r>
    </w:p>
    <w:p w14:paraId="45954D7A" w14:textId="77777777" w:rsidR="00000000" w:rsidRDefault="006549D2">
      <w:pPr>
        <w:pStyle w:val="a3"/>
        <w:spacing w:before="0" w:beforeAutospacing="0" w:after="0" w:afterAutospacing="0"/>
        <w:ind w:firstLine="360"/>
        <w:jc w:val="both"/>
        <w:rPr>
          <w:sz w:val="20"/>
          <w:szCs w:val="20"/>
        </w:rPr>
      </w:pPr>
      <w:r>
        <w:rPr>
          <w:sz w:val="20"/>
          <w:szCs w:val="20"/>
        </w:rPr>
        <w:t>We intend to use substantially all of the funds held in the Trust Account, including any amounts representing interest earned on the T</w:t>
      </w:r>
      <w:r>
        <w:rPr>
          <w:sz w:val="20"/>
          <w:szCs w:val="20"/>
        </w:rPr>
        <w:t>rust Account (less deferred underwriting commissions and income taxes payable), to complete our Business Combination. To the extent that our capital stock or debt is used, in whole or in part, as consideration to complete our Business Combination, the rema</w:t>
      </w:r>
      <w:r>
        <w:rPr>
          <w:sz w:val="20"/>
          <w:szCs w:val="20"/>
        </w:rPr>
        <w:t>ining proceeds held in the Trust Account will be used as working capital to finance the operations of the target business or businesses, make other acquisitions and pursue our growth strategies.</w:t>
      </w:r>
    </w:p>
    <w:p w14:paraId="0BCA2A39" w14:textId="77777777" w:rsidR="00000000" w:rsidRDefault="006549D2">
      <w:pPr>
        <w:pStyle w:val="a3"/>
        <w:spacing w:before="0" w:beforeAutospacing="0" w:after="0" w:afterAutospacing="0"/>
        <w:ind w:firstLine="360"/>
        <w:jc w:val="both"/>
        <w:rPr>
          <w:sz w:val="20"/>
          <w:szCs w:val="20"/>
        </w:rPr>
      </w:pPr>
      <w:r>
        <w:rPr>
          <w:sz w:val="20"/>
          <w:szCs w:val="20"/>
        </w:rPr>
        <w:t> </w:t>
      </w:r>
    </w:p>
    <w:p w14:paraId="65C28B92" w14:textId="77777777" w:rsidR="00000000" w:rsidRDefault="006549D2">
      <w:pPr>
        <w:pStyle w:val="a3"/>
        <w:spacing w:before="0" w:beforeAutospacing="0" w:after="0" w:afterAutospacing="0"/>
        <w:ind w:firstLine="360"/>
        <w:jc w:val="both"/>
        <w:rPr>
          <w:sz w:val="20"/>
          <w:szCs w:val="20"/>
        </w:rPr>
      </w:pPr>
      <w:r>
        <w:rPr>
          <w:sz w:val="20"/>
          <w:szCs w:val="20"/>
        </w:rPr>
        <w:t>As of June 30, 2020, we had cash of $2,955,367. We intend t</w:t>
      </w:r>
      <w:r>
        <w:rPr>
          <w:sz w:val="20"/>
          <w:szCs w:val="20"/>
        </w:rPr>
        <w:t>o use the funds held outside the Trust Account primarily to identify and evaluate target businesses, perform business due diligence on prospective target businesses, travel to and from the offices, plants or similar locations of prospective target business</w:t>
      </w:r>
      <w:r>
        <w:rPr>
          <w:sz w:val="20"/>
          <w:szCs w:val="20"/>
        </w:rPr>
        <w:t>es or their representatives or owners, review corporate documents and material agreements of prospective target businesses, and structure, negotiate and complete a Business Combination.</w:t>
      </w:r>
    </w:p>
    <w:p w14:paraId="73714916" w14:textId="77777777" w:rsidR="00000000" w:rsidRDefault="006549D2">
      <w:pPr>
        <w:pStyle w:val="a3"/>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27F482F" w14:textId="77777777">
        <w:trPr>
          <w:divId w:val="1950621214"/>
        </w:trPr>
        <w:tc>
          <w:tcPr>
            <w:tcW w:w="1650" w:type="pct"/>
            <w:hideMark/>
          </w:tcPr>
          <w:p w14:paraId="5C0DC428" w14:textId="77777777" w:rsidR="00000000" w:rsidRDefault="006549D2">
            <w:pPr>
              <w:rPr>
                <w:rFonts w:eastAsia="Times New Roman"/>
                <w:sz w:val="20"/>
                <w:szCs w:val="20"/>
              </w:rPr>
            </w:pPr>
            <w:r>
              <w:rPr>
                <w:rFonts w:eastAsia="Times New Roman"/>
                <w:sz w:val="20"/>
                <w:szCs w:val="20"/>
              </w:rPr>
              <w:t> </w:t>
            </w:r>
          </w:p>
        </w:tc>
        <w:tc>
          <w:tcPr>
            <w:tcW w:w="1700" w:type="pct"/>
            <w:hideMark/>
          </w:tcPr>
          <w:p w14:paraId="172B136B" w14:textId="77777777" w:rsidR="00000000" w:rsidRDefault="006549D2">
            <w:pPr>
              <w:jc w:val="center"/>
              <w:rPr>
                <w:rFonts w:eastAsia="Times New Roman"/>
                <w:sz w:val="20"/>
                <w:szCs w:val="20"/>
              </w:rPr>
            </w:pPr>
            <w:r>
              <w:rPr>
                <w:rFonts w:eastAsia="Times New Roman"/>
                <w:sz w:val="20"/>
                <w:szCs w:val="20"/>
              </w:rPr>
              <w:t>1</w:t>
            </w:r>
            <w:r>
              <w:rPr>
                <w:rFonts w:eastAsia="Times New Roman"/>
                <w:sz w:val="20"/>
                <w:szCs w:val="20"/>
              </w:rPr>
              <w:t>5</w:t>
            </w:r>
          </w:p>
        </w:tc>
        <w:tc>
          <w:tcPr>
            <w:tcW w:w="1650" w:type="pct"/>
            <w:hideMark/>
          </w:tcPr>
          <w:p w14:paraId="6A949E06" w14:textId="77777777" w:rsidR="00000000" w:rsidRDefault="006549D2">
            <w:pPr>
              <w:jc w:val="right"/>
              <w:rPr>
                <w:rFonts w:eastAsia="Times New Roman"/>
                <w:sz w:val="20"/>
                <w:szCs w:val="20"/>
              </w:rPr>
            </w:pPr>
            <w:r>
              <w:rPr>
                <w:rFonts w:eastAsia="Times New Roman"/>
                <w:sz w:val="20"/>
                <w:szCs w:val="20"/>
              </w:rPr>
              <w:t> </w:t>
            </w:r>
          </w:p>
        </w:tc>
      </w:tr>
    </w:tbl>
    <w:p w14:paraId="48012484" w14:textId="77777777" w:rsidR="00000000" w:rsidRDefault="006549D2">
      <w:pPr>
        <w:pStyle w:val="a3"/>
        <w:pageBreakBefore/>
        <w:spacing w:before="0" w:beforeAutospacing="0" w:after="0" w:afterAutospacing="0"/>
        <w:divId w:val="2086105438"/>
        <w:rPr>
          <w:sz w:val="20"/>
          <w:szCs w:val="20"/>
        </w:rPr>
      </w:pPr>
      <w:r>
        <w:rPr>
          <w:sz w:val="20"/>
          <w:szCs w:val="20"/>
        </w:rPr>
        <w:t> </w:t>
      </w:r>
    </w:p>
    <w:p w14:paraId="6EE2B5F1" w14:textId="77777777" w:rsidR="00000000" w:rsidRDefault="006549D2">
      <w:pPr>
        <w:pStyle w:val="a3"/>
        <w:spacing w:before="0" w:beforeAutospacing="0" w:after="0" w:afterAutospacing="0"/>
        <w:ind w:firstLine="360"/>
        <w:jc w:val="both"/>
        <w:rPr>
          <w:sz w:val="20"/>
          <w:szCs w:val="20"/>
        </w:rPr>
      </w:pPr>
      <w:r>
        <w:rPr>
          <w:sz w:val="20"/>
          <w:szCs w:val="20"/>
        </w:rPr>
        <w:t> </w:t>
      </w:r>
    </w:p>
    <w:p w14:paraId="0A6ABE2A" w14:textId="77777777" w:rsidR="00000000" w:rsidRDefault="006549D2">
      <w:pPr>
        <w:pStyle w:val="a3"/>
        <w:spacing w:before="0" w:beforeAutospacing="0" w:after="240" w:afterAutospacing="0"/>
        <w:ind w:firstLine="360"/>
        <w:jc w:val="both"/>
        <w:rPr>
          <w:sz w:val="20"/>
          <w:szCs w:val="20"/>
        </w:rPr>
      </w:pPr>
      <w:r>
        <w:rPr>
          <w:sz w:val="20"/>
          <w:szCs w:val="20"/>
        </w:rPr>
        <w:t xml:space="preserve">In order to fund working </w:t>
      </w:r>
      <w:r>
        <w:rPr>
          <w:sz w:val="20"/>
          <w:szCs w:val="20"/>
        </w:rPr>
        <w:t>capital deficiencies or finance transaction costs in connection with a Business Combination, the initial stockholders or their affiliates may, but are not obligated to, loan us funds as may be required. If we complete a Business Combination, we would repay</w:t>
      </w:r>
      <w:r>
        <w:rPr>
          <w:sz w:val="20"/>
          <w:szCs w:val="20"/>
        </w:rPr>
        <w:t xml:space="preserve"> such loaned amounts. In the event that a Business Combination does not close, we may use a portion of the working capital held outside the Trust Account to repay such loaned amounts but no proceeds from our Trust Account would be used for such repayment. </w:t>
      </w:r>
      <w:r>
        <w:rPr>
          <w:sz w:val="20"/>
          <w:szCs w:val="20"/>
        </w:rPr>
        <w:t>Up to $1,500,000 of such loans may be convertible into warrants identical to the Private Placement Warrants, at a price of $1.00 per warrant at the option of the lender.</w:t>
      </w:r>
    </w:p>
    <w:p w14:paraId="3C0DFC0B" w14:textId="77777777" w:rsidR="00000000" w:rsidRDefault="006549D2">
      <w:pPr>
        <w:pStyle w:val="a3"/>
        <w:spacing w:before="0" w:beforeAutospacing="0" w:after="0" w:afterAutospacing="0"/>
        <w:ind w:firstLine="400"/>
        <w:jc w:val="both"/>
        <w:rPr>
          <w:sz w:val="20"/>
          <w:szCs w:val="20"/>
        </w:rPr>
      </w:pPr>
      <w:r>
        <w:rPr>
          <w:sz w:val="20"/>
          <w:szCs w:val="20"/>
        </w:rPr>
        <w:t>On July 12, 2020, we issued a $1,500,000 Note to the Sponsor. The Note is non-intere</w:t>
      </w:r>
      <w:r>
        <w:rPr>
          <w:sz w:val="20"/>
          <w:szCs w:val="20"/>
        </w:rPr>
        <w:t>st bearing and payable on the earlier of (i) the consummation of a Business Combination or (ii) the date of liquidation. Up to $1,500,000 of such loans may be convertible into warrants at a price of $1.00 per warrant, at the lender’s discretion. The warran</w:t>
      </w:r>
      <w:r>
        <w:rPr>
          <w:sz w:val="20"/>
          <w:szCs w:val="20"/>
        </w:rPr>
        <w:t>ts would be identical to the Private Placement Warrants. On July 12, 2020, we drew down $1,500,000 under the Note.</w:t>
      </w:r>
    </w:p>
    <w:p w14:paraId="7F8B00F8" w14:textId="77777777" w:rsidR="00000000" w:rsidRDefault="006549D2">
      <w:pPr>
        <w:pStyle w:val="a3"/>
        <w:spacing w:before="0" w:beforeAutospacing="0" w:after="0" w:afterAutospacing="0"/>
        <w:ind w:firstLine="360"/>
        <w:jc w:val="both"/>
        <w:rPr>
          <w:sz w:val="20"/>
          <w:szCs w:val="20"/>
        </w:rPr>
      </w:pPr>
      <w:r>
        <w:rPr>
          <w:sz w:val="20"/>
          <w:szCs w:val="20"/>
        </w:rPr>
        <w:t> </w:t>
      </w:r>
    </w:p>
    <w:p w14:paraId="12B1152B" w14:textId="77777777" w:rsidR="00000000" w:rsidRDefault="006549D2">
      <w:pPr>
        <w:pStyle w:val="a3"/>
        <w:spacing w:before="0" w:beforeAutospacing="0" w:after="0" w:afterAutospacing="0"/>
        <w:ind w:firstLine="360"/>
        <w:jc w:val="both"/>
        <w:rPr>
          <w:sz w:val="20"/>
          <w:szCs w:val="20"/>
        </w:rPr>
      </w:pPr>
      <w:r>
        <w:rPr>
          <w:sz w:val="20"/>
          <w:szCs w:val="20"/>
        </w:rPr>
        <w:t>We do not believe we will need to raise additional funds in order to meet the expenditures required for operating our business. However, if</w:t>
      </w:r>
      <w:r>
        <w:rPr>
          <w:sz w:val="20"/>
          <w:szCs w:val="20"/>
        </w:rPr>
        <w:t xml:space="preserve"> our estimate of the costs of identifying a target business, undertaking in-depth due diligence and negotiating a Business Combination are less than the actual amount necessary to do so, we may have insufficient funds available to operate our business prio</w:t>
      </w:r>
      <w:r>
        <w:rPr>
          <w:sz w:val="20"/>
          <w:szCs w:val="20"/>
        </w:rPr>
        <w:t>r to our Business Combination. Moreover, we may need to obtain additional financing either to complete our Business Combination or because we become obligated to redeem a significant number of our public shares upon consummation of our Business Combination</w:t>
      </w:r>
      <w:r>
        <w:rPr>
          <w:sz w:val="20"/>
          <w:szCs w:val="20"/>
        </w:rPr>
        <w:t>, in which case we may issue additional securities or incur debt in connection with such Business Combination. Subject to compliance with applicable securities laws, we would only complete such financing simultaneously with the completion of our Business C</w:t>
      </w:r>
      <w:r>
        <w:rPr>
          <w:sz w:val="20"/>
          <w:szCs w:val="20"/>
        </w:rPr>
        <w:t>ombination. If we are unable to complete our Business Combination because we do not have sufficient funds available to us, we will be forced to cease operations and liquidate the Trust Account. In addition, following our Business Combination, if cash on ha</w:t>
      </w:r>
      <w:r>
        <w:rPr>
          <w:sz w:val="20"/>
          <w:szCs w:val="20"/>
        </w:rPr>
        <w:t>nd is insufficient, we may need to obtain additional financing in order to meet our obligations.</w:t>
      </w:r>
    </w:p>
    <w:p w14:paraId="2E85DBD4" w14:textId="77777777" w:rsidR="00000000" w:rsidRDefault="006549D2">
      <w:pPr>
        <w:pStyle w:val="a3"/>
        <w:spacing w:before="0" w:beforeAutospacing="0" w:after="0" w:afterAutospacing="0"/>
        <w:jc w:val="both"/>
        <w:rPr>
          <w:sz w:val="20"/>
          <w:szCs w:val="20"/>
        </w:rPr>
      </w:pPr>
      <w:r>
        <w:rPr>
          <w:sz w:val="20"/>
          <w:szCs w:val="20"/>
        </w:rPr>
        <w:t> </w:t>
      </w:r>
    </w:p>
    <w:p w14:paraId="604F193F" w14:textId="77777777" w:rsidR="00000000" w:rsidRDefault="006549D2">
      <w:pPr>
        <w:pStyle w:val="a3"/>
        <w:spacing w:before="0" w:beforeAutospacing="0" w:after="0" w:afterAutospacing="0"/>
        <w:jc w:val="both"/>
        <w:rPr>
          <w:sz w:val="20"/>
          <w:szCs w:val="20"/>
        </w:rPr>
      </w:pPr>
      <w:r>
        <w:rPr>
          <w:b/>
          <w:bCs/>
          <w:sz w:val="20"/>
          <w:szCs w:val="20"/>
        </w:rPr>
        <w:t>Off-Balance Sheet Arrangements</w:t>
      </w:r>
    </w:p>
    <w:p w14:paraId="55887FCB" w14:textId="77777777" w:rsidR="00000000" w:rsidRDefault="006549D2">
      <w:pPr>
        <w:pStyle w:val="a3"/>
        <w:spacing w:before="0" w:beforeAutospacing="0" w:after="0" w:afterAutospacing="0"/>
        <w:jc w:val="both"/>
        <w:rPr>
          <w:sz w:val="20"/>
          <w:szCs w:val="20"/>
        </w:rPr>
      </w:pPr>
      <w:r>
        <w:rPr>
          <w:sz w:val="20"/>
          <w:szCs w:val="20"/>
        </w:rPr>
        <w:t> </w:t>
      </w:r>
    </w:p>
    <w:p w14:paraId="709B7CE3" w14:textId="77777777" w:rsidR="00000000" w:rsidRDefault="006549D2">
      <w:pPr>
        <w:pStyle w:val="a3"/>
        <w:spacing w:before="0" w:beforeAutospacing="0" w:after="0" w:afterAutospacing="0"/>
        <w:ind w:firstLine="360"/>
        <w:jc w:val="both"/>
        <w:rPr>
          <w:sz w:val="20"/>
          <w:szCs w:val="20"/>
        </w:rPr>
      </w:pPr>
      <w:r>
        <w:rPr>
          <w:sz w:val="20"/>
          <w:szCs w:val="20"/>
        </w:rPr>
        <w:t>We did not have any off-balance sheet arrangements as of June 30, 2020.</w:t>
      </w:r>
    </w:p>
    <w:p w14:paraId="1813111F" w14:textId="77777777" w:rsidR="00000000" w:rsidRDefault="006549D2">
      <w:pPr>
        <w:pStyle w:val="a3"/>
        <w:spacing w:before="0" w:beforeAutospacing="0" w:after="0" w:afterAutospacing="0"/>
        <w:jc w:val="both"/>
        <w:rPr>
          <w:sz w:val="20"/>
          <w:szCs w:val="20"/>
        </w:rPr>
      </w:pPr>
      <w:r>
        <w:rPr>
          <w:sz w:val="20"/>
          <w:szCs w:val="20"/>
        </w:rPr>
        <w:t> </w:t>
      </w:r>
    </w:p>
    <w:p w14:paraId="2E848118" w14:textId="77777777" w:rsidR="00000000" w:rsidRDefault="006549D2">
      <w:pPr>
        <w:pStyle w:val="a3"/>
        <w:spacing w:before="0" w:beforeAutospacing="0" w:after="0" w:afterAutospacing="0"/>
        <w:rPr>
          <w:sz w:val="20"/>
          <w:szCs w:val="20"/>
        </w:rPr>
      </w:pPr>
      <w:r>
        <w:rPr>
          <w:b/>
          <w:bCs/>
          <w:sz w:val="20"/>
          <w:szCs w:val="20"/>
        </w:rPr>
        <w:t>Contractual obligations</w:t>
      </w:r>
    </w:p>
    <w:p w14:paraId="2C593D5A" w14:textId="77777777" w:rsidR="00000000" w:rsidRDefault="006549D2">
      <w:pPr>
        <w:pStyle w:val="a3"/>
        <w:spacing w:before="0" w:beforeAutospacing="0" w:after="0" w:afterAutospacing="0"/>
        <w:rPr>
          <w:sz w:val="20"/>
          <w:szCs w:val="20"/>
        </w:rPr>
      </w:pPr>
      <w:r>
        <w:rPr>
          <w:sz w:val="20"/>
          <w:szCs w:val="20"/>
        </w:rPr>
        <w:t>  </w:t>
      </w:r>
    </w:p>
    <w:p w14:paraId="7693720B" w14:textId="77777777" w:rsidR="00000000" w:rsidRDefault="006549D2">
      <w:pPr>
        <w:pStyle w:val="a3"/>
        <w:spacing w:before="0" w:beforeAutospacing="0" w:after="0" w:afterAutospacing="0"/>
        <w:ind w:firstLine="360"/>
        <w:jc w:val="both"/>
        <w:rPr>
          <w:sz w:val="20"/>
          <w:szCs w:val="20"/>
        </w:rPr>
      </w:pPr>
      <w:r>
        <w:rPr>
          <w:sz w:val="20"/>
          <w:szCs w:val="20"/>
        </w:rPr>
        <w:t>We do not have any long-term debt, capital lease obligations, operating lease obligations or long-term liabilities, other than an agreement to pay an affiliate of the Sponsor a monthly fee of $50,000 for office space, administrative and support services to</w:t>
      </w:r>
      <w:r>
        <w:rPr>
          <w:sz w:val="20"/>
          <w:szCs w:val="20"/>
        </w:rPr>
        <w:t xml:space="preserve"> the Company. We began incurring these fees on February 13, 2020 and will continue to incur these fees monthly until the earlier of the completion of the Business Combination and our liquidation.</w:t>
      </w:r>
    </w:p>
    <w:p w14:paraId="118B13B9" w14:textId="77777777" w:rsidR="00000000" w:rsidRDefault="006549D2">
      <w:pPr>
        <w:pStyle w:val="a3"/>
        <w:spacing w:before="0" w:beforeAutospacing="0" w:after="0" w:afterAutospacing="0"/>
        <w:ind w:firstLine="360"/>
        <w:jc w:val="both"/>
        <w:rPr>
          <w:sz w:val="20"/>
          <w:szCs w:val="20"/>
        </w:rPr>
      </w:pPr>
      <w:r>
        <w:rPr>
          <w:sz w:val="20"/>
          <w:szCs w:val="20"/>
        </w:rPr>
        <w:t> </w:t>
      </w:r>
    </w:p>
    <w:p w14:paraId="1F806046" w14:textId="77777777" w:rsidR="00000000" w:rsidRDefault="006549D2">
      <w:pPr>
        <w:pStyle w:val="a3"/>
        <w:spacing w:before="0" w:beforeAutospacing="0" w:after="0" w:afterAutospacing="0"/>
        <w:ind w:firstLine="400"/>
        <w:jc w:val="both"/>
        <w:rPr>
          <w:sz w:val="20"/>
          <w:szCs w:val="20"/>
        </w:rPr>
      </w:pPr>
      <w:r>
        <w:rPr>
          <w:sz w:val="20"/>
          <w:szCs w:val="20"/>
        </w:rPr>
        <w:t>The underwriters are entitled to a deferred fee of $38,500</w:t>
      </w:r>
      <w:r>
        <w:rPr>
          <w:sz w:val="20"/>
          <w:szCs w:val="20"/>
        </w:rPr>
        <w:t>,000 in the aggregate. The deferred fee will be waived by the underwriters in the event that we do not complete a Business Combination, subject to the terms of the underwriting agreement. On February 13, 2020, underwriters agreed to waive the upfront under</w:t>
      </w:r>
      <w:r>
        <w:rPr>
          <w:sz w:val="20"/>
          <w:szCs w:val="20"/>
        </w:rPr>
        <w:t>writing discount on 17,990,000 Units, resulting in a reduction of the upfront underwriting discount of $3,598,000.</w:t>
      </w:r>
    </w:p>
    <w:p w14:paraId="1AFA1C86" w14:textId="77777777" w:rsidR="00000000" w:rsidRDefault="006549D2">
      <w:pPr>
        <w:pStyle w:val="a3"/>
        <w:spacing w:before="0" w:beforeAutospacing="0" w:after="0" w:afterAutospacing="0"/>
        <w:rPr>
          <w:sz w:val="20"/>
          <w:szCs w:val="20"/>
        </w:rPr>
      </w:pPr>
      <w:r>
        <w:rPr>
          <w:sz w:val="20"/>
          <w:szCs w:val="20"/>
        </w:rPr>
        <w:t> </w:t>
      </w:r>
    </w:p>
    <w:p w14:paraId="0824F1E9" w14:textId="77777777" w:rsidR="00000000" w:rsidRDefault="006549D2">
      <w:pPr>
        <w:pStyle w:val="a3"/>
        <w:spacing w:before="0" w:beforeAutospacing="0" w:after="0" w:afterAutospacing="0"/>
        <w:rPr>
          <w:sz w:val="20"/>
          <w:szCs w:val="20"/>
        </w:rPr>
      </w:pPr>
      <w:r>
        <w:rPr>
          <w:b/>
          <w:bCs/>
          <w:sz w:val="20"/>
          <w:szCs w:val="20"/>
        </w:rPr>
        <w:t>Critical Accounting Policies</w:t>
      </w:r>
    </w:p>
    <w:p w14:paraId="0C613816" w14:textId="77777777" w:rsidR="00000000" w:rsidRDefault="006549D2">
      <w:pPr>
        <w:pStyle w:val="a3"/>
        <w:spacing w:before="0" w:beforeAutospacing="0" w:after="0" w:afterAutospacing="0"/>
        <w:rPr>
          <w:sz w:val="20"/>
          <w:szCs w:val="20"/>
        </w:rPr>
      </w:pPr>
      <w:r>
        <w:rPr>
          <w:sz w:val="20"/>
          <w:szCs w:val="20"/>
        </w:rPr>
        <w:t> </w:t>
      </w:r>
    </w:p>
    <w:p w14:paraId="08B15F90" w14:textId="77777777" w:rsidR="00000000" w:rsidRDefault="006549D2">
      <w:pPr>
        <w:pStyle w:val="a3"/>
        <w:spacing w:before="0" w:beforeAutospacing="0" w:after="0" w:afterAutospacing="0"/>
        <w:ind w:firstLine="360"/>
        <w:jc w:val="both"/>
        <w:rPr>
          <w:sz w:val="20"/>
          <w:szCs w:val="20"/>
        </w:rPr>
      </w:pPr>
      <w:r>
        <w:rPr>
          <w:sz w:val="20"/>
          <w:szCs w:val="20"/>
        </w:rPr>
        <w:t>The preparation of condensed financial statements and related disclosures in conformity with accounting prin</w:t>
      </w:r>
      <w:r>
        <w:rPr>
          <w:sz w:val="20"/>
          <w:szCs w:val="20"/>
        </w:rPr>
        <w:t>ciples generally accepted in the United States of America requires management to make estimates and assumptions that affect the reported amounts of assets and liabilities, disclosure of contingent assets and liabilities at the date of the financial stateme</w:t>
      </w:r>
      <w:r>
        <w:rPr>
          <w:sz w:val="20"/>
          <w:szCs w:val="20"/>
        </w:rPr>
        <w:t>nts, and income and expenses during the periods reported. Actual results could materially differ from those estimates. We have identified the following critical accounting policies:</w:t>
      </w:r>
    </w:p>
    <w:p w14:paraId="17ABDA4D" w14:textId="77777777" w:rsidR="00000000" w:rsidRDefault="006549D2">
      <w:pPr>
        <w:pStyle w:val="a3"/>
        <w:spacing w:before="0" w:beforeAutospacing="0" w:after="0" w:afterAutospacing="0"/>
        <w:jc w:val="both"/>
        <w:rPr>
          <w:sz w:val="20"/>
          <w:szCs w:val="20"/>
        </w:rPr>
      </w:pPr>
      <w:r>
        <w:rPr>
          <w:sz w:val="20"/>
          <w:szCs w:val="20"/>
        </w:rPr>
        <w:t> </w:t>
      </w:r>
    </w:p>
    <w:p w14:paraId="36E27E49" w14:textId="77777777" w:rsidR="00000000" w:rsidRDefault="006549D2">
      <w:pPr>
        <w:pStyle w:val="a3"/>
        <w:spacing w:before="0" w:beforeAutospacing="0" w:after="0" w:afterAutospacing="0"/>
        <w:jc w:val="both"/>
        <w:rPr>
          <w:sz w:val="20"/>
          <w:szCs w:val="20"/>
        </w:rPr>
      </w:pPr>
      <w:r>
        <w:rPr>
          <w:i/>
          <w:iCs/>
          <w:sz w:val="20"/>
          <w:szCs w:val="20"/>
        </w:rPr>
        <w:t>Common stock subject to possible redemption</w:t>
      </w:r>
    </w:p>
    <w:p w14:paraId="2A1386D8" w14:textId="77777777" w:rsidR="00000000" w:rsidRDefault="006549D2">
      <w:pPr>
        <w:pStyle w:val="a3"/>
        <w:spacing w:before="0" w:beforeAutospacing="0" w:after="0" w:afterAutospacing="0"/>
        <w:jc w:val="both"/>
        <w:rPr>
          <w:sz w:val="20"/>
          <w:szCs w:val="20"/>
        </w:rPr>
      </w:pPr>
      <w:r>
        <w:rPr>
          <w:sz w:val="20"/>
          <w:szCs w:val="20"/>
        </w:rPr>
        <w:t> </w:t>
      </w:r>
    </w:p>
    <w:p w14:paraId="4A28DB85" w14:textId="77777777" w:rsidR="00000000" w:rsidRDefault="006549D2">
      <w:pPr>
        <w:pStyle w:val="a3"/>
        <w:spacing w:before="0" w:beforeAutospacing="0" w:after="0" w:afterAutospacing="0"/>
        <w:ind w:firstLine="360"/>
        <w:jc w:val="both"/>
        <w:rPr>
          <w:sz w:val="20"/>
          <w:szCs w:val="20"/>
        </w:rPr>
      </w:pPr>
      <w:r>
        <w:rPr>
          <w:sz w:val="20"/>
          <w:szCs w:val="20"/>
        </w:rPr>
        <w:t xml:space="preserve">We account for our common </w:t>
      </w:r>
      <w:r>
        <w:rPr>
          <w:sz w:val="20"/>
          <w:szCs w:val="20"/>
        </w:rPr>
        <w:t>stock subject to possible conversion in accordance with the guidance in Accounting Standards Codification (“ASC”) Topic 480 “Distinguishing Liabilities from Equity.” Common stock subject to mandatory redemption is classified as a liability instrument and m</w:t>
      </w:r>
      <w:r>
        <w:rPr>
          <w:sz w:val="20"/>
          <w:szCs w:val="20"/>
        </w:rPr>
        <w:t>easured at fair value. Conditionally redeemable common stock (including common stock that features redemption rights that are either within the control of the holder or subject to redemption upon the occurrence of uncertain events not solely within our con</w:t>
      </w:r>
      <w:r>
        <w:rPr>
          <w:sz w:val="20"/>
          <w:szCs w:val="20"/>
        </w:rPr>
        <w:t>trol) is classified as temporary equity. At all other times, common stock is classified as stockholders’ equity. Our common stock features certain redemption rights that are considered to be outside of our control and subject to occurrence of uncertain fut</w:t>
      </w:r>
      <w:r>
        <w:rPr>
          <w:sz w:val="20"/>
          <w:szCs w:val="20"/>
        </w:rPr>
        <w:t>ure events. Accordingly, common stock subject to possible redemption is presented at redemption value as temporary equity, outside of the stockholders’ equity section of our condensed balance sheet.</w:t>
      </w:r>
    </w:p>
    <w:p w14:paraId="1C7A48FF" w14:textId="77777777" w:rsidR="00000000" w:rsidRDefault="006549D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D878D9D" w14:textId="77777777">
        <w:trPr>
          <w:divId w:val="143744368"/>
        </w:trPr>
        <w:tc>
          <w:tcPr>
            <w:tcW w:w="1650" w:type="pct"/>
            <w:hideMark/>
          </w:tcPr>
          <w:p w14:paraId="1A4F23A6" w14:textId="77777777" w:rsidR="00000000" w:rsidRDefault="006549D2">
            <w:pPr>
              <w:rPr>
                <w:rFonts w:eastAsia="Times New Roman"/>
                <w:sz w:val="20"/>
                <w:szCs w:val="20"/>
              </w:rPr>
            </w:pPr>
            <w:r>
              <w:rPr>
                <w:rFonts w:eastAsia="Times New Roman"/>
                <w:sz w:val="20"/>
                <w:szCs w:val="20"/>
              </w:rPr>
              <w:t> </w:t>
            </w:r>
          </w:p>
        </w:tc>
        <w:tc>
          <w:tcPr>
            <w:tcW w:w="1700" w:type="pct"/>
            <w:hideMark/>
          </w:tcPr>
          <w:p w14:paraId="691755F1" w14:textId="77777777" w:rsidR="00000000" w:rsidRDefault="006549D2">
            <w:pPr>
              <w:jc w:val="center"/>
              <w:rPr>
                <w:rFonts w:eastAsia="Times New Roman"/>
                <w:sz w:val="20"/>
                <w:szCs w:val="20"/>
              </w:rPr>
            </w:pPr>
            <w:r>
              <w:rPr>
                <w:rFonts w:eastAsia="Times New Roman"/>
                <w:sz w:val="20"/>
                <w:szCs w:val="20"/>
              </w:rPr>
              <w:t>1</w:t>
            </w:r>
            <w:r>
              <w:rPr>
                <w:rFonts w:eastAsia="Times New Roman"/>
                <w:sz w:val="20"/>
                <w:szCs w:val="20"/>
              </w:rPr>
              <w:t>6</w:t>
            </w:r>
          </w:p>
        </w:tc>
        <w:tc>
          <w:tcPr>
            <w:tcW w:w="1650" w:type="pct"/>
            <w:hideMark/>
          </w:tcPr>
          <w:p w14:paraId="3F48F90F" w14:textId="77777777" w:rsidR="00000000" w:rsidRDefault="006549D2">
            <w:pPr>
              <w:jc w:val="right"/>
              <w:rPr>
                <w:rFonts w:eastAsia="Times New Roman"/>
                <w:sz w:val="20"/>
                <w:szCs w:val="20"/>
              </w:rPr>
            </w:pPr>
            <w:r>
              <w:rPr>
                <w:rFonts w:eastAsia="Times New Roman"/>
                <w:sz w:val="20"/>
                <w:szCs w:val="20"/>
              </w:rPr>
              <w:t> </w:t>
            </w:r>
          </w:p>
        </w:tc>
      </w:tr>
    </w:tbl>
    <w:p w14:paraId="04509FB9" w14:textId="77777777" w:rsidR="00000000" w:rsidRDefault="006549D2">
      <w:pPr>
        <w:pStyle w:val="a3"/>
        <w:pageBreakBefore/>
        <w:spacing w:before="0" w:beforeAutospacing="0" w:after="0" w:afterAutospacing="0"/>
        <w:divId w:val="780687836"/>
        <w:rPr>
          <w:sz w:val="20"/>
          <w:szCs w:val="20"/>
        </w:rPr>
      </w:pPr>
      <w:r>
        <w:rPr>
          <w:sz w:val="20"/>
          <w:szCs w:val="20"/>
        </w:rPr>
        <w:t> </w:t>
      </w:r>
    </w:p>
    <w:p w14:paraId="240C2E09" w14:textId="77777777" w:rsidR="00000000" w:rsidRDefault="006549D2">
      <w:pPr>
        <w:pStyle w:val="a3"/>
        <w:spacing w:before="0" w:beforeAutospacing="0" w:after="0" w:afterAutospacing="0"/>
        <w:jc w:val="both"/>
        <w:rPr>
          <w:sz w:val="20"/>
          <w:szCs w:val="20"/>
        </w:rPr>
      </w:pPr>
      <w:r>
        <w:rPr>
          <w:sz w:val="20"/>
          <w:szCs w:val="20"/>
        </w:rPr>
        <w:t> </w:t>
      </w:r>
    </w:p>
    <w:p w14:paraId="024EE118" w14:textId="77777777" w:rsidR="00000000" w:rsidRDefault="006549D2">
      <w:pPr>
        <w:pStyle w:val="a3"/>
        <w:spacing w:before="0" w:beforeAutospacing="0" w:after="0" w:afterAutospacing="0"/>
        <w:jc w:val="both"/>
        <w:rPr>
          <w:sz w:val="20"/>
          <w:szCs w:val="20"/>
        </w:rPr>
      </w:pPr>
      <w:r>
        <w:rPr>
          <w:i/>
          <w:iCs/>
          <w:sz w:val="20"/>
          <w:szCs w:val="20"/>
        </w:rPr>
        <w:t>Net income per common share</w:t>
      </w:r>
    </w:p>
    <w:p w14:paraId="271E16AF" w14:textId="77777777" w:rsidR="00000000" w:rsidRDefault="006549D2">
      <w:pPr>
        <w:pStyle w:val="a3"/>
        <w:spacing w:before="0" w:beforeAutospacing="0" w:after="0" w:afterAutospacing="0"/>
        <w:jc w:val="both"/>
        <w:rPr>
          <w:sz w:val="20"/>
          <w:szCs w:val="20"/>
        </w:rPr>
      </w:pPr>
      <w:r>
        <w:rPr>
          <w:sz w:val="20"/>
          <w:szCs w:val="20"/>
        </w:rPr>
        <w:t> </w:t>
      </w:r>
    </w:p>
    <w:p w14:paraId="4858FD8F" w14:textId="77777777" w:rsidR="00000000" w:rsidRDefault="006549D2">
      <w:pPr>
        <w:pStyle w:val="a3"/>
        <w:spacing w:before="0" w:beforeAutospacing="0" w:after="0" w:afterAutospacing="0"/>
        <w:ind w:firstLine="360"/>
        <w:jc w:val="both"/>
        <w:rPr>
          <w:sz w:val="20"/>
          <w:szCs w:val="20"/>
        </w:rPr>
      </w:pPr>
      <w:r>
        <w:rPr>
          <w:sz w:val="20"/>
          <w:szCs w:val="20"/>
        </w:rPr>
        <w:t>We apply the two-class method in calculating earnings per share. Common stock subject to possible redemption which is not currently redeemable and is not redeemable at fair value, has been excluded from the calculation of basi</w:t>
      </w:r>
      <w:r>
        <w:rPr>
          <w:sz w:val="20"/>
          <w:szCs w:val="20"/>
        </w:rPr>
        <w:t xml:space="preserve">c net income per common share since such shares, if redeemed, only participate in their pro rata share of the Trust Account earnings. Our net income is adjusted for the portion of income that is attributable to common stock subject to possible redemption, </w:t>
      </w:r>
      <w:r>
        <w:rPr>
          <w:sz w:val="20"/>
          <w:szCs w:val="20"/>
        </w:rPr>
        <w:t>as these shares only participate in the earnings of the Trust Account and not our income or losses.</w:t>
      </w:r>
    </w:p>
    <w:p w14:paraId="19043A75" w14:textId="77777777" w:rsidR="00000000" w:rsidRDefault="006549D2">
      <w:pPr>
        <w:pStyle w:val="a3"/>
        <w:spacing w:before="0" w:beforeAutospacing="0" w:after="0" w:afterAutospacing="0"/>
        <w:ind w:firstLine="720"/>
        <w:rPr>
          <w:sz w:val="20"/>
          <w:szCs w:val="20"/>
        </w:rPr>
      </w:pPr>
      <w:r>
        <w:rPr>
          <w:sz w:val="20"/>
          <w:szCs w:val="20"/>
        </w:rPr>
        <w:t> </w:t>
      </w:r>
    </w:p>
    <w:p w14:paraId="5243565F" w14:textId="77777777" w:rsidR="00000000" w:rsidRDefault="006549D2">
      <w:pPr>
        <w:pStyle w:val="a3"/>
        <w:spacing w:before="0" w:beforeAutospacing="0" w:after="0" w:afterAutospacing="0"/>
        <w:jc w:val="both"/>
        <w:rPr>
          <w:sz w:val="20"/>
          <w:szCs w:val="20"/>
        </w:rPr>
      </w:pPr>
      <w:r>
        <w:rPr>
          <w:sz w:val="20"/>
          <w:szCs w:val="20"/>
        </w:rPr>
        <w:t> </w:t>
      </w:r>
      <w:r>
        <w:rPr>
          <w:i/>
          <w:iCs/>
          <w:sz w:val="20"/>
          <w:szCs w:val="20"/>
        </w:rPr>
        <w:t>Recent accounting standards</w:t>
      </w:r>
    </w:p>
    <w:p w14:paraId="7C55595E" w14:textId="77777777" w:rsidR="00000000" w:rsidRDefault="006549D2">
      <w:pPr>
        <w:pStyle w:val="a3"/>
        <w:spacing w:before="0" w:beforeAutospacing="0" w:after="0" w:afterAutospacing="0"/>
        <w:jc w:val="both"/>
        <w:rPr>
          <w:sz w:val="20"/>
          <w:szCs w:val="20"/>
        </w:rPr>
      </w:pPr>
      <w:r>
        <w:rPr>
          <w:sz w:val="20"/>
          <w:szCs w:val="20"/>
        </w:rPr>
        <w:t> </w:t>
      </w:r>
    </w:p>
    <w:p w14:paraId="715269B3" w14:textId="77777777" w:rsidR="00000000" w:rsidRDefault="006549D2">
      <w:pPr>
        <w:pStyle w:val="a3"/>
        <w:spacing w:before="0" w:beforeAutospacing="0" w:after="0" w:afterAutospacing="0"/>
        <w:ind w:firstLine="360"/>
        <w:jc w:val="both"/>
        <w:rPr>
          <w:sz w:val="20"/>
          <w:szCs w:val="20"/>
        </w:rPr>
      </w:pPr>
      <w:r>
        <w:rPr>
          <w:sz w:val="20"/>
          <w:szCs w:val="20"/>
        </w:rPr>
        <w:t>Management does not believe that any recently issued, but not yet effective, accounting standards, if currently adopted, wo</w:t>
      </w:r>
      <w:r>
        <w:rPr>
          <w:sz w:val="20"/>
          <w:szCs w:val="20"/>
        </w:rPr>
        <w:t>uld have a material effect on our condensed financial statements.</w:t>
      </w:r>
    </w:p>
    <w:p w14:paraId="01ADF04B" w14:textId="77777777" w:rsidR="00000000" w:rsidRDefault="006549D2">
      <w:pPr>
        <w:pStyle w:val="a3"/>
        <w:spacing w:before="0" w:beforeAutospacing="0" w:after="0" w:afterAutospacing="0"/>
        <w:jc w:val="both"/>
        <w:rPr>
          <w:sz w:val="20"/>
          <w:szCs w:val="20"/>
        </w:rPr>
      </w:pPr>
      <w:r>
        <w:rPr>
          <w:sz w:val="20"/>
          <w:szCs w:val="20"/>
        </w:rPr>
        <w:t>  </w:t>
      </w:r>
    </w:p>
    <w:p w14:paraId="08E80EE5" w14:textId="77777777" w:rsidR="00000000" w:rsidRDefault="006549D2">
      <w:pPr>
        <w:pStyle w:val="a3"/>
        <w:spacing w:before="0" w:beforeAutospacing="0" w:after="0" w:afterAutospacing="0"/>
        <w:jc w:val="both"/>
        <w:rPr>
          <w:sz w:val="20"/>
          <w:szCs w:val="20"/>
        </w:rPr>
      </w:pPr>
      <w:bookmarkStart w:id="8" w:name="item3quqntitativeandquantitative"/>
      <w:bookmarkEnd w:id="8"/>
      <w:r>
        <w:rPr>
          <w:b/>
          <w:bCs/>
          <w:sz w:val="20"/>
          <w:szCs w:val="20"/>
        </w:rPr>
        <w:t>Item 3. Quantitative and Qualitative Disclosures About Market Risk</w:t>
      </w:r>
    </w:p>
    <w:p w14:paraId="499009A9" w14:textId="77777777" w:rsidR="00000000" w:rsidRDefault="006549D2">
      <w:pPr>
        <w:pStyle w:val="a3"/>
        <w:spacing w:before="0" w:beforeAutospacing="0" w:after="0" w:afterAutospacing="0"/>
        <w:jc w:val="both"/>
        <w:rPr>
          <w:sz w:val="20"/>
          <w:szCs w:val="20"/>
        </w:rPr>
      </w:pPr>
      <w:r>
        <w:rPr>
          <w:sz w:val="20"/>
          <w:szCs w:val="20"/>
        </w:rPr>
        <w:t> </w:t>
      </w:r>
    </w:p>
    <w:p w14:paraId="35CF7825" w14:textId="77777777" w:rsidR="00000000" w:rsidRDefault="006549D2">
      <w:pPr>
        <w:pStyle w:val="a3"/>
        <w:spacing w:before="0" w:beforeAutospacing="0" w:after="0" w:afterAutospacing="0"/>
        <w:ind w:firstLine="360"/>
        <w:jc w:val="both"/>
        <w:rPr>
          <w:sz w:val="20"/>
          <w:szCs w:val="20"/>
        </w:rPr>
      </w:pPr>
      <w:r>
        <w:rPr>
          <w:sz w:val="20"/>
          <w:szCs w:val="20"/>
        </w:rPr>
        <w:t>As of June 30, 2020, we were not subject to any market or interest rate risk. Following the consummation of our Initia</w:t>
      </w:r>
      <w:r>
        <w:rPr>
          <w:sz w:val="20"/>
          <w:szCs w:val="20"/>
        </w:rPr>
        <w:t>l Public Offering, the net proceeds of our Initial Public Offering, including amounts in the Trust Account, have been invested in U.S. government treasury bills, notes or bonds with a maturity of 180 days or less or in certain money market funds that inves</w:t>
      </w:r>
      <w:r>
        <w:rPr>
          <w:sz w:val="20"/>
          <w:szCs w:val="20"/>
        </w:rPr>
        <w:t>t solely in U.S. treasuries. Due to the short-term nature of these investments, we believe there will be no associated material exposure to interest rate risk.</w:t>
      </w:r>
    </w:p>
    <w:p w14:paraId="7340F33D" w14:textId="77777777" w:rsidR="00000000" w:rsidRDefault="006549D2">
      <w:pPr>
        <w:pStyle w:val="a3"/>
        <w:spacing w:before="0" w:beforeAutospacing="0" w:after="0" w:afterAutospacing="0"/>
        <w:jc w:val="both"/>
        <w:rPr>
          <w:sz w:val="20"/>
          <w:szCs w:val="20"/>
        </w:rPr>
      </w:pPr>
      <w:r>
        <w:rPr>
          <w:b/>
          <w:bCs/>
          <w:sz w:val="20"/>
          <w:szCs w:val="20"/>
        </w:rPr>
        <w:t> </w:t>
      </w:r>
    </w:p>
    <w:p w14:paraId="1DC05629" w14:textId="77777777" w:rsidR="00000000" w:rsidRDefault="006549D2">
      <w:pPr>
        <w:pStyle w:val="a3"/>
        <w:spacing w:before="0" w:beforeAutospacing="0" w:after="0" w:afterAutospacing="0"/>
        <w:jc w:val="both"/>
        <w:rPr>
          <w:sz w:val="20"/>
          <w:szCs w:val="20"/>
        </w:rPr>
      </w:pPr>
      <w:bookmarkStart w:id="9" w:name="item4controlsandprocedures"/>
      <w:bookmarkEnd w:id="9"/>
      <w:r>
        <w:rPr>
          <w:b/>
          <w:bCs/>
          <w:sz w:val="20"/>
          <w:szCs w:val="20"/>
        </w:rPr>
        <w:t>Item 4. Controls and Procedures</w:t>
      </w:r>
    </w:p>
    <w:p w14:paraId="76B6250E" w14:textId="77777777" w:rsidR="00000000" w:rsidRDefault="006549D2">
      <w:pPr>
        <w:pStyle w:val="a3"/>
        <w:spacing w:before="0" w:beforeAutospacing="0" w:after="0" w:afterAutospacing="0"/>
        <w:jc w:val="both"/>
        <w:rPr>
          <w:sz w:val="20"/>
          <w:szCs w:val="20"/>
        </w:rPr>
      </w:pPr>
      <w:r>
        <w:rPr>
          <w:sz w:val="20"/>
          <w:szCs w:val="20"/>
        </w:rPr>
        <w:t> </w:t>
      </w:r>
    </w:p>
    <w:p w14:paraId="44B872D6" w14:textId="77777777" w:rsidR="00000000" w:rsidRDefault="006549D2">
      <w:pPr>
        <w:pStyle w:val="a3"/>
        <w:spacing w:before="0" w:beforeAutospacing="0" w:after="0" w:afterAutospacing="0"/>
        <w:jc w:val="both"/>
        <w:rPr>
          <w:sz w:val="20"/>
          <w:szCs w:val="20"/>
        </w:rPr>
      </w:pPr>
      <w:r>
        <w:rPr>
          <w:b/>
          <w:bCs/>
          <w:sz w:val="20"/>
          <w:szCs w:val="20"/>
        </w:rPr>
        <w:t>Evaluation of Disclosure Controls and Procedures</w:t>
      </w:r>
    </w:p>
    <w:p w14:paraId="731A532E" w14:textId="77777777" w:rsidR="00000000" w:rsidRDefault="006549D2">
      <w:pPr>
        <w:pStyle w:val="a3"/>
        <w:spacing w:before="0" w:beforeAutospacing="0" w:after="0" w:afterAutospacing="0"/>
        <w:jc w:val="both"/>
        <w:rPr>
          <w:sz w:val="20"/>
          <w:szCs w:val="20"/>
        </w:rPr>
      </w:pPr>
      <w:r>
        <w:rPr>
          <w:sz w:val="20"/>
          <w:szCs w:val="20"/>
        </w:rPr>
        <w:t> </w:t>
      </w:r>
    </w:p>
    <w:p w14:paraId="53F60AF0" w14:textId="77777777" w:rsidR="00000000" w:rsidRDefault="006549D2">
      <w:pPr>
        <w:pStyle w:val="a3"/>
        <w:spacing w:before="0" w:beforeAutospacing="0" w:after="0" w:afterAutospacing="0"/>
        <w:ind w:firstLine="360"/>
        <w:jc w:val="both"/>
        <w:rPr>
          <w:sz w:val="20"/>
          <w:szCs w:val="20"/>
        </w:rPr>
      </w:pPr>
      <w:r>
        <w:rPr>
          <w:sz w:val="20"/>
          <w:szCs w:val="20"/>
        </w:rPr>
        <w:t xml:space="preserve">Disclosure controls and procedures are designed to ensure that information required to be disclosed by us in our Exchange Act reports is recorded, processed, summarized, and reported within the time periods specified in the SEC’s rules and forms, and that </w:t>
      </w:r>
      <w:r>
        <w:rPr>
          <w:sz w:val="20"/>
          <w:szCs w:val="20"/>
        </w:rPr>
        <w:t>such information is accumulated and communicated to our management, including our principal executive officer and principal financial officer or persons performing similar functions, as appropriate to allow timely decisions regarding required disclosure.</w:t>
      </w:r>
    </w:p>
    <w:p w14:paraId="210E8383" w14:textId="77777777" w:rsidR="00000000" w:rsidRDefault="006549D2">
      <w:pPr>
        <w:pStyle w:val="a3"/>
        <w:spacing w:before="0" w:beforeAutospacing="0" w:after="0" w:afterAutospacing="0"/>
        <w:jc w:val="both"/>
        <w:rPr>
          <w:sz w:val="20"/>
          <w:szCs w:val="20"/>
        </w:rPr>
      </w:pPr>
      <w:r>
        <w:rPr>
          <w:sz w:val="20"/>
          <w:szCs w:val="20"/>
        </w:rPr>
        <w:t> </w:t>
      </w:r>
      <w:r>
        <w:rPr>
          <w:sz w:val="20"/>
          <w:szCs w:val="20"/>
        </w:rPr>
        <w:t> </w:t>
      </w:r>
    </w:p>
    <w:p w14:paraId="44D808C3" w14:textId="77777777" w:rsidR="00000000" w:rsidRDefault="006549D2">
      <w:pPr>
        <w:pStyle w:val="a3"/>
        <w:spacing w:before="0" w:beforeAutospacing="0" w:after="0" w:afterAutospacing="0"/>
        <w:ind w:firstLine="360"/>
        <w:jc w:val="both"/>
        <w:rPr>
          <w:sz w:val="20"/>
          <w:szCs w:val="20"/>
        </w:rPr>
      </w:pPr>
      <w:r>
        <w:rPr>
          <w:sz w:val="20"/>
          <w:szCs w:val="20"/>
        </w:rPr>
        <w:t xml:space="preserve">Under the supervision and with the participation of our management, including our principal executive officer and principal financial and accounting officer, we conducted an evaluation of the effectiveness of our disclosure controls and procedures as of </w:t>
      </w:r>
      <w:r>
        <w:rPr>
          <w:sz w:val="20"/>
          <w:szCs w:val="20"/>
        </w:rPr>
        <w:t>the end of the fiscal quarter ended June 30, 2020, as such term is defined in Rules 13a-15(e) and 15d-15(e) under the Exchange Act. Based on this evaluation, our principal executive officer and principal financial and accounting officer have concluded that</w:t>
      </w:r>
      <w:r>
        <w:rPr>
          <w:sz w:val="20"/>
          <w:szCs w:val="20"/>
        </w:rPr>
        <w:t xml:space="preserve"> during the period covered by this report, our disclosure controls and procedures were effective at a reasonable assurance level and, accordingly, provided reasonable assurance that the information required to be disclosed by us in reports filed under the </w:t>
      </w:r>
      <w:r>
        <w:rPr>
          <w:sz w:val="20"/>
          <w:szCs w:val="20"/>
        </w:rPr>
        <w:t>Exchange Act is recorded, processed, summarized and reported within the time periods specified in the SEC’s rules and forms.</w:t>
      </w:r>
    </w:p>
    <w:p w14:paraId="2ED50851" w14:textId="77777777" w:rsidR="00000000" w:rsidRDefault="006549D2">
      <w:pPr>
        <w:pStyle w:val="a3"/>
        <w:spacing w:before="0" w:beforeAutospacing="0" w:after="0" w:afterAutospacing="0"/>
        <w:jc w:val="both"/>
        <w:rPr>
          <w:sz w:val="20"/>
          <w:szCs w:val="20"/>
        </w:rPr>
      </w:pPr>
      <w:r>
        <w:rPr>
          <w:sz w:val="20"/>
          <w:szCs w:val="20"/>
        </w:rPr>
        <w:t> </w:t>
      </w:r>
    </w:p>
    <w:p w14:paraId="3DACDF59" w14:textId="77777777" w:rsidR="00000000" w:rsidRDefault="006549D2">
      <w:pPr>
        <w:pStyle w:val="a3"/>
        <w:spacing w:before="0" w:beforeAutospacing="0" w:after="0" w:afterAutospacing="0"/>
        <w:jc w:val="both"/>
        <w:rPr>
          <w:sz w:val="20"/>
          <w:szCs w:val="20"/>
        </w:rPr>
      </w:pPr>
      <w:r>
        <w:rPr>
          <w:b/>
          <w:bCs/>
          <w:sz w:val="20"/>
          <w:szCs w:val="20"/>
        </w:rPr>
        <w:t>Changes in Internal Control over Financial Reporting</w:t>
      </w:r>
    </w:p>
    <w:p w14:paraId="2C011D98" w14:textId="77777777" w:rsidR="00000000" w:rsidRDefault="006549D2">
      <w:pPr>
        <w:pStyle w:val="a3"/>
        <w:spacing w:before="0" w:beforeAutospacing="0" w:after="0" w:afterAutospacing="0"/>
        <w:jc w:val="both"/>
        <w:rPr>
          <w:sz w:val="20"/>
          <w:szCs w:val="20"/>
        </w:rPr>
      </w:pPr>
      <w:r>
        <w:rPr>
          <w:sz w:val="20"/>
          <w:szCs w:val="20"/>
        </w:rPr>
        <w:t> </w:t>
      </w:r>
    </w:p>
    <w:p w14:paraId="41D915E7" w14:textId="77777777" w:rsidR="00000000" w:rsidRDefault="006549D2">
      <w:pPr>
        <w:pStyle w:val="a3"/>
        <w:spacing w:before="0" w:beforeAutospacing="0" w:after="0" w:afterAutospacing="0"/>
        <w:ind w:firstLine="360"/>
        <w:jc w:val="both"/>
        <w:rPr>
          <w:sz w:val="20"/>
          <w:szCs w:val="20"/>
        </w:rPr>
      </w:pPr>
      <w:r>
        <w:rPr>
          <w:sz w:val="20"/>
          <w:szCs w:val="20"/>
        </w:rPr>
        <w:t xml:space="preserve">There was no change in our internal control over financial reporting that </w:t>
      </w:r>
      <w:r>
        <w:rPr>
          <w:sz w:val="20"/>
          <w:szCs w:val="20"/>
        </w:rPr>
        <w:t>occurred during the fiscal quarter of 2020 covered by this Quarterly Report on Form 10-Q that has materially affected, or is reasonably likely to materially affect, our internal control over financial reporting.</w:t>
      </w:r>
    </w:p>
    <w:p w14:paraId="402A15E9" w14:textId="77777777" w:rsidR="00000000" w:rsidRDefault="006549D2">
      <w:pPr>
        <w:pStyle w:val="a3"/>
        <w:spacing w:before="0" w:beforeAutospacing="0" w:after="0" w:afterAutospacing="0"/>
        <w:jc w:val="both"/>
        <w:rPr>
          <w:sz w:val="20"/>
          <w:szCs w:val="20"/>
        </w:rPr>
      </w:pPr>
      <w:r>
        <w:rPr>
          <w:sz w:val="20"/>
          <w:szCs w:val="20"/>
        </w:rPr>
        <w:t> </w:t>
      </w:r>
    </w:p>
    <w:p w14:paraId="29976111" w14:textId="77777777" w:rsidR="00000000" w:rsidRDefault="006549D2">
      <w:pPr>
        <w:pStyle w:val="a3"/>
        <w:spacing w:before="0" w:beforeAutospacing="0" w:after="0" w:afterAutospacing="0"/>
        <w:jc w:val="center"/>
        <w:rPr>
          <w:sz w:val="20"/>
          <w:szCs w:val="20"/>
        </w:rPr>
      </w:pPr>
      <w:bookmarkStart w:id="10" w:name="partIIotherinformation"/>
      <w:bookmarkEnd w:id="10"/>
      <w:r>
        <w:rPr>
          <w:b/>
          <w:bCs/>
          <w:sz w:val="20"/>
          <w:szCs w:val="20"/>
        </w:rPr>
        <w:t>PART II - OTHER INFORMATION</w:t>
      </w:r>
    </w:p>
    <w:p w14:paraId="2F737F5A" w14:textId="77777777" w:rsidR="00000000" w:rsidRDefault="006549D2">
      <w:pPr>
        <w:pStyle w:val="a3"/>
        <w:spacing w:before="0" w:beforeAutospacing="0" w:after="0" w:afterAutospacing="0"/>
        <w:jc w:val="center"/>
        <w:rPr>
          <w:sz w:val="20"/>
          <w:szCs w:val="20"/>
        </w:rPr>
      </w:pPr>
      <w:r>
        <w:rPr>
          <w:sz w:val="20"/>
          <w:szCs w:val="20"/>
        </w:rPr>
        <w:t> </w:t>
      </w:r>
    </w:p>
    <w:p w14:paraId="7CE95FAE" w14:textId="77777777" w:rsidR="00000000" w:rsidRDefault="006549D2">
      <w:pPr>
        <w:pStyle w:val="a3"/>
        <w:spacing w:before="0" w:beforeAutospacing="0" w:after="0" w:afterAutospacing="0"/>
        <w:jc w:val="both"/>
        <w:rPr>
          <w:sz w:val="20"/>
          <w:szCs w:val="20"/>
        </w:rPr>
      </w:pPr>
      <w:bookmarkStart w:id="11" w:name="item1legalproceedings"/>
      <w:bookmarkEnd w:id="11"/>
      <w:r>
        <w:rPr>
          <w:b/>
          <w:bCs/>
          <w:sz w:val="20"/>
          <w:szCs w:val="20"/>
        </w:rPr>
        <w:t>Item 1. Lega</w:t>
      </w:r>
      <w:r>
        <w:rPr>
          <w:b/>
          <w:bCs/>
          <w:sz w:val="20"/>
          <w:szCs w:val="20"/>
        </w:rPr>
        <w:t>l Proceedings.</w:t>
      </w:r>
    </w:p>
    <w:p w14:paraId="20089B10" w14:textId="77777777" w:rsidR="00000000" w:rsidRDefault="006549D2">
      <w:pPr>
        <w:pStyle w:val="a3"/>
        <w:spacing w:before="0" w:beforeAutospacing="0" w:after="0" w:afterAutospacing="0"/>
        <w:jc w:val="both"/>
        <w:rPr>
          <w:sz w:val="20"/>
          <w:szCs w:val="20"/>
        </w:rPr>
      </w:pPr>
      <w:r>
        <w:rPr>
          <w:sz w:val="20"/>
          <w:szCs w:val="20"/>
        </w:rPr>
        <w:t> </w:t>
      </w:r>
    </w:p>
    <w:p w14:paraId="05316A3E" w14:textId="77777777" w:rsidR="00000000" w:rsidRDefault="006549D2">
      <w:pPr>
        <w:pStyle w:val="a3"/>
        <w:spacing w:before="0" w:beforeAutospacing="0" w:after="0" w:afterAutospacing="0"/>
        <w:ind w:firstLine="360"/>
        <w:jc w:val="both"/>
        <w:rPr>
          <w:sz w:val="20"/>
          <w:szCs w:val="20"/>
        </w:rPr>
      </w:pPr>
      <w:r>
        <w:rPr>
          <w:sz w:val="20"/>
          <w:szCs w:val="20"/>
        </w:rPr>
        <w:t xml:space="preserve">None. </w:t>
      </w:r>
      <w:r>
        <w:rPr>
          <w:b/>
          <w:bCs/>
          <w:color w:val="010000"/>
          <w:sz w:val="20"/>
          <w:szCs w:val="20"/>
        </w:rPr>
        <w:t> </w:t>
      </w:r>
    </w:p>
    <w:p w14:paraId="53C56D31" w14:textId="77777777" w:rsidR="00000000" w:rsidRDefault="006549D2">
      <w:pPr>
        <w:pStyle w:val="a3"/>
        <w:spacing w:before="0" w:beforeAutospacing="0" w:after="0" w:afterAutospacing="0"/>
        <w:jc w:val="both"/>
        <w:rPr>
          <w:sz w:val="20"/>
          <w:szCs w:val="20"/>
        </w:rPr>
      </w:pPr>
      <w:r>
        <w:rPr>
          <w:sz w:val="20"/>
          <w:szCs w:val="20"/>
        </w:rPr>
        <w:t> </w:t>
      </w:r>
    </w:p>
    <w:p w14:paraId="57FAD222" w14:textId="77777777" w:rsidR="00000000" w:rsidRDefault="006549D2">
      <w:pPr>
        <w:pStyle w:val="a3"/>
        <w:spacing w:before="0" w:beforeAutospacing="0" w:after="0" w:afterAutospacing="0"/>
        <w:jc w:val="both"/>
        <w:rPr>
          <w:sz w:val="20"/>
          <w:szCs w:val="20"/>
        </w:rPr>
      </w:pPr>
      <w:bookmarkStart w:id="12" w:name="item1ariskfactors"/>
      <w:bookmarkEnd w:id="12"/>
      <w:r>
        <w:rPr>
          <w:b/>
          <w:bCs/>
          <w:sz w:val="20"/>
          <w:szCs w:val="20"/>
        </w:rPr>
        <w:t>Item 1A. Risk Factors.</w:t>
      </w:r>
    </w:p>
    <w:p w14:paraId="4C5C3A51" w14:textId="77777777" w:rsidR="00000000" w:rsidRDefault="006549D2">
      <w:pPr>
        <w:pStyle w:val="a3"/>
        <w:spacing w:before="0" w:beforeAutospacing="0" w:after="0" w:afterAutospacing="0"/>
        <w:jc w:val="both"/>
        <w:rPr>
          <w:sz w:val="20"/>
          <w:szCs w:val="20"/>
        </w:rPr>
      </w:pPr>
      <w:r>
        <w:rPr>
          <w:sz w:val="20"/>
          <w:szCs w:val="20"/>
        </w:rPr>
        <w:t> </w:t>
      </w:r>
    </w:p>
    <w:p w14:paraId="093618B6" w14:textId="77777777" w:rsidR="00000000" w:rsidRDefault="006549D2">
      <w:pPr>
        <w:pStyle w:val="a3"/>
        <w:spacing w:before="0" w:beforeAutospacing="0" w:after="0" w:afterAutospacing="0"/>
        <w:ind w:firstLine="360"/>
        <w:jc w:val="both"/>
        <w:rPr>
          <w:sz w:val="20"/>
          <w:szCs w:val="20"/>
        </w:rPr>
      </w:pPr>
      <w:r>
        <w:rPr>
          <w:sz w:val="20"/>
          <w:szCs w:val="20"/>
        </w:rPr>
        <w:t>Except as set forth below, as of the date of this Quarterly Report, there have been no material changes with respect to those risk factors previously disclosed in our Registration Statement filed with the</w:t>
      </w:r>
      <w:r>
        <w:rPr>
          <w:sz w:val="20"/>
          <w:szCs w:val="20"/>
        </w:rPr>
        <w:t xml:space="preserve"> SEC. Any of these factors could result in a significant or material adverse effect on our results of operations or financial condition. Additional risk factors not presently known to us or that we currently deem immaterial may also impair our business or </w:t>
      </w:r>
      <w:r>
        <w:rPr>
          <w:sz w:val="20"/>
          <w:szCs w:val="20"/>
        </w:rPr>
        <w:t>results of operations.</w:t>
      </w:r>
    </w:p>
    <w:p w14:paraId="7B5EA514" w14:textId="77777777" w:rsidR="00000000" w:rsidRDefault="006549D2">
      <w:pPr>
        <w:pStyle w:val="a3"/>
        <w:spacing w:before="0" w:beforeAutospacing="0" w:after="0" w:afterAutospacing="0"/>
        <w:ind w:firstLine="360"/>
        <w:jc w:val="both"/>
        <w:rPr>
          <w:sz w:val="20"/>
          <w:szCs w:val="20"/>
        </w:rPr>
      </w:pPr>
      <w:r>
        <w:rPr>
          <w:sz w:val="20"/>
          <w:szCs w:val="20"/>
        </w:rPr>
        <w:t> </w:t>
      </w:r>
    </w:p>
    <w:p w14:paraId="78EFDB7C" w14:textId="77777777" w:rsidR="00000000" w:rsidRDefault="006549D2">
      <w:pPr>
        <w:pStyle w:val="a3"/>
        <w:spacing w:before="0" w:beforeAutospacing="0" w:after="0" w:afterAutospacing="0"/>
        <w:jc w:val="both"/>
        <w:rPr>
          <w:sz w:val="20"/>
          <w:szCs w:val="20"/>
        </w:rPr>
      </w:pPr>
      <w:r>
        <w:rPr>
          <w:b/>
          <w:bCs/>
          <w:i/>
          <w:iCs/>
          <w:sz w:val="20"/>
          <w:szCs w:val="20"/>
        </w:rPr>
        <w:t>The securities in which we invest the funds held in the Trust Account could bear a negative rate of interest, which could reduce the value of the assets held in trust such that the per-share redemption amount received by public sto</w:t>
      </w:r>
      <w:r>
        <w:rPr>
          <w:b/>
          <w:bCs/>
          <w:i/>
          <w:iCs/>
          <w:sz w:val="20"/>
          <w:szCs w:val="20"/>
        </w:rPr>
        <w:t>ckholders may be less than $10.00 per share.</w:t>
      </w:r>
    </w:p>
    <w:p w14:paraId="24C4218E" w14:textId="77777777" w:rsidR="00000000" w:rsidRDefault="006549D2">
      <w:pPr>
        <w:pStyle w:val="a3"/>
        <w:spacing w:before="0" w:beforeAutospacing="0" w:after="0" w:afterAutospacing="0"/>
        <w:ind w:firstLine="360"/>
        <w:jc w:val="both"/>
        <w:rPr>
          <w:sz w:val="20"/>
          <w:szCs w:val="20"/>
        </w:rPr>
      </w:pPr>
      <w:r>
        <w:rPr>
          <w:sz w:val="20"/>
          <w:szCs w:val="20"/>
        </w:rPr>
        <w:t> </w:t>
      </w:r>
    </w:p>
    <w:p w14:paraId="134801A8" w14:textId="77777777" w:rsidR="00000000" w:rsidRDefault="006549D2">
      <w:pPr>
        <w:pStyle w:val="a3"/>
        <w:spacing w:before="0" w:beforeAutospacing="0" w:after="0" w:afterAutospacing="0"/>
        <w:ind w:firstLine="360"/>
        <w:jc w:val="both"/>
        <w:rPr>
          <w:sz w:val="20"/>
          <w:szCs w:val="20"/>
        </w:rPr>
      </w:pPr>
      <w:r>
        <w:rPr>
          <w:sz w:val="20"/>
          <w:szCs w:val="20"/>
        </w:rPr>
        <w:t>The proceeds held in the Trust Account are invested only in U.S. government treasury obligations with a maturity of 185 days or less or in money market funds meeting certain conditions under Rule 2a-7 under th</w:t>
      </w:r>
      <w:r>
        <w:rPr>
          <w:sz w:val="20"/>
          <w:szCs w:val="20"/>
        </w:rPr>
        <w:t>e Investment Company Act, which invest only in direct U.S. government treasury obligations. While short-term U.S. government treasury obligations currently yield a positive rate of interest, they have briefly yielded negative interest rates in recent years</w:t>
      </w:r>
      <w:r>
        <w:rPr>
          <w:sz w:val="20"/>
          <w:szCs w:val="20"/>
        </w:rPr>
        <w:t>. Central banks in Europe and Japan pursued interest rates below zero in recent years, and the Open Market Committee of the Federal Reserve has not ruled out the possibility that it may in the future adopt similar policies in the United States. In the even</w:t>
      </w:r>
      <w:r>
        <w:rPr>
          <w:sz w:val="20"/>
          <w:szCs w:val="20"/>
        </w:rPr>
        <w:t>t that we are unable to complete our initial business combination or make certain amendments to our Amended and Restated Certificate of Incorporation, our public stockholders are entitled to receive their pro-rata share of the proceeds held in the Trust Ac</w:t>
      </w:r>
      <w:r>
        <w:rPr>
          <w:sz w:val="20"/>
          <w:szCs w:val="20"/>
        </w:rPr>
        <w:t>count, plus any interest income not released to us, net of taxes payable. Negative interest rates could impact the per-share redemption amount that may be received by public stockholders.</w:t>
      </w:r>
    </w:p>
    <w:p w14:paraId="4C743EEE" w14:textId="77777777" w:rsidR="00000000" w:rsidRDefault="006549D2">
      <w:pPr>
        <w:pStyle w:val="a3"/>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F29CFD7" w14:textId="77777777">
        <w:trPr>
          <w:divId w:val="1417899028"/>
        </w:trPr>
        <w:tc>
          <w:tcPr>
            <w:tcW w:w="1650" w:type="pct"/>
            <w:hideMark/>
          </w:tcPr>
          <w:p w14:paraId="229F1371" w14:textId="77777777" w:rsidR="00000000" w:rsidRDefault="006549D2">
            <w:pPr>
              <w:rPr>
                <w:rFonts w:eastAsia="Times New Roman"/>
                <w:sz w:val="20"/>
                <w:szCs w:val="20"/>
              </w:rPr>
            </w:pPr>
            <w:r>
              <w:rPr>
                <w:rFonts w:eastAsia="Times New Roman"/>
                <w:sz w:val="20"/>
                <w:szCs w:val="20"/>
              </w:rPr>
              <w:t> </w:t>
            </w:r>
          </w:p>
        </w:tc>
        <w:tc>
          <w:tcPr>
            <w:tcW w:w="1700" w:type="pct"/>
            <w:hideMark/>
          </w:tcPr>
          <w:p w14:paraId="4BB9ADDE" w14:textId="77777777" w:rsidR="00000000" w:rsidRDefault="006549D2">
            <w:pPr>
              <w:jc w:val="center"/>
              <w:rPr>
                <w:rFonts w:eastAsia="Times New Roman"/>
                <w:sz w:val="20"/>
                <w:szCs w:val="20"/>
              </w:rPr>
            </w:pPr>
            <w:r>
              <w:rPr>
                <w:rFonts w:eastAsia="Times New Roman"/>
                <w:sz w:val="20"/>
                <w:szCs w:val="20"/>
              </w:rPr>
              <w:t>1</w:t>
            </w:r>
            <w:r>
              <w:rPr>
                <w:rFonts w:eastAsia="Times New Roman"/>
                <w:sz w:val="20"/>
                <w:szCs w:val="20"/>
              </w:rPr>
              <w:t>7</w:t>
            </w:r>
          </w:p>
        </w:tc>
        <w:tc>
          <w:tcPr>
            <w:tcW w:w="1650" w:type="pct"/>
            <w:hideMark/>
          </w:tcPr>
          <w:p w14:paraId="2D4FF2FE" w14:textId="77777777" w:rsidR="00000000" w:rsidRDefault="006549D2">
            <w:pPr>
              <w:jc w:val="right"/>
              <w:rPr>
                <w:rFonts w:eastAsia="Times New Roman"/>
                <w:sz w:val="20"/>
                <w:szCs w:val="20"/>
              </w:rPr>
            </w:pPr>
            <w:r>
              <w:rPr>
                <w:rFonts w:eastAsia="Times New Roman"/>
                <w:sz w:val="20"/>
                <w:szCs w:val="20"/>
              </w:rPr>
              <w:t> </w:t>
            </w:r>
          </w:p>
        </w:tc>
      </w:tr>
    </w:tbl>
    <w:p w14:paraId="32175594" w14:textId="77777777" w:rsidR="00000000" w:rsidRDefault="006549D2">
      <w:pPr>
        <w:pStyle w:val="a3"/>
        <w:pageBreakBefore/>
        <w:spacing w:before="0" w:beforeAutospacing="0" w:after="0" w:afterAutospacing="0"/>
        <w:divId w:val="1526597358"/>
        <w:rPr>
          <w:sz w:val="20"/>
          <w:szCs w:val="20"/>
        </w:rPr>
      </w:pPr>
      <w:r>
        <w:rPr>
          <w:sz w:val="20"/>
          <w:szCs w:val="20"/>
        </w:rPr>
        <w:t> </w:t>
      </w:r>
    </w:p>
    <w:p w14:paraId="443AECF3" w14:textId="77777777" w:rsidR="00000000" w:rsidRDefault="006549D2">
      <w:pPr>
        <w:pStyle w:val="a3"/>
        <w:spacing w:before="0" w:beforeAutospacing="0" w:after="0" w:afterAutospacing="0"/>
        <w:ind w:firstLine="360"/>
        <w:jc w:val="both"/>
        <w:rPr>
          <w:sz w:val="20"/>
          <w:szCs w:val="20"/>
        </w:rPr>
      </w:pPr>
      <w:r>
        <w:rPr>
          <w:sz w:val="20"/>
          <w:szCs w:val="20"/>
        </w:rPr>
        <w:t> </w:t>
      </w:r>
    </w:p>
    <w:p w14:paraId="23A10C7B" w14:textId="77777777" w:rsidR="00000000" w:rsidRDefault="006549D2">
      <w:pPr>
        <w:pStyle w:val="a3"/>
        <w:spacing w:before="0" w:beforeAutospacing="0" w:after="0" w:afterAutospacing="0"/>
        <w:jc w:val="both"/>
        <w:rPr>
          <w:sz w:val="20"/>
          <w:szCs w:val="20"/>
        </w:rPr>
      </w:pPr>
      <w:r>
        <w:rPr>
          <w:b/>
          <w:bCs/>
          <w:i/>
          <w:iCs/>
          <w:sz w:val="20"/>
          <w:szCs w:val="20"/>
        </w:rPr>
        <w:t>Our search for a business combination, and any target business with which we ultimately consummate a business combination, may be materially adversely affected by the recent coronavirus (“COVID-19”) outbreak.</w:t>
      </w:r>
    </w:p>
    <w:p w14:paraId="74689B3B" w14:textId="77777777" w:rsidR="00000000" w:rsidRDefault="006549D2">
      <w:pPr>
        <w:pStyle w:val="a3"/>
        <w:spacing w:before="0" w:beforeAutospacing="0" w:after="0" w:afterAutospacing="0"/>
        <w:rPr>
          <w:sz w:val="20"/>
          <w:szCs w:val="20"/>
        </w:rPr>
      </w:pPr>
      <w:r>
        <w:rPr>
          <w:sz w:val="20"/>
          <w:szCs w:val="20"/>
        </w:rPr>
        <w:t> </w:t>
      </w:r>
    </w:p>
    <w:p w14:paraId="6C180A63" w14:textId="77777777" w:rsidR="00000000" w:rsidRDefault="006549D2">
      <w:pPr>
        <w:pStyle w:val="a3"/>
        <w:spacing w:before="0" w:beforeAutospacing="0" w:after="0" w:afterAutospacing="0"/>
        <w:ind w:firstLine="360"/>
        <w:jc w:val="both"/>
        <w:rPr>
          <w:sz w:val="20"/>
          <w:szCs w:val="20"/>
        </w:rPr>
      </w:pPr>
      <w:r>
        <w:rPr>
          <w:sz w:val="20"/>
          <w:szCs w:val="20"/>
        </w:rPr>
        <w:t>On March 11, 2020, the World Health Organizat</w:t>
      </w:r>
      <w:r>
        <w:rPr>
          <w:sz w:val="20"/>
          <w:szCs w:val="20"/>
        </w:rPr>
        <w:t>ion officially declared the outbreak of the COVID-19 a “pandemic.” A significant outbreak of COVID-19 and other infectious diseases could result in a widespread health crisis that could adversely affect the economies and financial markets worldwide, and th</w:t>
      </w:r>
      <w:r>
        <w:rPr>
          <w:sz w:val="20"/>
          <w:szCs w:val="20"/>
        </w:rPr>
        <w:t>e business of any potential target business with which we consummate a business combination could be materially and adversely affected. Furthermore, we may be unable to complete a business combination if continued concerns relating to COVID-19 restrict tra</w:t>
      </w:r>
      <w:r>
        <w:rPr>
          <w:sz w:val="20"/>
          <w:szCs w:val="20"/>
        </w:rPr>
        <w:t>vel, limit the ability to have meetings with potential investors or the target company’s personnel, vendors and services providers are unavailable to negotiate and consummate a transaction in a timely manner. The extent to which COVID-19 impacts our search</w:t>
      </w:r>
      <w:r>
        <w:rPr>
          <w:sz w:val="20"/>
          <w:szCs w:val="20"/>
        </w:rPr>
        <w:t xml:space="preserve"> for a business combination will depend on future developments, which are highly uncertain and cannot be predicted, including new information which may emerge concerning the severity of COVID-19 and the actions to contain COVID-19 or treat its impact, amon</w:t>
      </w:r>
      <w:r>
        <w:rPr>
          <w:sz w:val="20"/>
          <w:szCs w:val="20"/>
        </w:rPr>
        <w:t>g others. If the disruptions posed by COVID-19 or other matters of global concern continue for an extensive period of time, our ability to consummate a business combination, or the operations of a target business with which we ultimately consummate a busin</w:t>
      </w:r>
      <w:r>
        <w:rPr>
          <w:sz w:val="20"/>
          <w:szCs w:val="20"/>
        </w:rPr>
        <w:t>ess combination, may be materially adversely affected.</w:t>
      </w:r>
    </w:p>
    <w:p w14:paraId="71535DCA" w14:textId="77777777" w:rsidR="00000000" w:rsidRDefault="006549D2">
      <w:pPr>
        <w:pStyle w:val="a3"/>
        <w:spacing w:before="0" w:beforeAutospacing="0" w:after="0" w:afterAutospacing="0"/>
        <w:jc w:val="both"/>
        <w:rPr>
          <w:sz w:val="20"/>
          <w:szCs w:val="20"/>
        </w:rPr>
      </w:pPr>
      <w:r>
        <w:rPr>
          <w:sz w:val="20"/>
          <w:szCs w:val="20"/>
        </w:rPr>
        <w:t> </w:t>
      </w:r>
    </w:p>
    <w:p w14:paraId="264208E4" w14:textId="77777777" w:rsidR="00000000" w:rsidRDefault="006549D2">
      <w:pPr>
        <w:pStyle w:val="a3"/>
        <w:spacing w:before="0" w:beforeAutospacing="0" w:after="0" w:afterAutospacing="0"/>
        <w:jc w:val="both"/>
        <w:rPr>
          <w:sz w:val="20"/>
          <w:szCs w:val="20"/>
        </w:rPr>
      </w:pPr>
      <w:bookmarkStart w:id="13" w:name="item2unregisteredsales"/>
      <w:bookmarkEnd w:id="13"/>
      <w:r>
        <w:rPr>
          <w:b/>
          <w:bCs/>
          <w:sz w:val="20"/>
          <w:szCs w:val="20"/>
        </w:rPr>
        <w:t>Item 2. Unregistered Sales of Equity Securities and Use of Proceeds.</w:t>
      </w:r>
    </w:p>
    <w:p w14:paraId="4E5BEC11" w14:textId="77777777" w:rsidR="00000000" w:rsidRDefault="006549D2">
      <w:pPr>
        <w:pStyle w:val="a3"/>
        <w:spacing w:before="0" w:beforeAutospacing="0" w:after="0" w:afterAutospacing="0"/>
        <w:jc w:val="both"/>
        <w:rPr>
          <w:sz w:val="20"/>
          <w:szCs w:val="20"/>
        </w:rPr>
      </w:pPr>
      <w:r>
        <w:rPr>
          <w:sz w:val="20"/>
          <w:szCs w:val="20"/>
        </w:rPr>
        <w:t> </w:t>
      </w:r>
    </w:p>
    <w:p w14:paraId="377C2ED4" w14:textId="77777777" w:rsidR="00000000" w:rsidRDefault="006549D2">
      <w:pPr>
        <w:pStyle w:val="a3"/>
        <w:spacing w:before="0" w:beforeAutospacing="0" w:after="0" w:afterAutospacing="0"/>
        <w:ind w:firstLine="360"/>
        <w:jc w:val="both"/>
        <w:rPr>
          <w:sz w:val="20"/>
          <w:szCs w:val="20"/>
        </w:rPr>
      </w:pPr>
      <w:r>
        <w:rPr>
          <w:sz w:val="20"/>
          <w:szCs w:val="20"/>
        </w:rPr>
        <w:t>On February 19, 2020, we consummated the Initial Public Offering of 110,000,000 Units, which includes the full exercise by the u</w:t>
      </w:r>
      <w:r>
        <w:rPr>
          <w:sz w:val="20"/>
          <w:szCs w:val="20"/>
        </w:rPr>
        <w:t>nderwriters of their over-allotment option of 10,000,000 Units. The Units sold in the Initial Public Offering, including pursuant to the over-allotment option, were sold at an offering price of $10.00 per unit, generating total gross proceeds of $1,100,000</w:t>
      </w:r>
      <w:r>
        <w:rPr>
          <w:sz w:val="20"/>
          <w:szCs w:val="20"/>
        </w:rPr>
        <w:t>,000. Citigroup Global Markets Inc. and Goldman Sachs &amp; Co. LLC acted as the joint book-runner and Maxim Group LLC as the co-manager of the Initial Public Offering. The securities in the offering were registered under the Securities Act on registration sta</w:t>
      </w:r>
      <w:r>
        <w:rPr>
          <w:sz w:val="20"/>
          <w:szCs w:val="20"/>
        </w:rPr>
        <w:t>tements on Form S-1 (No. 333-236153 and 333-236427). The Securities and Exchange Commission declared the registration statements effective on February 13, 2020.</w:t>
      </w:r>
    </w:p>
    <w:p w14:paraId="321D4F03" w14:textId="77777777" w:rsidR="00000000" w:rsidRDefault="006549D2">
      <w:pPr>
        <w:pStyle w:val="a3"/>
        <w:spacing w:before="0" w:beforeAutospacing="0" w:after="0" w:afterAutospacing="0"/>
        <w:jc w:val="both"/>
        <w:rPr>
          <w:sz w:val="20"/>
          <w:szCs w:val="20"/>
        </w:rPr>
      </w:pPr>
      <w:r>
        <w:rPr>
          <w:sz w:val="20"/>
          <w:szCs w:val="20"/>
        </w:rPr>
        <w:t> </w:t>
      </w:r>
    </w:p>
    <w:p w14:paraId="296CF152" w14:textId="77777777" w:rsidR="00000000" w:rsidRDefault="006549D2">
      <w:pPr>
        <w:pStyle w:val="a3"/>
        <w:spacing w:before="0" w:beforeAutospacing="0" w:after="0" w:afterAutospacing="0"/>
        <w:ind w:firstLine="360"/>
        <w:jc w:val="both"/>
        <w:rPr>
          <w:sz w:val="20"/>
          <w:szCs w:val="20"/>
        </w:rPr>
      </w:pPr>
      <w:r>
        <w:rPr>
          <w:sz w:val="20"/>
          <w:szCs w:val="20"/>
        </w:rPr>
        <w:t>Simultaneous with the consummation of the Initial Public Offering, we consummated the private</w:t>
      </w:r>
      <w:r>
        <w:rPr>
          <w:sz w:val="20"/>
          <w:szCs w:val="20"/>
        </w:rPr>
        <w:t xml:space="preserve"> placement of an aggregate of 23,000,000 Private Placement Warrants to the Sponsor at a price of $1.00 per Private Placement Warrant, generating total proceeds of $23,000,000. The issuance was made pursuant to the exemption from registration contained in S</w:t>
      </w:r>
      <w:r>
        <w:rPr>
          <w:sz w:val="20"/>
          <w:szCs w:val="20"/>
        </w:rPr>
        <w:t>ection 4(a)(2) of the Securities Act.</w:t>
      </w:r>
    </w:p>
    <w:p w14:paraId="5372985A" w14:textId="77777777" w:rsidR="00000000" w:rsidRDefault="006549D2">
      <w:pPr>
        <w:pStyle w:val="a3"/>
        <w:spacing w:before="0" w:beforeAutospacing="0" w:after="0" w:afterAutospacing="0"/>
        <w:jc w:val="both"/>
        <w:rPr>
          <w:sz w:val="20"/>
          <w:szCs w:val="20"/>
        </w:rPr>
      </w:pPr>
      <w:r>
        <w:rPr>
          <w:sz w:val="20"/>
          <w:szCs w:val="20"/>
        </w:rPr>
        <w:t>  </w:t>
      </w:r>
    </w:p>
    <w:p w14:paraId="6E4B8C0F" w14:textId="77777777" w:rsidR="00000000" w:rsidRDefault="006549D2">
      <w:pPr>
        <w:pStyle w:val="a3"/>
        <w:spacing w:before="0" w:beforeAutospacing="0" w:after="0" w:afterAutospacing="0"/>
        <w:ind w:firstLine="360"/>
        <w:jc w:val="both"/>
        <w:rPr>
          <w:sz w:val="20"/>
          <w:szCs w:val="20"/>
        </w:rPr>
      </w:pPr>
      <w:r>
        <w:rPr>
          <w:sz w:val="20"/>
          <w:szCs w:val="20"/>
        </w:rPr>
        <w:t>The Private Placement Warrants are identical to the warrants underlying the Units sold in the Initial Public Offering, except that the Private Placement Warrants are not transferable, assignable or salable until aft</w:t>
      </w:r>
      <w:r>
        <w:rPr>
          <w:sz w:val="20"/>
          <w:szCs w:val="20"/>
        </w:rPr>
        <w:t>er the completion of a Business Combination, subject to certain limited exceptions.</w:t>
      </w:r>
    </w:p>
    <w:p w14:paraId="634913B5" w14:textId="77777777" w:rsidR="00000000" w:rsidRDefault="006549D2">
      <w:pPr>
        <w:pStyle w:val="a3"/>
        <w:spacing w:before="0" w:beforeAutospacing="0" w:after="0" w:afterAutospacing="0"/>
        <w:jc w:val="both"/>
        <w:rPr>
          <w:sz w:val="20"/>
          <w:szCs w:val="20"/>
        </w:rPr>
      </w:pPr>
      <w:r>
        <w:rPr>
          <w:sz w:val="20"/>
          <w:szCs w:val="20"/>
        </w:rPr>
        <w:t> </w:t>
      </w:r>
    </w:p>
    <w:p w14:paraId="0585F521" w14:textId="77777777" w:rsidR="00000000" w:rsidRDefault="006549D2">
      <w:pPr>
        <w:pStyle w:val="a3"/>
        <w:spacing w:before="0" w:beforeAutospacing="0" w:after="0" w:afterAutospacing="0"/>
        <w:ind w:firstLine="360"/>
        <w:jc w:val="both"/>
        <w:rPr>
          <w:sz w:val="20"/>
          <w:szCs w:val="20"/>
        </w:rPr>
      </w:pPr>
      <w:r>
        <w:rPr>
          <w:sz w:val="20"/>
          <w:szCs w:val="20"/>
        </w:rPr>
        <w:t>Of the gross proceeds received from the Initial Public Offering and the Private Placement Warrants, $1,100,000,000 was placed in the Trust Account.</w:t>
      </w:r>
    </w:p>
    <w:p w14:paraId="7F199574" w14:textId="77777777" w:rsidR="00000000" w:rsidRDefault="006549D2">
      <w:pPr>
        <w:pStyle w:val="a3"/>
        <w:spacing w:before="0" w:beforeAutospacing="0" w:after="0" w:afterAutospacing="0"/>
        <w:ind w:firstLine="1440"/>
        <w:jc w:val="both"/>
        <w:rPr>
          <w:sz w:val="20"/>
          <w:szCs w:val="20"/>
        </w:rPr>
      </w:pPr>
      <w:r>
        <w:rPr>
          <w:sz w:val="20"/>
          <w:szCs w:val="20"/>
        </w:rPr>
        <w:t> </w:t>
      </w:r>
    </w:p>
    <w:p w14:paraId="13877243" w14:textId="77777777" w:rsidR="00000000" w:rsidRDefault="006549D2">
      <w:pPr>
        <w:pStyle w:val="a3"/>
        <w:spacing w:before="0" w:beforeAutospacing="0" w:after="0" w:afterAutospacing="0"/>
        <w:ind w:firstLine="360"/>
        <w:jc w:val="both"/>
        <w:rPr>
          <w:sz w:val="20"/>
          <w:szCs w:val="20"/>
        </w:rPr>
      </w:pPr>
      <w:r>
        <w:rPr>
          <w:sz w:val="20"/>
          <w:szCs w:val="20"/>
        </w:rPr>
        <w:t>We paid a total of $18,402,000 in underwriting discounts and commissions and $718,020 for other costs and expenses related to the Initial Public Offering. In addition, the underwriters agreed to defer up to $38,500,000 in underwriting discounts and commiss</w:t>
      </w:r>
      <w:r>
        <w:rPr>
          <w:sz w:val="20"/>
          <w:szCs w:val="20"/>
        </w:rPr>
        <w:t>ions.</w:t>
      </w:r>
    </w:p>
    <w:p w14:paraId="4E373634" w14:textId="77777777" w:rsidR="00000000" w:rsidRDefault="006549D2">
      <w:pPr>
        <w:pStyle w:val="a3"/>
        <w:spacing w:before="0" w:beforeAutospacing="0" w:after="0" w:afterAutospacing="0"/>
        <w:jc w:val="both"/>
        <w:rPr>
          <w:sz w:val="20"/>
          <w:szCs w:val="20"/>
        </w:rPr>
      </w:pPr>
      <w:r>
        <w:rPr>
          <w:sz w:val="20"/>
          <w:szCs w:val="20"/>
        </w:rPr>
        <w:t> </w:t>
      </w:r>
    </w:p>
    <w:p w14:paraId="372735C5" w14:textId="77777777" w:rsidR="00000000" w:rsidRDefault="006549D2">
      <w:pPr>
        <w:pStyle w:val="a3"/>
        <w:spacing w:before="0" w:beforeAutospacing="0" w:after="0" w:afterAutospacing="0"/>
        <w:ind w:firstLine="360"/>
        <w:jc w:val="both"/>
        <w:rPr>
          <w:sz w:val="20"/>
          <w:szCs w:val="20"/>
        </w:rPr>
      </w:pPr>
      <w:r>
        <w:rPr>
          <w:sz w:val="20"/>
          <w:szCs w:val="20"/>
        </w:rPr>
        <w:t>For a description of the use of the proceeds generated in our Initial Public Offering, see Part I, Item 2 of this Form 10-Q.</w:t>
      </w:r>
    </w:p>
    <w:p w14:paraId="764687FA" w14:textId="77777777" w:rsidR="00000000" w:rsidRDefault="006549D2">
      <w:pPr>
        <w:pStyle w:val="a3"/>
        <w:spacing w:before="0" w:beforeAutospacing="0" w:after="0" w:afterAutospacing="0"/>
        <w:jc w:val="both"/>
        <w:rPr>
          <w:sz w:val="20"/>
          <w:szCs w:val="20"/>
        </w:rPr>
      </w:pPr>
      <w:r>
        <w:rPr>
          <w:sz w:val="20"/>
          <w:szCs w:val="20"/>
        </w:rPr>
        <w:t>  </w:t>
      </w:r>
    </w:p>
    <w:p w14:paraId="0ADB719E" w14:textId="77777777" w:rsidR="00000000" w:rsidRDefault="006549D2">
      <w:pPr>
        <w:pStyle w:val="a3"/>
        <w:spacing w:before="0" w:beforeAutospacing="0" w:after="0" w:afterAutospacing="0"/>
        <w:rPr>
          <w:sz w:val="20"/>
          <w:szCs w:val="20"/>
        </w:rPr>
      </w:pPr>
      <w:bookmarkStart w:id="14" w:name="item3defaultsupon"/>
      <w:bookmarkEnd w:id="14"/>
      <w:r>
        <w:rPr>
          <w:b/>
          <w:bCs/>
          <w:sz w:val="20"/>
          <w:szCs w:val="20"/>
        </w:rPr>
        <w:t>Item 3. Defaults Upon Senior Securities.</w:t>
      </w:r>
    </w:p>
    <w:p w14:paraId="1FA26E2D" w14:textId="77777777" w:rsidR="00000000" w:rsidRDefault="006549D2">
      <w:pPr>
        <w:pStyle w:val="a3"/>
        <w:spacing w:before="0" w:beforeAutospacing="0" w:after="0" w:afterAutospacing="0"/>
        <w:rPr>
          <w:sz w:val="20"/>
          <w:szCs w:val="20"/>
        </w:rPr>
      </w:pPr>
      <w:r>
        <w:rPr>
          <w:sz w:val="20"/>
          <w:szCs w:val="20"/>
        </w:rPr>
        <w:t> </w:t>
      </w:r>
    </w:p>
    <w:p w14:paraId="35697B88" w14:textId="77777777" w:rsidR="00000000" w:rsidRDefault="006549D2">
      <w:pPr>
        <w:pStyle w:val="a3"/>
        <w:spacing w:before="0" w:beforeAutospacing="0" w:after="0" w:afterAutospacing="0"/>
        <w:ind w:firstLine="360"/>
        <w:jc w:val="both"/>
        <w:rPr>
          <w:sz w:val="20"/>
          <w:szCs w:val="20"/>
        </w:rPr>
      </w:pPr>
      <w:r>
        <w:rPr>
          <w:sz w:val="20"/>
          <w:szCs w:val="20"/>
        </w:rPr>
        <w:t>None.</w:t>
      </w:r>
    </w:p>
    <w:p w14:paraId="2AB4D950" w14:textId="77777777" w:rsidR="00000000" w:rsidRDefault="006549D2">
      <w:pPr>
        <w:pStyle w:val="a3"/>
        <w:spacing w:before="0" w:beforeAutospacing="0" w:after="0" w:afterAutospacing="0"/>
        <w:ind w:firstLine="720"/>
        <w:rPr>
          <w:sz w:val="20"/>
          <w:szCs w:val="20"/>
        </w:rPr>
      </w:pPr>
      <w:r>
        <w:rPr>
          <w:sz w:val="20"/>
          <w:szCs w:val="20"/>
        </w:rPr>
        <w:t> </w:t>
      </w:r>
    </w:p>
    <w:p w14:paraId="7701A1C8" w14:textId="77777777" w:rsidR="00000000" w:rsidRDefault="006549D2">
      <w:pPr>
        <w:pStyle w:val="a3"/>
        <w:spacing w:before="0" w:beforeAutospacing="0" w:after="0" w:afterAutospacing="0"/>
        <w:rPr>
          <w:sz w:val="20"/>
          <w:szCs w:val="20"/>
        </w:rPr>
      </w:pPr>
      <w:bookmarkStart w:id="15" w:name="item4minesafety"/>
      <w:bookmarkEnd w:id="15"/>
      <w:r>
        <w:rPr>
          <w:b/>
          <w:bCs/>
          <w:sz w:val="20"/>
          <w:szCs w:val="20"/>
        </w:rPr>
        <w:t>Item 4. Mine Safety Disclosures.</w:t>
      </w:r>
    </w:p>
    <w:p w14:paraId="14A8800D" w14:textId="77777777" w:rsidR="00000000" w:rsidRDefault="006549D2">
      <w:pPr>
        <w:pStyle w:val="a3"/>
        <w:spacing w:before="0" w:beforeAutospacing="0" w:after="0" w:afterAutospacing="0"/>
        <w:rPr>
          <w:sz w:val="20"/>
          <w:szCs w:val="20"/>
        </w:rPr>
      </w:pPr>
      <w:r>
        <w:rPr>
          <w:sz w:val="20"/>
          <w:szCs w:val="20"/>
        </w:rPr>
        <w:t> </w:t>
      </w:r>
    </w:p>
    <w:p w14:paraId="1F453915" w14:textId="77777777" w:rsidR="00000000" w:rsidRDefault="006549D2">
      <w:pPr>
        <w:pStyle w:val="a3"/>
        <w:spacing w:before="0" w:beforeAutospacing="0" w:after="0" w:afterAutospacing="0"/>
        <w:ind w:firstLine="360"/>
        <w:jc w:val="both"/>
        <w:rPr>
          <w:sz w:val="20"/>
          <w:szCs w:val="20"/>
        </w:rPr>
      </w:pPr>
      <w:r>
        <w:rPr>
          <w:sz w:val="20"/>
          <w:szCs w:val="20"/>
        </w:rPr>
        <w:t>Not Applicable.</w:t>
      </w:r>
    </w:p>
    <w:p w14:paraId="3DABA39C" w14:textId="77777777" w:rsidR="00000000" w:rsidRDefault="006549D2">
      <w:pPr>
        <w:pStyle w:val="a3"/>
        <w:spacing w:before="0" w:beforeAutospacing="0" w:after="0" w:afterAutospacing="0"/>
        <w:ind w:firstLine="720"/>
        <w:rPr>
          <w:sz w:val="20"/>
          <w:szCs w:val="20"/>
        </w:rPr>
      </w:pPr>
      <w:r>
        <w:rPr>
          <w:sz w:val="20"/>
          <w:szCs w:val="20"/>
        </w:rPr>
        <w:t> </w:t>
      </w:r>
    </w:p>
    <w:p w14:paraId="7CB06E5C" w14:textId="77777777" w:rsidR="00000000" w:rsidRDefault="006549D2">
      <w:pPr>
        <w:pStyle w:val="a3"/>
        <w:spacing w:before="0" w:beforeAutospacing="0" w:after="0" w:afterAutospacing="0"/>
        <w:rPr>
          <w:sz w:val="20"/>
          <w:szCs w:val="20"/>
        </w:rPr>
      </w:pPr>
      <w:bookmarkStart w:id="16" w:name="item5otherinformation"/>
      <w:bookmarkEnd w:id="16"/>
      <w:r>
        <w:rPr>
          <w:b/>
          <w:bCs/>
          <w:sz w:val="20"/>
          <w:szCs w:val="20"/>
        </w:rPr>
        <w:t>Item 5. Other In</w:t>
      </w:r>
      <w:r>
        <w:rPr>
          <w:b/>
          <w:bCs/>
          <w:sz w:val="20"/>
          <w:szCs w:val="20"/>
        </w:rPr>
        <w:t>formation.</w:t>
      </w:r>
    </w:p>
    <w:p w14:paraId="1786C5B2" w14:textId="77777777" w:rsidR="00000000" w:rsidRDefault="006549D2">
      <w:pPr>
        <w:pStyle w:val="a3"/>
        <w:spacing w:before="0" w:beforeAutospacing="0" w:after="0" w:afterAutospacing="0"/>
        <w:rPr>
          <w:sz w:val="20"/>
          <w:szCs w:val="20"/>
        </w:rPr>
      </w:pPr>
      <w:r>
        <w:rPr>
          <w:sz w:val="20"/>
          <w:szCs w:val="20"/>
        </w:rPr>
        <w:t> </w:t>
      </w:r>
    </w:p>
    <w:p w14:paraId="285B0453" w14:textId="77777777" w:rsidR="00000000" w:rsidRDefault="006549D2">
      <w:pPr>
        <w:pStyle w:val="a3"/>
        <w:spacing w:before="0" w:beforeAutospacing="0" w:after="0" w:afterAutospacing="0"/>
        <w:ind w:firstLine="360"/>
        <w:jc w:val="both"/>
        <w:rPr>
          <w:sz w:val="20"/>
          <w:szCs w:val="20"/>
        </w:rPr>
      </w:pPr>
      <w:r>
        <w:rPr>
          <w:sz w:val="20"/>
          <w:szCs w:val="20"/>
        </w:rPr>
        <w:t>None.</w:t>
      </w:r>
    </w:p>
    <w:p w14:paraId="46C1A2A4" w14:textId="77777777" w:rsidR="00000000" w:rsidRDefault="006549D2">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35E8B61" w14:textId="77777777">
        <w:trPr>
          <w:divId w:val="626475032"/>
        </w:trPr>
        <w:tc>
          <w:tcPr>
            <w:tcW w:w="1650" w:type="pct"/>
            <w:hideMark/>
          </w:tcPr>
          <w:p w14:paraId="0D895A27" w14:textId="77777777" w:rsidR="00000000" w:rsidRDefault="006549D2">
            <w:pPr>
              <w:rPr>
                <w:rFonts w:eastAsia="Times New Roman"/>
                <w:sz w:val="20"/>
                <w:szCs w:val="20"/>
              </w:rPr>
            </w:pPr>
            <w:r>
              <w:rPr>
                <w:rFonts w:eastAsia="Times New Roman"/>
                <w:sz w:val="20"/>
                <w:szCs w:val="20"/>
              </w:rPr>
              <w:t> </w:t>
            </w:r>
          </w:p>
        </w:tc>
        <w:tc>
          <w:tcPr>
            <w:tcW w:w="1700" w:type="pct"/>
            <w:hideMark/>
          </w:tcPr>
          <w:p w14:paraId="69544536" w14:textId="77777777" w:rsidR="00000000" w:rsidRDefault="006549D2">
            <w:pPr>
              <w:jc w:val="center"/>
              <w:rPr>
                <w:rFonts w:eastAsia="Times New Roman"/>
                <w:sz w:val="20"/>
                <w:szCs w:val="20"/>
              </w:rPr>
            </w:pPr>
            <w:r>
              <w:rPr>
                <w:rFonts w:eastAsia="Times New Roman"/>
                <w:sz w:val="20"/>
                <w:szCs w:val="20"/>
              </w:rPr>
              <w:t>1</w:t>
            </w:r>
            <w:r>
              <w:rPr>
                <w:rFonts w:eastAsia="Times New Roman"/>
                <w:sz w:val="20"/>
                <w:szCs w:val="20"/>
              </w:rPr>
              <w:t>8</w:t>
            </w:r>
          </w:p>
        </w:tc>
        <w:tc>
          <w:tcPr>
            <w:tcW w:w="1650" w:type="pct"/>
            <w:hideMark/>
          </w:tcPr>
          <w:p w14:paraId="60F0078D" w14:textId="77777777" w:rsidR="00000000" w:rsidRDefault="006549D2">
            <w:pPr>
              <w:jc w:val="right"/>
              <w:rPr>
                <w:rFonts w:eastAsia="Times New Roman"/>
                <w:sz w:val="20"/>
                <w:szCs w:val="20"/>
              </w:rPr>
            </w:pPr>
            <w:r>
              <w:rPr>
                <w:rFonts w:eastAsia="Times New Roman"/>
                <w:sz w:val="20"/>
                <w:szCs w:val="20"/>
              </w:rPr>
              <w:t> </w:t>
            </w:r>
          </w:p>
        </w:tc>
      </w:tr>
    </w:tbl>
    <w:p w14:paraId="0D15FC4E" w14:textId="77777777" w:rsidR="00000000" w:rsidRDefault="006549D2">
      <w:pPr>
        <w:pStyle w:val="a3"/>
        <w:pageBreakBefore/>
        <w:spacing w:before="0" w:beforeAutospacing="0" w:after="0" w:afterAutospacing="0"/>
        <w:divId w:val="2115786914"/>
        <w:rPr>
          <w:sz w:val="20"/>
          <w:szCs w:val="20"/>
        </w:rPr>
      </w:pPr>
      <w:r>
        <w:rPr>
          <w:sz w:val="20"/>
          <w:szCs w:val="20"/>
        </w:rPr>
        <w:t> </w:t>
      </w:r>
    </w:p>
    <w:p w14:paraId="1F7CFDC0" w14:textId="77777777" w:rsidR="00000000" w:rsidRDefault="006549D2">
      <w:pPr>
        <w:pStyle w:val="a3"/>
        <w:spacing w:before="0" w:beforeAutospacing="0" w:after="0" w:afterAutospacing="0"/>
        <w:rPr>
          <w:sz w:val="20"/>
          <w:szCs w:val="20"/>
        </w:rPr>
      </w:pPr>
      <w:r>
        <w:rPr>
          <w:b/>
          <w:bCs/>
          <w:sz w:val="20"/>
          <w:szCs w:val="20"/>
        </w:rPr>
        <w:t> </w:t>
      </w:r>
    </w:p>
    <w:p w14:paraId="191F782F" w14:textId="77777777" w:rsidR="00000000" w:rsidRDefault="006549D2">
      <w:pPr>
        <w:pStyle w:val="a3"/>
        <w:spacing w:before="0" w:beforeAutospacing="0" w:after="0" w:afterAutospacing="0"/>
        <w:rPr>
          <w:sz w:val="20"/>
          <w:szCs w:val="20"/>
        </w:rPr>
      </w:pPr>
      <w:bookmarkStart w:id="17" w:name="item6"/>
      <w:bookmarkEnd w:id="17"/>
      <w:r>
        <w:rPr>
          <w:b/>
          <w:bCs/>
          <w:sz w:val="20"/>
          <w:szCs w:val="20"/>
        </w:rPr>
        <w:t>Item 6. Exhibits</w:t>
      </w:r>
    </w:p>
    <w:p w14:paraId="675256D9" w14:textId="77777777" w:rsidR="00000000" w:rsidRDefault="006549D2">
      <w:pPr>
        <w:pStyle w:val="a3"/>
        <w:spacing w:before="0" w:beforeAutospacing="0" w:after="0" w:afterAutospacing="0"/>
        <w:rPr>
          <w:sz w:val="20"/>
          <w:szCs w:val="20"/>
        </w:rPr>
      </w:pPr>
      <w:r>
        <w:rPr>
          <w:sz w:val="20"/>
          <w:szCs w:val="20"/>
        </w:rPr>
        <w:t> </w:t>
      </w:r>
    </w:p>
    <w:p w14:paraId="5CDAB060" w14:textId="77777777" w:rsidR="00000000" w:rsidRDefault="006549D2">
      <w:pPr>
        <w:pStyle w:val="a3"/>
        <w:spacing w:before="0" w:beforeAutospacing="0" w:after="0" w:afterAutospacing="0"/>
        <w:ind w:firstLine="360"/>
        <w:jc w:val="both"/>
        <w:rPr>
          <w:sz w:val="20"/>
          <w:szCs w:val="20"/>
        </w:rPr>
      </w:pPr>
      <w:r>
        <w:rPr>
          <w:sz w:val="20"/>
          <w:szCs w:val="20"/>
        </w:rPr>
        <w:t xml:space="preserve">The following exhibits </w:t>
      </w:r>
      <w:r>
        <w:rPr>
          <w:sz w:val="20"/>
          <w:szCs w:val="20"/>
        </w:rPr>
        <w:t>are filed as part of, or incorporated by reference into, this Quarterly Report on Form 10-Q.</w:t>
      </w:r>
    </w:p>
    <w:p w14:paraId="4CAD4225" w14:textId="77777777" w:rsidR="00000000" w:rsidRDefault="006549D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50"/>
        <w:gridCol w:w="156"/>
        <w:gridCol w:w="7300"/>
      </w:tblGrid>
      <w:tr w:rsidR="00000000" w14:paraId="68C40CA1" w14:textId="77777777">
        <w:tc>
          <w:tcPr>
            <w:tcW w:w="500" w:type="pct"/>
            <w:tcBorders>
              <w:bottom w:val="single" w:sz="8" w:space="0" w:color="000000"/>
            </w:tcBorders>
            <w:hideMark/>
          </w:tcPr>
          <w:p w14:paraId="2DCF552B" w14:textId="77777777" w:rsidR="00000000" w:rsidRDefault="006549D2">
            <w:pPr>
              <w:jc w:val="center"/>
              <w:rPr>
                <w:rFonts w:eastAsia="Times New Roman"/>
                <w:sz w:val="20"/>
                <w:szCs w:val="20"/>
              </w:rPr>
            </w:pPr>
            <w:r>
              <w:rPr>
                <w:rFonts w:eastAsia="Times New Roman"/>
                <w:b/>
                <w:bCs/>
                <w:sz w:val="20"/>
                <w:szCs w:val="20"/>
              </w:rPr>
              <w:t>No.</w:t>
            </w:r>
          </w:p>
        </w:tc>
        <w:tc>
          <w:tcPr>
            <w:tcW w:w="100" w:type="pct"/>
            <w:hideMark/>
          </w:tcPr>
          <w:p w14:paraId="0603104A" w14:textId="77777777" w:rsidR="00000000" w:rsidRDefault="006549D2">
            <w:pPr>
              <w:rPr>
                <w:rFonts w:eastAsia="Times New Roman"/>
                <w:sz w:val="20"/>
                <w:szCs w:val="20"/>
              </w:rPr>
            </w:pPr>
            <w:r>
              <w:rPr>
                <w:rFonts w:eastAsia="Times New Roman"/>
                <w:sz w:val="20"/>
                <w:szCs w:val="20"/>
              </w:rPr>
              <w:t> </w:t>
            </w:r>
          </w:p>
        </w:tc>
        <w:tc>
          <w:tcPr>
            <w:tcW w:w="4400" w:type="pct"/>
            <w:tcBorders>
              <w:bottom w:val="single" w:sz="8" w:space="0" w:color="000000"/>
            </w:tcBorders>
            <w:hideMark/>
          </w:tcPr>
          <w:p w14:paraId="3E94AD2A" w14:textId="77777777" w:rsidR="00000000" w:rsidRDefault="006549D2">
            <w:pPr>
              <w:jc w:val="center"/>
              <w:rPr>
                <w:rFonts w:eastAsia="Times New Roman"/>
                <w:sz w:val="20"/>
                <w:szCs w:val="20"/>
              </w:rPr>
            </w:pPr>
            <w:r>
              <w:rPr>
                <w:rFonts w:eastAsia="Times New Roman"/>
                <w:b/>
                <w:bCs/>
                <w:sz w:val="20"/>
                <w:szCs w:val="20"/>
              </w:rPr>
              <w:t>Description of Exhibit</w:t>
            </w:r>
          </w:p>
        </w:tc>
      </w:tr>
      <w:tr w:rsidR="00000000" w14:paraId="311605D8" w14:textId="77777777">
        <w:tc>
          <w:tcPr>
            <w:tcW w:w="0" w:type="auto"/>
            <w:hideMark/>
          </w:tcPr>
          <w:p w14:paraId="44257DAA" w14:textId="77777777" w:rsidR="00000000" w:rsidRDefault="006549D2">
            <w:pPr>
              <w:jc w:val="center"/>
              <w:rPr>
                <w:rFonts w:eastAsia="Times New Roman"/>
                <w:sz w:val="20"/>
                <w:szCs w:val="20"/>
              </w:rPr>
            </w:pPr>
            <w:hyperlink r:id="rId4" w:history="1">
              <w:r>
                <w:rPr>
                  <w:rStyle w:val="a4"/>
                  <w:rFonts w:eastAsia="Times New Roman"/>
                  <w:sz w:val="20"/>
                  <w:szCs w:val="20"/>
                </w:rPr>
                <w:t>31.1*</w:t>
              </w:r>
            </w:hyperlink>
          </w:p>
        </w:tc>
        <w:tc>
          <w:tcPr>
            <w:tcW w:w="0" w:type="auto"/>
            <w:hideMark/>
          </w:tcPr>
          <w:p w14:paraId="6D52C24A" w14:textId="77777777" w:rsidR="00000000" w:rsidRDefault="006549D2">
            <w:pPr>
              <w:rPr>
                <w:rFonts w:eastAsia="Times New Roman"/>
                <w:sz w:val="20"/>
                <w:szCs w:val="20"/>
              </w:rPr>
            </w:pPr>
            <w:r>
              <w:rPr>
                <w:rFonts w:eastAsia="Times New Roman"/>
                <w:sz w:val="20"/>
                <w:szCs w:val="20"/>
              </w:rPr>
              <w:t> </w:t>
            </w:r>
          </w:p>
        </w:tc>
        <w:tc>
          <w:tcPr>
            <w:tcW w:w="0" w:type="auto"/>
            <w:hideMark/>
          </w:tcPr>
          <w:p w14:paraId="1AF4816D" w14:textId="77777777" w:rsidR="00000000" w:rsidRDefault="006549D2">
            <w:pPr>
              <w:jc w:val="both"/>
              <w:rPr>
                <w:rFonts w:eastAsia="Times New Roman"/>
                <w:sz w:val="20"/>
                <w:szCs w:val="20"/>
              </w:rPr>
            </w:pPr>
            <w:hyperlink r:id="rId5" w:history="1">
              <w:r>
                <w:rPr>
                  <w:rStyle w:val="a4"/>
                  <w:rFonts w:eastAsia="Times New Roman"/>
                  <w:sz w:val="20"/>
                  <w:szCs w:val="20"/>
                </w:rPr>
                <w:t>Certification of Principal Executive Officer</w:t>
              </w:r>
              <w:r>
                <w:rPr>
                  <w:rStyle w:val="a4"/>
                  <w:rFonts w:eastAsia="Times New Roman"/>
                  <w:sz w:val="20"/>
                  <w:szCs w:val="20"/>
                </w:rPr>
                <w:t xml:space="preserve"> Pursuant to Securities Exchange Act Rules 13a-14(a), as adopted Pursuant to Section 302 of the Sarbanes-Oxley Act of 2002</w:t>
              </w:r>
            </w:hyperlink>
          </w:p>
        </w:tc>
      </w:tr>
      <w:tr w:rsidR="00000000" w14:paraId="110B7DAB" w14:textId="77777777">
        <w:tc>
          <w:tcPr>
            <w:tcW w:w="0" w:type="auto"/>
            <w:hideMark/>
          </w:tcPr>
          <w:p w14:paraId="34EB01BE" w14:textId="77777777" w:rsidR="00000000" w:rsidRDefault="006549D2">
            <w:pPr>
              <w:jc w:val="center"/>
              <w:rPr>
                <w:rFonts w:eastAsia="Times New Roman"/>
                <w:sz w:val="20"/>
                <w:szCs w:val="20"/>
              </w:rPr>
            </w:pPr>
            <w:hyperlink r:id="rId6" w:history="1">
              <w:r>
                <w:rPr>
                  <w:rStyle w:val="a4"/>
                  <w:rFonts w:eastAsia="Times New Roman"/>
                  <w:sz w:val="20"/>
                  <w:szCs w:val="20"/>
                </w:rPr>
                <w:t>31.2*</w:t>
              </w:r>
            </w:hyperlink>
          </w:p>
        </w:tc>
        <w:tc>
          <w:tcPr>
            <w:tcW w:w="0" w:type="auto"/>
            <w:hideMark/>
          </w:tcPr>
          <w:p w14:paraId="36AE9A6F" w14:textId="77777777" w:rsidR="00000000" w:rsidRDefault="006549D2">
            <w:pPr>
              <w:rPr>
                <w:rFonts w:eastAsia="Times New Roman"/>
                <w:sz w:val="20"/>
                <w:szCs w:val="20"/>
              </w:rPr>
            </w:pPr>
            <w:r>
              <w:rPr>
                <w:rFonts w:eastAsia="Times New Roman"/>
                <w:sz w:val="20"/>
                <w:szCs w:val="20"/>
              </w:rPr>
              <w:t> </w:t>
            </w:r>
          </w:p>
        </w:tc>
        <w:tc>
          <w:tcPr>
            <w:tcW w:w="0" w:type="auto"/>
            <w:hideMark/>
          </w:tcPr>
          <w:p w14:paraId="636767F1" w14:textId="77777777" w:rsidR="00000000" w:rsidRDefault="006549D2">
            <w:pPr>
              <w:jc w:val="both"/>
              <w:rPr>
                <w:rFonts w:eastAsia="Times New Roman"/>
                <w:sz w:val="20"/>
                <w:szCs w:val="20"/>
              </w:rPr>
            </w:pPr>
            <w:hyperlink r:id="rId7" w:history="1">
              <w:r>
                <w:rPr>
                  <w:rStyle w:val="a4"/>
                  <w:rFonts w:eastAsia="Times New Roman"/>
                  <w:sz w:val="20"/>
                  <w:szCs w:val="20"/>
                </w:rPr>
                <w:t>Certification of Principal Financial Officer Pursuant to Securities Exchange Act Rules 13a-14(a), as adopted Pursuant to Section 302 of the Sarbanes-Oxley Act of 2002</w:t>
              </w:r>
            </w:hyperlink>
          </w:p>
        </w:tc>
      </w:tr>
      <w:tr w:rsidR="00000000" w14:paraId="6A68241D" w14:textId="77777777">
        <w:tc>
          <w:tcPr>
            <w:tcW w:w="0" w:type="auto"/>
            <w:hideMark/>
          </w:tcPr>
          <w:p w14:paraId="00E0B8EE" w14:textId="77777777" w:rsidR="00000000" w:rsidRDefault="006549D2">
            <w:pPr>
              <w:jc w:val="center"/>
              <w:rPr>
                <w:rFonts w:eastAsia="Times New Roman"/>
                <w:sz w:val="20"/>
                <w:szCs w:val="20"/>
              </w:rPr>
            </w:pPr>
            <w:hyperlink r:id="rId8" w:history="1">
              <w:r>
                <w:rPr>
                  <w:rStyle w:val="a4"/>
                  <w:rFonts w:eastAsia="Times New Roman"/>
                  <w:sz w:val="20"/>
                  <w:szCs w:val="20"/>
                </w:rPr>
                <w:t>32.1*</w:t>
              </w:r>
            </w:hyperlink>
          </w:p>
        </w:tc>
        <w:tc>
          <w:tcPr>
            <w:tcW w:w="0" w:type="auto"/>
            <w:hideMark/>
          </w:tcPr>
          <w:p w14:paraId="48233197" w14:textId="77777777" w:rsidR="00000000" w:rsidRDefault="006549D2">
            <w:pPr>
              <w:rPr>
                <w:rFonts w:eastAsia="Times New Roman"/>
                <w:sz w:val="20"/>
                <w:szCs w:val="20"/>
              </w:rPr>
            </w:pPr>
            <w:r>
              <w:rPr>
                <w:rFonts w:eastAsia="Times New Roman"/>
                <w:sz w:val="20"/>
                <w:szCs w:val="20"/>
              </w:rPr>
              <w:t> </w:t>
            </w:r>
          </w:p>
        </w:tc>
        <w:tc>
          <w:tcPr>
            <w:tcW w:w="0" w:type="auto"/>
            <w:hideMark/>
          </w:tcPr>
          <w:p w14:paraId="0932515D" w14:textId="77777777" w:rsidR="00000000" w:rsidRDefault="006549D2">
            <w:pPr>
              <w:jc w:val="both"/>
              <w:rPr>
                <w:rFonts w:eastAsia="Times New Roman"/>
                <w:sz w:val="20"/>
                <w:szCs w:val="20"/>
              </w:rPr>
            </w:pPr>
            <w:hyperlink r:id="rId9" w:history="1">
              <w:r>
                <w:rPr>
                  <w:rStyle w:val="a4"/>
                  <w:rFonts w:eastAsia="Times New Roman"/>
                  <w:sz w:val="20"/>
                  <w:szCs w:val="20"/>
                </w:rPr>
                <w:t>Ce</w:t>
              </w:r>
              <w:r>
                <w:rPr>
                  <w:rStyle w:val="a4"/>
                  <w:rFonts w:eastAsia="Times New Roman"/>
                  <w:sz w:val="20"/>
                  <w:szCs w:val="20"/>
                </w:rPr>
                <w:t>rtification of Principal Executive Officer Pursuant to 18 U.S.C. Section 1350, as adopted Pursuant to Section 906 of the Sarbanes-Oxley Act of 2002</w:t>
              </w:r>
            </w:hyperlink>
          </w:p>
        </w:tc>
      </w:tr>
      <w:tr w:rsidR="00000000" w14:paraId="2C337B2F" w14:textId="77777777">
        <w:tc>
          <w:tcPr>
            <w:tcW w:w="0" w:type="auto"/>
            <w:hideMark/>
          </w:tcPr>
          <w:p w14:paraId="383E69BE" w14:textId="77777777" w:rsidR="00000000" w:rsidRDefault="006549D2">
            <w:pPr>
              <w:jc w:val="center"/>
              <w:rPr>
                <w:rFonts w:eastAsia="Times New Roman"/>
                <w:sz w:val="20"/>
                <w:szCs w:val="20"/>
              </w:rPr>
            </w:pPr>
            <w:hyperlink r:id="rId10" w:history="1">
              <w:r>
                <w:rPr>
                  <w:rStyle w:val="a4"/>
                  <w:rFonts w:eastAsia="Times New Roman"/>
                  <w:sz w:val="20"/>
                  <w:szCs w:val="20"/>
                </w:rPr>
                <w:t>32.2*</w:t>
              </w:r>
            </w:hyperlink>
          </w:p>
        </w:tc>
        <w:tc>
          <w:tcPr>
            <w:tcW w:w="0" w:type="auto"/>
            <w:hideMark/>
          </w:tcPr>
          <w:p w14:paraId="4D6B6581" w14:textId="77777777" w:rsidR="00000000" w:rsidRDefault="006549D2">
            <w:pPr>
              <w:rPr>
                <w:rFonts w:eastAsia="Times New Roman"/>
                <w:sz w:val="20"/>
                <w:szCs w:val="20"/>
              </w:rPr>
            </w:pPr>
            <w:r>
              <w:rPr>
                <w:rFonts w:eastAsia="Times New Roman"/>
                <w:sz w:val="20"/>
                <w:szCs w:val="20"/>
              </w:rPr>
              <w:t> </w:t>
            </w:r>
          </w:p>
        </w:tc>
        <w:tc>
          <w:tcPr>
            <w:tcW w:w="0" w:type="auto"/>
            <w:hideMark/>
          </w:tcPr>
          <w:p w14:paraId="2C21EAA5" w14:textId="77777777" w:rsidR="00000000" w:rsidRDefault="006549D2">
            <w:pPr>
              <w:jc w:val="both"/>
              <w:rPr>
                <w:rFonts w:eastAsia="Times New Roman"/>
                <w:sz w:val="20"/>
                <w:szCs w:val="20"/>
              </w:rPr>
            </w:pPr>
            <w:hyperlink r:id="rId11" w:history="1">
              <w:r>
                <w:rPr>
                  <w:rStyle w:val="a4"/>
                  <w:rFonts w:eastAsia="Times New Roman"/>
                  <w:sz w:val="20"/>
                  <w:szCs w:val="20"/>
                </w:rPr>
                <w:t>Certification of Prin</w:t>
              </w:r>
              <w:r>
                <w:rPr>
                  <w:rStyle w:val="a4"/>
                  <w:rFonts w:eastAsia="Times New Roman"/>
                  <w:sz w:val="20"/>
                  <w:szCs w:val="20"/>
                </w:rPr>
                <w:t>cipal Financial Officer Pursuant to 18 U.S.C. Section 1350, as adopted Pursuant to Section 906 of the Sarbanes-Oxley Act of 2002</w:t>
              </w:r>
            </w:hyperlink>
          </w:p>
        </w:tc>
      </w:tr>
      <w:tr w:rsidR="00000000" w14:paraId="23AA66FD" w14:textId="77777777">
        <w:tc>
          <w:tcPr>
            <w:tcW w:w="0" w:type="auto"/>
            <w:hideMark/>
          </w:tcPr>
          <w:p w14:paraId="4E09793D" w14:textId="77777777" w:rsidR="00000000" w:rsidRDefault="006549D2">
            <w:pPr>
              <w:jc w:val="center"/>
              <w:rPr>
                <w:rFonts w:eastAsia="Times New Roman"/>
                <w:sz w:val="20"/>
                <w:szCs w:val="20"/>
              </w:rPr>
            </w:pPr>
            <w:r>
              <w:rPr>
                <w:rFonts w:eastAsia="Times New Roman"/>
                <w:sz w:val="20"/>
                <w:szCs w:val="20"/>
              </w:rPr>
              <w:t>101.INS*</w:t>
            </w:r>
          </w:p>
        </w:tc>
        <w:tc>
          <w:tcPr>
            <w:tcW w:w="0" w:type="auto"/>
            <w:hideMark/>
          </w:tcPr>
          <w:p w14:paraId="5C7CF7B8" w14:textId="77777777" w:rsidR="00000000" w:rsidRDefault="006549D2">
            <w:pPr>
              <w:rPr>
                <w:rFonts w:eastAsia="Times New Roman"/>
                <w:sz w:val="20"/>
                <w:szCs w:val="20"/>
              </w:rPr>
            </w:pPr>
            <w:r>
              <w:rPr>
                <w:rFonts w:eastAsia="Times New Roman"/>
                <w:sz w:val="20"/>
                <w:szCs w:val="20"/>
              </w:rPr>
              <w:t> </w:t>
            </w:r>
          </w:p>
        </w:tc>
        <w:tc>
          <w:tcPr>
            <w:tcW w:w="0" w:type="auto"/>
            <w:hideMark/>
          </w:tcPr>
          <w:p w14:paraId="41383086" w14:textId="77777777" w:rsidR="00000000" w:rsidRDefault="006549D2">
            <w:pPr>
              <w:jc w:val="both"/>
              <w:rPr>
                <w:rFonts w:eastAsia="Times New Roman"/>
                <w:sz w:val="20"/>
                <w:szCs w:val="20"/>
              </w:rPr>
            </w:pPr>
            <w:r>
              <w:rPr>
                <w:rFonts w:eastAsia="Times New Roman"/>
                <w:sz w:val="20"/>
                <w:szCs w:val="20"/>
              </w:rPr>
              <w:t>XBRL Instance Document</w:t>
            </w:r>
          </w:p>
        </w:tc>
      </w:tr>
      <w:tr w:rsidR="00000000" w14:paraId="42920CFA" w14:textId="77777777">
        <w:tc>
          <w:tcPr>
            <w:tcW w:w="0" w:type="auto"/>
            <w:hideMark/>
          </w:tcPr>
          <w:p w14:paraId="5B3DB760" w14:textId="77777777" w:rsidR="00000000" w:rsidRDefault="006549D2">
            <w:pPr>
              <w:jc w:val="center"/>
              <w:rPr>
                <w:rFonts w:eastAsia="Times New Roman"/>
                <w:sz w:val="20"/>
                <w:szCs w:val="20"/>
              </w:rPr>
            </w:pPr>
            <w:r>
              <w:rPr>
                <w:rFonts w:eastAsia="Times New Roman"/>
                <w:sz w:val="20"/>
                <w:szCs w:val="20"/>
              </w:rPr>
              <w:t>101.SCH*</w:t>
            </w:r>
          </w:p>
        </w:tc>
        <w:tc>
          <w:tcPr>
            <w:tcW w:w="0" w:type="auto"/>
            <w:hideMark/>
          </w:tcPr>
          <w:p w14:paraId="69B0B1F1" w14:textId="77777777" w:rsidR="00000000" w:rsidRDefault="006549D2">
            <w:pPr>
              <w:rPr>
                <w:rFonts w:eastAsia="Times New Roman"/>
                <w:sz w:val="20"/>
                <w:szCs w:val="20"/>
              </w:rPr>
            </w:pPr>
            <w:r>
              <w:rPr>
                <w:rFonts w:eastAsia="Times New Roman"/>
                <w:sz w:val="20"/>
                <w:szCs w:val="20"/>
              </w:rPr>
              <w:t> </w:t>
            </w:r>
          </w:p>
        </w:tc>
        <w:tc>
          <w:tcPr>
            <w:tcW w:w="0" w:type="auto"/>
            <w:hideMark/>
          </w:tcPr>
          <w:p w14:paraId="3AA7631C" w14:textId="77777777" w:rsidR="00000000" w:rsidRDefault="006549D2">
            <w:pPr>
              <w:jc w:val="both"/>
              <w:rPr>
                <w:rFonts w:eastAsia="Times New Roman"/>
                <w:sz w:val="20"/>
                <w:szCs w:val="20"/>
              </w:rPr>
            </w:pPr>
            <w:r>
              <w:rPr>
                <w:rFonts w:eastAsia="Times New Roman"/>
                <w:sz w:val="20"/>
                <w:szCs w:val="20"/>
              </w:rPr>
              <w:t>XBRL Taxonomy Extension Schema Document</w:t>
            </w:r>
          </w:p>
        </w:tc>
      </w:tr>
      <w:tr w:rsidR="00000000" w14:paraId="54349D0A" w14:textId="77777777">
        <w:tc>
          <w:tcPr>
            <w:tcW w:w="0" w:type="auto"/>
            <w:hideMark/>
          </w:tcPr>
          <w:p w14:paraId="7808AA8F" w14:textId="77777777" w:rsidR="00000000" w:rsidRDefault="006549D2">
            <w:pPr>
              <w:jc w:val="center"/>
              <w:rPr>
                <w:rFonts w:eastAsia="Times New Roman"/>
                <w:sz w:val="20"/>
                <w:szCs w:val="20"/>
              </w:rPr>
            </w:pPr>
            <w:r>
              <w:rPr>
                <w:rFonts w:eastAsia="Times New Roman"/>
                <w:sz w:val="20"/>
                <w:szCs w:val="20"/>
              </w:rPr>
              <w:t>101.CAL*</w:t>
            </w:r>
          </w:p>
        </w:tc>
        <w:tc>
          <w:tcPr>
            <w:tcW w:w="0" w:type="auto"/>
            <w:hideMark/>
          </w:tcPr>
          <w:p w14:paraId="7F8424AF" w14:textId="77777777" w:rsidR="00000000" w:rsidRDefault="006549D2">
            <w:pPr>
              <w:rPr>
                <w:rFonts w:eastAsia="Times New Roman"/>
                <w:sz w:val="20"/>
                <w:szCs w:val="20"/>
              </w:rPr>
            </w:pPr>
            <w:r>
              <w:rPr>
                <w:rFonts w:eastAsia="Times New Roman"/>
                <w:sz w:val="20"/>
                <w:szCs w:val="20"/>
              </w:rPr>
              <w:t> </w:t>
            </w:r>
          </w:p>
        </w:tc>
        <w:tc>
          <w:tcPr>
            <w:tcW w:w="0" w:type="auto"/>
            <w:hideMark/>
          </w:tcPr>
          <w:p w14:paraId="0B804DC8" w14:textId="77777777" w:rsidR="00000000" w:rsidRDefault="006549D2">
            <w:pPr>
              <w:jc w:val="both"/>
              <w:rPr>
                <w:rFonts w:eastAsia="Times New Roman"/>
                <w:sz w:val="20"/>
                <w:szCs w:val="20"/>
              </w:rPr>
            </w:pPr>
            <w:r>
              <w:rPr>
                <w:rFonts w:eastAsia="Times New Roman"/>
                <w:sz w:val="20"/>
                <w:szCs w:val="20"/>
              </w:rPr>
              <w:t>XBRL Taxonomy Extension Calc</w:t>
            </w:r>
            <w:r>
              <w:rPr>
                <w:rFonts w:eastAsia="Times New Roman"/>
                <w:sz w:val="20"/>
                <w:szCs w:val="20"/>
              </w:rPr>
              <w:t>ulation Linkbase Document</w:t>
            </w:r>
          </w:p>
        </w:tc>
      </w:tr>
      <w:tr w:rsidR="00000000" w14:paraId="2724FD1C" w14:textId="77777777">
        <w:tc>
          <w:tcPr>
            <w:tcW w:w="0" w:type="auto"/>
            <w:hideMark/>
          </w:tcPr>
          <w:p w14:paraId="017968FF" w14:textId="77777777" w:rsidR="00000000" w:rsidRDefault="006549D2">
            <w:pPr>
              <w:jc w:val="center"/>
              <w:rPr>
                <w:rFonts w:eastAsia="Times New Roman"/>
                <w:sz w:val="20"/>
                <w:szCs w:val="20"/>
              </w:rPr>
            </w:pPr>
            <w:r>
              <w:rPr>
                <w:rFonts w:eastAsia="Times New Roman"/>
                <w:sz w:val="20"/>
                <w:szCs w:val="20"/>
              </w:rPr>
              <w:t>101.DEF*</w:t>
            </w:r>
          </w:p>
        </w:tc>
        <w:tc>
          <w:tcPr>
            <w:tcW w:w="0" w:type="auto"/>
            <w:hideMark/>
          </w:tcPr>
          <w:p w14:paraId="29BDA261" w14:textId="77777777" w:rsidR="00000000" w:rsidRDefault="006549D2">
            <w:pPr>
              <w:rPr>
                <w:rFonts w:eastAsia="Times New Roman"/>
                <w:sz w:val="20"/>
                <w:szCs w:val="20"/>
              </w:rPr>
            </w:pPr>
            <w:r>
              <w:rPr>
                <w:rFonts w:eastAsia="Times New Roman"/>
                <w:sz w:val="20"/>
                <w:szCs w:val="20"/>
              </w:rPr>
              <w:t> </w:t>
            </w:r>
          </w:p>
        </w:tc>
        <w:tc>
          <w:tcPr>
            <w:tcW w:w="0" w:type="auto"/>
            <w:hideMark/>
          </w:tcPr>
          <w:p w14:paraId="6B0B2F5D" w14:textId="77777777" w:rsidR="00000000" w:rsidRDefault="006549D2">
            <w:pPr>
              <w:jc w:val="both"/>
              <w:rPr>
                <w:rFonts w:eastAsia="Times New Roman"/>
                <w:sz w:val="20"/>
                <w:szCs w:val="20"/>
              </w:rPr>
            </w:pPr>
            <w:r>
              <w:rPr>
                <w:rFonts w:eastAsia="Times New Roman"/>
                <w:sz w:val="20"/>
                <w:szCs w:val="20"/>
              </w:rPr>
              <w:t>XBRL Taxonomy Extension Definition Linkbase Document</w:t>
            </w:r>
          </w:p>
        </w:tc>
      </w:tr>
      <w:tr w:rsidR="00000000" w14:paraId="4C7FF816" w14:textId="77777777">
        <w:tc>
          <w:tcPr>
            <w:tcW w:w="0" w:type="auto"/>
            <w:hideMark/>
          </w:tcPr>
          <w:p w14:paraId="510ECFD9" w14:textId="77777777" w:rsidR="00000000" w:rsidRDefault="006549D2">
            <w:pPr>
              <w:jc w:val="center"/>
              <w:rPr>
                <w:rFonts w:eastAsia="Times New Roman"/>
                <w:sz w:val="20"/>
                <w:szCs w:val="20"/>
              </w:rPr>
            </w:pPr>
            <w:r>
              <w:rPr>
                <w:rFonts w:eastAsia="Times New Roman"/>
                <w:sz w:val="20"/>
                <w:szCs w:val="20"/>
              </w:rPr>
              <w:t>101.LAB*</w:t>
            </w:r>
          </w:p>
        </w:tc>
        <w:tc>
          <w:tcPr>
            <w:tcW w:w="0" w:type="auto"/>
            <w:hideMark/>
          </w:tcPr>
          <w:p w14:paraId="404885E8" w14:textId="77777777" w:rsidR="00000000" w:rsidRDefault="006549D2">
            <w:pPr>
              <w:rPr>
                <w:rFonts w:eastAsia="Times New Roman"/>
                <w:sz w:val="20"/>
                <w:szCs w:val="20"/>
              </w:rPr>
            </w:pPr>
            <w:r>
              <w:rPr>
                <w:rFonts w:eastAsia="Times New Roman"/>
                <w:sz w:val="20"/>
                <w:szCs w:val="20"/>
              </w:rPr>
              <w:t> </w:t>
            </w:r>
          </w:p>
        </w:tc>
        <w:tc>
          <w:tcPr>
            <w:tcW w:w="0" w:type="auto"/>
            <w:hideMark/>
          </w:tcPr>
          <w:p w14:paraId="3945F976" w14:textId="77777777" w:rsidR="00000000" w:rsidRDefault="006549D2">
            <w:pPr>
              <w:jc w:val="both"/>
              <w:rPr>
                <w:rFonts w:eastAsia="Times New Roman"/>
                <w:sz w:val="20"/>
                <w:szCs w:val="20"/>
              </w:rPr>
            </w:pPr>
            <w:r>
              <w:rPr>
                <w:rFonts w:eastAsia="Times New Roman"/>
                <w:sz w:val="20"/>
                <w:szCs w:val="20"/>
              </w:rPr>
              <w:t>XBRL Taxonomy Extension Labels Linkbase Document</w:t>
            </w:r>
          </w:p>
        </w:tc>
      </w:tr>
      <w:tr w:rsidR="00000000" w14:paraId="2BE729CB" w14:textId="77777777">
        <w:tc>
          <w:tcPr>
            <w:tcW w:w="0" w:type="auto"/>
            <w:hideMark/>
          </w:tcPr>
          <w:p w14:paraId="645D4420" w14:textId="77777777" w:rsidR="00000000" w:rsidRDefault="006549D2">
            <w:pPr>
              <w:jc w:val="center"/>
              <w:rPr>
                <w:rFonts w:eastAsia="Times New Roman"/>
                <w:sz w:val="20"/>
                <w:szCs w:val="20"/>
              </w:rPr>
            </w:pPr>
            <w:r>
              <w:rPr>
                <w:rFonts w:eastAsia="Times New Roman"/>
                <w:sz w:val="20"/>
                <w:szCs w:val="20"/>
              </w:rPr>
              <w:t>101.PRE*</w:t>
            </w:r>
          </w:p>
        </w:tc>
        <w:tc>
          <w:tcPr>
            <w:tcW w:w="0" w:type="auto"/>
            <w:hideMark/>
          </w:tcPr>
          <w:p w14:paraId="690B5B2F" w14:textId="77777777" w:rsidR="00000000" w:rsidRDefault="006549D2">
            <w:pPr>
              <w:rPr>
                <w:rFonts w:eastAsia="Times New Roman"/>
                <w:sz w:val="20"/>
                <w:szCs w:val="20"/>
              </w:rPr>
            </w:pPr>
            <w:r>
              <w:rPr>
                <w:rFonts w:eastAsia="Times New Roman"/>
                <w:sz w:val="20"/>
                <w:szCs w:val="20"/>
              </w:rPr>
              <w:t> </w:t>
            </w:r>
          </w:p>
        </w:tc>
        <w:tc>
          <w:tcPr>
            <w:tcW w:w="0" w:type="auto"/>
            <w:hideMark/>
          </w:tcPr>
          <w:p w14:paraId="73B618ED" w14:textId="77777777" w:rsidR="00000000" w:rsidRDefault="006549D2">
            <w:pPr>
              <w:jc w:val="both"/>
              <w:rPr>
                <w:rFonts w:eastAsia="Times New Roman"/>
                <w:sz w:val="20"/>
                <w:szCs w:val="20"/>
              </w:rPr>
            </w:pPr>
            <w:r>
              <w:rPr>
                <w:rFonts w:eastAsia="Times New Roman"/>
                <w:sz w:val="20"/>
                <w:szCs w:val="20"/>
              </w:rPr>
              <w:t>XBRL Taxonomy Extension Presentation Linkbase Document</w:t>
            </w:r>
          </w:p>
        </w:tc>
      </w:tr>
    </w:tbl>
    <w:p w14:paraId="5E3B2796" w14:textId="77777777" w:rsidR="00000000" w:rsidRDefault="006549D2">
      <w:pPr>
        <w:pStyle w:val="a3"/>
        <w:spacing w:before="0" w:beforeAutospacing="0" w:after="0" w:afterAutospacing="0"/>
        <w:jc w:val="both"/>
        <w:rPr>
          <w:sz w:val="20"/>
          <w:szCs w:val="20"/>
        </w:rPr>
      </w:pPr>
      <w:r>
        <w:rPr>
          <w:sz w:val="20"/>
          <w:szCs w:val="20"/>
        </w:rPr>
        <w:t> </w:t>
      </w:r>
    </w:p>
    <w:p w14:paraId="1E6A9357" w14:textId="77777777" w:rsidR="00000000" w:rsidRDefault="006549D2">
      <w:pPr>
        <w:pStyle w:val="a3"/>
        <w:spacing w:before="0" w:beforeAutospacing="0" w:after="0" w:afterAutospacing="0"/>
        <w:rPr>
          <w:sz w:val="20"/>
          <w:szCs w:val="20"/>
        </w:rPr>
      </w:pPr>
      <w:r>
        <w:rPr>
          <w:sz w:val="20"/>
          <w:szCs w:val="20"/>
        </w:rPr>
        <w:t>* Filed herewith.</w:t>
      </w:r>
    </w:p>
    <w:p w14:paraId="79A32F04" w14:textId="77777777" w:rsidR="00000000" w:rsidRDefault="006549D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5EE40AB7" w14:textId="77777777">
        <w:trPr>
          <w:divId w:val="1873222702"/>
        </w:trPr>
        <w:tc>
          <w:tcPr>
            <w:tcW w:w="1650" w:type="pct"/>
            <w:hideMark/>
          </w:tcPr>
          <w:p w14:paraId="044FB86C" w14:textId="77777777" w:rsidR="00000000" w:rsidRDefault="006549D2">
            <w:pPr>
              <w:rPr>
                <w:rFonts w:eastAsia="Times New Roman"/>
                <w:sz w:val="20"/>
                <w:szCs w:val="20"/>
              </w:rPr>
            </w:pPr>
            <w:r>
              <w:rPr>
                <w:rFonts w:eastAsia="Times New Roman"/>
                <w:sz w:val="20"/>
                <w:szCs w:val="20"/>
              </w:rPr>
              <w:t> </w:t>
            </w:r>
          </w:p>
        </w:tc>
        <w:tc>
          <w:tcPr>
            <w:tcW w:w="1700" w:type="pct"/>
            <w:hideMark/>
          </w:tcPr>
          <w:p w14:paraId="0162C667" w14:textId="77777777" w:rsidR="00000000" w:rsidRDefault="006549D2">
            <w:pPr>
              <w:jc w:val="center"/>
              <w:rPr>
                <w:rFonts w:eastAsia="Times New Roman"/>
                <w:sz w:val="20"/>
                <w:szCs w:val="20"/>
              </w:rPr>
            </w:pPr>
            <w:r>
              <w:rPr>
                <w:rFonts w:eastAsia="Times New Roman"/>
                <w:sz w:val="20"/>
                <w:szCs w:val="20"/>
              </w:rPr>
              <w:t>1</w:t>
            </w:r>
            <w:r>
              <w:rPr>
                <w:rFonts w:eastAsia="Times New Roman"/>
                <w:sz w:val="20"/>
                <w:szCs w:val="20"/>
              </w:rPr>
              <w:t>9</w:t>
            </w:r>
          </w:p>
        </w:tc>
        <w:tc>
          <w:tcPr>
            <w:tcW w:w="1650" w:type="pct"/>
            <w:hideMark/>
          </w:tcPr>
          <w:p w14:paraId="4562159D" w14:textId="77777777" w:rsidR="00000000" w:rsidRDefault="006549D2">
            <w:pPr>
              <w:jc w:val="right"/>
              <w:rPr>
                <w:rFonts w:eastAsia="Times New Roman"/>
                <w:sz w:val="20"/>
                <w:szCs w:val="20"/>
              </w:rPr>
            </w:pPr>
            <w:r>
              <w:rPr>
                <w:rFonts w:eastAsia="Times New Roman"/>
                <w:sz w:val="20"/>
                <w:szCs w:val="20"/>
              </w:rPr>
              <w:t> </w:t>
            </w:r>
          </w:p>
        </w:tc>
      </w:tr>
    </w:tbl>
    <w:p w14:paraId="6D7BFC3F" w14:textId="77777777" w:rsidR="00000000" w:rsidRDefault="006549D2">
      <w:pPr>
        <w:pStyle w:val="a3"/>
        <w:pageBreakBefore/>
        <w:spacing w:before="0" w:beforeAutospacing="0" w:after="0" w:afterAutospacing="0"/>
        <w:divId w:val="438378913"/>
        <w:rPr>
          <w:sz w:val="20"/>
          <w:szCs w:val="20"/>
        </w:rPr>
      </w:pPr>
      <w:r>
        <w:rPr>
          <w:sz w:val="20"/>
          <w:szCs w:val="20"/>
        </w:rPr>
        <w:t> </w:t>
      </w:r>
    </w:p>
    <w:p w14:paraId="4889010F" w14:textId="77777777" w:rsidR="00000000" w:rsidRDefault="006549D2">
      <w:pPr>
        <w:pStyle w:val="a3"/>
        <w:spacing w:before="0" w:beforeAutospacing="0" w:after="0" w:afterAutospacing="0"/>
        <w:jc w:val="center"/>
        <w:rPr>
          <w:sz w:val="20"/>
          <w:szCs w:val="20"/>
        </w:rPr>
      </w:pPr>
      <w:r>
        <w:rPr>
          <w:sz w:val="20"/>
          <w:szCs w:val="20"/>
        </w:rPr>
        <w:t>   </w:t>
      </w:r>
    </w:p>
    <w:p w14:paraId="4AFA862C" w14:textId="77777777" w:rsidR="00000000" w:rsidRDefault="006549D2">
      <w:pPr>
        <w:pStyle w:val="a3"/>
        <w:spacing w:before="0" w:beforeAutospacing="0" w:after="0" w:afterAutospacing="0"/>
        <w:jc w:val="center"/>
        <w:rPr>
          <w:sz w:val="20"/>
          <w:szCs w:val="20"/>
        </w:rPr>
      </w:pPr>
      <w:bookmarkStart w:id="18" w:name="signatures"/>
      <w:bookmarkEnd w:id="18"/>
      <w:r>
        <w:rPr>
          <w:b/>
          <w:bCs/>
          <w:sz w:val="20"/>
          <w:szCs w:val="20"/>
        </w:rPr>
        <w:t>SIGNATURES</w:t>
      </w:r>
    </w:p>
    <w:p w14:paraId="07FA2B24" w14:textId="77777777" w:rsidR="00000000" w:rsidRDefault="006549D2">
      <w:pPr>
        <w:pStyle w:val="a3"/>
        <w:spacing w:before="0" w:beforeAutospacing="0" w:after="0" w:afterAutospacing="0"/>
        <w:jc w:val="center"/>
        <w:rPr>
          <w:sz w:val="20"/>
          <w:szCs w:val="20"/>
        </w:rPr>
      </w:pPr>
      <w:r>
        <w:rPr>
          <w:sz w:val="20"/>
          <w:szCs w:val="20"/>
        </w:rPr>
        <w:t> </w:t>
      </w:r>
    </w:p>
    <w:p w14:paraId="2355BFCC" w14:textId="77777777" w:rsidR="00000000" w:rsidRDefault="006549D2">
      <w:pPr>
        <w:pStyle w:val="a3"/>
        <w:spacing w:before="0" w:beforeAutospacing="0" w:after="0" w:afterAutospacing="0"/>
        <w:ind w:firstLine="480"/>
        <w:jc w:val="both"/>
        <w:rPr>
          <w:sz w:val="20"/>
          <w:szCs w:val="20"/>
        </w:rPr>
      </w:pPr>
      <w:r>
        <w:rPr>
          <w:sz w:val="20"/>
          <w:szCs w:val="20"/>
        </w:rPr>
        <w:t xml:space="preserve">In accordance with the </w:t>
      </w:r>
      <w:r>
        <w:rPr>
          <w:sz w:val="20"/>
          <w:szCs w:val="20"/>
        </w:rPr>
        <w:t>requirements of the Exchange Act, the registrant caused this report to be signed on its behalf by the undersigned, thereunto duly authorized.</w:t>
      </w:r>
    </w:p>
    <w:p w14:paraId="2BABC609" w14:textId="77777777" w:rsidR="00000000" w:rsidRDefault="006549D2">
      <w:pPr>
        <w:pStyle w:val="a3"/>
        <w:spacing w:before="0" w:beforeAutospacing="0" w:after="0" w:afterAutospacing="0"/>
        <w:ind w:firstLine="48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35"/>
        <w:gridCol w:w="534"/>
        <w:gridCol w:w="3637"/>
      </w:tblGrid>
      <w:tr w:rsidR="00000000" w14:paraId="5805D65E" w14:textId="77777777">
        <w:tc>
          <w:tcPr>
            <w:tcW w:w="0" w:type="auto"/>
            <w:hideMark/>
          </w:tcPr>
          <w:p w14:paraId="77D90156" w14:textId="77777777" w:rsidR="00000000" w:rsidRDefault="006549D2">
            <w:pPr>
              <w:rPr>
                <w:rFonts w:eastAsia="Times New Roman"/>
                <w:sz w:val="20"/>
                <w:szCs w:val="20"/>
              </w:rPr>
            </w:pPr>
            <w:r>
              <w:rPr>
                <w:rFonts w:eastAsia="Times New Roman"/>
                <w:sz w:val="20"/>
                <w:szCs w:val="20"/>
              </w:rPr>
              <w:t> </w:t>
            </w:r>
          </w:p>
        </w:tc>
        <w:tc>
          <w:tcPr>
            <w:tcW w:w="0" w:type="auto"/>
            <w:gridSpan w:val="2"/>
            <w:hideMark/>
          </w:tcPr>
          <w:p w14:paraId="5B1537AD" w14:textId="77777777" w:rsidR="00000000" w:rsidRDefault="006549D2">
            <w:pPr>
              <w:rPr>
                <w:rFonts w:eastAsia="Times New Roman"/>
                <w:sz w:val="20"/>
                <w:szCs w:val="20"/>
              </w:rPr>
            </w:pPr>
            <w:r>
              <w:rPr>
                <w:rFonts w:eastAsia="Times New Roman"/>
                <w:b/>
                <w:bCs/>
                <w:sz w:val="20"/>
                <w:szCs w:val="20"/>
              </w:rPr>
              <w:t>Churchill Capital Corp III</w:t>
            </w:r>
          </w:p>
        </w:tc>
      </w:tr>
      <w:tr w:rsidR="00000000" w14:paraId="0160511A" w14:textId="77777777">
        <w:tc>
          <w:tcPr>
            <w:tcW w:w="2500" w:type="pct"/>
            <w:hideMark/>
          </w:tcPr>
          <w:p w14:paraId="72FDAAEA" w14:textId="77777777" w:rsidR="00000000" w:rsidRDefault="006549D2">
            <w:pPr>
              <w:rPr>
                <w:rFonts w:eastAsia="Times New Roman"/>
                <w:sz w:val="20"/>
                <w:szCs w:val="20"/>
              </w:rPr>
            </w:pPr>
            <w:r>
              <w:rPr>
                <w:rFonts w:eastAsia="Times New Roman"/>
                <w:sz w:val="20"/>
                <w:szCs w:val="20"/>
              </w:rPr>
              <w:t> </w:t>
            </w:r>
          </w:p>
        </w:tc>
        <w:tc>
          <w:tcPr>
            <w:tcW w:w="300" w:type="pct"/>
            <w:hideMark/>
          </w:tcPr>
          <w:p w14:paraId="0892B9E3" w14:textId="77777777" w:rsidR="00000000" w:rsidRDefault="006549D2">
            <w:pPr>
              <w:rPr>
                <w:rFonts w:eastAsia="Times New Roman"/>
                <w:sz w:val="20"/>
                <w:szCs w:val="20"/>
              </w:rPr>
            </w:pPr>
            <w:r>
              <w:rPr>
                <w:rFonts w:eastAsia="Times New Roman"/>
                <w:sz w:val="20"/>
                <w:szCs w:val="20"/>
              </w:rPr>
              <w:t> </w:t>
            </w:r>
          </w:p>
        </w:tc>
        <w:tc>
          <w:tcPr>
            <w:tcW w:w="2200" w:type="pct"/>
            <w:hideMark/>
          </w:tcPr>
          <w:p w14:paraId="7FF1FC13" w14:textId="77777777" w:rsidR="00000000" w:rsidRDefault="006549D2">
            <w:pPr>
              <w:rPr>
                <w:rFonts w:eastAsia="Times New Roman"/>
                <w:sz w:val="20"/>
                <w:szCs w:val="20"/>
              </w:rPr>
            </w:pPr>
            <w:r>
              <w:rPr>
                <w:rFonts w:eastAsia="Times New Roman"/>
                <w:sz w:val="20"/>
                <w:szCs w:val="20"/>
              </w:rPr>
              <w:t> </w:t>
            </w:r>
          </w:p>
        </w:tc>
      </w:tr>
      <w:tr w:rsidR="00000000" w14:paraId="598BE36E" w14:textId="77777777">
        <w:tc>
          <w:tcPr>
            <w:tcW w:w="0" w:type="auto"/>
            <w:hideMark/>
          </w:tcPr>
          <w:p w14:paraId="67141102" w14:textId="77777777" w:rsidR="00000000" w:rsidRDefault="006549D2">
            <w:pPr>
              <w:rPr>
                <w:rFonts w:eastAsia="Times New Roman"/>
                <w:sz w:val="20"/>
                <w:szCs w:val="20"/>
              </w:rPr>
            </w:pPr>
            <w:r>
              <w:rPr>
                <w:rFonts w:eastAsia="Times New Roman"/>
                <w:sz w:val="20"/>
                <w:szCs w:val="20"/>
              </w:rPr>
              <w:t>Date: August 12, 2020</w:t>
            </w:r>
          </w:p>
        </w:tc>
        <w:tc>
          <w:tcPr>
            <w:tcW w:w="0" w:type="auto"/>
            <w:hideMark/>
          </w:tcPr>
          <w:p w14:paraId="07DD6D45" w14:textId="77777777" w:rsidR="00000000" w:rsidRDefault="006549D2">
            <w:pPr>
              <w:rPr>
                <w:rFonts w:eastAsia="Times New Roman"/>
                <w:sz w:val="20"/>
                <w:szCs w:val="20"/>
              </w:rPr>
            </w:pPr>
            <w:r>
              <w:rPr>
                <w:rFonts w:eastAsia="Times New Roman"/>
                <w:sz w:val="20"/>
                <w:szCs w:val="20"/>
              </w:rPr>
              <w:t>By:</w:t>
            </w:r>
          </w:p>
        </w:tc>
        <w:tc>
          <w:tcPr>
            <w:tcW w:w="0" w:type="auto"/>
            <w:tcBorders>
              <w:bottom w:val="single" w:sz="8" w:space="0" w:color="000000"/>
            </w:tcBorders>
            <w:hideMark/>
          </w:tcPr>
          <w:p w14:paraId="54B5B274" w14:textId="77777777" w:rsidR="00000000" w:rsidRDefault="006549D2">
            <w:pPr>
              <w:rPr>
                <w:rFonts w:eastAsia="Times New Roman"/>
                <w:sz w:val="20"/>
                <w:szCs w:val="20"/>
              </w:rPr>
            </w:pPr>
            <w:r>
              <w:rPr>
                <w:rFonts w:eastAsia="Times New Roman"/>
                <w:sz w:val="20"/>
                <w:szCs w:val="20"/>
              </w:rPr>
              <w:t>/s/ Michael Klein</w:t>
            </w:r>
          </w:p>
        </w:tc>
      </w:tr>
      <w:tr w:rsidR="00000000" w14:paraId="68967311" w14:textId="77777777">
        <w:tc>
          <w:tcPr>
            <w:tcW w:w="0" w:type="auto"/>
            <w:hideMark/>
          </w:tcPr>
          <w:p w14:paraId="66A0E440" w14:textId="77777777" w:rsidR="00000000" w:rsidRDefault="006549D2">
            <w:pPr>
              <w:rPr>
                <w:rFonts w:eastAsia="Times New Roman"/>
                <w:sz w:val="20"/>
                <w:szCs w:val="20"/>
              </w:rPr>
            </w:pPr>
            <w:r>
              <w:rPr>
                <w:rFonts w:eastAsia="Times New Roman"/>
                <w:sz w:val="20"/>
                <w:szCs w:val="20"/>
              </w:rPr>
              <w:t> </w:t>
            </w:r>
          </w:p>
        </w:tc>
        <w:tc>
          <w:tcPr>
            <w:tcW w:w="0" w:type="auto"/>
            <w:hideMark/>
          </w:tcPr>
          <w:p w14:paraId="45615DAA" w14:textId="77777777" w:rsidR="00000000" w:rsidRDefault="006549D2">
            <w:pPr>
              <w:rPr>
                <w:rFonts w:eastAsia="Times New Roman"/>
                <w:sz w:val="20"/>
                <w:szCs w:val="20"/>
              </w:rPr>
            </w:pPr>
            <w:r>
              <w:rPr>
                <w:rFonts w:eastAsia="Times New Roman"/>
                <w:sz w:val="20"/>
                <w:szCs w:val="20"/>
              </w:rPr>
              <w:t>Name:</w:t>
            </w:r>
          </w:p>
        </w:tc>
        <w:tc>
          <w:tcPr>
            <w:tcW w:w="0" w:type="auto"/>
            <w:hideMark/>
          </w:tcPr>
          <w:p w14:paraId="43532A9C" w14:textId="77777777" w:rsidR="00000000" w:rsidRDefault="006549D2">
            <w:pPr>
              <w:rPr>
                <w:rFonts w:eastAsia="Times New Roman"/>
                <w:sz w:val="20"/>
                <w:szCs w:val="20"/>
              </w:rPr>
            </w:pPr>
            <w:r>
              <w:rPr>
                <w:rFonts w:eastAsia="Times New Roman"/>
                <w:sz w:val="20"/>
                <w:szCs w:val="20"/>
              </w:rPr>
              <w:t>Michael Klein</w:t>
            </w:r>
          </w:p>
        </w:tc>
      </w:tr>
      <w:tr w:rsidR="00000000" w14:paraId="66018A06" w14:textId="77777777">
        <w:tc>
          <w:tcPr>
            <w:tcW w:w="0" w:type="auto"/>
            <w:hideMark/>
          </w:tcPr>
          <w:p w14:paraId="6EC94F8E" w14:textId="77777777" w:rsidR="00000000" w:rsidRDefault="006549D2">
            <w:pPr>
              <w:rPr>
                <w:rFonts w:eastAsia="Times New Roman"/>
                <w:sz w:val="20"/>
                <w:szCs w:val="20"/>
              </w:rPr>
            </w:pPr>
            <w:r>
              <w:rPr>
                <w:rFonts w:eastAsia="Times New Roman"/>
                <w:sz w:val="20"/>
                <w:szCs w:val="20"/>
              </w:rPr>
              <w:t> </w:t>
            </w:r>
          </w:p>
        </w:tc>
        <w:tc>
          <w:tcPr>
            <w:tcW w:w="0" w:type="auto"/>
            <w:hideMark/>
          </w:tcPr>
          <w:p w14:paraId="3BFDE882" w14:textId="77777777" w:rsidR="00000000" w:rsidRDefault="006549D2">
            <w:pPr>
              <w:rPr>
                <w:rFonts w:eastAsia="Times New Roman"/>
                <w:sz w:val="20"/>
                <w:szCs w:val="20"/>
              </w:rPr>
            </w:pPr>
            <w:r>
              <w:rPr>
                <w:rFonts w:eastAsia="Times New Roman"/>
                <w:sz w:val="20"/>
                <w:szCs w:val="20"/>
              </w:rPr>
              <w:t>Title:</w:t>
            </w:r>
          </w:p>
        </w:tc>
        <w:tc>
          <w:tcPr>
            <w:tcW w:w="0" w:type="auto"/>
            <w:hideMark/>
          </w:tcPr>
          <w:p w14:paraId="16CD88B0" w14:textId="77777777" w:rsidR="00000000" w:rsidRDefault="006549D2">
            <w:pPr>
              <w:rPr>
                <w:rFonts w:eastAsia="Times New Roman"/>
                <w:sz w:val="20"/>
                <w:szCs w:val="20"/>
              </w:rPr>
            </w:pPr>
            <w:r>
              <w:rPr>
                <w:rFonts w:eastAsia="Times New Roman"/>
                <w:sz w:val="20"/>
                <w:szCs w:val="20"/>
              </w:rPr>
              <w:t>Chief Executive Officer</w:t>
            </w:r>
          </w:p>
        </w:tc>
      </w:tr>
      <w:tr w:rsidR="00000000" w14:paraId="1EF5C332" w14:textId="77777777">
        <w:tc>
          <w:tcPr>
            <w:tcW w:w="0" w:type="auto"/>
            <w:hideMark/>
          </w:tcPr>
          <w:p w14:paraId="6418E9F6" w14:textId="77777777" w:rsidR="00000000" w:rsidRDefault="006549D2">
            <w:pPr>
              <w:rPr>
                <w:rFonts w:eastAsia="Times New Roman"/>
                <w:sz w:val="20"/>
                <w:szCs w:val="20"/>
              </w:rPr>
            </w:pPr>
            <w:r>
              <w:rPr>
                <w:rFonts w:eastAsia="Times New Roman"/>
                <w:sz w:val="20"/>
                <w:szCs w:val="20"/>
              </w:rPr>
              <w:t> </w:t>
            </w:r>
          </w:p>
        </w:tc>
        <w:tc>
          <w:tcPr>
            <w:tcW w:w="0" w:type="auto"/>
            <w:hideMark/>
          </w:tcPr>
          <w:p w14:paraId="2AD45DC8" w14:textId="77777777" w:rsidR="00000000" w:rsidRDefault="006549D2">
            <w:pPr>
              <w:rPr>
                <w:rFonts w:eastAsia="Times New Roman"/>
                <w:sz w:val="20"/>
                <w:szCs w:val="20"/>
              </w:rPr>
            </w:pPr>
            <w:r>
              <w:rPr>
                <w:rFonts w:eastAsia="Times New Roman"/>
                <w:sz w:val="20"/>
                <w:szCs w:val="20"/>
              </w:rPr>
              <w:t> </w:t>
            </w:r>
          </w:p>
        </w:tc>
        <w:tc>
          <w:tcPr>
            <w:tcW w:w="0" w:type="auto"/>
            <w:hideMark/>
          </w:tcPr>
          <w:p w14:paraId="301E8C36" w14:textId="77777777" w:rsidR="00000000" w:rsidRDefault="006549D2">
            <w:pPr>
              <w:rPr>
                <w:rFonts w:eastAsia="Times New Roman"/>
                <w:sz w:val="20"/>
                <w:szCs w:val="20"/>
              </w:rPr>
            </w:pPr>
            <w:r>
              <w:rPr>
                <w:rFonts w:eastAsia="Times New Roman"/>
                <w:sz w:val="20"/>
                <w:szCs w:val="20"/>
              </w:rPr>
              <w:t>(Principal Executive Officer)</w:t>
            </w:r>
          </w:p>
        </w:tc>
      </w:tr>
      <w:tr w:rsidR="00000000" w14:paraId="21B7DCAB" w14:textId="77777777">
        <w:tc>
          <w:tcPr>
            <w:tcW w:w="0" w:type="auto"/>
            <w:hideMark/>
          </w:tcPr>
          <w:p w14:paraId="554E04E4" w14:textId="77777777" w:rsidR="00000000" w:rsidRDefault="006549D2">
            <w:pPr>
              <w:rPr>
                <w:rFonts w:eastAsia="Times New Roman"/>
                <w:sz w:val="20"/>
                <w:szCs w:val="20"/>
              </w:rPr>
            </w:pPr>
            <w:r>
              <w:rPr>
                <w:rFonts w:eastAsia="Times New Roman"/>
                <w:sz w:val="20"/>
                <w:szCs w:val="20"/>
              </w:rPr>
              <w:t> </w:t>
            </w:r>
          </w:p>
        </w:tc>
        <w:tc>
          <w:tcPr>
            <w:tcW w:w="0" w:type="auto"/>
            <w:hideMark/>
          </w:tcPr>
          <w:p w14:paraId="2D1E93B8" w14:textId="77777777" w:rsidR="00000000" w:rsidRDefault="006549D2">
            <w:pPr>
              <w:rPr>
                <w:rFonts w:eastAsia="Times New Roman"/>
                <w:sz w:val="20"/>
                <w:szCs w:val="20"/>
              </w:rPr>
            </w:pPr>
            <w:r>
              <w:rPr>
                <w:rFonts w:eastAsia="Times New Roman"/>
                <w:sz w:val="20"/>
                <w:szCs w:val="20"/>
              </w:rPr>
              <w:t> </w:t>
            </w:r>
          </w:p>
        </w:tc>
        <w:tc>
          <w:tcPr>
            <w:tcW w:w="0" w:type="auto"/>
            <w:hideMark/>
          </w:tcPr>
          <w:p w14:paraId="0915BB1C" w14:textId="77777777" w:rsidR="00000000" w:rsidRDefault="006549D2">
            <w:pPr>
              <w:rPr>
                <w:rFonts w:eastAsia="Times New Roman"/>
                <w:sz w:val="20"/>
                <w:szCs w:val="20"/>
              </w:rPr>
            </w:pPr>
            <w:r>
              <w:rPr>
                <w:rFonts w:eastAsia="Times New Roman"/>
                <w:sz w:val="20"/>
                <w:szCs w:val="20"/>
              </w:rPr>
              <w:t> </w:t>
            </w:r>
          </w:p>
        </w:tc>
      </w:tr>
      <w:tr w:rsidR="00000000" w14:paraId="5AF1B8B4" w14:textId="77777777">
        <w:tc>
          <w:tcPr>
            <w:tcW w:w="0" w:type="auto"/>
            <w:hideMark/>
          </w:tcPr>
          <w:p w14:paraId="25994824" w14:textId="77777777" w:rsidR="00000000" w:rsidRDefault="006549D2">
            <w:pPr>
              <w:rPr>
                <w:rFonts w:eastAsia="Times New Roman"/>
                <w:sz w:val="20"/>
                <w:szCs w:val="20"/>
              </w:rPr>
            </w:pPr>
            <w:r>
              <w:rPr>
                <w:rFonts w:eastAsia="Times New Roman"/>
                <w:sz w:val="20"/>
                <w:szCs w:val="20"/>
              </w:rPr>
              <w:t>Date: August 12, 2020</w:t>
            </w:r>
          </w:p>
        </w:tc>
        <w:tc>
          <w:tcPr>
            <w:tcW w:w="0" w:type="auto"/>
            <w:hideMark/>
          </w:tcPr>
          <w:p w14:paraId="04715384" w14:textId="77777777" w:rsidR="00000000" w:rsidRDefault="006549D2">
            <w:pPr>
              <w:rPr>
                <w:rFonts w:eastAsia="Times New Roman"/>
                <w:sz w:val="20"/>
                <w:szCs w:val="20"/>
              </w:rPr>
            </w:pPr>
            <w:r>
              <w:rPr>
                <w:rFonts w:eastAsia="Times New Roman"/>
                <w:sz w:val="20"/>
                <w:szCs w:val="20"/>
              </w:rPr>
              <w:t>By:</w:t>
            </w:r>
          </w:p>
        </w:tc>
        <w:tc>
          <w:tcPr>
            <w:tcW w:w="0" w:type="auto"/>
            <w:tcBorders>
              <w:bottom w:val="single" w:sz="8" w:space="0" w:color="000000"/>
            </w:tcBorders>
            <w:hideMark/>
          </w:tcPr>
          <w:p w14:paraId="0A9D988B" w14:textId="77777777" w:rsidR="00000000" w:rsidRDefault="006549D2">
            <w:pPr>
              <w:rPr>
                <w:rFonts w:eastAsia="Times New Roman"/>
                <w:sz w:val="20"/>
                <w:szCs w:val="20"/>
              </w:rPr>
            </w:pPr>
            <w:r>
              <w:rPr>
                <w:rFonts w:eastAsia="Times New Roman"/>
                <w:sz w:val="20"/>
                <w:szCs w:val="20"/>
              </w:rPr>
              <w:t>/s/ Jay Taragin</w:t>
            </w:r>
          </w:p>
        </w:tc>
      </w:tr>
      <w:tr w:rsidR="00000000" w14:paraId="749D9D30" w14:textId="77777777">
        <w:tc>
          <w:tcPr>
            <w:tcW w:w="0" w:type="auto"/>
            <w:hideMark/>
          </w:tcPr>
          <w:p w14:paraId="0647B1AD" w14:textId="77777777" w:rsidR="00000000" w:rsidRDefault="006549D2">
            <w:pPr>
              <w:rPr>
                <w:rFonts w:eastAsia="Times New Roman"/>
                <w:sz w:val="20"/>
                <w:szCs w:val="20"/>
              </w:rPr>
            </w:pPr>
            <w:r>
              <w:rPr>
                <w:rFonts w:eastAsia="Times New Roman"/>
                <w:sz w:val="20"/>
                <w:szCs w:val="20"/>
              </w:rPr>
              <w:t> </w:t>
            </w:r>
          </w:p>
        </w:tc>
        <w:tc>
          <w:tcPr>
            <w:tcW w:w="0" w:type="auto"/>
            <w:hideMark/>
          </w:tcPr>
          <w:p w14:paraId="0777FCFD" w14:textId="77777777" w:rsidR="00000000" w:rsidRDefault="006549D2">
            <w:pPr>
              <w:rPr>
                <w:rFonts w:eastAsia="Times New Roman"/>
                <w:sz w:val="20"/>
                <w:szCs w:val="20"/>
              </w:rPr>
            </w:pPr>
            <w:r>
              <w:rPr>
                <w:rFonts w:eastAsia="Times New Roman"/>
                <w:sz w:val="20"/>
                <w:szCs w:val="20"/>
              </w:rPr>
              <w:t>Name:</w:t>
            </w:r>
          </w:p>
        </w:tc>
        <w:tc>
          <w:tcPr>
            <w:tcW w:w="0" w:type="auto"/>
            <w:hideMark/>
          </w:tcPr>
          <w:p w14:paraId="21311FCC" w14:textId="77777777" w:rsidR="00000000" w:rsidRDefault="006549D2">
            <w:pPr>
              <w:rPr>
                <w:rFonts w:eastAsia="Times New Roman"/>
                <w:sz w:val="20"/>
                <w:szCs w:val="20"/>
              </w:rPr>
            </w:pPr>
            <w:r>
              <w:rPr>
                <w:rFonts w:eastAsia="Times New Roman"/>
                <w:sz w:val="20"/>
                <w:szCs w:val="20"/>
              </w:rPr>
              <w:t>Jay Taragin</w:t>
            </w:r>
          </w:p>
        </w:tc>
      </w:tr>
      <w:tr w:rsidR="00000000" w14:paraId="31B2EF86" w14:textId="77777777">
        <w:tc>
          <w:tcPr>
            <w:tcW w:w="0" w:type="auto"/>
            <w:hideMark/>
          </w:tcPr>
          <w:p w14:paraId="5DA43099" w14:textId="77777777" w:rsidR="00000000" w:rsidRDefault="006549D2">
            <w:pPr>
              <w:rPr>
                <w:rFonts w:eastAsia="Times New Roman"/>
                <w:sz w:val="20"/>
                <w:szCs w:val="20"/>
              </w:rPr>
            </w:pPr>
            <w:r>
              <w:rPr>
                <w:rFonts w:eastAsia="Times New Roman"/>
                <w:sz w:val="20"/>
                <w:szCs w:val="20"/>
              </w:rPr>
              <w:t> </w:t>
            </w:r>
          </w:p>
        </w:tc>
        <w:tc>
          <w:tcPr>
            <w:tcW w:w="0" w:type="auto"/>
            <w:hideMark/>
          </w:tcPr>
          <w:p w14:paraId="7EE948A7" w14:textId="77777777" w:rsidR="00000000" w:rsidRDefault="006549D2">
            <w:pPr>
              <w:rPr>
                <w:rFonts w:eastAsia="Times New Roman"/>
                <w:sz w:val="20"/>
                <w:szCs w:val="20"/>
              </w:rPr>
            </w:pPr>
            <w:r>
              <w:rPr>
                <w:rFonts w:eastAsia="Times New Roman"/>
                <w:sz w:val="20"/>
                <w:szCs w:val="20"/>
              </w:rPr>
              <w:t>Title:</w:t>
            </w:r>
          </w:p>
        </w:tc>
        <w:tc>
          <w:tcPr>
            <w:tcW w:w="0" w:type="auto"/>
            <w:hideMark/>
          </w:tcPr>
          <w:p w14:paraId="56951E29" w14:textId="77777777" w:rsidR="00000000" w:rsidRDefault="006549D2">
            <w:pPr>
              <w:rPr>
                <w:rFonts w:eastAsia="Times New Roman"/>
                <w:sz w:val="20"/>
                <w:szCs w:val="20"/>
              </w:rPr>
            </w:pPr>
            <w:r>
              <w:rPr>
                <w:rFonts w:eastAsia="Times New Roman"/>
                <w:sz w:val="20"/>
                <w:szCs w:val="20"/>
              </w:rPr>
              <w:t>Chief Financial Officer</w:t>
            </w:r>
          </w:p>
        </w:tc>
      </w:tr>
      <w:tr w:rsidR="00000000" w14:paraId="7D61D550" w14:textId="77777777">
        <w:tc>
          <w:tcPr>
            <w:tcW w:w="0" w:type="auto"/>
            <w:hideMark/>
          </w:tcPr>
          <w:p w14:paraId="389BBF59" w14:textId="77777777" w:rsidR="00000000" w:rsidRDefault="006549D2">
            <w:pPr>
              <w:rPr>
                <w:rFonts w:eastAsia="Times New Roman"/>
                <w:sz w:val="20"/>
                <w:szCs w:val="20"/>
              </w:rPr>
            </w:pPr>
            <w:r>
              <w:rPr>
                <w:rFonts w:eastAsia="Times New Roman"/>
                <w:sz w:val="20"/>
                <w:szCs w:val="20"/>
              </w:rPr>
              <w:t> </w:t>
            </w:r>
          </w:p>
        </w:tc>
        <w:tc>
          <w:tcPr>
            <w:tcW w:w="0" w:type="auto"/>
            <w:hideMark/>
          </w:tcPr>
          <w:p w14:paraId="4A0880BD" w14:textId="77777777" w:rsidR="00000000" w:rsidRDefault="006549D2">
            <w:pPr>
              <w:rPr>
                <w:rFonts w:eastAsia="Times New Roman"/>
                <w:sz w:val="20"/>
                <w:szCs w:val="20"/>
              </w:rPr>
            </w:pPr>
            <w:r>
              <w:rPr>
                <w:rFonts w:eastAsia="Times New Roman"/>
                <w:sz w:val="20"/>
                <w:szCs w:val="20"/>
              </w:rPr>
              <w:t> </w:t>
            </w:r>
          </w:p>
        </w:tc>
        <w:tc>
          <w:tcPr>
            <w:tcW w:w="0" w:type="auto"/>
            <w:hideMark/>
          </w:tcPr>
          <w:p w14:paraId="433FB078" w14:textId="77777777" w:rsidR="00000000" w:rsidRDefault="006549D2">
            <w:pPr>
              <w:rPr>
                <w:rFonts w:eastAsia="Times New Roman"/>
                <w:sz w:val="20"/>
                <w:szCs w:val="20"/>
              </w:rPr>
            </w:pPr>
            <w:r>
              <w:rPr>
                <w:rFonts w:eastAsia="Times New Roman"/>
                <w:sz w:val="20"/>
                <w:szCs w:val="20"/>
              </w:rPr>
              <w:t>(Principal Accounting Officer and Financial Officer)</w:t>
            </w:r>
          </w:p>
        </w:tc>
      </w:tr>
    </w:tbl>
    <w:p w14:paraId="2D416995" w14:textId="77777777" w:rsidR="00000000" w:rsidRDefault="006549D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9974957" w14:textId="77777777">
        <w:trPr>
          <w:divId w:val="1743747385"/>
        </w:trPr>
        <w:tc>
          <w:tcPr>
            <w:tcW w:w="1650" w:type="pct"/>
            <w:hideMark/>
          </w:tcPr>
          <w:p w14:paraId="417C34FF" w14:textId="77777777" w:rsidR="00000000" w:rsidRDefault="006549D2">
            <w:pPr>
              <w:rPr>
                <w:rFonts w:eastAsia="Times New Roman"/>
                <w:sz w:val="20"/>
                <w:szCs w:val="20"/>
              </w:rPr>
            </w:pPr>
            <w:r>
              <w:rPr>
                <w:rFonts w:eastAsia="Times New Roman"/>
                <w:sz w:val="20"/>
                <w:szCs w:val="20"/>
              </w:rPr>
              <w:t> </w:t>
            </w:r>
          </w:p>
        </w:tc>
        <w:tc>
          <w:tcPr>
            <w:tcW w:w="1700" w:type="pct"/>
            <w:hideMark/>
          </w:tcPr>
          <w:p w14:paraId="5509F97F" w14:textId="77777777" w:rsidR="00000000" w:rsidRDefault="006549D2">
            <w:pPr>
              <w:jc w:val="center"/>
              <w:rPr>
                <w:rFonts w:eastAsia="Times New Roman"/>
                <w:sz w:val="20"/>
                <w:szCs w:val="20"/>
              </w:rPr>
            </w:pPr>
            <w:r>
              <w:rPr>
                <w:rFonts w:eastAsia="Times New Roman"/>
                <w:sz w:val="20"/>
                <w:szCs w:val="20"/>
              </w:rPr>
              <w:t>2</w:t>
            </w:r>
            <w:r>
              <w:rPr>
                <w:rFonts w:eastAsia="Times New Roman"/>
                <w:sz w:val="20"/>
                <w:szCs w:val="20"/>
              </w:rPr>
              <w:t>0</w:t>
            </w:r>
          </w:p>
        </w:tc>
        <w:tc>
          <w:tcPr>
            <w:tcW w:w="1650" w:type="pct"/>
            <w:hideMark/>
          </w:tcPr>
          <w:p w14:paraId="7AB55553" w14:textId="77777777" w:rsidR="00000000" w:rsidRDefault="006549D2">
            <w:pPr>
              <w:jc w:val="right"/>
              <w:rPr>
                <w:rFonts w:eastAsia="Times New Roman"/>
                <w:sz w:val="20"/>
                <w:szCs w:val="20"/>
              </w:rPr>
            </w:pPr>
            <w:r>
              <w:rPr>
                <w:rFonts w:eastAsia="Times New Roman"/>
                <w:sz w:val="20"/>
                <w:szCs w:val="20"/>
              </w:rPr>
              <w:t> </w:t>
            </w:r>
          </w:p>
        </w:tc>
      </w:tr>
    </w:tbl>
    <w:p w14:paraId="5BE54F91" w14:textId="77777777" w:rsidR="006549D2" w:rsidRDefault="006549D2">
      <w:pPr>
        <w:pStyle w:val="a3"/>
        <w:spacing w:before="0" w:beforeAutospacing="0" w:after="0" w:afterAutospacing="0"/>
        <w:rPr>
          <w:sz w:val="20"/>
          <w:szCs w:val="20"/>
        </w:rPr>
      </w:pPr>
      <w:r>
        <w:rPr>
          <w:sz w:val="20"/>
          <w:szCs w:val="20"/>
        </w:rPr>
        <w:t>  </w:t>
      </w:r>
    </w:p>
    <w:sectPr w:rsidR="006549D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549D2"/>
    <w:rsid w:val="00654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CC64AE"/>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2475">
      <w:marLeft w:val="0"/>
      <w:marRight w:val="0"/>
      <w:marTop w:val="120"/>
      <w:marBottom w:val="240"/>
      <w:divBdr>
        <w:top w:val="none" w:sz="0" w:space="0" w:color="auto"/>
        <w:left w:val="none" w:sz="0" w:space="0" w:color="auto"/>
        <w:bottom w:val="none" w:sz="0" w:space="0" w:color="auto"/>
        <w:right w:val="none" w:sz="0" w:space="0" w:color="auto"/>
      </w:divBdr>
    </w:div>
    <w:div w:id="143744368">
      <w:marLeft w:val="0"/>
      <w:marRight w:val="0"/>
      <w:marTop w:val="240"/>
      <w:marBottom w:val="120"/>
      <w:divBdr>
        <w:top w:val="none" w:sz="0" w:space="0" w:color="auto"/>
        <w:left w:val="none" w:sz="0" w:space="0" w:color="auto"/>
        <w:bottom w:val="single" w:sz="8" w:space="0" w:color="000000"/>
        <w:right w:val="none" w:sz="0" w:space="0" w:color="auto"/>
      </w:divBdr>
    </w:div>
    <w:div w:id="194393930">
      <w:marLeft w:val="0"/>
      <w:marRight w:val="0"/>
      <w:marTop w:val="120"/>
      <w:marBottom w:val="240"/>
      <w:divBdr>
        <w:top w:val="none" w:sz="0" w:space="0" w:color="auto"/>
        <w:left w:val="none" w:sz="0" w:space="0" w:color="auto"/>
        <w:bottom w:val="none" w:sz="0" w:space="0" w:color="auto"/>
        <w:right w:val="none" w:sz="0" w:space="0" w:color="auto"/>
      </w:divBdr>
    </w:div>
    <w:div w:id="238760242">
      <w:marLeft w:val="0"/>
      <w:marRight w:val="0"/>
      <w:marTop w:val="240"/>
      <w:marBottom w:val="120"/>
      <w:divBdr>
        <w:top w:val="none" w:sz="0" w:space="0" w:color="auto"/>
        <w:left w:val="none" w:sz="0" w:space="0" w:color="auto"/>
        <w:bottom w:val="single" w:sz="8" w:space="0" w:color="000000"/>
        <w:right w:val="none" w:sz="0" w:space="0" w:color="auto"/>
      </w:divBdr>
    </w:div>
    <w:div w:id="335310118">
      <w:marLeft w:val="0"/>
      <w:marRight w:val="0"/>
      <w:marTop w:val="120"/>
      <w:marBottom w:val="240"/>
      <w:divBdr>
        <w:top w:val="none" w:sz="0" w:space="0" w:color="auto"/>
        <w:left w:val="none" w:sz="0" w:space="0" w:color="auto"/>
        <w:bottom w:val="none" w:sz="0" w:space="0" w:color="auto"/>
        <w:right w:val="none" w:sz="0" w:space="0" w:color="auto"/>
      </w:divBdr>
    </w:div>
    <w:div w:id="349262171">
      <w:marLeft w:val="0"/>
      <w:marRight w:val="0"/>
      <w:marTop w:val="0"/>
      <w:marBottom w:val="0"/>
      <w:divBdr>
        <w:top w:val="none" w:sz="0" w:space="0" w:color="auto"/>
        <w:left w:val="none" w:sz="0" w:space="0" w:color="auto"/>
        <w:bottom w:val="none" w:sz="0" w:space="0" w:color="auto"/>
        <w:right w:val="none" w:sz="0" w:space="0" w:color="auto"/>
      </w:divBdr>
      <w:divsChild>
        <w:div w:id="970011572">
          <w:marLeft w:val="0"/>
          <w:marRight w:val="0"/>
          <w:marTop w:val="0"/>
          <w:marBottom w:val="0"/>
          <w:divBdr>
            <w:top w:val="single" w:sz="8" w:space="0" w:color="000000"/>
            <w:left w:val="none" w:sz="0" w:space="0" w:color="auto"/>
            <w:bottom w:val="single" w:sz="18" w:space="0" w:color="000000"/>
            <w:right w:val="none" w:sz="0" w:space="0" w:color="auto"/>
          </w:divBdr>
        </w:div>
      </w:divsChild>
    </w:div>
    <w:div w:id="438378913">
      <w:marLeft w:val="0"/>
      <w:marRight w:val="0"/>
      <w:marTop w:val="120"/>
      <w:marBottom w:val="240"/>
      <w:divBdr>
        <w:top w:val="none" w:sz="0" w:space="0" w:color="auto"/>
        <w:left w:val="none" w:sz="0" w:space="0" w:color="auto"/>
        <w:bottom w:val="none" w:sz="0" w:space="0" w:color="auto"/>
        <w:right w:val="none" w:sz="0" w:space="0" w:color="auto"/>
      </w:divBdr>
    </w:div>
    <w:div w:id="515197510">
      <w:marLeft w:val="0"/>
      <w:marRight w:val="0"/>
      <w:marTop w:val="240"/>
      <w:marBottom w:val="120"/>
      <w:divBdr>
        <w:top w:val="none" w:sz="0" w:space="0" w:color="auto"/>
        <w:left w:val="none" w:sz="0" w:space="0" w:color="auto"/>
        <w:bottom w:val="single" w:sz="8" w:space="0" w:color="000000"/>
        <w:right w:val="none" w:sz="0" w:space="0" w:color="auto"/>
      </w:divBdr>
    </w:div>
    <w:div w:id="574705827">
      <w:marLeft w:val="0"/>
      <w:marRight w:val="0"/>
      <w:marTop w:val="120"/>
      <w:marBottom w:val="240"/>
      <w:divBdr>
        <w:top w:val="none" w:sz="0" w:space="0" w:color="auto"/>
        <w:left w:val="none" w:sz="0" w:space="0" w:color="auto"/>
        <w:bottom w:val="none" w:sz="0" w:space="0" w:color="auto"/>
        <w:right w:val="none" w:sz="0" w:space="0" w:color="auto"/>
      </w:divBdr>
    </w:div>
    <w:div w:id="581136788">
      <w:marLeft w:val="0"/>
      <w:marRight w:val="0"/>
      <w:marTop w:val="120"/>
      <w:marBottom w:val="240"/>
      <w:divBdr>
        <w:top w:val="none" w:sz="0" w:space="0" w:color="auto"/>
        <w:left w:val="none" w:sz="0" w:space="0" w:color="auto"/>
        <w:bottom w:val="none" w:sz="0" w:space="0" w:color="auto"/>
        <w:right w:val="none" w:sz="0" w:space="0" w:color="auto"/>
      </w:divBdr>
    </w:div>
    <w:div w:id="626475032">
      <w:marLeft w:val="0"/>
      <w:marRight w:val="0"/>
      <w:marTop w:val="240"/>
      <w:marBottom w:val="120"/>
      <w:divBdr>
        <w:top w:val="none" w:sz="0" w:space="0" w:color="auto"/>
        <w:left w:val="none" w:sz="0" w:space="0" w:color="auto"/>
        <w:bottom w:val="single" w:sz="8" w:space="0" w:color="000000"/>
        <w:right w:val="none" w:sz="0" w:space="0" w:color="auto"/>
      </w:divBdr>
    </w:div>
    <w:div w:id="630596782">
      <w:marLeft w:val="0"/>
      <w:marRight w:val="0"/>
      <w:marTop w:val="120"/>
      <w:marBottom w:val="240"/>
      <w:divBdr>
        <w:top w:val="none" w:sz="0" w:space="0" w:color="auto"/>
        <w:left w:val="none" w:sz="0" w:space="0" w:color="auto"/>
        <w:bottom w:val="none" w:sz="0" w:space="0" w:color="auto"/>
        <w:right w:val="none" w:sz="0" w:space="0" w:color="auto"/>
      </w:divBdr>
    </w:div>
    <w:div w:id="714353378">
      <w:marLeft w:val="0"/>
      <w:marRight w:val="0"/>
      <w:marTop w:val="120"/>
      <w:marBottom w:val="240"/>
      <w:divBdr>
        <w:top w:val="none" w:sz="0" w:space="0" w:color="auto"/>
        <w:left w:val="none" w:sz="0" w:space="0" w:color="auto"/>
        <w:bottom w:val="none" w:sz="0" w:space="0" w:color="auto"/>
        <w:right w:val="none" w:sz="0" w:space="0" w:color="auto"/>
      </w:divBdr>
    </w:div>
    <w:div w:id="725301421">
      <w:marLeft w:val="0"/>
      <w:marRight w:val="0"/>
      <w:marTop w:val="240"/>
      <w:marBottom w:val="120"/>
      <w:divBdr>
        <w:top w:val="none" w:sz="0" w:space="0" w:color="auto"/>
        <w:left w:val="none" w:sz="0" w:space="0" w:color="auto"/>
        <w:bottom w:val="single" w:sz="8" w:space="0" w:color="000000"/>
        <w:right w:val="none" w:sz="0" w:space="0" w:color="auto"/>
      </w:divBdr>
    </w:div>
    <w:div w:id="780687836">
      <w:marLeft w:val="0"/>
      <w:marRight w:val="0"/>
      <w:marTop w:val="120"/>
      <w:marBottom w:val="240"/>
      <w:divBdr>
        <w:top w:val="none" w:sz="0" w:space="0" w:color="auto"/>
        <w:left w:val="none" w:sz="0" w:space="0" w:color="auto"/>
        <w:bottom w:val="none" w:sz="0" w:space="0" w:color="auto"/>
        <w:right w:val="none" w:sz="0" w:space="0" w:color="auto"/>
      </w:divBdr>
    </w:div>
    <w:div w:id="806894710">
      <w:marLeft w:val="0"/>
      <w:marRight w:val="0"/>
      <w:marTop w:val="240"/>
      <w:marBottom w:val="120"/>
      <w:divBdr>
        <w:top w:val="none" w:sz="0" w:space="0" w:color="auto"/>
        <w:left w:val="none" w:sz="0" w:space="0" w:color="auto"/>
        <w:bottom w:val="single" w:sz="8" w:space="0" w:color="000000"/>
        <w:right w:val="none" w:sz="0" w:space="0" w:color="auto"/>
      </w:divBdr>
    </w:div>
    <w:div w:id="844199859">
      <w:marLeft w:val="0"/>
      <w:marRight w:val="0"/>
      <w:marTop w:val="120"/>
      <w:marBottom w:val="240"/>
      <w:divBdr>
        <w:top w:val="none" w:sz="0" w:space="0" w:color="auto"/>
        <w:left w:val="none" w:sz="0" w:space="0" w:color="auto"/>
        <w:bottom w:val="none" w:sz="0" w:space="0" w:color="auto"/>
        <w:right w:val="none" w:sz="0" w:space="0" w:color="auto"/>
      </w:divBdr>
    </w:div>
    <w:div w:id="885265356">
      <w:marLeft w:val="0"/>
      <w:marRight w:val="0"/>
      <w:marTop w:val="240"/>
      <w:marBottom w:val="120"/>
      <w:divBdr>
        <w:top w:val="none" w:sz="0" w:space="0" w:color="auto"/>
        <w:left w:val="none" w:sz="0" w:space="0" w:color="auto"/>
        <w:bottom w:val="single" w:sz="8" w:space="0" w:color="000000"/>
        <w:right w:val="none" w:sz="0" w:space="0" w:color="auto"/>
      </w:divBdr>
    </w:div>
    <w:div w:id="1017465873">
      <w:marLeft w:val="0"/>
      <w:marRight w:val="0"/>
      <w:marTop w:val="120"/>
      <w:marBottom w:val="240"/>
      <w:divBdr>
        <w:top w:val="none" w:sz="0" w:space="0" w:color="auto"/>
        <w:left w:val="none" w:sz="0" w:space="0" w:color="auto"/>
        <w:bottom w:val="none" w:sz="0" w:space="0" w:color="auto"/>
        <w:right w:val="none" w:sz="0" w:space="0" w:color="auto"/>
      </w:divBdr>
    </w:div>
    <w:div w:id="1023441290">
      <w:marLeft w:val="0"/>
      <w:marRight w:val="0"/>
      <w:marTop w:val="0"/>
      <w:marBottom w:val="0"/>
      <w:divBdr>
        <w:top w:val="none" w:sz="0" w:space="0" w:color="auto"/>
        <w:left w:val="none" w:sz="0" w:space="0" w:color="auto"/>
        <w:bottom w:val="none" w:sz="0" w:space="0" w:color="auto"/>
        <w:right w:val="none" w:sz="0" w:space="0" w:color="auto"/>
      </w:divBdr>
      <w:divsChild>
        <w:div w:id="438109536">
          <w:marLeft w:val="0"/>
          <w:marRight w:val="0"/>
          <w:marTop w:val="0"/>
          <w:marBottom w:val="0"/>
          <w:divBdr>
            <w:top w:val="single" w:sz="18" w:space="0" w:color="000000"/>
            <w:left w:val="none" w:sz="0" w:space="0" w:color="auto"/>
            <w:bottom w:val="single" w:sz="8" w:space="0" w:color="000000"/>
            <w:right w:val="none" w:sz="0" w:space="0" w:color="auto"/>
          </w:divBdr>
        </w:div>
      </w:divsChild>
    </w:div>
    <w:div w:id="1045178372">
      <w:marLeft w:val="0"/>
      <w:marRight w:val="0"/>
      <w:marTop w:val="240"/>
      <w:marBottom w:val="120"/>
      <w:divBdr>
        <w:top w:val="none" w:sz="0" w:space="0" w:color="auto"/>
        <w:left w:val="none" w:sz="0" w:space="0" w:color="auto"/>
        <w:bottom w:val="single" w:sz="8" w:space="0" w:color="000000"/>
        <w:right w:val="none" w:sz="0" w:space="0" w:color="auto"/>
      </w:divBdr>
    </w:div>
    <w:div w:id="1358921251">
      <w:marLeft w:val="0"/>
      <w:marRight w:val="0"/>
      <w:marTop w:val="120"/>
      <w:marBottom w:val="240"/>
      <w:divBdr>
        <w:top w:val="none" w:sz="0" w:space="0" w:color="auto"/>
        <w:left w:val="none" w:sz="0" w:space="0" w:color="auto"/>
        <w:bottom w:val="none" w:sz="0" w:space="0" w:color="auto"/>
        <w:right w:val="none" w:sz="0" w:space="0" w:color="auto"/>
      </w:divBdr>
    </w:div>
    <w:div w:id="1397776275">
      <w:marLeft w:val="0"/>
      <w:marRight w:val="0"/>
      <w:marTop w:val="120"/>
      <w:marBottom w:val="240"/>
      <w:divBdr>
        <w:top w:val="none" w:sz="0" w:space="0" w:color="auto"/>
        <w:left w:val="none" w:sz="0" w:space="0" w:color="auto"/>
        <w:bottom w:val="none" w:sz="0" w:space="0" w:color="auto"/>
        <w:right w:val="none" w:sz="0" w:space="0" w:color="auto"/>
      </w:divBdr>
    </w:div>
    <w:div w:id="1408696875">
      <w:marLeft w:val="0"/>
      <w:marRight w:val="0"/>
      <w:marTop w:val="120"/>
      <w:marBottom w:val="240"/>
      <w:divBdr>
        <w:top w:val="none" w:sz="0" w:space="0" w:color="auto"/>
        <w:left w:val="none" w:sz="0" w:space="0" w:color="auto"/>
        <w:bottom w:val="none" w:sz="0" w:space="0" w:color="auto"/>
        <w:right w:val="none" w:sz="0" w:space="0" w:color="auto"/>
      </w:divBdr>
    </w:div>
    <w:div w:id="1417899028">
      <w:marLeft w:val="0"/>
      <w:marRight w:val="0"/>
      <w:marTop w:val="240"/>
      <w:marBottom w:val="120"/>
      <w:divBdr>
        <w:top w:val="none" w:sz="0" w:space="0" w:color="auto"/>
        <w:left w:val="none" w:sz="0" w:space="0" w:color="auto"/>
        <w:bottom w:val="single" w:sz="8" w:space="0" w:color="000000"/>
        <w:right w:val="none" w:sz="0" w:space="0" w:color="auto"/>
      </w:divBdr>
    </w:div>
    <w:div w:id="1453137567">
      <w:marLeft w:val="0"/>
      <w:marRight w:val="0"/>
      <w:marTop w:val="240"/>
      <w:marBottom w:val="120"/>
      <w:divBdr>
        <w:top w:val="none" w:sz="0" w:space="0" w:color="auto"/>
        <w:left w:val="none" w:sz="0" w:space="0" w:color="auto"/>
        <w:bottom w:val="single" w:sz="8" w:space="0" w:color="000000"/>
        <w:right w:val="none" w:sz="0" w:space="0" w:color="auto"/>
      </w:divBdr>
    </w:div>
    <w:div w:id="1526597358">
      <w:marLeft w:val="0"/>
      <w:marRight w:val="0"/>
      <w:marTop w:val="120"/>
      <w:marBottom w:val="240"/>
      <w:divBdr>
        <w:top w:val="none" w:sz="0" w:space="0" w:color="auto"/>
        <w:left w:val="none" w:sz="0" w:space="0" w:color="auto"/>
        <w:bottom w:val="none" w:sz="0" w:space="0" w:color="auto"/>
        <w:right w:val="none" w:sz="0" w:space="0" w:color="auto"/>
      </w:divBdr>
    </w:div>
    <w:div w:id="1543444141">
      <w:marLeft w:val="0"/>
      <w:marRight w:val="0"/>
      <w:marTop w:val="120"/>
      <w:marBottom w:val="240"/>
      <w:divBdr>
        <w:top w:val="none" w:sz="0" w:space="0" w:color="auto"/>
        <w:left w:val="none" w:sz="0" w:space="0" w:color="auto"/>
        <w:bottom w:val="none" w:sz="0" w:space="0" w:color="auto"/>
        <w:right w:val="none" w:sz="0" w:space="0" w:color="auto"/>
      </w:divBdr>
    </w:div>
    <w:div w:id="1584988280">
      <w:marLeft w:val="0"/>
      <w:marRight w:val="0"/>
      <w:marTop w:val="240"/>
      <w:marBottom w:val="120"/>
      <w:divBdr>
        <w:top w:val="none" w:sz="0" w:space="0" w:color="auto"/>
        <w:left w:val="none" w:sz="0" w:space="0" w:color="auto"/>
        <w:bottom w:val="single" w:sz="8" w:space="0" w:color="000000"/>
        <w:right w:val="none" w:sz="0" w:space="0" w:color="auto"/>
      </w:divBdr>
    </w:div>
    <w:div w:id="1626234935">
      <w:marLeft w:val="0"/>
      <w:marRight w:val="0"/>
      <w:marTop w:val="120"/>
      <w:marBottom w:val="240"/>
      <w:divBdr>
        <w:top w:val="none" w:sz="0" w:space="0" w:color="auto"/>
        <w:left w:val="none" w:sz="0" w:space="0" w:color="auto"/>
        <w:bottom w:val="none" w:sz="0" w:space="0" w:color="auto"/>
        <w:right w:val="none" w:sz="0" w:space="0" w:color="auto"/>
      </w:divBdr>
    </w:div>
    <w:div w:id="1635407946">
      <w:marLeft w:val="0"/>
      <w:marRight w:val="0"/>
      <w:marTop w:val="240"/>
      <w:marBottom w:val="120"/>
      <w:divBdr>
        <w:top w:val="none" w:sz="0" w:space="0" w:color="auto"/>
        <w:left w:val="none" w:sz="0" w:space="0" w:color="auto"/>
        <w:bottom w:val="single" w:sz="8" w:space="0" w:color="000000"/>
        <w:right w:val="none" w:sz="0" w:space="0" w:color="auto"/>
      </w:divBdr>
    </w:div>
    <w:div w:id="1644698406">
      <w:marLeft w:val="0"/>
      <w:marRight w:val="0"/>
      <w:marTop w:val="240"/>
      <w:marBottom w:val="120"/>
      <w:divBdr>
        <w:top w:val="none" w:sz="0" w:space="0" w:color="auto"/>
        <w:left w:val="none" w:sz="0" w:space="0" w:color="auto"/>
        <w:bottom w:val="single" w:sz="8" w:space="0" w:color="000000"/>
        <w:right w:val="none" w:sz="0" w:space="0" w:color="auto"/>
      </w:divBdr>
    </w:div>
    <w:div w:id="1649019383">
      <w:marLeft w:val="0"/>
      <w:marRight w:val="0"/>
      <w:marTop w:val="240"/>
      <w:marBottom w:val="120"/>
      <w:divBdr>
        <w:top w:val="none" w:sz="0" w:space="0" w:color="auto"/>
        <w:left w:val="none" w:sz="0" w:space="0" w:color="auto"/>
        <w:bottom w:val="single" w:sz="8" w:space="0" w:color="000000"/>
        <w:right w:val="none" w:sz="0" w:space="0" w:color="auto"/>
      </w:divBdr>
    </w:div>
    <w:div w:id="1692487015">
      <w:marLeft w:val="0"/>
      <w:marRight w:val="0"/>
      <w:marTop w:val="240"/>
      <w:marBottom w:val="120"/>
      <w:divBdr>
        <w:top w:val="none" w:sz="0" w:space="0" w:color="auto"/>
        <w:left w:val="none" w:sz="0" w:space="0" w:color="auto"/>
        <w:bottom w:val="single" w:sz="8" w:space="0" w:color="000000"/>
        <w:right w:val="none" w:sz="0" w:space="0" w:color="auto"/>
      </w:divBdr>
    </w:div>
    <w:div w:id="1743747385">
      <w:marLeft w:val="0"/>
      <w:marRight w:val="0"/>
      <w:marTop w:val="240"/>
      <w:marBottom w:val="120"/>
      <w:divBdr>
        <w:top w:val="none" w:sz="0" w:space="0" w:color="auto"/>
        <w:left w:val="none" w:sz="0" w:space="0" w:color="auto"/>
        <w:bottom w:val="single" w:sz="8" w:space="0" w:color="000000"/>
        <w:right w:val="none" w:sz="0" w:space="0" w:color="auto"/>
      </w:divBdr>
    </w:div>
    <w:div w:id="1817062417">
      <w:marLeft w:val="0"/>
      <w:marRight w:val="0"/>
      <w:marTop w:val="240"/>
      <w:marBottom w:val="120"/>
      <w:divBdr>
        <w:top w:val="none" w:sz="0" w:space="0" w:color="auto"/>
        <w:left w:val="none" w:sz="0" w:space="0" w:color="auto"/>
        <w:bottom w:val="single" w:sz="8" w:space="0" w:color="000000"/>
        <w:right w:val="none" w:sz="0" w:space="0" w:color="auto"/>
      </w:divBdr>
    </w:div>
    <w:div w:id="1824810498">
      <w:marLeft w:val="0"/>
      <w:marRight w:val="0"/>
      <w:marTop w:val="120"/>
      <w:marBottom w:val="240"/>
      <w:divBdr>
        <w:top w:val="none" w:sz="0" w:space="0" w:color="auto"/>
        <w:left w:val="none" w:sz="0" w:space="0" w:color="auto"/>
        <w:bottom w:val="none" w:sz="0" w:space="0" w:color="auto"/>
        <w:right w:val="none" w:sz="0" w:space="0" w:color="auto"/>
      </w:divBdr>
    </w:div>
    <w:div w:id="1873222702">
      <w:marLeft w:val="0"/>
      <w:marRight w:val="0"/>
      <w:marTop w:val="240"/>
      <w:marBottom w:val="120"/>
      <w:divBdr>
        <w:top w:val="none" w:sz="0" w:space="0" w:color="auto"/>
        <w:left w:val="none" w:sz="0" w:space="0" w:color="auto"/>
        <w:bottom w:val="single" w:sz="8" w:space="0" w:color="000000"/>
        <w:right w:val="none" w:sz="0" w:space="0" w:color="auto"/>
      </w:divBdr>
    </w:div>
    <w:div w:id="1878812197">
      <w:marLeft w:val="0"/>
      <w:marRight w:val="0"/>
      <w:marTop w:val="240"/>
      <w:marBottom w:val="120"/>
      <w:divBdr>
        <w:top w:val="none" w:sz="0" w:space="0" w:color="auto"/>
        <w:left w:val="none" w:sz="0" w:space="0" w:color="auto"/>
        <w:bottom w:val="single" w:sz="8" w:space="0" w:color="000000"/>
        <w:right w:val="none" w:sz="0" w:space="0" w:color="auto"/>
      </w:divBdr>
    </w:div>
    <w:div w:id="1910726339">
      <w:marLeft w:val="0"/>
      <w:marRight w:val="0"/>
      <w:marTop w:val="120"/>
      <w:marBottom w:val="240"/>
      <w:divBdr>
        <w:top w:val="none" w:sz="0" w:space="0" w:color="auto"/>
        <w:left w:val="none" w:sz="0" w:space="0" w:color="auto"/>
        <w:bottom w:val="none" w:sz="0" w:space="0" w:color="auto"/>
        <w:right w:val="none" w:sz="0" w:space="0" w:color="auto"/>
      </w:divBdr>
    </w:div>
    <w:div w:id="1950621214">
      <w:marLeft w:val="0"/>
      <w:marRight w:val="0"/>
      <w:marTop w:val="240"/>
      <w:marBottom w:val="120"/>
      <w:divBdr>
        <w:top w:val="none" w:sz="0" w:space="0" w:color="auto"/>
        <w:left w:val="none" w:sz="0" w:space="0" w:color="auto"/>
        <w:bottom w:val="single" w:sz="8" w:space="0" w:color="000000"/>
        <w:right w:val="none" w:sz="0" w:space="0" w:color="auto"/>
      </w:divBdr>
    </w:div>
    <w:div w:id="1957835774">
      <w:marLeft w:val="0"/>
      <w:marRight w:val="0"/>
      <w:marTop w:val="240"/>
      <w:marBottom w:val="120"/>
      <w:divBdr>
        <w:top w:val="none" w:sz="0" w:space="0" w:color="auto"/>
        <w:left w:val="none" w:sz="0" w:space="0" w:color="auto"/>
        <w:bottom w:val="single" w:sz="8" w:space="0" w:color="000000"/>
        <w:right w:val="none" w:sz="0" w:space="0" w:color="auto"/>
      </w:divBdr>
    </w:div>
    <w:div w:id="2086105438">
      <w:marLeft w:val="0"/>
      <w:marRight w:val="0"/>
      <w:marTop w:val="120"/>
      <w:marBottom w:val="240"/>
      <w:divBdr>
        <w:top w:val="none" w:sz="0" w:space="0" w:color="auto"/>
        <w:left w:val="none" w:sz="0" w:space="0" w:color="auto"/>
        <w:bottom w:val="none" w:sz="0" w:space="0" w:color="auto"/>
        <w:right w:val="none" w:sz="0" w:space="0" w:color="auto"/>
      </w:divBdr>
    </w:div>
    <w:div w:id="2091154569">
      <w:marLeft w:val="0"/>
      <w:marRight w:val="0"/>
      <w:marTop w:val="240"/>
      <w:marBottom w:val="120"/>
      <w:divBdr>
        <w:top w:val="none" w:sz="0" w:space="0" w:color="auto"/>
        <w:left w:val="none" w:sz="0" w:space="0" w:color="auto"/>
        <w:bottom w:val="single" w:sz="8" w:space="0" w:color="000000"/>
        <w:right w:val="none" w:sz="0" w:space="0" w:color="auto"/>
      </w:divBdr>
    </w:div>
    <w:div w:id="2115786914">
      <w:marLeft w:val="0"/>
      <w:marRight w:val="0"/>
      <w:marTop w:val="120"/>
      <w:marBottom w:val="24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m2020547d1_ex32-1.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tm2020547d1_ex31-2.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m2020547d1_ex31-2.htm" TargetMode="External"/><Relationship Id="rId11" Type="http://schemas.openxmlformats.org/officeDocument/2006/relationships/hyperlink" Target="tm2020547d1_ex32-2.htm" TargetMode="External"/><Relationship Id="rId5" Type="http://schemas.openxmlformats.org/officeDocument/2006/relationships/hyperlink" Target="tm2020547d1_ex31-1.htm" TargetMode="External"/><Relationship Id="rId10" Type="http://schemas.openxmlformats.org/officeDocument/2006/relationships/hyperlink" Target="tm2020547d1_ex32-2.htm" TargetMode="External"/><Relationship Id="rId4" Type="http://schemas.openxmlformats.org/officeDocument/2006/relationships/hyperlink" Target="tm2020547d1_ex31-1.htm" TargetMode="External"/><Relationship Id="rId9" Type="http://schemas.openxmlformats.org/officeDocument/2006/relationships/hyperlink" Target="tm2020547d1_ex3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14075</Words>
  <Characters>80234</Characters>
  <Application>Microsoft Office Word</Application>
  <DocSecurity>0</DocSecurity>
  <Lines>668</Lines>
  <Paragraphs>188</Paragraphs>
  <ScaleCrop>false</ScaleCrop>
  <Company/>
  <LinksUpToDate>false</LinksUpToDate>
  <CharactersWithSpaces>94121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2024-01-04T15:53:00Z</dcterms:created>
  <dcterms:modified xsi:type="dcterms:W3CDTF">2024-01-04T15:53:00Z</dcterms:modified>
</cp:coreProperties>
</file>