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A7020">
      <w:pPr>
        <w:divId w:val="1649937385"/>
        <w:rPr>
          <w:rFonts w:eastAsia="Times New Roman"/>
          <w:vanish/>
        </w:rPr>
      </w:pPr>
      <w:r>
        <w:rPr>
          <w:rFonts w:eastAsia="Times New Roman"/>
          <w:vanish/>
        </w:rPr>
        <w:t>NCR CORP000007086612/3110-Q2020Q2FALSEfalse128.454440.010.013.03.04053994053990.40.40.40.40.010.01100100————0.010.01500500128.2127.7128.2127.71202881105.005.006.3756.3758.1255.7506.1257734735153125zero53401no00000708662020-01-012020-06-30</w:t>
      </w:r>
      <w:r>
        <w:rPr>
          <w:rFonts w:eastAsia="Times New Roman"/>
          <w:vanish/>
        </w:rPr>
        <w:t>xbrli:shares00000708662020-07-17iso4217:USD0000070866us-gaap:ProductMember2020-04-012020-06-300000070866us-gaap:ProductMember2019-04-012019-06-300000070866us-gaap:ProductMember2020-01-012020-06-300000070866us-gaap:ProductMember2019-01-012019-06-30000007086</w:t>
      </w:r>
      <w:r>
        <w:rPr>
          <w:rFonts w:eastAsia="Times New Roman"/>
          <w:vanish/>
        </w:rPr>
        <w:t>6us-gaap:ServiceMember2020-04-012020-06-300000070866us-gaap:ServiceMember2019-04-012019-06-300000070866us-gaap:ServiceMember2020-01-012020-06-300000070866us-gaap:ServiceMember2019-01-012019-06-3000000708662020-04-012020-06-3000000708662019-04-012019-06-300</w:t>
      </w:r>
      <w:r>
        <w:rPr>
          <w:rFonts w:eastAsia="Times New Roman"/>
          <w:vanish/>
        </w:rPr>
        <w:t>0000708662019-01-012019-06-30iso4217:USDxbrli:shares00000708662020-06-3000000708662019-12-3100000708662019-06-300000070866us-gaap:CommonStockMember2019-12-310000070866us-gaap:AdditionalPaidInCapitalMember2019-12-310000070866us-gaap:RetainedEarningsMember20</w:t>
      </w:r>
      <w:r>
        <w:rPr>
          <w:rFonts w:eastAsia="Times New Roman"/>
          <w:vanish/>
        </w:rPr>
        <w:t>19-12-310000070866us-gaap:AccumulatedOtherComprehensiveIncomeMember2019-12-310000070866us-gaap:NoncontrollingInterestMember2019-12-310000070866ncr:TotalStockholdersEquityMember2019-12-310000070866us-gaap:RetainedEarningsMember2020-01-012020-03-310000070866</w:t>
      </w:r>
      <w:r>
        <w:rPr>
          <w:rFonts w:eastAsia="Times New Roman"/>
          <w:vanish/>
        </w:rPr>
        <w:t>us-gaap:NoncontrollingInterestMember2020-01-012020-03-310000070866ncr:TotalStockholdersEquityMember2020-01-012020-03-310000070866us-gaap:AccumulatedOtherComprehensiveIncomeMember2020-01-012020-03-310000070866us-gaap:CommonStockMember2020-01-012020-03-31000</w:t>
      </w:r>
      <w:r>
        <w:rPr>
          <w:rFonts w:eastAsia="Times New Roman"/>
          <w:vanish/>
        </w:rPr>
        <w:t>0070866us-gaap:AdditionalPaidInCapitalMember2020-01-012020-03-310000070866us-gaap:CommonStockMember2020-03-310000070866us-gaap:AdditionalPaidInCapitalMember2020-03-310000070866us-gaap:RetainedEarningsMember2020-03-310000070866us-gaap:AccumulatedOtherCompre</w:t>
      </w:r>
      <w:r>
        <w:rPr>
          <w:rFonts w:eastAsia="Times New Roman"/>
          <w:vanish/>
        </w:rPr>
        <w:t>hensiveIncomeMember2020-03-310000070866us-gaap:NoncontrollingInterestMember2020-03-310000070866ncr:TotalStockholdersEquityMember2020-03-310000070866us-gaap:RetainedEarningsMember2020-04-012020-06-300000070866ncr:TotalStockholdersEquityMember2020-04-012020-</w:t>
      </w:r>
      <w:r>
        <w:rPr>
          <w:rFonts w:eastAsia="Times New Roman"/>
          <w:vanish/>
        </w:rPr>
        <w:t>06-300000070866us-gaap:AccumulatedOtherComprehensiveIncomeMember2020-04-012020-06-300000070866us-gaap:CommonStockMember2020-04-012020-06-300000070866us-gaap:AdditionalPaidInCapitalMember2020-04-012020-06-300000070866us-gaap:CommonStockMember2020-06-3000000</w:t>
      </w:r>
      <w:r>
        <w:rPr>
          <w:rFonts w:eastAsia="Times New Roman"/>
          <w:vanish/>
        </w:rPr>
        <w:t>70866us-gaap:AdditionalPaidInCapitalMember2020-06-300000070866us-gaap:RetainedEarningsMember2020-06-300000070866us-gaap:AccumulatedOtherComprehensiveIncomeMember2020-06-300000070866us-gaap:NoncontrollingInterestMember2020-06-300000070866ncr:TotalStockholde</w:t>
      </w:r>
      <w:r>
        <w:rPr>
          <w:rFonts w:eastAsia="Times New Roman"/>
          <w:vanish/>
        </w:rPr>
        <w:t>rsEquityMember2020-06-300000070866us-gaap:CommonStockMember2018-12-310000070866us-gaap:AdditionalPaidInCapitalMember2018-12-310000070866us-gaap:RetainedEarningsMember2018-12-310000070866us-gaap:AccumulatedOtherComprehensiveIncomeMember2018-12-310000070866u</w:t>
      </w:r>
      <w:r>
        <w:rPr>
          <w:rFonts w:eastAsia="Times New Roman"/>
          <w:vanish/>
        </w:rPr>
        <w:t>s-gaap:NoncontrollingInterestMember2018-12-310000070866ncr:TotalStockholdersEquityMember2018-12-310000070866us-gaap:RetainedEarningsMember2019-01-012019-03-310000070866us-gaap:NoncontrollingInterestMember2019-01-012019-03-310000070866ncr:TotalStockholdersE</w:t>
      </w:r>
      <w:r>
        <w:rPr>
          <w:rFonts w:eastAsia="Times New Roman"/>
          <w:vanish/>
        </w:rPr>
        <w:t>quityMember2019-01-012019-03-310000070866us-gaap:AccumulatedOtherComprehensiveIncomeMember2019-01-012019-03-310000070866us-gaap:CommonStockMember2019-01-012019-03-310000070866us-gaap:AdditionalPaidInCapitalMember2019-01-012019-03-310000070866us-gaap:Common</w:t>
      </w:r>
      <w:r>
        <w:rPr>
          <w:rFonts w:eastAsia="Times New Roman"/>
          <w:vanish/>
        </w:rPr>
        <w:t>StockMember2019-03-310000070866us-gaap:AdditionalPaidInCapitalMember2019-03-310000070866us-gaap:RetainedEarningsMember2019-03-310000070866us-gaap:AccumulatedOtherComprehensiveIncomeMember2019-03-310000070866us-gaap:NoncontrollingInterestMember2019-03-31000</w:t>
      </w:r>
      <w:r>
        <w:rPr>
          <w:rFonts w:eastAsia="Times New Roman"/>
          <w:vanish/>
        </w:rPr>
        <w:t>0070866ncr:TotalStockholdersEquityMember2019-03-310000070866us-gaap:RetainedEarningsMember2019-04-012019-06-300000070866ncr:TotalStockholdersEquityMember2019-04-012019-06-300000070866us-gaap:AccumulatedOtherComprehensiveIncomeMember2019-04-012019-06-300000</w:t>
      </w:r>
      <w:r>
        <w:rPr>
          <w:rFonts w:eastAsia="Times New Roman"/>
          <w:vanish/>
        </w:rPr>
        <w:t>070866us-gaap:AdditionalPaidInCapitalMember2019-04-012019-06-300000070866us-gaap:CommonStockMember2019-06-300000070866us-gaap:AdditionalPaidInCapitalMember2019-06-300000070866us-gaap:RetainedEarningsMember2019-06-300000070866us-gaap:AccumulatedOtherCompreh</w:t>
      </w:r>
      <w:r>
        <w:rPr>
          <w:rFonts w:eastAsia="Times New Roman"/>
          <w:vanish/>
        </w:rPr>
        <w:t>ensiveIncomeMember2019-06-300000070866us-gaap:NoncontrollingInterestMember2019-06-300000070866ncr:TotalStockholdersEquityMember2019-06-300000070866srt:ScenarioPreviouslyReportedMember2018-01-012018-12-310000070866srt:RevisionOfPriorPeriodErrorCorrectionAdj</w:t>
      </w:r>
      <w:r>
        <w:rPr>
          <w:rFonts w:eastAsia="Times New Roman"/>
          <w:vanish/>
        </w:rPr>
        <w:t>ustmentMember2018-01-012018-12-310000070866ncr:AsRevisedMember2018-01-012018-12-310000070866srt:ScenarioPreviouslyReportedMember2018-12-310000070866srt:RevisionOfPriorPeriodErrorCorrectionAdjustmentMember2018-12-310000070866ncr:AsRevisedMember2018-12-31000</w:t>
      </w:r>
      <w:r>
        <w:rPr>
          <w:rFonts w:eastAsia="Times New Roman"/>
          <w:vanish/>
        </w:rPr>
        <w:t>0070866srt:ScenarioPreviouslyReportedMember2019-01-012019-03-310000070866srt:RevisionOfPriorPeriodErrorCorrectionAdjustmentMember2019-01-012019-03-310000070866ncr:AsRevisedMarch312020Form10QMember2019-01-012019-03-310000070866ncr:FurtherRevisionMember2019-</w:t>
      </w:r>
      <w:r>
        <w:rPr>
          <w:rFonts w:eastAsia="Times New Roman"/>
          <w:vanish/>
        </w:rPr>
        <w:t>01-012019-03-310000070866ncr:AsRevisedMember2019-01-012019-03-310000070866srt:ScenarioPreviouslyReportedMember2019-03-310000070866srt:RevisionOfPriorPeriodErrorCorrectionAdjustmentMember2019-03-310000070866ncr:AsRevisedMarch312020Form10QMember2019-03-31000</w:t>
      </w:r>
      <w:r>
        <w:rPr>
          <w:rFonts w:eastAsia="Times New Roman"/>
          <w:vanish/>
        </w:rPr>
        <w:t>0070866ncr:FurtherRevisionMember2019-03-310000070866ncr:AsRevisedMember2019-03-310000070866srt:ScenarioPreviouslyReportedMember2020-01-012020-06-300000070866srt:RevisionOfPriorPeriodErrorCorrectionAdjustmentMember2020-01-012020-06-300000070866ncr:AsRevised</w:t>
      </w:r>
      <w:r>
        <w:rPr>
          <w:rFonts w:eastAsia="Times New Roman"/>
          <w:vanish/>
        </w:rPr>
        <w:t>Member2020-01-012020-06-300000070866srt:ScenarioPreviouslyReportedMember2020-06-300000070866srt:RevisionOfPriorPeriodErrorCorrectionAdjustmentMember2020-06-300000070866ncr:AsRevisedMember2020-06-300000070866srt:ScenarioPreviouslyReportedMember2019-01-01201</w:t>
      </w:r>
      <w:r>
        <w:rPr>
          <w:rFonts w:eastAsia="Times New Roman"/>
          <w:vanish/>
        </w:rPr>
        <w:t>9-09-300000070866srt:RevisionOfPriorPeriodErrorCorrectionAdjustmentMember2019-01-012019-09-300000070866ncr:AsRevisedMember2019-01-012019-09-300000070866srt:ScenarioPreviouslyReportedMember2019-09-300000070866srt:RevisionOfPriorPeriodErrorCorrectionAdjustme</w:t>
      </w:r>
      <w:r>
        <w:rPr>
          <w:rFonts w:eastAsia="Times New Roman"/>
          <w:vanish/>
        </w:rPr>
        <w:t>ntMember2019-09-300000070866ncr:AsRevisedMember2019-09-300000070866srt:ScenarioPreviouslyReportedMember2019-01-012019-12-310000070866srt:RevisionOfPriorPeriodErrorCorrectionAdjustmentMember2019-01-012019-12-310000070866ncr:AsRevisedMember2019-01-012019-12-</w:t>
      </w:r>
      <w:r>
        <w:rPr>
          <w:rFonts w:eastAsia="Times New Roman"/>
          <w:vanish/>
        </w:rPr>
        <w:t>310000070866srt:ScenarioPreviouslyReportedMember2019-12-310000070866srt:RevisionOfPriorPeriodErrorCorrectionAdjustmentMember2019-12-310000070866ncr:AsRevisedMember2019-12-310000070866srt:ScenarioPreviouslyReportedMember2020-01-012020-03-310000070866srt:Rev</w:t>
      </w:r>
      <w:r>
        <w:rPr>
          <w:rFonts w:eastAsia="Times New Roman"/>
          <w:vanish/>
        </w:rPr>
        <w:t>isionOfPriorPeriodErrorCorrectionAdjustmentMember2020-01-012020-03-310000070866ncr:AsRevisedMember2020-01-012020-03-310000070866srt:ScenarioPreviouslyReportedMember2020-03-310000070866srt:RevisionOfPriorPeriodErrorCorrectionAdjustmentMember2020-03-31000007</w:t>
      </w:r>
      <w:r>
        <w:rPr>
          <w:rFonts w:eastAsia="Times New Roman"/>
          <w:vanish/>
        </w:rPr>
        <w:t>0866ncr:AsRevisedMember2020-03-3100000708662020-03-3100000708662019-09-3000000708662019-03-3100000708662018-12-310000070866ncr:BusinessAcquisitionOKIBrasilMember2020-06-300000070866ncr:BusinessAcquisitionOKIBrasilMemberncr:BusinessCombinationsPurchaseConsi</w:t>
      </w:r>
      <w:r>
        <w:rPr>
          <w:rFonts w:eastAsia="Times New Roman"/>
          <w:vanish/>
        </w:rPr>
        <w:t>derationsPayableTwoYearsFromAcquisitionDateMember2020-04-012020-06-300000070866ncr:BusinessAcquisitionOKIBrasilMemberncr:BusinessCombinationsPurchaseConsiderationsPayableSixYearsFromAcquisitionDateMember2020-04-012020-06-300000070866ncr:BankingSegmentMembe</w:t>
      </w:r>
      <w:r>
        <w:rPr>
          <w:rFonts w:eastAsia="Times New Roman"/>
          <w:vanish/>
        </w:rPr>
        <w:t>r2019-12-310000070866ncr:BankingSegmentMember2020-01-012020-06-300000070866ncr:BankingSegmentMember2020-06-300000070866ncr:RetailSegmentMember2019-12-310000070866ncr:RetailSegmentMember2020-01-012020-06-300000070866ncr:RetailSegmentMember2020-06-3000000708</w:t>
      </w:r>
      <w:r>
        <w:rPr>
          <w:rFonts w:eastAsia="Times New Roman"/>
          <w:vanish/>
        </w:rPr>
        <w:t>66ncr:HospitalitySegmentMember2019-12-310000070866ncr:HospitalitySegmentMember2020-01-012020-06-300000070866ncr:HospitalitySegmentMember2020-06-300000070866us-gaap:AllOtherSegmentsMember2019-12-310000070866us-gaap:AllOtherSegmentsMember2020-01-012020-06-30</w:t>
      </w:r>
      <w:r>
        <w:rPr>
          <w:rFonts w:eastAsia="Times New Roman"/>
          <w:vanish/>
        </w:rPr>
        <w:t>0000070866us-gaap:AllOtherSegmentsMember2020-06-300000070866us-gaap:CustomerRelationshipsMember2020-06-300000070866us-gaap:CustomerRelationshipsMember2019-12-310000070866us-gaap:IntellectualPropertyMember2020-06-300000070866us-gaap:IntellectualPropertyMemb</w:t>
      </w:r>
      <w:r>
        <w:rPr>
          <w:rFonts w:eastAsia="Times New Roman"/>
          <w:vanish/>
        </w:rPr>
        <w:t>er2019-12-310000070866us-gaap:CustomerContractsMember2020-06-300000070866us-gaap:CustomerContractsMember2019-12-310000070866us-gaap:TradeNamesMember2020-06-300000070866us-gaap:TradeNamesMember2019-12-310000070866srt:MinimumMemberus-gaap:CustomerRelationshi</w:t>
      </w:r>
      <w:r>
        <w:rPr>
          <w:rFonts w:eastAsia="Times New Roman"/>
          <w:vanish/>
        </w:rPr>
        <w:t>psMember2020-01-012020-06-300000070866srt:MaximumMemberus-gaap:CustomerRelationshipsMember2020-01-012020-06-300000070866us-gaap:IntellectualPropertyMembersrt:MinimumMember2020-01-012020-06-300000070866us-gaap:IntellectualPropertyMembersrt:MaximumMember2020</w:t>
      </w:r>
      <w:r>
        <w:rPr>
          <w:rFonts w:eastAsia="Times New Roman"/>
          <w:vanish/>
        </w:rPr>
        <w:t>-01-012020-06-300000070866us-gaap:CustomerContractsMember2020-01-012020-06-300000070866us-gaap:TradeNamesMembersrt:MinimumMember2020-01-012020-06-300000070866us-gaap:TradeNamesMembersrt:MaximumMember2020-01-012020-06-300000070866ncr:TermLoanMember2020-06-3</w:t>
      </w:r>
      <w:r>
        <w:rPr>
          <w:rFonts w:eastAsia="Times New Roman"/>
          <w:vanish/>
        </w:rPr>
        <w:t>0xbrli:pure0000070866ncr:TermLoanMember2019-12-310000070866ncr:TradeReceivablesSecuritizationFacilityMember2020-06-300000070866ncr:TradeReceivablesSecuritizationFacilityMember2019-12-310000070866ncr:OtherDebtMember2020-06-300000070866ncr:OtherDebtMember201</w:t>
      </w:r>
      <w:r>
        <w:rPr>
          <w:rFonts w:eastAsia="Times New Roman"/>
          <w:vanish/>
        </w:rPr>
        <w:t>9-12-310000070866ncr:TermLoanMember2020-06-300000070866ncr:TermLoanMember2019-12-310000070866us-gaap:RevolvingCreditFacilityMember2020-06-300000070866us-gaap:RevolvingCreditFacilityMember2019-12-310000070866ncr:A5NotesDue2022Member2020-06-300000070866ncr:A</w:t>
      </w:r>
      <w:r>
        <w:rPr>
          <w:rFonts w:eastAsia="Times New Roman"/>
          <w:vanish/>
        </w:rPr>
        <w:t>5NotesDue2022Member2019-12-310000070866ncr:A6.375Notesdue2023Member2020-06-300000070866ncr:A6.375Notesdue2023Member2019-12-310000070866ncr:A8125NotesDue2025Member2020-06-300000070866ncr:A8125NotesDue2025Member2019-12-310000070866ncr:A5.750SeniorNotesdue202</w:t>
      </w:r>
      <w:r>
        <w:rPr>
          <w:rFonts w:eastAsia="Times New Roman"/>
          <w:vanish/>
        </w:rPr>
        <w:t>7Member2020-06-300000070866ncr:A5.750SeniorNotesdue2027Member2019-12-310000070866ncr:A6.125SeniorNotesdue2029Member2020-06-300000070866ncr:A6.125SeniorNotesdue2029Member2019-12-310000070866ncr:OtherDebtMember2020-06-300000070866ncr:OtherDebtMember2019-12-3</w:t>
      </w:r>
      <w:r>
        <w:rPr>
          <w:rFonts w:eastAsia="Times New Roman"/>
          <w:vanish/>
        </w:rPr>
        <w:t>10000070866us-gaap:SecuredDebtMemberncr:TermLoanMember2020-06-300000070866us-gaap:SecuredDebtMemberncr:RevolvingMember2020-06-300000070866us-gaap:SecuredDebtMemberncr:RevolvingForeignMember2020-06-300000070866srt:MinimumMemberus-gaap:SecuredDebtMemberus-ga</w:t>
      </w:r>
      <w:r>
        <w:rPr>
          <w:rFonts w:eastAsia="Times New Roman"/>
          <w:vanish/>
        </w:rPr>
        <w:t>ap:LondonInterbankOfferedRateLIBORMember2020-01-012020-06-300000070866us-gaap:SecuredDebtMemberus-gaap:LondonInterbankOfferedRateLIBORMembersrt:MaximumMember2020-01-012020-06-300000070866us-gaap:SecuredDebtMemberncr:FederalFundsRateMember2020-01-012020-06-</w:t>
      </w:r>
      <w:r>
        <w:rPr>
          <w:rFonts w:eastAsia="Times New Roman"/>
          <w:vanish/>
        </w:rPr>
        <w:t>300000070866us-gaap:SecuredDebtMemberus-gaap:BaseRateMember2020-01-012020-06-300000070866srt:MinimumMemberus-gaap:SecuredDebtMemberncr:EURIBORMember2020-01-012020-06-300000070866us-gaap:SecuredDebtMembersrt:MaximumMemberncr:EURIBORMember2020-01-012020-06-3</w:t>
      </w:r>
      <w:r>
        <w:rPr>
          <w:rFonts w:eastAsia="Times New Roman"/>
          <w:vanish/>
        </w:rPr>
        <w:t>0utr:Rate0000070866us-gaap:LondonInterbankOfferedRateLIBORMemberncr:TermLoanMember2020-01-012020-06-300000070866us-gaap:BaseRateMemberncr:TermLoanMember2020-01-012020-06-300000070866ncr:PeriodFiveMember2020-06-300000070866ncr:PeriodOneMember2020-06-3000000</w:t>
      </w:r>
      <w:r>
        <w:rPr>
          <w:rFonts w:eastAsia="Times New Roman"/>
          <w:vanish/>
        </w:rPr>
        <w:t>70866ncr:PeriodTwoMember2020-06-300000070866ncr:PeriodThreeMember2020-06-300000070866ncr:PeriodFourMember2020-06-300000070866us-gaap:SecuredDebtMember2020-06-300000070866ncr:A5NotesDue2022Member2012-09-170000070866ncr:A5NotesDue2022Membersrt:GuarantorSubsi</w:t>
      </w:r>
      <w:r>
        <w:rPr>
          <w:rFonts w:eastAsia="Times New Roman"/>
          <w:vanish/>
        </w:rPr>
        <w:t>diariesMemberncr:NCRInternationalInc.Member2020-06-300000070866ncr:A6.375Notesdue2023Member2013-12-190000070866ncr:A6.375Notesdue2023Membersrt:GuarantorSubsidiariesMemberncr:NCRInternationalInc.Member2020-06-300000070866ncr:A5.750SeniorNotesdue2027Member20</w:t>
      </w:r>
      <w:r>
        <w:rPr>
          <w:rFonts w:eastAsia="Times New Roman"/>
          <w:vanish/>
        </w:rPr>
        <w:t>19-08-210000070866ncr:A6.125SeniorNotesdue2029Member2019-08-210000070866ncr:A8.125NotesDue2025Member2020-06-300000070866ncr:A8.125NotesDue2025Membersrt:GuarantorSubsidiariesMemberncr:NCRInternationalInc.Member2020-06-300000070866ncr:A8.125NotesDue2025Membe</w:t>
      </w:r>
      <w:r>
        <w:rPr>
          <w:rFonts w:eastAsia="Times New Roman"/>
          <w:vanish/>
        </w:rPr>
        <w:t>r2020-04-130000070866srt:GuarantorSubsidiariesMemberncr:NCRInternationalInc.Member2020-01-012020-06-300000070866ncr:A8.125NotesDue2025Memberncr:TwelvemonthperiodcommencingonApril152022Member2020-04-132020-04-130000070866ncr:A8.125NotesDue2025Memberncr:Twel</w:t>
      </w:r>
      <w:r>
        <w:rPr>
          <w:rFonts w:eastAsia="Times New Roman"/>
          <w:vanish/>
        </w:rPr>
        <w:t>veMonthPeriodCommencingApril152023Member2020-04-132020-04-130000070866ncr:A8.125NotesDue2025Memberncr:TwelvemonthperiodcommencingonApril152024Member2020-04-132020-04-130000070866ncr:A8.125NotesDue2025Member2020-04-132020-04-130000070866ncr:FederalFundsRate</w:t>
      </w:r>
      <w:r>
        <w:rPr>
          <w:rFonts w:eastAsia="Times New Roman"/>
          <w:vanish/>
        </w:rPr>
        <w:t>Memberus-gaap:SecuredDebtMember2020-01-012020-06-300000070866ncr:OutofperiodadjustmentsstockcompensationpermanentdifferencesMember2020-01-012020-06-300000070866ncr:OutofperiodadjustmentswriteoffofincometaxpayablesMember2020-01-012020-06-300000070866srt:Min</w:t>
      </w:r>
      <w:r>
        <w:rPr>
          <w:rFonts w:eastAsia="Times New Roman"/>
          <w:vanish/>
        </w:rPr>
        <w:t>imumMember2020-06-300000070866srt:MaximumMember2020-06-300000070866us-gaap:EmployeeStockOptionMember2019-01-012019-06-300000070866us-gaap:RestrictedStockUnitsRSUMember2020-06-300000070866us-gaap:RestrictedStockUnitsRSUMember2020-01-012020-06-300000070866us</w:t>
      </w:r>
      <w:r>
        <w:rPr>
          <w:rFonts w:eastAsia="Times New Roman"/>
          <w:vanish/>
        </w:rPr>
        <w:t>-gaap:EmployeeStockOptionMember2020-06-300000070866us-gaap:EmployeeStockOptionMember2020-01-012020-06-300000070866ncr:EmployeeStockPurchasePlanMember2020-01-012020-06-300000070866ncr:EmployeeStockPurchasePlanMember2020-06-300000070866ncr:EmployeeStockPurch</w:t>
      </w:r>
      <w:r>
        <w:rPr>
          <w:rFonts w:eastAsia="Times New Roman"/>
          <w:vanish/>
        </w:rPr>
        <w:t>asePlanMember2020-04-012020-06-300000070866ncr:EmployeeStockPurchasePlanMember2019-04-012019-06-300000070866srt:MinimumMember2020-01-012020-06-300000070866srt:MaximumMember2020-01-012020-06-300000070866us-gaap:PensionPlansDefinedBenefitMember2020-01-012020</w:t>
      </w:r>
      <w:r>
        <w:rPr>
          <w:rFonts w:eastAsia="Times New Roman"/>
          <w:vanish/>
        </w:rPr>
        <w:t>-06-300000070866us-gaap:DomesticPlanMember2020-04-012020-06-300000070866us-gaap:DomesticPlanMember2019-04-012019-06-300000070866us-gaap:ForeignPlanMember2020-04-012020-06-300000070866us-gaap:ForeignPlanMember2019-04-012019-06-300000070866us-gaap:PensionPla</w:t>
      </w:r>
      <w:r>
        <w:rPr>
          <w:rFonts w:eastAsia="Times New Roman"/>
          <w:vanish/>
        </w:rPr>
        <w:t>nsDefinedBenefitMember2020-04-012020-06-300000070866us-gaap:PensionPlansDefinedBenefitMember2019-04-012019-06-300000070866us-gaap:DomesticPlanMember2020-01-012020-06-300000070866us-gaap:DomesticPlanMember2019-01-012019-06-300000070866us-gaap:ForeignPlanMem</w:t>
      </w:r>
      <w:r>
        <w:rPr>
          <w:rFonts w:eastAsia="Times New Roman"/>
          <w:vanish/>
        </w:rPr>
        <w:t>ber2020-01-012020-06-300000070866us-gaap:ForeignPlanMember2019-01-012019-06-300000070866us-gaap:PensionPlansDefinedBenefitMember2019-01-012019-06-300000070866us-gaap:OtherPostretirementBenefitPlansDefinedBenefitMember2020-01-012020-06-300000070866us-gaap:O</w:t>
      </w:r>
      <w:r>
        <w:rPr>
          <w:rFonts w:eastAsia="Times New Roman"/>
          <w:vanish/>
        </w:rPr>
        <w:t>therPostretirementBenefitPlansDefinedBenefitMember2020-04-012020-06-300000070866us-gaap:OtherPostretirementBenefitPlansDefinedBenefitMember2019-04-012019-06-300000070866us-gaap:OtherPostretirementBenefitPlansDefinedBenefitMember2019-01-012019-06-3000000708</w:t>
      </w:r>
      <w:r>
        <w:rPr>
          <w:rFonts w:eastAsia="Times New Roman"/>
          <w:vanish/>
        </w:rPr>
        <w:t>66us-gaap:PostemploymentRetirementBenefitsMember2020-01-012020-06-300000070866us-gaap:PostemploymentRetirementBenefitsMember2020-04-012020-06-300000070866us-gaap:PostemploymentRetirementBenefitsMember2019-04-012019-06-300000070866us-gaap:PostemploymentReti</w:t>
      </w:r>
      <w:r>
        <w:rPr>
          <w:rFonts w:eastAsia="Times New Roman"/>
          <w:vanish/>
        </w:rPr>
        <w:t>rementBenefitsMember2019-01-012019-06-300000070866us-gaap:ForeignPlanMember2020-06-300000070866us-gaap:OtherPostretirementBenefitPlansDefinedBenefitMember2020-06-300000070866us-gaap:PostemploymentRetirementBenefitsMember2020-06-300000070866ncr:NashvilleTor</w:t>
      </w:r>
      <w:r>
        <w:rPr>
          <w:rFonts w:eastAsia="Times New Roman"/>
          <w:vanish/>
        </w:rPr>
        <w:t>nadoMember2020-01-012020-06-300000070866ncr:NashvilleTornadoMember2020-06-300000070866ncr:BCGMatterMember2020-01-012020-06-30ncr:entity0000070866ncr:FoxRiverSiteMember2020-06-30ncr:facility0000070866ncr:FoxRiverSiteMember2007-11-130000070866ncr:FoxRiverSit</w:t>
      </w:r>
      <w:r>
        <w:rPr>
          <w:rFonts w:eastAsia="Times New Roman"/>
          <w:vanish/>
        </w:rPr>
        <w:t>eMember2020-06-300000070866ncr:FoxRiverSiteMember2019-12-31ncr:party0000070866ncr:GlatfelterMemberncr:FoxRiverSiteMember2017-08-22ncr:defendant0000070866ncr:FoxRiverSiteMember2020-01-012020-06-300000070866srt:MinimumMemberncr:FoxRiverSiteMemberncr:GeneralC</w:t>
      </w:r>
      <w:r>
        <w:rPr>
          <w:rFonts w:eastAsia="Times New Roman"/>
          <w:vanish/>
        </w:rPr>
        <w:t>ontractorArbitrationMember2019-12-310000070866srt:MaximumMemberncr:FoxRiverSiteMemberncr:GeneralContractorArbitrationMember2019-12-310000070866ncr:FoxRiverSiteMemberncr:GeneralContractorArbitrationMember2019-12-310000070866ncr:FoxRiverLlcMemberncr:FoxRiver</w:t>
      </w:r>
      <w:r>
        <w:rPr>
          <w:rFonts w:eastAsia="Times New Roman"/>
          <w:vanish/>
        </w:rPr>
        <w:t>SiteMember2019-12-31ncr:number_of_companies0000070866ncr:KalamazooRiverSiteMember2020-06-30ncr:affiliate_corporationsncr:company0000070866ncr:KalamazooRiverSiteMember2013-12-310000070866ncr:KalamazooRiverSiteMember2018-03-292018-03-290000070866ncr:Kalamazo</w:t>
      </w:r>
      <w:r>
        <w:rPr>
          <w:rFonts w:eastAsia="Times New Roman"/>
          <w:vanish/>
        </w:rPr>
        <w:t>oRiverSiteMember2018-03-290000070866ncr:CompanyOneMemberncr:KalamazooRiverSiteMember2018-03-292018-03-290000070866ncr:CompanyTwoMemberncr:KalamazooRiverSiteMember2018-03-292018-03-290000070866ncr:KalamazooRiverSiteMember2019-12-310000070866ncr:EbinaMember2</w:t>
      </w:r>
      <w:r>
        <w:rPr>
          <w:rFonts w:eastAsia="Times New Roman"/>
          <w:vanish/>
        </w:rPr>
        <w:t>020-06-300000070866ncr:EbinaMember2019-12-310000070866srt:MinimumMemberncr:FoxRiverSiteMemberncr:GeneralContractorArbitrationMember2020-06-300000070866srt:EuropeMember2020-06-300000070866us-gaap:ConvertiblePreferredStockMember2015-12-040000070866us-gaap:Co</w:t>
      </w:r>
      <w:r>
        <w:rPr>
          <w:rFonts w:eastAsia="Times New Roman"/>
          <w:vanish/>
        </w:rPr>
        <w:t>nvertiblePreferredStockMember2020-01-012020-06-3000000708662017-03-170000070866us-gaap:ConvertiblePreferredStockMember2019-09-180000070866us-gaap:ConvertiblePreferredStockMember2019-01-012019-12-310000070866us-gaap:ConvertiblePreferredStockMember2020-04-01</w:t>
      </w:r>
      <w:r>
        <w:rPr>
          <w:rFonts w:eastAsia="Times New Roman"/>
          <w:vanish/>
        </w:rPr>
        <w:t>2020-06-300000070866us-gaap:ConvertiblePreferredStockMember2019-04-012019-06-300000070866us-gaap:ConvertiblePreferredStockMember2019-01-012019-06-300000070866us-gaap:ConvertiblePreferredStockMember2020-06-300000070866us-gaap:ConvertiblePreferredStockMember</w:t>
      </w:r>
      <w:r>
        <w:rPr>
          <w:rFonts w:eastAsia="Times New Roman"/>
          <w:vanish/>
        </w:rPr>
        <w:t>2019-12-310000070866us-gaap:ConvertiblePreferredStockMember2020-04-012020-06-300000070866ncr:RestrictedStockUnitsRSUsandStockOptionsMember2020-04-012020-06-300000070866ncr:RestrictedStockUnitsRSUsandStockOptionsMember2019-04-012019-06-300000070866us-gaap:C</w:t>
      </w:r>
      <w:r>
        <w:rPr>
          <w:rFonts w:eastAsia="Times New Roman"/>
          <w:vanish/>
        </w:rPr>
        <w:t>onvertiblePreferredStockMember2020-01-012020-06-300000070866ncr:RestrictedStockUnitsRSUsandStockOptionsMember2020-01-012020-06-300000070866us-gaap:SeriesAPreferredStockMember2019-01-012019-06-300000070866ncr:RestrictedStockUnitsRSUsandStockOptionsMember201</w:t>
      </w:r>
      <w:r>
        <w:rPr>
          <w:rFonts w:eastAsia="Times New Roman"/>
          <w:vanish/>
        </w:rPr>
        <w:t>9-01-012019-06-30ncr:currency0000070866us-gaap:ForeignExchangeContractMember2020-06-300000070866us-gaap:ForeignExchangeContractMemberus-gaap:OtherCurrentAssetsMemberus-gaap:DesignatedAsHedgingInstrumentMember2020-06-300000070866us-gaap:ForeignExchangeContr</w:t>
      </w:r>
      <w:r>
        <w:rPr>
          <w:rFonts w:eastAsia="Times New Roman"/>
          <w:vanish/>
        </w:rPr>
        <w:t>actMemberus-gaap:DesignatedAsHedgingInstrumentMemberus-gaap:OtherCurrentLiabilitiesMember2020-06-300000070866us-gaap:DesignatedAsHedgingInstrumentMember2020-06-300000070866us-gaap:ForeignExchangeContractMemberus-gaap:NondesignatedMemberus-gaap:OtherCurrent</w:t>
      </w:r>
      <w:r>
        <w:rPr>
          <w:rFonts w:eastAsia="Times New Roman"/>
          <w:vanish/>
        </w:rPr>
        <w:t>AssetsMember2020-06-300000070866us-gaap:ForeignExchangeContractMemberus-gaap:NondesignatedMemberus-gaap:OtherCurrentLiabilitiesMember2020-06-300000070866us-gaap:NondesignatedMember2020-06-300000070866us-gaap:ForeignExchangeContractMemberus-gaap:OtherCurren</w:t>
      </w:r>
      <w:r>
        <w:rPr>
          <w:rFonts w:eastAsia="Times New Roman"/>
          <w:vanish/>
        </w:rPr>
        <w:t>tAssetsMemberus-gaap:DesignatedAsHedgingInstrumentMember2019-12-310000070866us-gaap:ForeignExchangeContractMemberus-gaap:DesignatedAsHedgingInstrumentMemberus-gaap:OtherCurrentLiabilitiesMember2019-12-310000070866us-gaap:DesignatedAsHedgingInstrumentMember</w:t>
      </w:r>
      <w:r>
        <w:rPr>
          <w:rFonts w:eastAsia="Times New Roman"/>
          <w:vanish/>
        </w:rPr>
        <w:t>2019-12-310000070866us-gaap:ForeignExchangeContractMemberus-gaap:NondesignatedMemberus-gaap:OtherCurrentAssetsMember2019-12-310000070866us-gaap:NondesignatedMemberus-gaap:OtherCurrentAssetsMember2019-12-310000070866us-gaap:ForeignExchangeContractMemberus-g</w:t>
      </w:r>
      <w:r>
        <w:rPr>
          <w:rFonts w:eastAsia="Times New Roman"/>
          <w:vanish/>
        </w:rPr>
        <w:t>aap:NondesignatedMemberus-gaap:OtherCurrentLiabilitiesMember2019-12-310000070866us-gaap:NondesignatedMember2019-12-310000070866us-gaap:ForeignExchangeContractMemberus-gaap:CashFlowHedgingMember2020-04-012020-06-300000070866us-gaap:ForeignExchangeContractMe</w:t>
      </w:r>
      <w:r>
        <w:rPr>
          <w:rFonts w:eastAsia="Times New Roman"/>
          <w:vanish/>
        </w:rPr>
        <w:t>mberus-gaap:CashFlowHedgingMember2019-04-012019-06-300000070866us-gaap:ForeignExchangeContractMemberncr:CostOfProductsMemberus-gaap:CashFlowHedgingMember2020-04-012020-06-300000070866us-gaap:ForeignExchangeContractMemberncr:CostOfProductsMemberus-gaap:Cash</w:t>
      </w:r>
      <w:r>
        <w:rPr>
          <w:rFonts w:eastAsia="Times New Roman"/>
          <w:vanish/>
        </w:rPr>
        <w:t>FlowHedgingMember2019-04-012019-06-300000070866us-gaap:ForeignExchangeContractMemberus-gaap:CashFlowHedgingMember2020-01-012020-06-300000070866us-gaap:ForeignExchangeContractMemberus-gaap:CashFlowHedgingMember2019-01-012019-06-300000070866us-gaap:ForeignEx</w:t>
      </w:r>
      <w:r>
        <w:rPr>
          <w:rFonts w:eastAsia="Times New Roman"/>
          <w:vanish/>
        </w:rPr>
        <w:t>changeContractMemberncr:CostOfProductsMemberus-gaap:CashFlowHedgingMember2020-01-012020-06-300000070866us-gaap:ForeignExchangeContractMemberncr:CostOfProductsMemberus-gaap:CashFlowHedgingMember2019-01-012019-06-300000070866us-gaap:ForeignExchangeContractMe</w:t>
      </w:r>
      <w:r>
        <w:rPr>
          <w:rFonts w:eastAsia="Times New Roman"/>
          <w:vanish/>
        </w:rPr>
        <w:t>mberus-gaap:OtherExpenseMember2020-04-012020-06-300000070866us-gaap:ForeignExchangeContractMemberus-gaap:OtherExpenseMember2019-04-012019-06-300000070866us-gaap:ForeignExchangeContractMemberus-gaap:OtherExpenseMember2020-01-012020-06-300000070866us-gaap:Fo</w:t>
      </w:r>
      <w:r>
        <w:rPr>
          <w:rFonts w:eastAsia="Times New Roman"/>
          <w:vanish/>
        </w:rPr>
        <w:t>reignExchangeContractMemberus-gaap:OtherExpenseMember2019-01-012019-06-300000070866us-gaap:EstimateOfFairValueFairValueDisclosureMemberus-gaap:FairValueMeasurementsRecurringMember2020-06-300000070866us-gaap:FairValueInputsLevel1Memberus-gaap:FairValueMeasu</w:t>
      </w:r>
      <w:r>
        <w:rPr>
          <w:rFonts w:eastAsia="Times New Roman"/>
          <w:vanish/>
        </w:rPr>
        <w:t>rementsRecurringMember2020-06-300000070866us-gaap:FairValueInputsLevel2Memberus-gaap:FairValueMeasurementsRecurringMember2020-06-300000070866us-gaap:FairValueInputsLevel3Memberus-gaap:FairValueMeasurementsRecurringMember2020-06-300000070866us-gaap:Estimate</w:t>
      </w:r>
      <w:r>
        <w:rPr>
          <w:rFonts w:eastAsia="Times New Roman"/>
          <w:vanish/>
        </w:rPr>
        <w:t>OfFairValueFairValueDisclosureMemberus-gaap:FairValueMeasurementsRecurringMember2019-12-310000070866us-gaap:FairValueInputsLevel1Memberus-gaap:FairValueMeasurementsRecurringMember2019-12-310000070866us-gaap:FairValueInputsLevel2Memberus-gaap:FairValueMeasu</w:t>
      </w:r>
      <w:r>
        <w:rPr>
          <w:rFonts w:eastAsia="Times New Roman"/>
          <w:vanish/>
        </w:rPr>
        <w:t>rementsRecurringMember2019-12-310000070866us-gaap:FairValueInputsLevel3Memberus-gaap:FairValueMeasurementsRecurringMember2019-12-310000070866us-gaap:AccumulatedTranslationAdjustmentMember2019-12-310000070866us-gaap:AccumulatedDefinedBenefitPlansAdjustmentM</w:t>
      </w:r>
      <w:r>
        <w:rPr>
          <w:rFonts w:eastAsia="Times New Roman"/>
          <w:vanish/>
        </w:rPr>
        <w:t>ember2019-12-310000070866us-gaap:AccumulatedNetGainLossFromDesignatedOrQualifyingCashFlowHedgesMember2019-12-310000070866us-gaap:AccumulatedTranslationAdjustmentMember2020-01-012020-06-300000070866us-gaap:AccumulatedDefinedBenefitPlansAdjustmentMember2020-</w:t>
      </w:r>
      <w:r>
        <w:rPr>
          <w:rFonts w:eastAsia="Times New Roman"/>
          <w:vanish/>
        </w:rPr>
        <w:t>01-012020-06-300000070866us-gaap:AccumulatedNetGainLossFromDesignatedOrQualifyingCashFlowHedgesMember2020-01-012020-06-300000070866us-gaap:AccumulatedTranslationAdjustmentMember2020-06-300000070866us-gaap:AccumulatedDefinedBenefitPlansAdjustmentMember2020-</w:t>
      </w:r>
      <w:r>
        <w:rPr>
          <w:rFonts w:eastAsia="Times New Roman"/>
          <w:vanish/>
        </w:rPr>
        <w:t>06-300000070866us-gaap:AccumulatedNetGainLossFromDesignatedOrQualifyingCashFlowHedgesMember2020-06-300000070866us-gaap:AccumulatedDefinedBenefitPlansAdjustmentNetUnamortizedGainLossMemberus-gaap:ReclassificationOutOfAccumulatedOtherComprehensiveIncomeMembe</w:t>
      </w:r>
      <w:r>
        <w:rPr>
          <w:rFonts w:eastAsia="Times New Roman"/>
          <w:vanish/>
        </w:rPr>
        <w:t>rus-gaap:ProductMember2020-04-012020-06-300000070866us-gaap:ReclassificationOutOfAccumulatedOtherComprehensiveIncomeMemberus-gaap:ProductMemberus-gaap:AccumulatedDefinedBenefitPlansAdjustmentNetPriorServiceCostCreditMember2020-04-012020-06-300000070866us-g</w:t>
      </w:r>
      <w:r>
        <w:rPr>
          <w:rFonts w:eastAsia="Times New Roman"/>
          <w:vanish/>
        </w:rPr>
        <w:t>aap:AccumulatedNetGainLossFromDesignatedOrQualifyingCashFlowHedgesMemberus-gaap:ReclassificationOutOfAccumulatedOtherComprehensiveIncomeMemberus-gaap:ProductMember2020-04-012020-06-300000070866us-gaap:ReclassificationOutOfAccumulatedOtherComprehensiveIncom</w:t>
      </w:r>
      <w:r>
        <w:rPr>
          <w:rFonts w:eastAsia="Times New Roman"/>
          <w:vanish/>
        </w:rPr>
        <w:t>eMemberus-gaap:ProductMember2020-04-012020-06-300000070866us-gaap:AccumulatedDefinedBenefitPlansAdjustmentNetUnamortizedGainLossMemberus-gaap:ReclassificationOutOfAccumulatedOtherComprehensiveIncomeMemberus-gaap:ServiceMember2020-04-012020-06-300000070866u</w:t>
      </w:r>
      <w:r>
        <w:rPr>
          <w:rFonts w:eastAsia="Times New Roman"/>
          <w:vanish/>
        </w:rPr>
        <w:t>s-gaap:ReclassificationOutOfAccumulatedOtherComprehensiveIncomeMemberus-gaap:ServiceMemberus-gaap:AccumulatedDefinedBenefitPlansAdjustmentNetPriorServiceCostCreditMember2020-04-012020-06-300000070866us-gaap:AccumulatedNetGainLossFromDesignatedOrQualifyingC</w:t>
      </w:r>
      <w:r>
        <w:rPr>
          <w:rFonts w:eastAsia="Times New Roman"/>
          <w:vanish/>
        </w:rPr>
        <w:t>ashFlowHedgesMemberus-gaap:ReclassificationOutOfAccumulatedOtherComprehensiveIncomeMemberus-gaap:ServiceMember2020-04-012020-06-300000070866us-gaap:ReclassificationOutOfAccumulatedOtherComprehensiveIncomeMemberus-gaap:ServiceMember2020-04-012020-06-3000000</w:t>
      </w:r>
      <w:r>
        <w:rPr>
          <w:rFonts w:eastAsia="Times New Roman"/>
          <w:vanish/>
        </w:rPr>
        <w:t>70866us-gaap:AccumulatedDefinedBenefitPlansAdjustmentNetUnamortizedGainLossMemberus-gaap:ReclassificationOutOfAccumulatedOtherComprehensiveIncomeMember2020-04-012020-06-300000070866us-gaap:ReclassificationOutOfAccumulatedOtherComprehensiveIncomeMemberus-ga</w:t>
      </w:r>
      <w:r>
        <w:rPr>
          <w:rFonts w:eastAsia="Times New Roman"/>
          <w:vanish/>
        </w:rPr>
        <w:t>ap:AccumulatedDefinedBenefitPlansAdjustmentNetPriorServiceCostCreditMember2020-04-012020-06-300000070866us-gaap:AccumulatedNetGainLossFromDesignatedOrQualifyingCashFlowHedgesMemberus-gaap:ReclassificationOutOfAccumulatedOtherComprehensiveIncomeMember2020-0</w:t>
      </w:r>
      <w:r>
        <w:rPr>
          <w:rFonts w:eastAsia="Times New Roman"/>
          <w:vanish/>
        </w:rPr>
        <w:t>4-012020-06-300000070866us-gaap:ReclassificationOutOfAccumulatedOtherComprehensiveIncomeMember2020-04-012020-06-300000070866us-gaap:AccumulatedDefinedBenefitPlansAdjustmentNetUnamortizedGainLossMemberus-gaap:ReclassificationOutOfAccumulatedOtherComprehensi</w:t>
      </w:r>
      <w:r>
        <w:rPr>
          <w:rFonts w:eastAsia="Times New Roman"/>
          <w:vanish/>
        </w:rPr>
        <w:t>veIncomeMemberus-gaap:ProductMember2019-04-012019-06-300000070866us-gaap:ReclassificationOutOfAccumulatedOtherComprehensiveIncomeMemberus-gaap:ProductMemberus-gaap:AccumulatedDefinedBenefitPlansAdjustmentNetPriorServiceCostCreditMember2019-04-012019-06-300</w:t>
      </w:r>
      <w:r>
        <w:rPr>
          <w:rFonts w:eastAsia="Times New Roman"/>
          <w:vanish/>
        </w:rPr>
        <w:t>000070866us-gaap:AccumulatedNetGainLossFromDesignatedOrQualifyingCashFlowHedgesMemberus-gaap:ReclassificationOutOfAccumulatedOtherComprehensiveIncomeMemberus-gaap:ProductMember2019-04-012019-06-300000070866us-gaap:ReclassificationOutOfAccumulatedOtherCompr</w:t>
      </w:r>
      <w:r>
        <w:rPr>
          <w:rFonts w:eastAsia="Times New Roman"/>
          <w:vanish/>
        </w:rPr>
        <w:t>ehensiveIncomeMemberus-gaap:ProductMember2019-04-012019-06-300000070866us-gaap:AccumulatedDefinedBenefitPlansAdjustmentNetUnamortizedGainLossMemberus-gaap:ReclassificationOutOfAccumulatedOtherComprehensiveIncomeMemberus-gaap:ServiceMember2019-04-012019-06-</w:t>
      </w:r>
      <w:r>
        <w:rPr>
          <w:rFonts w:eastAsia="Times New Roman"/>
          <w:vanish/>
        </w:rPr>
        <w:t>300000070866us-gaap:ReclassificationOutOfAccumulatedOtherComprehensiveIncomeMemberus-gaap:ServiceMemberus-gaap:AccumulatedDefinedBenefitPlansAdjustmentNetPriorServiceCostCreditMember2019-04-012019-06-300000070866us-gaap:AccumulatedNetGainLossFromDesignated</w:t>
      </w:r>
      <w:r>
        <w:rPr>
          <w:rFonts w:eastAsia="Times New Roman"/>
          <w:vanish/>
        </w:rPr>
        <w:t>OrQualifyingCashFlowHedgesMemberus-gaap:ReclassificationOutOfAccumulatedOtherComprehensiveIncomeMemberus-gaap:ServiceMember2019-04-012019-06-300000070866us-gaap:ReclassificationOutOfAccumulatedOtherComprehensiveIncomeMemberus-gaap:ServiceMember2019-04-0120</w:t>
      </w:r>
      <w:r>
        <w:rPr>
          <w:rFonts w:eastAsia="Times New Roman"/>
          <w:vanish/>
        </w:rPr>
        <w:t>19-06-300000070866us-gaap:AccumulatedDefinedBenefitPlansAdjustmentNetUnamortizedGainLossMemberus-gaap:ReclassificationOutOfAccumulatedOtherComprehensiveIncomeMember2019-04-012019-06-300000070866us-gaap:ReclassificationOutOfAccumulatedOtherComprehensiveInco</w:t>
      </w:r>
      <w:r>
        <w:rPr>
          <w:rFonts w:eastAsia="Times New Roman"/>
          <w:vanish/>
        </w:rPr>
        <w:t>meMemberus-gaap:AccumulatedDefinedBenefitPlansAdjustmentNetPriorServiceCostCreditMember2019-04-012019-06-300000070866us-gaap:AccumulatedNetGainLossFromDesignatedOrQualifyingCashFlowHedgesMemberus-gaap:ReclassificationOutOfAccumulatedOtherComprehensiveIncom</w:t>
      </w:r>
      <w:r>
        <w:rPr>
          <w:rFonts w:eastAsia="Times New Roman"/>
          <w:vanish/>
        </w:rPr>
        <w:t>eMember2019-04-012019-06-300000070866us-gaap:ReclassificationOutOfAccumulatedOtherComprehensiveIncomeMember2019-04-012019-06-300000070866us-gaap:AccumulatedDefinedBenefitPlansAdjustmentNetUnamortizedGainLossMemberus-gaap:ReclassificationOutOfAccumulatedOth</w:t>
      </w:r>
      <w:r>
        <w:rPr>
          <w:rFonts w:eastAsia="Times New Roman"/>
          <w:vanish/>
        </w:rPr>
        <w:t>erComprehensiveIncomeMemberus-gaap:ProductMember2020-01-012020-06-300000070866us-gaap:ReclassificationOutOfAccumulatedOtherComprehensiveIncomeMemberus-gaap:ProductMemberus-gaap:AccumulatedDefinedBenefitPlansAdjustmentNetPriorServiceCostCreditMember2020-01-</w:t>
      </w:r>
      <w:r>
        <w:rPr>
          <w:rFonts w:eastAsia="Times New Roman"/>
          <w:vanish/>
        </w:rPr>
        <w:t>012020-06-300000070866us-gaap:AccumulatedNetGainLossFromDesignatedOrQualifyingCashFlowHedgesMemberus-gaap:ReclassificationOutOfAccumulatedOtherComprehensiveIncomeMemberus-gaap:ProductMember2020-01-012020-06-300000070866us-gaap:ReclassificationOutOfAccumula</w:t>
      </w:r>
      <w:r>
        <w:rPr>
          <w:rFonts w:eastAsia="Times New Roman"/>
          <w:vanish/>
        </w:rPr>
        <w:t>tedOtherComprehensiveIncomeMemberus-gaap:ProductMember2020-01-012020-06-300000070866us-gaap:AccumulatedDefinedBenefitPlansAdjustmentNetUnamortizedGainLossMemberus-gaap:ReclassificationOutOfAccumulatedOtherComprehensiveIncomeMemberus-gaap:ServiceMember2020-</w:t>
      </w:r>
      <w:r>
        <w:rPr>
          <w:rFonts w:eastAsia="Times New Roman"/>
          <w:vanish/>
        </w:rPr>
        <w:t>01-012020-06-300000070866us-gaap:ReclassificationOutOfAccumulatedOtherComprehensiveIncomeMemberus-gaap:ServiceMemberus-gaap:AccumulatedDefinedBenefitPlansAdjustmentNetPriorServiceCostCreditMember2020-01-012020-06-300000070866us-gaap:AccumulatedNetGainLossF</w:t>
      </w:r>
      <w:r>
        <w:rPr>
          <w:rFonts w:eastAsia="Times New Roman"/>
          <w:vanish/>
        </w:rPr>
        <w:t>romDesignatedOrQualifyingCashFlowHedgesMemberus-gaap:ReclassificationOutOfAccumulatedOtherComprehensiveIncomeMemberus-gaap:ServiceMember2020-01-012020-06-300000070866us-gaap:ReclassificationOutOfAccumulatedOtherComprehensiveIncomeMemberus-gaap:ServiceMembe</w:t>
      </w:r>
      <w:r>
        <w:rPr>
          <w:rFonts w:eastAsia="Times New Roman"/>
          <w:vanish/>
        </w:rPr>
        <w:t>r2020-01-012020-06-300000070866us-gaap:AccumulatedDefinedBenefitPlansAdjustmentNetUnamortizedGainLossMemberus-gaap:ReclassificationOutOfAccumulatedOtherComprehensiveIncomeMember2020-01-012020-06-300000070866us-gaap:ReclassificationOutOfAccumulatedOtherComp</w:t>
      </w:r>
      <w:r>
        <w:rPr>
          <w:rFonts w:eastAsia="Times New Roman"/>
          <w:vanish/>
        </w:rPr>
        <w:t>rehensiveIncomeMemberus-gaap:AccumulatedDefinedBenefitPlansAdjustmentNetPriorServiceCostCreditMember2020-01-012020-06-300000070866us-gaap:AccumulatedNetGainLossFromDesignatedOrQualifyingCashFlowHedgesMemberus-gaap:ReclassificationOutOfAccumulatedOtherCompr</w:t>
      </w:r>
      <w:r>
        <w:rPr>
          <w:rFonts w:eastAsia="Times New Roman"/>
          <w:vanish/>
        </w:rPr>
        <w:t>ehensiveIncomeMember2020-01-012020-06-300000070866us-gaap:ReclassificationOutOfAccumulatedOtherComprehensiveIncomeMember2020-01-012020-06-300000070866us-gaap:AccumulatedDefinedBenefitPlansAdjustmentNetUnamortizedGainLossMemberus-gaap:ReclassificationOutOfA</w:t>
      </w:r>
      <w:r>
        <w:rPr>
          <w:rFonts w:eastAsia="Times New Roman"/>
          <w:vanish/>
        </w:rPr>
        <w:t>ccumulatedOtherComprehensiveIncomeMemberus-gaap:ProductMember2019-01-012019-06-300000070866us-gaap:ReclassificationOutOfAccumulatedOtherComprehensiveIncomeMemberus-gaap:ProductMemberus-gaap:AccumulatedDefinedBenefitPlansAdjustmentNetPriorServiceCostCreditM</w:t>
      </w:r>
      <w:r>
        <w:rPr>
          <w:rFonts w:eastAsia="Times New Roman"/>
          <w:vanish/>
        </w:rPr>
        <w:t>ember2019-01-012019-06-300000070866us-gaap:AccumulatedNetGainLossFromDesignatedOrQualifyingCashFlowHedgesMemberus-gaap:ReclassificationOutOfAccumulatedOtherComprehensiveIncomeMemberus-gaap:ProductMember2019-01-012019-06-300000070866us-gaap:Reclassification</w:t>
      </w:r>
      <w:r>
        <w:rPr>
          <w:rFonts w:eastAsia="Times New Roman"/>
          <w:vanish/>
        </w:rPr>
        <w:t>OutOfAccumulatedOtherComprehensiveIncomeMemberus-gaap:ProductMember2019-01-012019-06-300000070866us-gaap:AccumulatedDefinedBenefitPlansAdjustmentNetUnamortizedGainLossMemberus-gaap:ReclassificationOutOfAccumulatedOtherComprehensiveIncomeMemberus-gaap:Servi</w:t>
      </w:r>
      <w:r>
        <w:rPr>
          <w:rFonts w:eastAsia="Times New Roman"/>
          <w:vanish/>
        </w:rPr>
        <w:t>ceMember2019-01-012019-06-300000070866us-gaap:ReclassificationOutOfAccumulatedOtherComprehensiveIncomeMemberus-gaap:ServiceMemberus-gaap:AccumulatedDefinedBenefitPlansAdjustmentNetPriorServiceCostCreditMember2019-01-012019-06-300000070866us-gaap:Accumulate</w:t>
      </w:r>
      <w:r>
        <w:rPr>
          <w:rFonts w:eastAsia="Times New Roman"/>
          <w:vanish/>
        </w:rPr>
        <w:t>dNetGainLossFromDesignatedOrQualifyingCashFlowHedgesMemberus-gaap:ReclassificationOutOfAccumulatedOtherComprehensiveIncomeMemberus-gaap:ServiceMember2019-01-012019-06-300000070866us-gaap:ReclassificationOutOfAccumulatedOtherComprehensiveIncomeMemberus-gaap</w:t>
      </w:r>
      <w:r>
        <w:rPr>
          <w:rFonts w:eastAsia="Times New Roman"/>
          <w:vanish/>
        </w:rPr>
        <w:t>:ServiceMember2019-01-012019-06-300000070866us-gaap:AccumulatedDefinedBenefitPlansAdjustmentNetUnamortizedGainLossMemberus-gaap:ReclassificationOutOfAccumulatedOtherComprehensiveIncomeMember2019-01-012019-06-300000070866us-gaap:ReclassificationOutOfAccumul</w:t>
      </w:r>
      <w:r>
        <w:rPr>
          <w:rFonts w:eastAsia="Times New Roman"/>
          <w:vanish/>
        </w:rPr>
        <w:t>atedOtherComprehensiveIncomeMemberus-gaap:AccumulatedDefinedBenefitPlansAdjustmentNetPriorServiceCostCreditMember2019-01-012019-06-300000070866us-gaap:AccumulatedNetGainLossFromDesignatedOrQualifyingCashFlowHedgesMemberus-gaap:ReclassificationOutOfAccumula</w:t>
      </w:r>
      <w:r>
        <w:rPr>
          <w:rFonts w:eastAsia="Times New Roman"/>
          <w:vanish/>
        </w:rPr>
        <w:t>tedOtherComprehensiveIncomeMember2019-01-012019-06-300000070866us-gaap:ReclassificationOutOfAccumulatedOtherComprehensiveIncomeMember2019-01-012019-06-300000070866us-gaap:OperatingSegmentsMemberncr:BankingSegmentMember2020-04-012020-06-300000070866us-gaap:</w:t>
      </w:r>
      <w:r>
        <w:rPr>
          <w:rFonts w:eastAsia="Times New Roman"/>
          <w:vanish/>
        </w:rPr>
        <w:t>OperatingSegmentsMemberncr:BankingSegmentMember2019-04-012019-06-300000070866us-gaap:OperatingSegmentsMemberncr:BankingSegmentMember2020-01-012020-06-300000070866us-gaap:OperatingSegmentsMemberncr:BankingSegmentMember2019-01-012019-06-300000070866us-gaap:O</w:t>
      </w:r>
      <w:r>
        <w:rPr>
          <w:rFonts w:eastAsia="Times New Roman"/>
          <w:vanish/>
        </w:rPr>
        <w:t>peratingSegmentsMemberncr:RetailSegmentMember2020-04-012020-06-300000070866us-gaap:OperatingSegmentsMemberncr:RetailSegmentMember2019-04-012019-06-300000070866us-gaap:OperatingSegmentsMemberncr:RetailSegmentMember2020-01-012020-06-300000070866us-gaap:Opera</w:t>
      </w:r>
      <w:r>
        <w:rPr>
          <w:rFonts w:eastAsia="Times New Roman"/>
          <w:vanish/>
        </w:rPr>
        <w:t>tingSegmentsMemberncr:RetailSegmentMember2019-01-012019-06-300000070866us-gaap:OperatingSegmentsMemberncr:HospitalitySegmentMember2020-04-012020-06-300000070866us-gaap:OperatingSegmentsMemberncr:HospitalitySegmentMember2019-04-012019-06-300000070866us-gaap</w:t>
      </w:r>
      <w:r>
        <w:rPr>
          <w:rFonts w:eastAsia="Times New Roman"/>
          <w:vanish/>
        </w:rPr>
        <w:t>:OperatingSegmentsMemberncr:HospitalitySegmentMember2020-01-012020-06-300000070866us-gaap:OperatingSegmentsMemberncr:HospitalitySegmentMember2019-01-012019-06-300000070866us-gaap:OperatingSegmentsMemberus-gaap:AllOtherSegmentsMember2020-04-012020-06-300000</w:t>
      </w:r>
      <w:r>
        <w:rPr>
          <w:rFonts w:eastAsia="Times New Roman"/>
          <w:vanish/>
        </w:rPr>
        <w:t>070866us-gaap:OperatingSegmentsMemberus-gaap:AllOtherSegmentsMember2019-04-012019-06-300000070866us-gaap:OperatingSegmentsMemberus-gaap:AllOtherSegmentsMember2020-01-012020-06-300000070866us-gaap:OperatingSegmentsMemberus-gaap:AllOtherSegmentsMember2019-01</w:t>
      </w:r>
      <w:r>
        <w:rPr>
          <w:rFonts w:eastAsia="Times New Roman"/>
          <w:vanish/>
        </w:rPr>
        <w:t>-012019-06-300000070866us-gaap:OperatingSegmentsMember2020-04-012020-06-300000070866us-gaap:OperatingSegmentsMember2019-04-012019-06-300000070866us-gaap:OperatingSegmentsMember2020-01-012020-06-300000070866us-gaap:OperatingSegmentsMember2019-01-012019-06-3</w:t>
      </w:r>
      <w:r>
        <w:rPr>
          <w:rFonts w:eastAsia="Times New Roman"/>
          <w:vanish/>
        </w:rPr>
        <w:t>00000070866us-gaap:MaterialReconcilingItemsMember2020-04-012020-06-300000070866us-gaap:MaterialReconcilingItemsMember2019-04-012019-06-300000070866us-gaap:MaterialReconcilingItemsMember2020-01-012020-06-300000070866us-gaap:MaterialReconcilingItemsMember201</w:t>
      </w:r>
      <w:r>
        <w:rPr>
          <w:rFonts w:eastAsia="Times New Roman"/>
          <w:vanish/>
        </w:rPr>
        <w:t>9-01-012019-06-300000070866srt:AmericasMember2020-04-012020-06-300000070866srt:AmericasMember2019-04-012019-06-300000070866srt:AmericasMember2020-01-012020-06-300000070866srt:AmericasMember2019-01-012019-06-300000070866us-gaap:EMEAMember2020-04-012020-06-3</w:t>
      </w:r>
      <w:r>
        <w:rPr>
          <w:rFonts w:eastAsia="Times New Roman"/>
          <w:vanish/>
        </w:rPr>
        <w:t>00000070866us-gaap:EMEAMember2019-04-012019-06-300000070866us-gaap:EMEAMember2020-01-012020-06-300000070866us-gaap:EMEAMember2019-01-012019-06-300000070866srt:AsiaPacificMember2020-04-012020-06-300000070866srt:AsiaPacificMember2019-04-012019-06-30000007086</w:t>
      </w:r>
      <w:r>
        <w:rPr>
          <w:rFonts w:eastAsia="Times New Roman"/>
          <w:vanish/>
        </w:rPr>
        <w:t>6srt:AsiaPacificMember2020-01-012020-06-300000070866srt:AsiaPacificMember2019-01-012019-06-300000070866us-gaap:TechnologyServiceMember2020-04-012020-06-300000070866us-gaap:TechnologyServiceMember2019-04-012019-06-300000070866us-gaap:TechnologyServiceMember</w:t>
      </w:r>
      <w:r>
        <w:rPr>
          <w:rFonts w:eastAsia="Times New Roman"/>
          <w:vanish/>
        </w:rPr>
        <w:t>2020-01-012020-06-300000070866us-gaap:TechnologyServiceMember2019-01-012019-06-300000070866ncr:RecurringrevenueincludingmaintenanceandcloudrevenueMember2020-04-012020-06-300000070866ncr:RecurringrevenueincludingmaintenanceandcloudrevenueMember2019-04-01201</w:t>
      </w:r>
      <w:r>
        <w:rPr>
          <w:rFonts w:eastAsia="Times New Roman"/>
          <w:vanish/>
        </w:rPr>
        <w:t>9-06-300000070866ncr:RecurringrevenueincludingmaintenanceandcloudrevenueMember2020-01-012020-06-300000070866ncr:RecurringrevenueincludingmaintenanceandcloudrevenueMember2019-01-012019-06-300000070866ncr:SoftwareMember2020-04-012020-06-300000070866ncr:Softw</w:t>
      </w:r>
      <w:r>
        <w:rPr>
          <w:rFonts w:eastAsia="Times New Roman"/>
          <w:vanish/>
        </w:rPr>
        <w:t>areMember2019-04-012019-06-300000070866ncr:SoftwareMember2020-01-012020-06-300000070866ncr:SoftwareMember2019-01-012019-06-300000070866us-gaap:ServiceOtherMember2020-04-012020-06-300000070866us-gaap:ServiceOtherMember2019-04-012019-06-300000070866us-gaap:S</w:t>
      </w:r>
      <w:r>
        <w:rPr>
          <w:rFonts w:eastAsia="Times New Roman"/>
          <w:vanish/>
        </w:rPr>
        <w:t>erviceOtherMember2020-01-012020-06-300000070866us-gaap:ServiceOtherMember2019-01-012019-06-300000070866ncr:HardwareMember2020-04-012020-06-300000070866ncr:HardwareMember2019-04-012019-06-300000070866ncr:HardwareMember2020-01-012020-06-300000070866ncr:Hardw</w:t>
      </w:r>
      <w:r>
        <w:rPr>
          <w:rFonts w:eastAsia="Times New Roman"/>
          <w:vanish/>
        </w:rPr>
        <w:t>areMember2019-01-012019-06-300000070866us-gaap:TradeAccountsReceivableMember2020-06-300000070866us-gaap:TradeAccountsReceivableMember2019-12-310000070866ncr:OtherReceivablesMember2020-06-300000070866ncr:OtherReceivablesMember2019-12-31</w:t>
      </w:r>
    </w:p>
    <w:p w:rsidR="00000000" w:rsidRDefault="000A7020">
      <w:pPr>
        <w:divId w:val="1970696900"/>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ind w:firstLine="720"/>
        <w:jc w:val="center"/>
        <w:rPr>
          <w:rFonts w:eastAsia="Times New Roman"/>
        </w:rPr>
      </w:pPr>
    </w:p>
    <w:tbl>
      <w:tblPr>
        <w:tblW w:w="4279" w:type="pct"/>
        <w:jc w:val="center"/>
        <w:tblCellMar>
          <w:top w:w="15" w:type="dxa"/>
          <w:left w:w="15" w:type="dxa"/>
          <w:bottom w:w="15" w:type="dxa"/>
          <w:right w:w="15" w:type="dxa"/>
        </w:tblCellMar>
        <w:tblLook w:val="04A0" w:firstRow="1" w:lastRow="0" w:firstColumn="1" w:lastColumn="0" w:noHBand="0" w:noVBand="1"/>
      </w:tblPr>
      <w:tblGrid>
        <w:gridCol w:w="71"/>
        <w:gridCol w:w="6966"/>
        <w:gridCol w:w="71"/>
      </w:tblGrid>
      <w:tr w:rsidR="00000000">
        <w:trPr>
          <w:divId w:val="942298954"/>
          <w:jc w:val="center"/>
        </w:trPr>
        <w:tc>
          <w:tcPr>
            <w:tcW w:w="50" w:type="pct"/>
            <w:vAlign w:val="center"/>
            <w:hideMark/>
          </w:tcPr>
          <w:p w:rsidR="00000000" w:rsidRDefault="000A7020">
            <w:pPr>
              <w:ind w:firstLine="720"/>
              <w:jc w:val="center"/>
              <w:rPr>
                <w:rFonts w:eastAsia="Times New Roman"/>
              </w:rPr>
            </w:pPr>
          </w:p>
        </w:tc>
        <w:tc>
          <w:tcPr>
            <w:tcW w:w="490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942298954"/>
          <w:trHeight w:val="60"/>
          <w:jc w:val="center"/>
        </w:trPr>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r>
    </w:tbl>
    <w:p w:rsidR="00000000" w:rsidRDefault="000A7020">
      <w:pPr>
        <w:jc w:val="center"/>
        <w:rPr>
          <w:rFonts w:eastAsia="Times New Roman"/>
        </w:rPr>
      </w:pPr>
      <w:r>
        <w:rPr>
          <w:rFonts w:eastAsia="Times New Roman"/>
          <w:b/>
          <w:bCs/>
          <w:color w:val="000000"/>
          <w:sz w:val="36"/>
          <w:szCs w:val="36"/>
        </w:rPr>
        <w:t>UNITED STATE</w:t>
      </w:r>
      <w:r>
        <w:rPr>
          <w:rFonts w:eastAsia="Times New Roman"/>
          <w:b/>
          <w:bCs/>
          <w:color w:val="000000"/>
          <w:sz w:val="36"/>
          <w:szCs w:val="36"/>
        </w:rPr>
        <w:t>S</w:t>
      </w:r>
    </w:p>
    <w:p w:rsidR="00000000" w:rsidRDefault="000A7020">
      <w:pPr>
        <w:jc w:val="center"/>
        <w:rPr>
          <w:rFonts w:eastAsia="Times New Roman"/>
        </w:rPr>
      </w:pPr>
      <w:r>
        <w:rPr>
          <w:rFonts w:eastAsia="Times New Roman"/>
          <w:b/>
          <w:bCs/>
          <w:color w:val="000000"/>
          <w:sz w:val="36"/>
          <w:szCs w:val="36"/>
        </w:rPr>
        <w:t>SECURITIES AND EXCHANGE COMMISSIO</w:t>
      </w:r>
      <w:r>
        <w:rPr>
          <w:rFonts w:eastAsia="Times New Roman"/>
          <w:b/>
          <w:bCs/>
          <w:color w:val="000000"/>
          <w:sz w:val="36"/>
          <w:szCs w:val="36"/>
        </w:rPr>
        <w:t>N</w:t>
      </w:r>
    </w:p>
    <w:p w:rsidR="00000000" w:rsidRDefault="000A7020">
      <w:pPr>
        <w:jc w:val="center"/>
        <w:rPr>
          <w:rFonts w:eastAsia="Times New Roman"/>
        </w:rPr>
      </w:pPr>
      <w:r>
        <w:rPr>
          <w:rFonts w:eastAsia="Times New Roman"/>
          <w:b/>
          <w:bCs/>
          <w:color w:val="000000"/>
        </w:rPr>
        <w:t>Washington, D.C. 2054</w:t>
      </w:r>
      <w:r>
        <w:rPr>
          <w:rFonts w:eastAsia="Times New Roman"/>
          <w:b/>
          <w:bCs/>
          <w:color w:val="000000"/>
        </w:rPr>
        <w:t>9</w:t>
      </w:r>
    </w:p>
    <w:p w:rsidR="00000000" w:rsidRDefault="000A7020">
      <w:pPr>
        <w:jc w:val="center"/>
        <w:divId w:val="1112745424"/>
        <w:rPr>
          <w:rFonts w:eastAsia="Times New Roman"/>
        </w:rPr>
      </w:pPr>
      <w:r>
        <w:rPr>
          <w:rFonts w:eastAsia="Times New Roman"/>
          <w:color w:val="000000"/>
          <w:sz w:val="20"/>
          <w:szCs w:val="20"/>
        </w:rPr>
        <w:t>_______________________</w:t>
      </w:r>
      <w:r>
        <w:rPr>
          <w:rFonts w:eastAsia="Times New Roman"/>
          <w:color w:val="000000"/>
          <w:sz w:val="20"/>
          <w:szCs w:val="20"/>
        </w:rPr>
        <w:t>_</w:t>
      </w:r>
    </w:p>
    <w:p w:rsidR="00000000" w:rsidRDefault="000A7020">
      <w:pPr>
        <w:jc w:val="center"/>
        <w:divId w:val="980620297"/>
        <w:rPr>
          <w:rFonts w:eastAsia="Times New Roman"/>
        </w:rPr>
      </w:pPr>
      <w:r>
        <w:rPr>
          <w:rFonts w:eastAsia="Times New Roman"/>
          <w:b/>
          <w:bCs/>
          <w:color w:val="000000"/>
          <w:sz w:val="36"/>
          <w:szCs w:val="36"/>
        </w:rPr>
        <w:t>FORM 10-Q</w:t>
      </w:r>
      <w:r>
        <w:rPr>
          <w:rFonts w:eastAsia="Times New Roman"/>
          <w:b/>
          <w:bCs/>
          <w:color w:val="000000"/>
          <w:sz w:val="36"/>
          <w:szCs w:val="36"/>
        </w:rPr>
        <w:t xml:space="preserve"> </w:t>
      </w:r>
    </w:p>
    <w:p w:rsidR="00000000" w:rsidRDefault="000A7020">
      <w:pPr>
        <w:jc w:val="center"/>
        <w:divId w:val="604725301"/>
        <w:rPr>
          <w:rFonts w:eastAsia="Times New Roman"/>
        </w:rPr>
      </w:pPr>
      <w:r>
        <w:rPr>
          <w:rFonts w:eastAsia="Times New Roman"/>
          <w:color w:val="000000"/>
          <w:sz w:val="20"/>
          <w:szCs w:val="20"/>
        </w:rPr>
        <w:t>_______________________</w:t>
      </w:r>
      <w:r>
        <w:rPr>
          <w:rFonts w:eastAsia="Times New Roman"/>
          <w:color w:val="000000"/>
          <w:sz w:val="20"/>
          <w:szCs w:val="20"/>
        </w:rPr>
        <w:t>_</w:t>
      </w:r>
    </w:p>
    <w:tbl>
      <w:tblPr>
        <w:tblW w:w="11460" w:type="dxa"/>
        <w:tblCellMar>
          <w:top w:w="15" w:type="dxa"/>
          <w:left w:w="15" w:type="dxa"/>
          <w:bottom w:w="15" w:type="dxa"/>
          <w:right w:w="15" w:type="dxa"/>
        </w:tblCellMar>
        <w:tblLook w:val="04A0" w:firstRow="1" w:lastRow="0" w:firstColumn="1" w:lastColumn="0" w:noHBand="0" w:noVBand="1"/>
      </w:tblPr>
      <w:tblGrid>
        <w:gridCol w:w="58"/>
        <w:gridCol w:w="215"/>
        <w:gridCol w:w="57"/>
        <w:gridCol w:w="36"/>
        <w:gridCol w:w="11058"/>
        <w:gridCol w:w="36"/>
      </w:tblGrid>
      <w:tr w:rsidR="00000000">
        <w:trPr>
          <w:divId w:val="893852559"/>
        </w:trPr>
        <w:tc>
          <w:tcPr>
            <w:tcW w:w="20" w:type="dxa"/>
            <w:vAlign w:val="center"/>
            <w:hideMark/>
          </w:tcPr>
          <w:p w:rsidR="00000000" w:rsidRDefault="000A7020">
            <w:pPr>
              <w:jc w:val="center"/>
              <w:rPr>
                <w:rFonts w:eastAsia="Times New Roman"/>
              </w:rPr>
            </w:pPr>
          </w:p>
        </w:tc>
        <w:tc>
          <w:tcPr>
            <w:tcW w:w="215" w:type="dxa"/>
            <w:vAlign w:val="center"/>
            <w:hideMark/>
          </w:tcPr>
          <w:p w:rsidR="00000000" w:rsidRDefault="000A7020">
            <w:pPr>
              <w:rPr>
                <w:rFonts w:eastAsia="Times New Roman"/>
                <w:sz w:val="20"/>
                <w:szCs w:val="20"/>
              </w:rPr>
            </w:pPr>
          </w:p>
        </w:tc>
        <w:tc>
          <w:tcPr>
            <w:tcW w:w="20" w:type="dxa"/>
            <w:vAlign w:val="center"/>
            <w:hideMark/>
          </w:tcPr>
          <w:p w:rsidR="00000000" w:rsidRDefault="000A7020">
            <w:pPr>
              <w:rPr>
                <w:rFonts w:eastAsia="Times New Roman"/>
                <w:sz w:val="20"/>
                <w:szCs w:val="20"/>
              </w:rPr>
            </w:pPr>
          </w:p>
        </w:tc>
        <w:tc>
          <w:tcPr>
            <w:tcW w:w="20" w:type="dxa"/>
            <w:vAlign w:val="center"/>
            <w:hideMark/>
          </w:tcPr>
          <w:p w:rsidR="00000000" w:rsidRDefault="000A7020">
            <w:pPr>
              <w:rPr>
                <w:rFonts w:eastAsia="Times New Roman"/>
                <w:sz w:val="20"/>
                <w:szCs w:val="20"/>
              </w:rPr>
            </w:pPr>
          </w:p>
        </w:tc>
        <w:tc>
          <w:tcPr>
            <w:tcW w:w="11165" w:type="dxa"/>
            <w:vAlign w:val="center"/>
            <w:hideMark/>
          </w:tcPr>
          <w:p w:rsidR="00000000" w:rsidRDefault="000A7020">
            <w:pPr>
              <w:rPr>
                <w:rFonts w:eastAsia="Times New Roman"/>
                <w:sz w:val="20"/>
                <w:szCs w:val="20"/>
              </w:rPr>
            </w:pPr>
          </w:p>
        </w:tc>
        <w:tc>
          <w:tcPr>
            <w:tcW w:w="20" w:type="dxa"/>
            <w:vAlign w:val="center"/>
            <w:hideMark/>
          </w:tcPr>
          <w:p w:rsidR="00000000" w:rsidRDefault="000A7020">
            <w:pPr>
              <w:rPr>
                <w:rFonts w:eastAsia="Times New Roman"/>
                <w:sz w:val="20"/>
                <w:szCs w:val="20"/>
              </w:rPr>
            </w:pPr>
          </w:p>
        </w:tc>
      </w:tr>
      <w:tr w:rsidR="00000000">
        <w:trPr>
          <w:divId w:val="893852559"/>
        </w:trPr>
        <w:tc>
          <w:tcPr>
            <w:tcW w:w="0" w:type="auto"/>
            <w:gridSpan w:val="3"/>
            <w:tcMar>
              <w:top w:w="30" w:type="dxa"/>
              <w:left w:w="20" w:type="dxa"/>
              <w:bottom w:w="30" w:type="dxa"/>
              <w:right w:w="20" w:type="dxa"/>
            </w:tcMar>
            <w:vAlign w:val="center"/>
            <w:hideMark/>
          </w:tcPr>
          <w:p w:rsidR="00000000" w:rsidRDefault="000A7020">
            <w:pPr>
              <w:divId w:val="2059893384"/>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QUARTERLY REPORT PURSUANT TO SECTION 13 OR 15(d) OF THE SECURITIES EXCHANGE ACT OF 193</w:t>
            </w:r>
            <w:r>
              <w:rPr>
                <w:rFonts w:eastAsia="Times New Roman"/>
                <w:b/>
                <w:bCs/>
                <w:color w:val="000000"/>
                <w:sz w:val="20"/>
                <w:szCs w:val="20"/>
              </w:rPr>
              <w:t>4</w:t>
            </w:r>
          </w:p>
        </w:tc>
      </w:tr>
    </w:tbl>
    <w:p w:rsidR="00000000" w:rsidRDefault="000A7020">
      <w:pPr>
        <w:divId w:val="1391996152"/>
        <w:rPr>
          <w:rFonts w:eastAsia="Times New Roman"/>
        </w:rPr>
      </w:pPr>
    </w:p>
    <w:p w:rsidR="00000000" w:rsidRDefault="000A7020">
      <w:pPr>
        <w:jc w:val="center"/>
        <w:divId w:val="676612134"/>
        <w:rPr>
          <w:rFonts w:eastAsia="Times New Roman"/>
        </w:rPr>
      </w:pPr>
      <w:r>
        <w:rPr>
          <w:rFonts w:eastAsia="Times New Roman"/>
          <w:b/>
          <w:bCs/>
          <w:color w:val="000000"/>
          <w:sz w:val="20"/>
          <w:szCs w:val="20"/>
        </w:rPr>
        <w:t>For the quarterly period ended June 30, 202</w:t>
      </w:r>
      <w:r>
        <w:rPr>
          <w:rFonts w:eastAsia="Times New Roman"/>
          <w:b/>
          <w:bCs/>
          <w:color w:val="000000"/>
          <w:sz w:val="20"/>
          <w:szCs w:val="20"/>
        </w:rPr>
        <w:t>0</w:t>
      </w:r>
    </w:p>
    <w:p w:rsidR="00000000" w:rsidRDefault="000A7020">
      <w:pPr>
        <w:jc w:val="center"/>
        <w:divId w:val="1931573125"/>
        <w:rPr>
          <w:rFonts w:eastAsia="Times New Roman"/>
        </w:rPr>
      </w:pPr>
      <w:r>
        <w:rPr>
          <w:rFonts w:eastAsia="Times New Roman"/>
          <w:b/>
          <w:bCs/>
          <w:color w:val="000000"/>
          <w:sz w:val="20"/>
          <w:szCs w:val="20"/>
        </w:rPr>
        <w:t>Commission File Number 001-00395</w:t>
      </w:r>
      <w:r>
        <w:rPr>
          <w:rFonts w:eastAsia="Times New Roman"/>
          <w:b/>
          <w:bCs/>
          <w:color w:val="000000"/>
          <w:sz w:val="20"/>
          <w:szCs w:val="20"/>
        </w:rPr>
        <w:t xml:space="preserve"> </w:t>
      </w:r>
    </w:p>
    <w:p w:rsidR="00000000" w:rsidRDefault="000A7020">
      <w:pPr>
        <w:jc w:val="center"/>
        <w:divId w:val="1408571538"/>
        <w:rPr>
          <w:rFonts w:eastAsia="Times New Roman"/>
        </w:rPr>
      </w:pPr>
      <w:r>
        <w:rPr>
          <w:rFonts w:eastAsia="Times New Roman"/>
          <w:color w:val="000000"/>
          <w:sz w:val="20"/>
          <w:szCs w:val="20"/>
        </w:rPr>
        <w:t> _______________________</w:t>
      </w:r>
      <w:r>
        <w:rPr>
          <w:rFonts w:eastAsia="Times New Roman"/>
          <w:color w:val="000000"/>
          <w:sz w:val="20"/>
          <w:szCs w:val="20"/>
        </w:rPr>
        <w:t>_</w:t>
      </w:r>
    </w:p>
    <w:p w:rsidR="00000000" w:rsidRDefault="000A7020">
      <w:pPr>
        <w:jc w:val="center"/>
        <w:divId w:val="711660707"/>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0A7020">
      <w:pPr>
        <w:jc w:val="center"/>
        <w:divId w:val="765004409"/>
        <w:rPr>
          <w:rFonts w:eastAsia="Times New Roman"/>
        </w:rPr>
      </w:pPr>
      <w:r>
        <w:rPr>
          <w:rFonts w:eastAsia="Times New Roman"/>
          <w:b/>
          <w:bCs/>
          <w:color w:val="54B948"/>
          <w:sz w:val="28"/>
          <w:szCs w:val="28"/>
        </w:rPr>
        <w:t>NCR CORPORATIO</w:t>
      </w:r>
      <w:r>
        <w:rPr>
          <w:rFonts w:eastAsia="Times New Roman"/>
          <w:b/>
          <w:bCs/>
          <w:color w:val="54B948"/>
          <w:sz w:val="28"/>
          <w:szCs w:val="28"/>
        </w:rPr>
        <w:t>N</w:t>
      </w:r>
    </w:p>
    <w:p w:rsidR="00000000" w:rsidRDefault="000A7020">
      <w:pPr>
        <w:jc w:val="center"/>
        <w:rPr>
          <w:rFonts w:eastAsia="Times New Roman"/>
        </w:rPr>
      </w:pPr>
      <w:r>
        <w:rPr>
          <w:rFonts w:eastAsia="Times New Roman"/>
          <w:b/>
          <w:bCs/>
          <w:color w:val="000000"/>
          <w:sz w:val="20"/>
          <w:szCs w:val="20"/>
        </w:rPr>
        <w:t>(Exact name of registrant as specified in its charter</w:t>
      </w:r>
      <w:r>
        <w:rPr>
          <w:rFonts w:eastAsia="Times New Roman"/>
          <w:b/>
          <w:bCs/>
          <w:color w:val="000000"/>
          <w:sz w:val="20"/>
          <w:szCs w:val="20"/>
        </w:rPr>
        <w:t>)</w:t>
      </w:r>
    </w:p>
    <w:p w:rsidR="00000000" w:rsidRDefault="000A7020">
      <w:pPr>
        <w:jc w:val="center"/>
        <w:divId w:val="1233351543"/>
        <w:rPr>
          <w:rFonts w:eastAsia="Times New Roman"/>
        </w:rPr>
      </w:pPr>
      <w:r>
        <w:rPr>
          <w:rFonts w:eastAsia="Times New Roman"/>
          <w:color w:val="000000"/>
          <w:sz w:val="20"/>
          <w:szCs w:val="20"/>
        </w:rPr>
        <w:t>_______________________</w:t>
      </w:r>
      <w:r>
        <w:rPr>
          <w:rFonts w:eastAsia="Times New Roman"/>
          <w:color w:val="000000"/>
          <w:sz w:val="20"/>
          <w:szCs w:val="20"/>
        </w:rPr>
        <w:t>_</w:t>
      </w:r>
    </w:p>
    <w:p w:rsidR="00000000" w:rsidRDefault="000A7020">
      <w:pPr>
        <w:jc w:val="center"/>
        <w:divId w:val="1022975812"/>
        <w:rPr>
          <w:rFonts w:eastAsia="Times New Roman"/>
        </w:rPr>
      </w:pPr>
      <w:r>
        <w:rPr>
          <w:rFonts w:eastAsia="Times New Roman"/>
          <w:color w:val="000000"/>
          <w:sz w:val="20"/>
          <w:szCs w:val="20"/>
        </w:rPr>
        <w:t> </w:t>
      </w:r>
    </w:p>
    <w:tbl>
      <w:tblPr>
        <w:tblW w:w="4580" w:type="pct"/>
        <w:jc w:val="center"/>
        <w:tblCellMar>
          <w:top w:w="15" w:type="dxa"/>
          <w:left w:w="15" w:type="dxa"/>
          <w:bottom w:w="15" w:type="dxa"/>
          <w:right w:w="15" w:type="dxa"/>
        </w:tblCellMar>
        <w:tblLook w:val="04A0" w:firstRow="1" w:lastRow="0" w:firstColumn="1" w:lastColumn="0" w:noHBand="0" w:noVBand="1"/>
      </w:tblPr>
      <w:tblGrid>
        <w:gridCol w:w="76"/>
        <w:gridCol w:w="3637"/>
        <w:gridCol w:w="76"/>
        <w:gridCol w:w="76"/>
        <w:gridCol w:w="128"/>
        <w:gridCol w:w="76"/>
        <w:gridCol w:w="76"/>
        <w:gridCol w:w="3387"/>
        <w:gridCol w:w="76"/>
      </w:tblGrid>
      <w:tr w:rsidR="00000000">
        <w:trPr>
          <w:divId w:val="912203654"/>
          <w:jc w:val="center"/>
        </w:trPr>
        <w:tc>
          <w:tcPr>
            <w:tcW w:w="50" w:type="pct"/>
            <w:vAlign w:val="center"/>
            <w:hideMark/>
          </w:tcPr>
          <w:p w:rsidR="00000000" w:rsidRDefault="000A7020">
            <w:pPr>
              <w:jc w:val="center"/>
              <w:rPr>
                <w:rFonts w:eastAsia="Times New Roman"/>
              </w:rPr>
            </w:pPr>
          </w:p>
        </w:tc>
        <w:tc>
          <w:tcPr>
            <w:tcW w:w="238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8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22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912203654"/>
          <w:jc w:val="center"/>
        </w:trPr>
        <w:tc>
          <w:tcPr>
            <w:tcW w:w="0" w:type="auto"/>
            <w:gridSpan w:val="3"/>
            <w:tcMar>
              <w:top w:w="30" w:type="dxa"/>
              <w:left w:w="20" w:type="dxa"/>
              <w:bottom w:w="30" w:type="dxa"/>
              <w:right w:w="20" w:type="dxa"/>
            </w:tcMar>
            <w:hideMark/>
          </w:tcPr>
          <w:p w:rsidR="00000000" w:rsidRDefault="000A7020">
            <w:pPr>
              <w:jc w:val="center"/>
              <w:rPr>
                <w:rFonts w:eastAsia="Times New Roman"/>
              </w:rPr>
            </w:pPr>
            <w:r>
              <w:rPr>
                <w:rFonts w:eastAsia="Times New Roman"/>
                <w:b/>
                <w:bCs/>
                <w:color w:val="000000"/>
                <w:sz w:val="20"/>
                <w:szCs w:val="20"/>
              </w:rPr>
              <w:t>Marylan</w:t>
            </w:r>
            <w:r>
              <w:rPr>
                <w:rFonts w:eastAsia="Times New Roman"/>
                <w:b/>
                <w:bCs/>
                <w:color w:val="000000"/>
                <w:sz w:val="20"/>
                <w:szCs w:val="20"/>
              </w:rPr>
              <w:t>d</w:t>
            </w:r>
          </w:p>
        </w:tc>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0A7020">
            <w:pPr>
              <w:jc w:val="center"/>
              <w:rPr>
                <w:rFonts w:eastAsia="Times New Roman"/>
              </w:rPr>
            </w:pPr>
            <w:r>
              <w:rPr>
                <w:rFonts w:eastAsia="Times New Roman"/>
                <w:b/>
                <w:bCs/>
                <w:color w:val="000000"/>
                <w:sz w:val="20"/>
                <w:szCs w:val="20"/>
              </w:rPr>
              <w:t>31-038792</w:t>
            </w:r>
            <w:r>
              <w:rPr>
                <w:rFonts w:eastAsia="Times New Roman"/>
                <w:b/>
                <w:bCs/>
                <w:color w:val="000000"/>
                <w:sz w:val="20"/>
                <w:szCs w:val="20"/>
              </w:rPr>
              <w:t>0</w:t>
            </w:r>
          </w:p>
        </w:tc>
      </w:tr>
      <w:tr w:rsidR="00000000">
        <w:trPr>
          <w:divId w:val="912203654"/>
          <w:jc w:val="center"/>
        </w:trPr>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r>
              <w:rPr>
                <w:rFonts w:eastAsia="Times New Roman"/>
                <w:b/>
                <w:bCs/>
                <w:color w:val="000000"/>
                <w:sz w:val="16"/>
                <w:szCs w:val="16"/>
              </w:rPr>
              <w:t>)</w:t>
            </w:r>
          </w:p>
        </w:tc>
      </w:tr>
    </w:tbl>
    <w:p w:rsidR="00000000" w:rsidRDefault="000A7020">
      <w:pPr>
        <w:jc w:val="center"/>
        <w:divId w:val="1647466556"/>
        <w:rPr>
          <w:rFonts w:eastAsia="Times New Roman"/>
        </w:rPr>
      </w:pPr>
      <w:r>
        <w:rPr>
          <w:rFonts w:eastAsia="Times New Roman"/>
          <w:b/>
          <w:bCs/>
          <w:color w:val="000000"/>
          <w:sz w:val="20"/>
          <w:szCs w:val="20"/>
        </w:rPr>
        <w:t>864 Spring Street NW</w:t>
      </w:r>
      <w:r>
        <w:rPr>
          <w:rFonts w:eastAsia="Times New Roman"/>
          <w:b/>
          <w:bCs/>
          <w:color w:val="000000"/>
          <w:sz w:val="20"/>
          <w:szCs w:val="20"/>
        </w:rPr>
        <w:t xml:space="preserve"> </w:t>
      </w:r>
    </w:p>
    <w:p w:rsidR="00000000" w:rsidRDefault="000A7020">
      <w:pPr>
        <w:jc w:val="center"/>
        <w:rPr>
          <w:rFonts w:eastAsia="Times New Roman"/>
        </w:rPr>
      </w:pPr>
      <w:r>
        <w:rPr>
          <w:rFonts w:eastAsia="Times New Roman"/>
          <w:b/>
          <w:bCs/>
          <w:color w:val="000000"/>
          <w:sz w:val="20"/>
          <w:szCs w:val="20"/>
        </w:rPr>
        <w:t>Atlanta, GA 30308</w:t>
      </w:r>
      <w:r>
        <w:rPr>
          <w:rFonts w:eastAsia="Times New Roman"/>
          <w:b/>
          <w:bCs/>
          <w:color w:val="000000"/>
          <w:sz w:val="20"/>
          <w:szCs w:val="20"/>
        </w:rPr>
        <w:t xml:space="preserve"> </w:t>
      </w:r>
    </w:p>
    <w:p w:rsidR="00000000" w:rsidRDefault="000A7020">
      <w:pPr>
        <w:jc w:val="center"/>
        <w:rPr>
          <w:rFonts w:eastAsia="Times New Roman"/>
        </w:rPr>
      </w:pPr>
      <w:r>
        <w:rPr>
          <w:rFonts w:eastAsia="Times New Roman"/>
          <w:b/>
          <w:bCs/>
          <w:color w:val="000000"/>
          <w:sz w:val="16"/>
          <w:szCs w:val="16"/>
        </w:rPr>
        <w:t>(Address of principal executive offices) (Zip Code</w:t>
      </w:r>
      <w:r>
        <w:rPr>
          <w:rFonts w:eastAsia="Times New Roman"/>
          <w:b/>
          <w:bCs/>
          <w:color w:val="000000"/>
          <w:sz w:val="16"/>
          <w:szCs w:val="16"/>
        </w:rPr>
        <w:t>)</w:t>
      </w:r>
    </w:p>
    <w:p w:rsidR="00000000" w:rsidRDefault="000A7020">
      <w:pPr>
        <w:jc w:val="center"/>
        <w:divId w:val="257252140"/>
        <w:rPr>
          <w:rFonts w:eastAsia="Times New Roman"/>
        </w:rPr>
      </w:pPr>
      <w:r>
        <w:rPr>
          <w:rFonts w:eastAsia="Times New Roman"/>
          <w:b/>
          <w:bCs/>
          <w:color w:val="000000"/>
          <w:sz w:val="20"/>
          <w:szCs w:val="20"/>
        </w:rPr>
        <w:t>Registrant’s telephone number, including area code: (937) 445-5000</w:t>
      </w:r>
      <w:r>
        <w:rPr>
          <w:rFonts w:eastAsia="Times New Roman"/>
          <w:b/>
          <w:bCs/>
          <w:color w:val="000000"/>
          <w:sz w:val="20"/>
          <w:szCs w:val="20"/>
        </w:rPr>
        <w:t xml:space="preserve"> </w:t>
      </w:r>
    </w:p>
    <w:p w:rsidR="00000000" w:rsidRDefault="000A7020">
      <w:pPr>
        <w:divId w:val="1232234726"/>
        <w:rPr>
          <w:rFonts w:eastAsia="Times New Roman"/>
        </w:rPr>
      </w:pPr>
      <w:r>
        <w:rPr>
          <w:rFonts w:eastAsia="Times New Roman"/>
          <w:color w:val="000000"/>
          <w:sz w:val="20"/>
          <w:szCs w:val="20"/>
        </w:rPr>
        <w:t>        Indicate by check mark whether the registrant (1) </w:t>
      </w:r>
      <w:r>
        <w:rPr>
          <w:rFonts w:eastAsia="Times New Roman"/>
          <w:color w:val="000000"/>
          <w:sz w:val="20"/>
          <w:szCs w:val="20"/>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20"/>
          <w:szCs w:val="20"/>
        </w:rPr>
        <w:t>ing requirements for the past 90 days.    Yes </w:t>
      </w:r>
      <w:r>
        <w:rPr>
          <w:rFonts w:eastAsia="Times New Roman"/>
          <w:color w:val="000000"/>
          <w:sz w:val="20"/>
          <w:szCs w:val="20"/>
        </w:rPr>
        <w:t> </w:t>
      </w:r>
      <w:r>
        <w:rPr>
          <w:rFonts w:ascii="Segoe UI Emoji" w:eastAsia="Times New Roman" w:hAnsi="Segoe UI Emoji" w:cs="Segoe UI Emoji"/>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0A7020">
      <w:pPr>
        <w:divId w:val="1816526879"/>
        <w:rPr>
          <w:rFonts w:eastAsia="Times New Roman"/>
        </w:rPr>
      </w:pPr>
      <w:r>
        <w:rPr>
          <w:rFonts w:eastAsia="Times New Roman"/>
          <w:color w:val="000000"/>
          <w:sz w:val="20"/>
          <w:szCs w:val="20"/>
        </w:rPr>
        <w:t>        Indicate by check mark whether the registrant has submitted electronically every Interactive Data File required to be submitted pursuant to Rule 405 of Regulation S-T (§232.405 of this chapte</w:t>
      </w:r>
      <w:r>
        <w:rPr>
          <w:rFonts w:eastAsia="Times New Roman"/>
          <w:color w:val="000000"/>
          <w:sz w:val="20"/>
          <w:szCs w:val="20"/>
        </w:rPr>
        <w:t>r) during the preceding 12 months (or for such shorter period that the registrant was required to submit such files).    Yes </w:t>
      </w:r>
      <w:r>
        <w:rPr>
          <w:rFonts w:eastAsia="Times New Roman"/>
          <w:color w:val="000000"/>
          <w:sz w:val="20"/>
          <w:szCs w:val="20"/>
        </w:rPr>
        <w:t> </w:t>
      </w:r>
      <w:r>
        <w:rPr>
          <w:rFonts w:ascii="Segoe UI Emoji" w:eastAsia="Times New Roman" w:hAnsi="Segoe UI Emoji" w:cs="Segoe UI Emoji"/>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0A7020">
      <w:pPr>
        <w:divId w:val="498273824"/>
        <w:rPr>
          <w:rFonts w:eastAsia="Times New Roman"/>
        </w:rPr>
      </w:pPr>
      <w:r>
        <w:rPr>
          <w:rFonts w:eastAsia="Times New Roman"/>
          <w:color w:val="000000"/>
          <w:sz w:val="20"/>
          <w:szCs w:val="20"/>
        </w:rPr>
        <w:t>        Indicate by check mark whether the registrant is a large accelerated filer, an accelerated filer, a non-acceler</w:t>
      </w:r>
      <w:r>
        <w:rPr>
          <w:rFonts w:eastAsia="Times New Roman"/>
          <w:color w:val="000000"/>
          <w:sz w:val="20"/>
          <w:szCs w:val="20"/>
        </w:rPr>
        <w:t>ated filer, a smaller reporting company, or an emerging growth company. See the definitions of “large accelerated filer,” “accelerated filer,” “smaller reporting company,” and “emerging growth company” in Rule 12b-2 of the Exchange Act</w:t>
      </w:r>
      <w:r>
        <w:rPr>
          <w:rFonts w:eastAsia="Times New Roman"/>
          <w:color w:val="000000"/>
          <w:sz w:val="20"/>
          <w:szCs w:val="20"/>
        </w:rPr>
        <w:t>.</w:t>
      </w:r>
    </w:p>
    <w:tbl>
      <w:tblPr>
        <w:tblW w:w="3890" w:type="pct"/>
        <w:jc w:val="center"/>
        <w:tblCellMar>
          <w:top w:w="15" w:type="dxa"/>
          <w:left w:w="15" w:type="dxa"/>
          <w:bottom w:w="15" w:type="dxa"/>
          <w:right w:w="15" w:type="dxa"/>
        </w:tblCellMar>
        <w:tblLook w:val="04A0" w:firstRow="1" w:lastRow="0" w:firstColumn="1" w:lastColumn="0" w:noHBand="0" w:noVBand="1"/>
      </w:tblPr>
      <w:tblGrid>
        <w:gridCol w:w="64"/>
        <w:gridCol w:w="1232"/>
        <w:gridCol w:w="64"/>
        <w:gridCol w:w="64"/>
        <w:gridCol w:w="109"/>
        <w:gridCol w:w="64"/>
        <w:gridCol w:w="64"/>
        <w:gridCol w:w="2607"/>
        <w:gridCol w:w="64"/>
        <w:gridCol w:w="64"/>
        <w:gridCol w:w="78"/>
        <w:gridCol w:w="64"/>
        <w:gridCol w:w="64"/>
        <w:gridCol w:w="1576"/>
        <w:gridCol w:w="65"/>
        <w:gridCol w:w="69"/>
        <w:gridCol w:w="82"/>
        <w:gridCol w:w="68"/>
      </w:tblGrid>
      <w:tr w:rsidR="00000000">
        <w:trPr>
          <w:divId w:val="1495754694"/>
          <w:jc w:val="center"/>
        </w:trPr>
        <w:tc>
          <w:tcPr>
            <w:tcW w:w="50" w:type="pct"/>
            <w:vAlign w:val="center"/>
            <w:hideMark/>
          </w:tcPr>
          <w:p w:rsidR="00000000" w:rsidRDefault="000A7020">
            <w:pPr>
              <w:rPr>
                <w:rFonts w:eastAsia="Times New Roman"/>
              </w:rPr>
            </w:pPr>
          </w:p>
        </w:tc>
        <w:tc>
          <w:tcPr>
            <w:tcW w:w="95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8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01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22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495754694"/>
          <w:jc w:val="center"/>
        </w:trPr>
        <w:tc>
          <w:tcPr>
            <w:tcW w:w="0" w:type="auto"/>
            <w:gridSpan w:val="3"/>
            <w:tcMar>
              <w:top w:w="30" w:type="dxa"/>
              <w:left w:w="20" w:type="dxa"/>
              <w:bottom w:w="30" w:type="dxa"/>
              <w:right w:w="20" w:type="dxa"/>
            </w:tcMar>
            <w:vAlign w:val="center"/>
            <w:hideMark/>
          </w:tcPr>
          <w:p w:rsidR="00000000" w:rsidRDefault="000A7020">
            <w:pPr>
              <w:jc w:val="right"/>
              <w:divId w:val="1686521645"/>
              <w:rPr>
                <w:rFonts w:eastAsia="Times New Roman"/>
              </w:rPr>
            </w:pPr>
            <w:r>
              <w:rPr>
                <w:rFonts w:eastAsia="Times New Roman"/>
                <w:color w:val="000000"/>
                <w:sz w:val="20"/>
                <w:szCs w:val="20"/>
              </w:rPr>
              <w:t>Large accelerated file</w:t>
            </w:r>
            <w:r>
              <w:rPr>
                <w:rFonts w:eastAsia="Times New Roman"/>
                <w:color w:val="000000"/>
                <w:sz w:val="20"/>
                <w:szCs w:val="20"/>
              </w:rPr>
              <w:t>r</w:t>
            </w:r>
          </w:p>
        </w:tc>
        <w:tc>
          <w:tcPr>
            <w:tcW w:w="0" w:type="auto"/>
            <w:gridSpan w:val="3"/>
            <w:tcMar>
              <w:top w:w="30" w:type="dxa"/>
              <w:left w:w="20" w:type="dxa"/>
              <w:bottom w:w="30" w:type="dxa"/>
              <w:right w:w="20" w:type="dxa"/>
            </w:tcMar>
            <w:vAlign w:val="center"/>
            <w:hideMark/>
          </w:tcPr>
          <w:p w:rsidR="00000000" w:rsidRDefault="000A7020">
            <w:pPr>
              <w:divId w:val="551117047"/>
              <w:rPr>
                <w:rFonts w:eastAsia="Times New Roman"/>
              </w:rPr>
            </w:pPr>
            <w:r>
              <w:rPr>
                <w:rFonts w:ascii="Wingdings" w:eastAsia="Times New Roman" w:hAnsi="Wingdings"/>
                <w:color w:val="000000"/>
                <w:sz w:val="20"/>
                <w:szCs w:val="20"/>
              </w:rPr>
              <w:t>þ</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0A7020">
            <w:pPr>
              <w:jc w:val="right"/>
              <w:divId w:val="175311959"/>
              <w:rPr>
                <w:rFonts w:eastAsia="Times New Roman"/>
              </w:rPr>
            </w:pPr>
            <w:r>
              <w:rPr>
                <w:rFonts w:eastAsia="Times New Roman"/>
                <w:color w:val="000000"/>
                <w:sz w:val="20"/>
                <w:szCs w:val="20"/>
              </w:rPr>
              <w:t>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0A7020">
            <w:pPr>
              <w:divId w:val="1635255628"/>
              <w:rPr>
                <w:rFonts w:eastAsia="Times New Roman"/>
              </w:rPr>
            </w:pPr>
            <w:r>
              <w:rPr>
                <w:rFonts w:ascii="Wingdings" w:eastAsia="Times New Roman" w:hAnsi="Wingdings"/>
                <w:color w:val="000000"/>
                <w:sz w:val="20"/>
                <w:szCs w:val="20"/>
              </w:rPr>
              <w:t>o</w:t>
            </w:r>
          </w:p>
        </w:tc>
      </w:tr>
      <w:tr w:rsidR="00000000">
        <w:trPr>
          <w:divId w:val="1495754694"/>
          <w:jc w:val="center"/>
        </w:trPr>
        <w:tc>
          <w:tcPr>
            <w:tcW w:w="0" w:type="auto"/>
            <w:gridSpan w:val="3"/>
            <w:tcMar>
              <w:top w:w="30" w:type="dxa"/>
              <w:left w:w="20" w:type="dxa"/>
              <w:bottom w:w="30" w:type="dxa"/>
              <w:right w:w="20" w:type="dxa"/>
            </w:tcMar>
            <w:hideMark/>
          </w:tcPr>
          <w:p w:rsidR="00000000" w:rsidRDefault="000A7020">
            <w:pPr>
              <w:jc w:val="right"/>
              <w:divId w:val="998996978"/>
              <w:rPr>
                <w:rFonts w:eastAsia="Times New Roman"/>
              </w:rPr>
            </w:pPr>
            <w:r>
              <w:rPr>
                <w:rFonts w:eastAsia="Times New Roman"/>
                <w:color w:val="000000"/>
                <w:sz w:val="20"/>
                <w:szCs w:val="20"/>
              </w:rPr>
              <w:lastRenderedPageBreak/>
              <w:t>Non-accelerated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0A7020">
            <w:pPr>
              <w:divId w:val="662897747"/>
              <w:rPr>
                <w:rFonts w:eastAsia="Times New Roman"/>
              </w:rPr>
            </w:pPr>
            <w:r>
              <w:rPr>
                <w:rFonts w:ascii="Wingdings" w:eastAsia="Times New Roman" w:hAnsi="Wingdings"/>
                <w:color w:val="000000"/>
                <w:sz w:val="20"/>
                <w:szCs w:val="20"/>
              </w:rPr>
              <w:t>o</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hideMark/>
          </w:tcPr>
          <w:p w:rsidR="00000000" w:rsidRDefault="000A7020">
            <w:pPr>
              <w:jc w:val="right"/>
              <w:divId w:val="1853061193"/>
              <w:rPr>
                <w:rFonts w:eastAsia="Times New Roman"/>
              </w:rPr>
            </w:pPr>
            <w:r>
              <w:rPr>
                <w:rFonts w:eastAsia="Times New Roman"/>
                <w:color w:val="000000"/>
                <w:sz w:val="20"/>
                <w:szCs w:val="20"/>
              </w:rPr>
              <w:t>Smaller reporting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rsidR="00000000" w:rsidRDefault="000A7020">
            <w:pPr>
              <w:divId w:val="1128666474"/>
              <w:rPr>
                <w:rFonts w:eastAsia="Times New Roman"/>
              </w:rPr>
            </w:pPr>
            <w:r>
              <w:rPr>
                <w:rFonts w:ascii="Segoe UI Symbol" w:eastAsia="Times New Roman" w:hAnsi="Segoe UI Symbol" w:cs="Segoe UI Symbol"/>
                <w:color w:val="000000"/>
                <w:sz w:val="20"/>
                <w:szCs w:val="20"/>
              </w:rPr>
              <w:t>☐</w:t>
            </w:r>
          </w:p>
        </w:tc>
      </w:tr>
      <w:tr w:rsidR="00000000">
        <w:trPr>
          <w:divId w:val="1495754694"/>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hideMark/>
          </w:tcPr>
          <w:p w:rsidR="00000000" w:rsidRDefault="000A7020">
            <w:pPr>
              <w:jc w:val="right"/>
              <w:divId w:val="338000743"/>
              <w:rPr>
                <w:rFonts w:eastAsia="Times New Roman"/>
              </w:rPr>
            </w:pPr>
            <w:r>
              <w:rPr>
                <w:rFonts w:eastAsia="Times New Roman"/>
                <w:color w:val="000000"/>
                <w:sz w:val="20"/>
                <w:szCs w:val="20"/>
              </w:rPr>
              <w:t>Emerging Growth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rsidR="00000000" w:rsidRDefault="000A7020">
            <w:pPr>
              <w:divId w:val="1273397154"/>
              <w:rPr>
                <w:rFonts w:eastAsia="Times New Roman"/>
              </w:rPr>
            </w:pPr>
            <w:r>
              <w:rPr>
                <w:rFonts w:ascii="Segoe UI Symbol" w:eastAsia="Times New Roman" w:hAnsi="Segoe UI Symbol" w:cs="Segoe UI Symbol"/>
                <w:color w:val="000000"/>
                <w:sz w:val="20"/>
                <w:szCs w:val="20"/>
              </w:rPr>
              <w:t>☐</w:t>
            </w:r>
          </w:p>
        </w:tc>
      </w:tr>
    </w:tbl>
    <w:p w:rsidR="00000000" w:rsidRDefault="000A7020">
      <w:pPr>
        <w:divId w:val="920991584"/>
        <w:rPr>
          <w:rFonts w:eastAsia="Times New Roman"/>
        </w:rPr>
      </w:pPr>
      <w:r>
        <w:rPr>
          <w:rFonts w:eastAsia="Times New Roman"/>
          <w:color w:val="000000"/>
          <w:sz w:val="20"/>
          <w:szCs w:val="20"/>
        </w:rPr>
        <w:t>        </w:t>
      </w:r>
      <w:r>
        <w:rPr>
          <w:rFonts w:eastAsia="Times New Roman"/>
          <w:color w:val="000000"/>
          <w:sz w:val="20"/>
          <w:szCs w:val="20"/>
        </w:rPr>
        <w:t xml:space="preserve">If an emerging growth company, indicate by check mark if the registrant has elected not to use the extended transaction period for complying with any new or revised financial accounting standards provided pursuant to Section 13(a) of the Exchange act. </w:t>
      </w:r>
      <w:r>
        <w:rPr>
          <w:rFonts w:eastAsia="Times New Roman"/>
          <w:color w:val="000000"/>
          <w:sz w:val="20"/>
          <w:szCs w:val="20"/>
        </w:rPr>
        <w:t> </w:t>
      </w:r>
      <w:r>
        <w:rPr>
          <w:rFonts w:ascii="Wingdings" w:eastAsia="Times New Roman" w:hAnsi="Wingdings"/>
          <w:color w:val="000000"/>
          <w:sz w:val="20"/>
          <w:szCs w:val="20"/>
        </w:rPr>
        <w:t>o</w:t>
      </w:r>
      <w:r>
        <w:rPr>
          <w:rFonts w:eastAsia="Times New Roman"/>
          <w:color w:val="000000"/>
          <w:sz w:val="20"/>
          <w:szCs w:val="20"/>
        </w:rPr>
        <w:t> </w:t>
      </w:r>
    </w:p>
    <w:p w:rsidR="00000000" w:rsidRDefault="000A7020">
      <w:pPr>
        <w:divId w:val="1887326702"/>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Emoji" w:eastAsia="Times New Roman" w:hAnsi="Segoe UI Emoji" w:cs="Segoe UI Emoji"/>
          <w:color w:val="000000"/>
          <w:sz w:val="20"/>
          <w:szCs w:val="20"/>
        </w:rPr>
        <w:t>☑</w:t>
      </w:r>
      <w:r>
        <w:rPr>
          <w:rFonts w:ascii="Arial Unicode MS" w:eastAsia="Times New Roman" w:hAnsi="Arial Unicode MS"/>
          <w:color w:val="000000"/>
          <w:sz w:val="20"/>
          <w:szCs w:val="20"/>
        </w:rPr>
        <w:t xml:space="preserve"> </w:t>
      </w:r>
    </w:p>
    <w:p w:rsidR="00000000" w:rsidRDefault="000A7020">
      <w:pPr>
        <w:divId w:val="1244683329"/>
        <w:rPr>
          <w:rFonts w:eastAsia="Times New Roman"/>
        </w:rPr>
      </w:pPr>
    </w:p>
    <w:p w:rsidR="00000000" w:rsidRDefault="000A7020">
      <w:pPr>
        <w:jc w:val="center"/>
        <w:divId w:val="1342584390"/>
        <w:rPr>
          <w:rFonts w:eastAsia="Times New Roman"/>
        </w:rPr>
      </w:pPr>
    </w:p>
    <w:p w:rsidR="00000000" w:rsidRDefault="000A7020">
      <w:pPr>
        <w:jc w:val="center"/>
        <w:divId w:val="593444326"/>
        <w:rPr>
          <w:rFonts w:eastAsia="Times New Roman"/>
        </w:rPr>
      </w:pPr>
    </w:p>
    <w:p w:rsidR="00000000" w:rsidRDefault="000A7020">
      <w:pPr>
        <w:jc w:val="center"/>
        <w:divId w:val="711883650"/>
        <w:rPr>
          <w:rFonts w:eastAsia="Times New Roman"/>
        </w:rPr>
      </w:pPr>
      <w:r>
        <w:rPr>
          <w:rFonts w:eastAsia="Times New Roman"/>
          <w:color w:val="000000"/>
          <w:sz w:val="20"/>
          <w:szCs w:val="20"/>
        </w:rPr>
        <w:t>Securities registered pursuant to Section 12(b) of the Act</w:t>
      </w:r>
      <w:r>
        <w:rPr>
          <w:rFonts w:eastAsia="Times New Roman"/>
          <w:color w:val="000000"/>
          <w:sz w:val="20"/>
          <w:szCs w:val="20"/>
        </w:rPr>
        <w:t>:</w:t>
      </w:r>
    </w:p>
    <w:tbl>
      <w:tblPr>
        <w:tblW w:w="4536" w:type="pct"/>
        <w:jc w:val="center"/>
        <w:tblCellMar>
          <w:top w:w="15" w:type="dxa"/>
          <w:left w:w="15" w:type="dxa"/>
          <w:bottom w:w="15" w:type="dxa"/>
          <w:right w:w="15" w:type="dxa"/>
        </w:tblCellMar>
        <w:tblLook w:val="04A0" w:firstRow="1" w:lastRow="0" w:firstColumn="1" w:lastColumn="0" w:noHBand="0" w:noVBand="1"/>
      </w:tblPr>
      <w:tblGrid>
        <w:gridCol w:w="76"/>
        <w:gridCol w:w="2390"/>
        <w:gridCol w:w="76"/>
        <w:gridCol w:w="75"/>
        <w:gridCol w:w="2128"/>
        <w:gridCol w:w="75"/>
        <w:gridCol w:w="75"/>
        <w:gridCol w:w="2565"/>
        <w:gridCol w:w="75"/>
      </w:tblGrid>
      <w:tr w:rsidR="00000000">
        <w:trPr>
          <w:divId w:val="1412123003"/>
          <w:jc w:val="center"/>
        </w:trPr>
        <w:tc>
          <w:tcPr>
            <w:tcW w:w="50" w:type="pct"/>
            <w:vAlign w:val="center"/>
            <w:hideMark/>
          </w:tcPr>
          <w:p w:rsidR="00000000" w:rsidRDefault="000A7020">
            <w:pPr>
              <w:jc w:val="center"/>
              <w:rPr>
                <w:rFonts w:eastAsia="Times New Roman"/>
              </w:rPr>
            </w:pPr>
          </w:p>
        </w:tc>
        <w:tc>
          <w:tcPr>
            <w:tcW w:w="158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41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70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412123003"/>
          <w:jc w:val="center"/>
        </w:trPr>
        <w:tc>
          <w:tcPr>
            <w:tcW w:w="0" w:type="auto"/>
            <w:gridSpan w:val="3"/>
            <w:tcMar>
              <w:top w:w="30" w:type="dxa"/>
              <w:left w:w="20" w:type="dxa"/>
              <w:bottom w:w="30" w:type="dxa"/>
              <w:right w:w="20" w:type="dxa"/>
            </w:tcMar>
            <w:vAlign w:val="center"/>
            <w:hideMark/>
          </w:tcPr>
          <w:p w:rsidR="00000000" w:rsidRDefault="000A7020">
            <w:pPr>
              <w:jc w:val="center"/>
              <w:divId w:val="1491870761"/>
              <w:rPr>
                <w:rFonts w:eastAsia="Times New Roman"/>
              </w:rPr>
            </w:pPr>
            <w:r>
              <w:rPr>
                <w:rFonts w:eastAsia="Times New Roman"/>
                <w:b/>
                <w:bCs/>
                <w:color w:val="000000"/>
                <w:sz w:val="20"/>
                <w:szCs w:val="20"/>
              </w:rPr>
              <w:t>Title of each class</w:t>
            </w:r>
            <w:r>
              <w:rPr>
                <w:rFonts w:eastAsia="Times New Roman"/>
                <w:b/>
                <w:bCs/>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Trading Symbol(s</w:t>
            </w:r>
            <w:r>
              <w:rPr>
                <w:rFonts w:eastAsia="Times New Roman"/>
                <w:b/>
                <w:bCs/>
                <w:color w:val="000000"/>
                <w:sz w:val="20"/>
                <w:szCs w:val="20"/>
              </w:rPr>
              <w:t>)</w:t>
            </w:r>
          </w:p>
        </w:tc>
        <w:tc>
          <w:tcPr>
            <w:tcW w:w="0" w:type="auto"/>
            <w:gridSpan w:val="3"/>
            <w:tcMar>
              <w:top w:w="30" w:type="dxa"/>
              <w:left w:w="20" w:type="dxa"/>
              <w:bottom w:w="30" w:type="dxa"/>
              <w:right w:w="20" w:type="dxa"/>
            </w:tcMar>
            <w:vAlign w:val="center"/>
            <w:hideMark/>
          </w:tcPr>
          <w:p w:rsidR="00000000" w:rsidRDefault="000A7020">
            <w:pPr>
              <w:jc w:val="center"/>
              <w:divId w:val="1582910294"/>
              <w:rPr>
                <w:rFonts w:eastAsia="Times New Roman"/>
              </w:rPr>
            </w:pPr>
            <w:r>
              <w:rPr>
                <w:rFonts w:eastAsia="Times New Roman"/>
                <w:b/>
                <w:bCs/>
                <w:color w:val="000000"/>
                <w:sz w:val="20"/>
                <w:szCs w:val="20"/>
              </w:rPr>
              <w:t>Name of each exchange on which registere</w:t>
            </w:r>
            <w:r>
              <w:rPr>
                <w:rFonts w:eastAsia="Times New Roman"/>
                <w:b/>
                <w:bCs/>
                <w:color w:val="000000"/>
                <w:sz w:val="20"/>
                <w:szCs w:val="20"/>
              </w:rPr>
              <w:t>d</w:t>
            </w:r>
          </w:p>
        </w:tc>
      </w:tr>
      <w:tr w:rsidR="00000000">
        <w:trPr>
          <w:divId w:val="1412123003"/>
          <w:jc w:val="center"/>
        </w:trPr>
        <w:tc>
          <w:tcPr>
            <w:tcW w:w="0" w:type="auto"/>
            <w:gridSpan w:val="3"/>
            <w:tcMar>
              <w:top w:w="30" w:type="dxa"/>
              <w:left w:w="20" w:type="dxa"/>
              <w:bottom w:w="30" w:type="dxa"/>
              <w:right w:w="20" w:type="dxa"/>
            </w:tcMar>
            <w:hideMark/>
          </w:tcPr>
          <w:p w:rsidR="00000000" w:rsidRDefault="000A7020">
            <w:pPr>
              <w:jc w:val="center"/>
              <w:divId w:val="1076513923"/>
              <w:rPr>
                <w:rFonts w:eastAsia="Times New Roman"/>
              </w:rPr>
            </w:pPr>
            <w:r>
              <w:rPr>
                <w:rFonts w:eastAsia="Times New Roman"/>
                <w:color w:val="000000"/>
                <w:sz w:val="20"/>
                <w:szCs w:val="20"/>
              </w:rPr>
              <w:t>Common Stock, par value $0.01 per shar</w:t>
            </w:r>
            <w:r>
              <w:rPr>
                <w:rFonts w:eastAsia="Times New Roman"/>
                <w:color w:val="000000"/>
                <w:sz w:val="20"/>
                <w:szCs w:val="20"/>
              </w:rPr>
              <w:t>e</w:t>
            </w:r>
          </w:p>
        </w:tc>
        <w:tc>
          <w:tcPr>
            <w:tcW w:w="0" w:type="auto"/>
            <w:gridSpan w:val="3"/>
            <w:tcMar>
              <w:top w:w="30" w:type="dxa"/>
              <w:left w:w="20" w:type="dxa"/>
              <w:bottom w:w="30" w:type="dxa"/>
              <w:right w:w="20" w:type="dxa"/>
            </w:tcMar>
            <w:hideMark/>
          </w:tcPr>
          <w:p w:rsidR="00000000" w:rsidRDefault="000A7020">
            <w:pPr>
              <w:jc w:val="center"/>
              <w:divId w:val="1591694897"/>
              <w:rPr>
                <w:rFonts w:eastAsia="Times New Roman"/>
              </w:rPr>
            </w:pPr>
            <w:r>
              <w:rPr>
                <w:rFonts w:eastAsia="Times New Roman"/>
                <w:color w:val="000000"/>
                <w:sz w:val="20"/>
                <w:szCs w:val="20"/>
              </w:rPr>
              <w:t>NC</w:t>
            </w:r>
            <w:r>
              <w:rPr>
                <w:rFonts w:eastAsia="Times New Roman"/>
                <w:color w:val="000000"/>
                <w:sz w:val="20"/>
                <w:szCs w:val="20"/>
              </w:rPr>
              <w:t>R</w:t>
            </w:r>
          </w:p>
        </w:tc>
        <w:tc>
          <w:tcPr>
            <w:tcW w:w="0" w:type="auto"/>
            <w:gridSpan w:val="3"/>
            <w:tcMar>
              <w:top w:w="30" w:type="dxa"/>
              <w:left w:w="20" w:type="dxa"/>
              <w:bottom w:w="30" w:type="dxa"/>
              <w:right w:w="20" w:type="dxa"/>
            </w:tcMar>
            <w:hideMark/>
          </w:tcPr>
          <w:p w:rsidR="00000000" w:rsidRDefault="000A7020">
            <w:pPr>
              <w:jc w:val="center"/>
              <w:divId w:val="1064062414"/>
              <w:rPr>
                <w:rFonts w:eastAsia="Times New Roman"/>
              </w:rPr>
            </w:pPr>
            <w:r>
              <w:rPr>
                <w:rFonts w:eastAsia="Times New Roman"/>
                <w:color w:val="000000"/>
                <w:sz w:val="20"/>
                <w:szCs w:val="20"/>
              </w:rPr>
              <w:t>New York Stock Exchang</w:t>
            </w:r>
            <w:r>
              <w:rPr>
                <w:rFonts w:eastAsia="Times New Roman"/>
                <w:color w:val="000000"/>
                <w:sz w:val="20"/>
                <w:szCs w:val="20"/>
              </w:rPr>
              <w:t>e</w:t>
            </w:r>
          </w:p>
        </w:tc>
      </w:tr>
    </w:tbl>
    <w:p w:rsidR="00000000" w:rsidRDefault="000A7020">
      <w:pPr>
        <w:divId w:val="521435450"/>
        <w:rPr>
          <w:rFonts w:eastAsia="Times New Roman"/>
        </w:rPr>
      </w:pPr>
      <w:r>
        <w:rPr>
          <w:rFonts w:eastAsia="Times New Roman"/>
          <w:color w:val="000000"/>
          <w:sz w:val="20"/>
          <w:szCs w:val="20"/>
        </w:rPr>
        <w:t xml:space="preserve">        As of July 17, 2020, there were approximately 128.4 </w:t>
      </w:r>
      <w:r>
        <w:rPr>
          <w:rFonts w:eastAsia="Times New Roman"/>
          <w:color w:val="000000"/>
          <w:sz w:val="20"/>
          <w:szCs w:val="20"/>
        </w:rPr>
        <w:t>million shares of the registrant's common stock issued and outstanding</w:t>
      </w:r>
      <w:r>
        <w:rPr>
          <w:rFonts w:eastAsia="Times New Roman"/>
          <w:color w:val="000000"/>
          <w:sz w:val="20"/>
          <w:szCs w:val="20"/>
        </w:rPr>
        <w:t>.</w:t>
      </w:r>
    </w:p>
    <w:tbl>
      <w:tblPr>
        <w:tblW w:w="4279" w:type="pct"/>
        <w:jc w:val="center"/>
        <w:tblCellMar>
          <w:top w:w="15" w:type="dxa"/>
          <w:left w:w="15" w:type="dxa"/>
          <w:bottom w:w="15" w:type="dxa"/>
          <w:right w:w="15" w:type="dxa"/>
        </w:tblCellMar>
        <w:tblLook w:val="04A0" w:firstRow="1" w:lastRow="0" w:firstColumn="1" w:lastColumn="0" w:noHBand="0" w:noVBand="1"/>
      </w:tblPr>
      <w:tblGrid>
        <w:gridCol w:w="71"/>
        <w:gridCol w:w="6966"/>
        <w:gridCol w:w="71"/>
      </w:tblGrid>
      <w:tr w:rsidR="00000000">
        <w:trPr>
          <w:divId w:val="1763450014"/>
          <w:jc w:val="center"/>
        </w:trPr>
        <w:tc>
          <w:tcPr>
            <w:tcW w:w="50" w:type="pct"/>
            <w:vAlign w:val="center"/>
            <w:hideMark/>
          </w:tcPr>
          <w:p w:rsidR="00000000" w:rsidRDefault="000A7020">
            <w:pPr>
              <w:rPr>
                <w:rFonts w:eastAsia="Times New Roman"/>
              </w:rPr>
            </w:pPr>
          </w:p>
        </w:tc>
        <w:tc>
          <w:tcPr>
            <w:tcW w:w="490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763450014"/>
          <w:trHeight w:val="60"/>
          <w:jc w:val="center"/>
        </w:trPr>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r>
    </w:tbl>
    <w:p w:rsidR="00000000" w:rsidRDefault="000A7020">
      <w:pPr>
        <w:divId w:val="1917473655"/>
        <w:rPr>
          <w:rFonts w:eastAsia="Times New Roman"/>
        </w:rPr>
      </w:pPr>
    </w:p>
    <w:p w:rsidR="00000000" w:rsidRDefault="000A7020">
      <w:pPr>
        <w:rPr>
          <w:rFonts w:eastAsia="Times New Roman"/>
        </w:rPr>
      </w:pPr>
      <w:r>
        <w:rPr>
          <w:rFonts w:eastAsia="Times New Roman"/>
        </w:rPr>
        <w:pict>
          <v:rect id="_x0000_i1026" style="width:0;height:1.5pt" o:hralign="center" o:hrstd="t" o:hr="t" fillcolor="#a0a0a0" stroked="f"/>
        </w:pict>
      </w:r>
    </w:p>
    <w:p w:rsidR="00000000" w:rsidRDefault="000A7020">
      <w:pPr>
        <w:divId w:val="1257907612"/>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rPr>
          <w:rFonts w:eastAsia="Times New Roman"/>
        </w:rPr>
      </w:pPr>
    </w:p>
    <w:p w:rsidR="00000000" w:rsidRDefault="000A7020">
      <w:pPr>
        <w:jc w:val="center"/>
        <w:rPr>
          <w:rFonts w:eastAsia="Times New Roman"/>
        </w:rPr>
      </w:pPr>
      <w:r>
        <w:rPr>
          <w:rFonts w:eastAsia="Times New Roman"/>
          <w:b/>
          <w:bCs/>
          <w:color w:val="000000"/>
          <w:sz w:val="20"/>
          <w:szCs w:val="20"/>
        </w:rPr>
        <w:t>TABLE OF CONTENTS</w:t>
      </w:r>
      <w:r>
        <w:rPr>
          <w:rFonts w:eastAsia="Times New Roman"/>
          <w:b/>
          <w:bCs/>
          <w:color w:val="000000"/>
          <w:sz w:val="20"/>
          <w:szCs w:val="20"/>
        </w:rPr>
        <w:t> </w:t>
      </w:r>
    </w:p>
    <w:p w:rsidR="00000000" w:rsidRDefault="000A7020">
      <w:pPr>
        <w:divId w:val="1260722838"/>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92"/>
        <w:gridCol w:w="568"/>
        <w:gridCol w:w="91"/>
        <w:gridCol w:w="68"/>
        <w:gridCol w:w="6860"/>
        <w:gridCol w:w="68"/>
        <w:gridCol w:w="68"/>
        <w:gridCol w:w="302"/>
        <w:gridCol w:w="68"/>
        <w:gridCol w:w="36"/>
        <w:gridCol w:w="36"/>
        <w:gridCol w:w="36"/>
      </w:tblGrid>
      <w:tr w:rsidR="00000000">
        <w:trPr>
          <w:gridAfter w:val="3"/>
          <w:divId w:val="1189442258"/>
        </w:trPr>
        <w:tc>
          <w:tcPr>
            <w:tcW w:w="50" w:type="pct"/>
            <w:vAlign w:val="center"/>
            <w:hideMark/>
          </w:tcPr>
          <w:p w:rsidR="00000000" w:rsidRDefault="000A7020">
            <w:pPr>
              <w:rPr>
                <w:rFonts w:eastAsia="Times New Roman"/>
              </w:rPr>
            </w:pPr>
          </w:p>
        </w:tc>
        <w:tc>
          <w:tcPr>
            <w:tcW w:w="30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19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9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189442258"/>
        </w:trPr>
        <w:tc>
          <w:tcPr>
            <w:tcW w:w="0" w:type="auto"/>
            <w:gridSpan w:val="6"/>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PART I. Financial Informatio</w:t>
            </w:r>
            <w:r>
              <w:rPr>
                <w:rFonts w:eastAsia="Times New Roman"/>
                <w:b/>
                <w:bCs/>
                <w:color w:val="000000"/>
                <w:sz w:val="20"/>
                <w:szCs w:val="20"/>
              </w:rPr>
              <w:t>n</w:t>
            </w:r>
          </w:p>
        </w:tc>
        <w:tc>
          <w:tcPr>
            <w:tcW w:w="0" w:type="auto"/>
            <w:gridSpan w:val="3"/>
            <w:vAlign w:val="center"/>
            <w:hideMark/>
          </w:tcPr>
          <w:p w:rsidR="00000000" w:rsidRDefault="000A7020">
            <w:pP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1189442258"/>
          <w:trHeight w:val="30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u w:val="single"/>
              </w:rPr>
              <w:t>Descriptio</w:t>
            </w:r>
            <w:r>
              <w:rPr>
                <w:rFonts w:eastAsia="Times New Roman"/>
                <w:b/>
                <w:bCs/>
                <w:color w:val="000000"/>
                <w:sz w:val="16"/>
                <w:szCs w:val="16"/>
                <w:u w:val="single"/>
              </w:rPr>
              <w:t>n</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Pag</w:t>
            </w:r>
            <w:r>
              <w:rPr>
                <w:rFonts w:eastAsia="Times New Roman"/>
                <w:b/>
                <w:bCs/>
                <w:color w:val="000000"/>
                <w:sz w:val="16"/>
                <w:szCs w:val="16"/>
              </w:rPr>
              <w:t>e</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Item 1</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0A7020">
            <w:pPr>
              <w:divId w:val="2068408336"/>
              <w:rPr>
                <w:rFonts w:eastAsia="Times New Roman"/>
              </w:rPr>
            </w:pPr>
            <w:hyperlink w:anchor="ic0df5956a4b14938a5c94b8fe25f3429_13"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13" w:history="1">
              <w:r>
                <w:rPr>
                  <w:rStyle w:val="a3"/>
                  <w:rFonts w:eastAsia="Times New Roman"/>
                  <w:sz w:val="20"/>
                  <w:szCs w:val="20"/>
                </w:rPr>
                <w:t>3</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divId w:val="1296060589"/>
              <w:rPr>
                <w:rFonts w:eastAsia="Times New Roman"/>
              </w:rPr>
            </w:pPr>
            <w:hyperlink w:anchor="ic0df5956a4b14938a5c94b8fe25f3429_16" w:history="1">
              <w:r>
                <w:rPr>
                  <w:rStyle w:val="a3"/>
                  <w:rFonts w:eastAsia="Times New Roman"/>
                  <w:sz w:val="20"/>
                  <w:szCs w:val="20"/>
                </w:rPr>
                <w:t>Condensed Consolidated Statements of Operations (Unaudited)</w:t>
              </w:r>
            </w:hyperlink>
            <w:hyperlink w:anchor="ic0df5956a4b14938a5c94b8fe25f3429_16" w:history="1">
              <w:r>
                <w:rPr>
                  <w:rStyle w:val="a3"/>
                  <w:rFonts w:eastAsia="Times New Roman"/>
                  <w:sz w:val="20"/>
                  <w:szCs w:val="20"/>
                </w:rPr>
                <w:t xml:space="preserve"> </w:t>
              </w:r>
            </w:hyperlink>
            <w:hyperlink w:anchor="ic0df5956a4b14938a5c94b8fe25f3429_16" w:history="1">
              <w:r>
                <w:rPr>
                  <w:rStyle w:val="a3"/>
                  <w:rFonts w:eastAsia="Times New Roman"/>
                  <w:sz w:val="20"/>
                  <w:szCs w:val="20"/>
                </w:rPr>
                <w:t>Three and Six Month</w:t>
              </w:r>
              <w:r>
                <w:rPr>
                  <w:rStyle w:val="a3"/>
                  <w:rFonts w:eastAsia="Times New Roman"/>
                  <w:sz w:val="20"/>
                  <w:szCs w:val="20"/>
                </w:rPr>
                <w:t>s Ended June 30, 2020 and 2019</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16" w:history="1">
              <w:r>
                <w:rPr>
                  <w:rStyle w:val="a3"/>
                  <w:rFonts w:eastAsia="Times New Roman"/>
                  <w:sz w:val="20"/>
                  <w:szCs w:val="20"/>
                </w:rPr>
                <w:t>3</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divId w:val="168372985"/>
              <w:rPr>
                <w:rFonts w:eastAsia="Times New Roman"/>
              </w:rPr>
            </w:pPr>
            <w:hyperlink w:anchor="ic0df5956a4b14938a5c94b8fe25f3429_19" w:history="1">
              <w:r>
                <w:rPr>
                  <w:rStyle w:val="a3"/>
                  <w:rFonts w:eastAsia="Times New Roman"/>
                  <w:sz w:val="20"/>
                  <w:szCs w:val="20"/>
                </w:rPr>
                <w:t>Condensed Consolidated Statements of Comprehensive Income (Unaudited)</w:t>
              </w:r>
            </w:hyperlink>
            <w:hyperlink w:anchor="ic0df5956a4b14938a5c94b8fe25f3429_19" w:history="1">
              <w:r>
                <w:rPr>
                  <w:rStyle w:val="a3"/>
                  <w:rFonts w:eastAsia="Times New Roman"/>
                  <w:sz w:val="20"/>
                  <w:szCs w:val="20"/>
                </w:rPr>
                <w:t xml:space="preserve"> </w:t>
              </w:r>
            </w:hyperlink>
            <w:hyperlink w:anchor="ic0df5956a4b14938a5c94b8fe25f3429_19" w:history="1">
              <w:r>
                <w:rPr>
                  <w:rStyle w:val="a3"/>
                  <w:rFonts w:eastAsia="Times New Roman"/>
                  <w:sz w:val="20"/>
                  <w:szCs w:val="20"/>
                </w:rPr>
                <w:t>Three and Six Months Ended June 30, 2020 and 2019</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19" w:history="1">
              <w:r>
                <w:rPr>
                  <w:rStyle w:val="a3"/>
                  <w:rFonts w:eastAsia="Times New Roman"/>
                  <w:sz w:val="20"/>
                  <w:szCs w:val="20"/>
                </w:rPr>
                <w:t>4</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divId w:val="757749980"/>
              <w:rPr>
                <w:rFonts w:eastAsia="Times New Roman"/>
              </w:rPr>
            </w:pPr>
            <w:hyperlink w:anchor="ic0df5956a4b14938a5c94b8fe25f3429_22" w:history="1">
              <w:r>
                <w:rPr>
                  <w:rStyle w:val="a3"/>
                  <w:rFonts w:eastAsia="Times New Roman"/>
                  <w:sz w:val="20"/>
                  <w:szCs w:val="20"/>
                </w:rPr>
                <w:t>Condensed Consolidated Balance Sheets (Unaudited)</w:t>
              </w:r>
            </w:hyperlink>
            <w:hyperlink w:anchor="ic0df5956a4b14938a5c94b8fe25f3429_22" w:history="1">
              <w:r>
                <w:rPr>
                  <w:rStyle w:val="a3"/>
                  <w:rFonts w:eastAsia="Times New Roman"/>
                  <w:sz w:val="20"/>
                  <w:szCs w:val="20"/>
                </w:rPr>
                <w:t xml:space="preserve"> </w:t>
              </w:r>
            </w:hyperlink>
            <w:hyperlink w:anchor="ic0df5956a4b14938a5c94b8fe25f3429_22" w:history="1">
              <w:r>
                <w:rPr>
                  <w:rStyle w:val="a3"/>
                  <w:rFonts w:eastAsia="Times New Roman"/>
                  <w:sz w:val="20"/>
                  <w:szCs w:val="20"/>
                </w:rPr>
                <w:t>June 30, 2020 and December 31, 2019</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22" w:history="1">
              <w:r>
                <w:rPr>
                  <w:rStyle w:val="a3"/>
                  <w:rFonts w:eastAsia="Times New Roman"/>
                  <w:sz w:val="20"/>
                  <w:szCs w:val="20"/>
                </w:rPr>
                <w:t>5</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divId w:val="88159137"/>
              <w:rPr>
                <w:rFonts w:eastAsia="Times New Roman"/>
              </w:rPr>
            </w:pPr>
            <w:hyperlink w:anchor="ic0df5956a4b14938a5c94b8fe25f3429_28" w:history="1">
              <w:r>
                <w:rPr>
                  <w:rStyle w:val="a3"/>
                  <w:rFonts w:eastAsia="Times New Roman"/>
                  <w:sz w:val="20"/>
                  <w:szCs w:val="20"/>
                </w:rPr>
                <w:t>Condensed Consolidated Statements of Cash Flows (Unaudited) Six Months Ended June 30, 2020 and 2019</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28" w:history="1">
              <w:r>
                <w:rPr>
                  <w:rStyle w:val="a3"/>
                  <w:rFonts w:eastAsia="Times New Roman"/>
                  <w:sz w:val="20"/>
                  <w:szCs w:val="20"/>
                </w:rPr>
                <w:t>6</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divId w:val="1291130012"/>
              <w:rPr>
                <w:rFonts w:eastAsia="Times New Roman"/>
              </w:rPr>
            </w:pPr>
            <w:hyperlink w:anchor="ic0df5956a4b14938a5c94b8fe25f3429_31" w:history="1">
              <w:r>
                <w:rPr>
                  <w:rStyle w:val="a3"/>
                  <w:rFonts w:eastAsia="Times New Roman"/>
                  <w:sz w:val="20"/>
                  <w:szCs w:val="20"/>
                </w:rPr>
                <w:t>Condensed Consolidated Statements of Changes in Stockholder's Equity (Unaudited)</w:t>
              </w:r>
            </w:hyperlink>
            <w:hyperlink w:anchor="ic0df5956a4b14938a5c94b8fe25f3429_31" w:history="1">
              <w:r>
                <w:rPr>
                  <w:rStyle w:val="a3"/>
                  <w:rFonts w:eastAsia="Times New Roman"/>
                  <w:sz w:val="20"/>
                  <w:szCs w:val="20"/>
                </w:rPr>
                <w:t xml:space="preserve"> </w:t>
              </w:r>
            </w:hyperlink>
            <w:hyperlink w:anchor="ic0df5956a4b14938a5c94b8fe25f3429_31" w:history="1">
              <w:r>
                <w:rPr>
                  <w:rStyle w:val="a3"/>
                  <w:rFonts w:eastAsia="Times New Roman"/>
                  <w:sz w:val="20"/>
                  <w:szCs w:val="20"/>
                </w:rPr>
                <w:t>Three and Six Months Ended June 30, 2020 and 2019</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31" w:history="1">
              <w:r>
                <w:rPr>
                  <w:rStyle w:val="a3"/>
                  <w:rFonts w:eastAsia="Times New Roman"/>
                  <w:sz w:val="20"/>
                  <w:szCs w:val="20"/>
                </w:rPr>
                <w:t>7</w:t>
              </w:r>
            </w:hyperlink>
          </w:p>
          <w:p w:rsidR="00000000" w:rsidRDefault="000A7020">
            <w:pPr>
              <w:divId w:val="843015851"/>
              <w:rPr>
                <w:rFonts w:eastAsia="Times New Roman"/>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divId w:val="1133795163"/>
              <w:rPr>
                <w:rFonts w:eastAsia="Times New Roman"/>
              </w:rPr>
            </w:pPr>
            <w:hyperlink w:anchor="ic0df5956a4b14938a5c94b8fe25f3429_34" w:history="1">
              <w:r>
                <w:rPr>
                  <w:rStyle w:val="a3"/>
                  <w:rFonts w:eastAsia="Times New Roman"/>
                  <w:sz w:val="20"/>
                  <w:szCs w:val="20"/>
                </w:rPr>
                <w:t>Notes to Condensed Consolidated Financial Statements (Unaudited)</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34" w:history="1">
              <w:r>
                <w:rPr>
                  <w:rStyle w:val="a3"/>
                  <w:rFonts w:eastAsia="Times New Roman"/>
                  <w:sz w:val="20"/>
                  <w:szCs w:val="20"/>
                </w:rPr>
                <w:t>9</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Item 2</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0A7020">
            <w:pPr>
              <w:divId w:val="1649047302"/>
              <w:rPr>
                <w:rFonts w:eastAsia="Times New Roman"/>
              </w:rPr>
            </w:pPr>
            <w:hyperlink w:anchor="ic0df5956a4b14938a5c94b8fe25f3429_112"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112" w:history="1">
              <w:r>
                <w:rPr>
                  <w:rStyle w:val="a3"/>
                  <w:rFonts w:eastAsia="Times New Roman"/>
                  <w:sz w:val="20"/>
                  <w:szCs w:val="20"/>
                </w:rPr>
                <w:t>42</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Item 3</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0A7020">
            <w:pPr>
              <w:divId w:val="1547914873"/>
              <w:rPr>
                <w:rFonts w:eastAsia="Times New Roman"/>
              </w:rPr>
            </w:pPr>
            <w:hyperlink w:anchor="ic0df5956a4b14938a5c94b8fe25f3429_154"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154" w:history="1">
              <w:r>
                <w:rPr>
                  <w:rStyle w:val="a3"/>
                  <w:rFonts w:eastAsia="Times New Roman"/>
                  <w:sz w:val="20"/>
                  <w:szCs w:val="20"/>
                </w:rPr>
                <w:t>56</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Item 4</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0A7020">
            <w:pPr>
              <w:divId w:val="128087539"/>
              <w:rPr>
                <w:rFonts w:eastAsia="Times New Roman"/>
              </w:rPr>
            </w:pPr>
            <w:hyperlink w:anchor="ic0df5956a4b14938a5c94b8fe25f3429_157"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157" w:history="1">
              <w:r>
                <w:rPr>
                  <w:rStyle w:val="a3"/>
                  <w:rFonts w:eastAsia="Times New Roman"/>
                  <w:sz w:val="20"/>
                  <w:szCs w:val="20"/>
                </w:rPr>
                <w:t>57</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300"/>
        </w:trPr>
        <w:tc>
          <w:tcPr>
            <w:tcW w:w="0" w:type="auto"/>
            <w:gridSpan w:val="6"/>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1189442258"/>
        </w:trPr>
        <w:tc>
          <w:tcPr>
            <w:tcW w:w="0" w:type="auto"/>
            <w:gridSpan w:val="6"/>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PART II. Other Informatio</w:t>
            </w:r>
            <w:r>
              <w:rPr>
                <w:rFonts w:eastAsia="Times New Roman"/>
                <w:b/>
                <w:bCs/>
                <w:color w:val="000000"/>
                <w:sz w:val="20"/>
                <w:szCs w:val="20"/>
              </w:rPr>
              <w:t>n</w:t>
            </w:r>
          </w:p>
        </w:tc>
        <w:tc>
          <w:tcPr>
            <w:tcW w:w="0" w:type="auto"/>
            <w:gridSpan w:val="3"/>
            <w:vAlign w:val="center"/>
            <w:hideMark/>
          </w:tcPr>
          <w:p w:rsidR="00000000" w:rsidRDefault="000A7020">
            <w:pP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1189442258"/>
          <w:trHeight w:val="30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u w:val="single"/>
              </w:rPr>
              <w:t>Descriptio</w:t>
            </w:r>
            <w:r>
              <w:rPr>
                <w:rFonts w:eastAsia="Times New Roman"/>
                <w:b/>
                <w:bCs/>
                <w:color w:val="000000"/>
                <w:sz w:val="16"/>
                <w:szCs w:val="16"/>
                <w:u w:val="single"/>
              </w:rPr>
              <w:t>n</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Pag</w:t>
            </w:r>
            <w:r>
              <w:rPr>
                <w:rFonts w:eastAsia="Times New Roman"/>
                <w:b/>
                <w:bCs/>
                <w:color w:val="000000"/>
                <w:sz w:val="16"/>
                <w:szCs w:val="16"/>
              </w:rPr>
              <w:t>e</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Item 1</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0A7020">
            <w:pPr>
              <w:divId w:val="382368240"/>
              <w:rPr>
                <w:rFonts w:eastAsia="Times New Roman"/>
              </w:rPr>
            </w:pPr>
            <w:hyperlink w:anchor="ic0df5956a4b14938a5c94b8fe25f3429_163"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163" w:history="1">
              <w:r>
                <w:rPr>
                  <w:rStyle w:val="a3"/>
                  <w:rFonts w:eastAsia="Times New Roman"/>
                  <w:sz w:val="20"/>
                  <w:szCs w:val="20"/>
                </w:rPr>
                <w:t>58</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Item 1A</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0A7020">
            <w:pPr>
              <w:divId w:val="704529104"/>
              <w:rPr>
                <w:rFonts w:eastAsia="Times New Roman"/>
              </w:rPr>
            </w:pPr>
            <w:hyperlink w:anchor="ic0df5956a4b14938a5c94b8fe25f3429_166"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166" w:history="1">
              <w:r>
                <w:rPr>
                  <w:rStyle w:val="a3"/>
                  <w:rFonts w:eastAsia="Times New Roman"/>
                  <w:sz w:val="20"/>
                  <w:szCs w:val="20"/>
                </w:rPr>
                <w:t>58</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Item 2</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0A7020">
            <w:pPr>
              <w:divId w:val="946695856"/>
              <w:rPr>
                <w:rFonts w:eastAsia="Times New Roman"/>
              </w:rPr>
            </w:pPr>
            <w:hyperlink w:anchor="ic0df5956a4b14938a5c94b8fe25f3429_169"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169" w:history="1">
              <w:r>
                <w:rPr>
                  <w:rStyle w:val="a3"/>
                  <w:rFonts w:eastAsia="Times New Roman"/>
                  <w:sz w:val="20"/>
                  <w:szCs w:val="20"/>
                </w:rPr>
                <w:t>59</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Item 6</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0A7020">
            <w:pPr>
              <w:divId w:val="206725890"/>
              <w:rPr>
                <w:rFonts w:eastAsia="Times New Roman"/>
              </w:rPr>
            </w:pPr>
            <w:hyperlink w:anchor="ic0df5956a4b14938a5c94b8fe25f3429_172"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172" w:history="1">
              <w:r>
                <w:rPr>
                  <w:rStyle w:val="a3"/>
                  <w:rFonts w:eastAsia="Times New Roman"/>
                  <w:sz w:val="20"/>
                  <w:szCs w:val="20"/>
                </w:rPr>
                <w:t>60</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Height w:val="1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9442258"/>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divId w:val="1693915953"/>
              <w:rPr>
                <w:rFonts w:eastAsia="Times New Roman"/>
              </w:rPr>
            </w:pPr>
            <w:hyperlink w:anchor="ic0df5956a4b14938a5c94b8fe25f3429_175"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0A7020">
            <w:pPr>
              <w:jc w:val="right"/>
              <w:rPr>
                <w:rFonts w:eastAsia="Times New Roman"/>
              </w:rPr>
            </w:pPr>
            <w:hyperlink w:anchor="ic0df5956a4b14938a5c94b8fe25f3429_175" w:history="1">
              <w:r>
                <w:rPr>
                  <w:rStyle w:val="a3"/>
                  <w:rFonts w:eastAsia="Times New Roman"/>
                  <w:sz w:val="20"/>
                  <w:szCs w:val="20"/>
                </w:rPr>
                <w:t>61</w:t>
              </w:r>
            </w:hyperlink>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divId w:val="519973307"/>
        <w:rPr>
          <w:rFonts w:eastAsia="Times New Roman"/>
        </w:rPr>
      </w:pPr>
    </w:p>
    <w:p w:rsidR="00000000" w:rsidRDefault="000A7020">
      <w:pPr>
        <w:divId w:val="223176752"/>
        <w:rPr>
          <w:rFonts w:eastAsia="Times New Roman"/>
        </w:rPr>
      </w:pPr>
    </w:p>
    <w:p w:rsidR="00000000" w:rsidRDefault="000A7020">
      <w:pPr>
        <w:jc w:val="center"/>
        <w:divId w:val="338193036"/>
        <w:rPr>
          <w:rFonts w:eastAsia="Times New Roman"/>
        </w:rPr>
      </w:pPr>
      <w:r>
        <w:rPr>
          <w:rFonts w:eastAsia="Times New Roman"/>
          <w:color w:val="000000"/>
          <w:sz w:val="20"/>
          <w:szCs w:val="20"/>
        </w:rPr>
        <w:t>2</w:t>
      </w:r>
    </w:p>
    <w:p w:rsidR="00000000" w:rsidRDefault="000A7020">
      <w:pPr>
        <w:rPr>
          <w:rFonts w:eastAsia="Times New Roman"/>
        </w:rPr>
      </w:pPr>
      <w:r>
        <w:rPr>
          <w:rFonts w:eastAsia="Times New Roman"/>
        </w:rPr>
        <w:pict>
          <v:rect id="_x0000_i1027" style="width:0;height:1.5pt" o:hralign="center" o:hrstd="t" o:hr="t" fillcolor="#a0a0a0" stroked="f"/>
        </w:pict>
      </w:r>
    </w:p>
    <w:p w:rsidR="00000000" w:rsidRDefault="000A7020">
      <w:pPr>
        <w:divId w:val="981468579"/>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divId w:val="405692665"/>
        <w:rPr>
          <w:rFonts w:eastAsia="Times New Roman"/>
        </w:rPr>
      </w:pPr>
      <w:r>
        <w:rPr>
          <w:rFonts w:eastAsia="Times New Roman"/>
          <w:b/>
          <w:bCs/>
          <w:color w:val="000000"/>
          <w:sz w:val="20"/>
          <w:szCs w:val="20"/>
        </w:rPr>
        <w:t>Part I. Financial Informatio</w:t>
      </w:r>
      <w:r>
        <w:rPr>
          <w:rFonts w:eastAsia="Times New Roman"/>
          <w:b/>
          <w:bCs/>
          <w:color w:val="000000"/>
          <w:sz w:val="20"/>
          <w:szCs w:val="20"/>
        </w:rPr>
        <w:t>n</w:t>
      </w:r>
    </w:p>
    <w:p w:rsidR="00000000" w:rsidRDefault="000A7020">
      <w:pPr>
        <w:divId w:val="1179542936"/>
        <w:rPr>
          <w:rFonts w:eastAsia="Times New Roman"/>
        </w:rPr>
      </w:pPr>
      <w:r>
        <w:rPr>
          <w:rFonts w:eastAsia="Times New Roman"/>
          <w:color w:val="000000"/>
          <w:sz w:val="18"/>
          <w:szCs w:val="18"/>
        </w:rPr>
        <w:t> </w:t>
      </w:r>
    </w:p>
    <w:p w:rsidR="00000000" w:rsidRDefault="000A7020">
      <w:pPr>
        <w:ind w:hanging="1170"/>
        <w:divId w:val="359356954"/>
        <w:rPr>
          <w:rFonts w:eastAsia="Times New Roman"/>
        </w:rPr>
      </w:pPr>
      <w:r>
        <w:rPr>
          <w:rFonts w:eastAsia="Times New Roman"/>
          <w:b/>
          <w:bCs/>
          <w:color w:val="000000"/>
          <w:sz w:val="20"/>
          <w:szCs w:val="20"/>
        </w:rPr>
        <w:t>Item 1. FINANCIAL STATEMENT</w:t>
      </w:r>
      <w:r>
        <w:rPr>
          <w:rFonts w:eastAsia="Times New Roman"/>
          <w:b/>
          <w:bCs/>
          <w:color w:val="000000"/>
          <w:sz w:val="20"/>
          <w:szCs w:val="20"/>
        </w:rPr>
        <w:t>S</w:t>
      </w:r>
    </w:p>
    <w:p w:rsidR="00000000" w:rsidRDefault="000A7020">
      <w:pPr>
        <w:jc w:val="center"/>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rPr>
          <w:rFonts w:eastAsia="Times New Roman"/>
        </w:rPr>
      </w:pPr>
      <w:r>
        <w:rPr>
          <w:rFonts w:eastAsia="Times New Roman"/>
          <w:b/>
          <w:bCs/>
          <w:color w:val="000000"/>
          <w:sz w:val="20"/>
          <w:szCs w:val="20"/>
        </w:rPr>
        <w:t>Condensed Consolidated Statements of Operations (Unaudited</w:t>
      </w:r>
      <w:r>
        <w:rPr>
          <w:rFonts w:eastAsia="Times New Roman"/>
          <w:b/>
          <w:bCs/>
          <w:color w:val="000000"/>
          <w:sz w:val="20"/>
          <w:szCs w:val="20"/>
        </w:rPr>
        <w:t>)</w:t>
      </w:r>
      <w:r>
        <w:rPr>
          <w:rFonts w:eastAsia="Times New Roman"/>
          <w:color w:val="000000"/>
          <w:sz w:val="18"/>
          <w:szCs w:val="18"/>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3798"/>
        <w:gridCol w:w="39"/>
        <w:gridCol w:w="135"/>
        <w:gridCol w:w="415"/>
        <w:gridCol w:w="85"/>
        <w:gridCol w:w="50"/>
        <w:gridCol w:w="260"/>
        <w:gridCol w:w="50"/>
        <w:gridCol w:w="135"/>
        <w:gridCol w:w="415"/>
        <w:gridCol w:w="85"/>
        <w:gridCol w:w="50"/>
        <w:gridCol w:w="260"/>
        <w:gridCol w:w="50"/>
        <w:gridCol w:w="135"/>
        <w:gridCol w:w="415"/>
        <w:gridCol w:w="85"/>
        <w:gridCol w:w="50"/>
        <w:gridCol w:w="260"/>
        <w:gridCol w:w="50"/>
        <w:gridCol w:w="135"/>
        <w:gridCol w:w="515"/>
        <w:gridCol w:w="85"/>
        <w:gridCol w:w="120"/>
        <w:gridCol w:w="120"/>
        <w:gridCol w:w="120"/>
        <w:gridCol w:w="36"/>
        <w:gridCol w:w="36"/>
        <w:gridCol w:w="36"/>
        <w:gridCol w:w="36"/>
        <w:gridCol w:w="36"/>
        <w:gridCol w:w="36"/>
        <w:gridCol w:w="36"/>
        <w:gridCol w:w="36"/>
        <w:gridCol w:w="36"/>
      </w:tblGrid>
      <w:tr w:rsidR="00000000">
        <w:trPr>
          <w:gridAfter w:val="12"/>
          <w:divId w:val="1720977668"/>
          <w:jc w:val="center"/>
        </w:trPr>
        <w:tc>
          <w:tcPr>
            <w:tcW w:w="50" w:type="pct"/>
            <w:vAlign w:val="center"/>
            <w:hideMark/>
          </w:tcPr>
          <w:p w:rsidR="00000000" w:rsidRDefault="000A7020">
            <w:pPr>
              <w:jc w:val="center"/>
              <w:rPr>
                <w:rFonts w:eastAsia="Times New Roman"/>
              </w:rPr>
            </w:pPr>
          </w:p>
        </w:tc>
        <w:tc>
          <w:tcPr>
            <w:tcW w:w="276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720977668"/>
          <w:jc w:val="center"/>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millions, except per share amount</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720977668"/>
          <w:jc w:val="center"/>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Product revenu</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481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955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Service revenu</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1,003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1,04</w:t>
            </w:r>
            <w:r>
              <w:rPr>
                <w:rFonts w:eastAsia="Times New Roman"/>
                <w:color w:val="000000"/>
                <w:sz w:val="20"/>
                <w:szCs w:val="20"/>
              </w:rPr>
              <w:t>6</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2,03</w:t>
            </w:r>
            <w:r>
              <w:rPr>
                <w:rFonts w:eastAsia="Times New Roman"/>
                <w:b/>
                <w:bCs/>
                <w:color w:val="000000"/>
                <w:sz w:val="20"/>
                <w:szCs w:val="20"/>
              </w:rPr>
              <w:t>2</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2,043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revenu</w:t>
            </w:r>
            <w:r>
              <w:rPr>
                <w:rFonts w:eastAsia="Times New Roman"/>
                <w:b/>
                <w:bCs/>
                <w:color w:val="000000"/>
                <w:sz w:val="20"/>
                <w:szCs w:val="20"/>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1,484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1,71</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2,98</w:t>
            </w:r>
            <w:r>
              <w:rPr>
                <w:rFonts w:eastAsia="Times New Roman"/>
                <w:b/>
                <w:bCs/>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Cost of product</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411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53</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80</w:t>
            </w:r>
            <w:r>
              <w:rPr>
                <w:rFonts w:eastAsia="Times New Roman"/>
                <w:b/>
                <w:bCs/>
                <w:color w:val="000000"/>
                <w:sz w:val="20"/>
                <w:szCs w:val="20"/>
              </w:rPr>
              <w:t>2</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992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Cost of service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701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70</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1,41</w:t>
            </w:r>
            <w:r>
              <w:rPr>
                <w:rFonts w:eastAsia="Times New Roman"/>
                <w:b/>
                <w:bCs/>
                <w:color w:val="000000"/>
                <w:sz w:val="20"/>
                <w:szCs w:val="20"/>
              </w:rPr>
              <w:t>6</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1,372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234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25</w:t>
            </w:r>
            <w:r>
              <w:rPr>
                <w:rFonts w:eastAsia="Times New Roman"/>
                <w:color w:val="000000"/>
                <w:sz w:val="20"/>
                <w:szCs w:val="20"/>
              </w:rPr>
              <w:t>2</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48</w:t>
            </w:r>
            <w:r>
              <w:rPr>
                <w:rFonts w:eastAsia="Times New Roman"/>
                <w:b/>
                <w:bCs/>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Research and development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6</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11</w:t>
            </w:r>
            <w:r>
              <w:rPr>
                <w:rFonts w:eastAsia="Times New Roman"/>
                <w:b/>
                <w:bCs/>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operating expense</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1,395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1,55</w:t>
            </w: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2,82</w:t>
            </w:r>
            <w:r>
              <w:rPr>
                <w:rFonts w:eastAsia="Times New Roman"/>
                <w:b/>
                <w:bCs/>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2,98</w:t>
            </w:r>
            <w:r>
              <w:rPr>
                <w:rFonts w:eastAsia="Times New Roman"/>
                <w:color w:val="000000"/>
                <w:sz w:val="20"/>
                <w:szCs w:val="20"/>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Income (loss) from operation</w:t>
            </w:r>
            <w:r>
              <w:rPr>
                <w:rFonts w:eastAsia="Times New Roman"/>
                <w:b/>
                <w:bCs/>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16</w:t>
            </w:r>
            <w:r>
              <w:rPr>
                <w:rFonts w:eastAsia="Times New Roman"/>
                <w:b/>
                <w:bCs/>
                <w:color w:val="000000"/>
                <w:sz w:val="20"/>
                <w:szCs w:val="20"/>
              </w:rPr>
              <w:t>6</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(57</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(107</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Other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Income (loss) from continuing operations before income taxe</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30</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5</w:t>
            </w:r>
            <w:r>
              <w:rPr>
                <w:rFonts w:eastAsia="Times New Roman"/>
                <w:b/>
                <w:bCs/>
                <w:color w:val="000000"/>
                <w:sz w:val="20"/>
                <w:szCs w:val="20"/>
              </w:rPr>
              <w:t>5</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Income tax expense (benefit</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lastRenderedPageBreak/>
              <w:t>Income (loss) from continuing operation</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8</w:t>
            </w:r>
            <w:r>
              <w:rPr>
                <w:rFonts w:eastAsia="Times New Roman"/>
                <w:b/>
                <w:bCs/>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Loss from discontinued operations, net of ta</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Net income (loss</w:t>
            </w: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8</w:t>
            </w:r>
            <w:r>
              <w:rPr>
                <w:rFonts w:eastAsia="Times New Roman"/>
                <w:b/>
                <w:bCs/>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Net income (loss) attributable to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Net income (loss) attributable to NC</w:t>
            </w:r>
            <w:r>
              <w:rPr>
                <w:rFonts w:eastAsia="Times New Roman"/>
                <w:b/>
                <w:bCs/>
                <w:color w:val="000000"/>
                <w:sz w:val="20"/>
                <w:szCs w:val="20"/>
              </w:rPr>
              <w:t>R</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Amounts attributable to NCR common stockholders</w:t>
            </w:r>
            <w:r>
              <w:rPr>
                <w:rFonts w:eastAsia="Times New Roman"/>
                <w:b/>
                <w:bCs/>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Income (loss) from continuing operation</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Dividends on convertible preferred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Income (loss) from continuing operations attributable to NCR common stockholder</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7</w:t>
            </w:r>
            <w:r>
              <w:rPr>
                <w:rFonts w:eastAsia="Times New Roman"/>
                <w:b/>
                <w:bCs/>
                <w:color w:val="000000"/>
                <w:sz w:val="20"/>
                <w:szCs w:val="20"/>
              </w:rPr>
              <w:t>4</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Loss from discontinued operations, net of ta</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Net income (loss) attributable to NCR common stockholder</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Income (loss) per share attributable to NCR common stockholders</w:t>
            </w:r>
            <w:r>
              <w:rPr>
                <w:rFonts w:eastAsia="Times New Roman"/>
                <w:b/>
                <w:bCs/>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Income (loss) per common share from continuing operation</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0.45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0.58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0.44</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0.58</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0.57</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0.81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Net income (loss) per common shar</w:t>
            </w:r>
            <w:r>
              <w:rPr>
                <w:rFonts w:eastAsia="Times New Roman"/>
                <w:b/>
                <w:bCs/>
                <w:color w:val="000000"/>
                <w:sz w:val="20"/>
                <w:szCs w:val="20"/>
              </w:rPr>
              <w:t>e</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0.58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0.44</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0.58</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0.57</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0.81</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Weighted average common shares outstandin</w:t>
            </w:r>
            <w:r>
              <w:rPr>
                <w:rFonts w:eastAsia="Times New Roman"/>
                <w:b/>
                <w:bCs/>
                <w:color w:val="000000"/>
                <w:sz w:val="20"/>
                <w:szCs w:val="20"/>
              </w:rPr>
              <w:t>g</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128.</w:t>
            </w:r>
            <w:r>
              <w:rPr>
                <w:rFonts w:eastAsia="Times New Roman"/>
                <w:b/>
                <w:bCs/>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0977668"/>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128.9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129.</w:t>
            </w:r>
            <w:r>
              <w:rPr>
                <w:rFonts w:eastAsia="Times New Roman"/>
                <w:b/>
                <w:bCs/>
                <w:color w:val="000000"/>
                <w:sz w:val="20"/>
                <w:szCs w:val="20"/>
              </w:rPr>
              <w:t>7</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rPr>
          <w:rFonts w:eastAsia="Times New Roman"/>
        </w:rPr>
      </w:pPr>
      <w:r>
        <w:rPr>
          <w:rFonts w:eastAsia="Times New Roman"/>
          <w:color w:val="000000"/>
          <w:sz w:val="20"/>
          <w:szCs w:val="20"/>
        </w:rPr>
        <w:t>See Notes to Condensed Consolidated Financial Statements</w:t>
      </w:r>
      <w:r>
        <w:rPr>
          <w:rFonts w:eastAsia="Times New Roman"/>
          <w:color w:val="000000"/>
          <w:sz w:val="20"/>
          <w:szCs w:val="20"/>
        </w:rPr>
        <w:t>.</w:t>
      </w:r>
    </w:p>
    <w:p w:rsidR="00000000" w:rsidRDefault="000A7020">
      <w:pPr>
        <w:jc w:val="center"/>
        <w:divId w:val="1898584219"/>
        <w:rPr>
          <w:rFonts w:eastAsia="Times New Roman"/>
        </w:rPr>
      </w:pPr>
      <w:r>
        <w:rPr>
          <w:rFonts w:eastAsia="Times New Roman"/>
          <w:color w:val="000000"/>
          <w:sz w:val="20"/>
          <w:szCs w:val="20"/>
        </w:rPr>
        <w:t>3</w:t>
      </w:r>
    </w:p>
    <w:p w:rsidR="00000000" w:rsidRDefault="000A7020">
      <w:pPr>
        <w:rPr>
          <w:rFonts w:eastAsia="Times New Roman"/>
        </w:rPr>
      </w:pPr>
      <w:r>
        <w:rPr>
          <w:rFonts w:eastAsia="Times New Roman"/>
        </w:rPr>
        <w:pict>
          <v:rect id="_x0000_i1028" style="width:0;height:1.5pt" o:hralign="center" o:hrstd="t" o:hr="t" fillcolor="#a0a0a0" stroked="f"/>
        </w:pict>
      </w:r>
    </w:p>
    <w:p w:rsidR="00000000" w:rsidRDefault="000A7020">
      <w:pPr>
        <w:divId w:val="1174807601"/>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rPr>
          <w:rFonts w:eastAsia="Times New Roman"/>
        </w:rPr>
      </w:pPr>
      <w:r>
        <w:rPr>
          <w:rFonts w:eastAsia="Times New Roman"/>
          <w:b/>
          <w:bCs/>
          <w:color w:val="000000"/>
          <w:sz w:val="20"/>
          <w:szCs w:val="20"/>
        </w:rPr>
        <w:t>Condensed Consolidated Statements of</w:t>
      </w:r>
      <w:r>
        <w:rPr>
          <w:rFonts w:eastAsia="Times New Roman"/>
          <w:b/>
          <w:bCs/>
          <w:color w:val="000000"/>
          <w:sz w:val="20"/>
          <w:szCs w:val="20"/>
        </w:rPr>
        <w:t xml:space="preserve"> Comprehensive Income (Unaudited</w:t>
      </w:r>
      <w:r>
        <w:rPr>
          <w:rFonts w:eastAsia="Times New Roman"/>
          <w:b/>
          <w:bCs/>
          <w:color w:val="000000"/>
          <w:sz w:val="20"/>
          <w:szCs w:val="20"/>
        </w:rPr>
        <w:t>)</w:t>
      </w:r>
    </w:p>
    <w:p w:rsidR="00000000" w:rsidRDefault="000A7020">
      <w:pPr>
        <w:divId w:val="428936652"/>
        <w:rPr>
          <w:rFonts w:eastAsia="Times New Roman"/>
        </w:rPr>
      </w:pPr>
      <w:r>
        <w:rPr>
          <w:rFonts w:eastAsia="Times New Roman"/>
          <w:color w:val="000000"/>
          <w:sz w:val="18"/>
          <w:szCs w:val="18"/>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410"/>
        <w:gridCol w:w="39"/>
        <w:gridCol w:w="135"/>
        <w:gridCol w:w="265"/>
        <w:gridCol w:w="85"/>
        <w:gridCol w:w="50"/>
        <w:gridCol w:w="260"/>
        <w:gridCol w:w="50"/>
        <w:gridCol w:w="135"/>
        <w:gridCol w:w="265"/>
        <w:gridCol w:w="85"/>
        <w:gridCol w:w="50"/>
        <w:gridCol w:w="260"/>
        <w:gridCol w:w="50"/>
        <w:gridCol w:w="135"/>
        <w:gridCol w:w="265"/>
        <w:gridCol w:w="85"/>
        <w:gridCol w:w="50"/>
        <w:gridCol w:w="260"/>
        <w:gridCol w:w="50"/>
        <w:gridCol w:w="135"/>
        <w:gridCol w:w="365"/>
        <w:gridCol w:w="85"/>
        <w:gridCol w:w="120"/>
        <w:gridCol w:w="120"/>
        <w:gridCol w:w="120"/>
        <w:gridCol w:w="36"/>
        <w:gridCol w:w="36"/>
        <w:gridCol w:w="36"/>
        <w:gridCol w:w="36"/>
        <w:gridCol w:w="36"/>
        <w:gridCol w:w="36"/>
        <w:gridCol w:w="36"/>
        <w:gridCol w:w="36"/>
        <w:gridCol w:w="36"/>
      </w:tblGrid>
      <w:tr w:rsidR="00000000">
        <w:trPr>
          <w:gridAfter w:val="12"/>
          <w:divId w:val="164130880"/>
          <w:jc w:val="center"/>
        </w:trPr>
        <w:tc>
          <w:tcPr>
            <w:tcW w:w="50" w:type="pct"/>
            <w:vAlign w:val="center"/>
            <w:hideMark/>
          </w:tcPr>
          <w:p w:rsidR="00000000" w:rsidRDefault="000A7020">
            <w:pPr>
              <w:rPr>
                <w:rFonts w:eastAsia="Times New Roman"/>
              </w:rPr>
            </w:pPr>
          </w:p>
        </w:tc>
        <w:tc>
          <w:tcPr>
            <w:tcW w:w="333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8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8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5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4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64130880"/>
          <w:jc w:val="center"/>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64130880"/>
          <w:jc w:val="center"/>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comprehensive (loss) income</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Currency translation adjustment</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20"/>
                <w:szCs w:val="20"/>
              </w:rPr>
              <w:t>Currency translation gains (losses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Derivative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20"/>
                <w:szCs w:val="20"/>
              </w:rPr>
              <w:t>Unrealized gains (losses) on derivative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Gains on derivatives recognized during the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w:t>
            </w:r>
            <w:r>
              <w:rPr>
                <w:rFonts w:eastAsia="Times New Roman"/>
                <w:color w:val="000000"/>
                <w:sz w:val="20"/>
                <w:szCs w:val="20"/>
              </w:rPr>
              <w:t> Less income ta</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Employee benefit plan</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Amortization of prior service benefi</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w:t>
            </w:r>
            <w:r>
              <w:rPr>
                <w:rFonts w:eastAsia="Times New Roman"/>
                <w:color w:val="000000"/>
                <w:sz w:val="20"/>
                <w:szCs w:val="20"/>
              </w:rPr>
              <w:t>  Amortization of actuarial losses (gains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lastRenderedPageBreak/>
              <w:t>        Less income ta</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Other comprehensive income (loss</w:t>
            </w: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(47</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Total comprehensive income (loss</w:t>
            </w: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78</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131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Less comprehensive income attributable to noncontrolling interests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Net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Currency translation losse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Amounts attributable to noncontrolling interest</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4130880"/>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Comprehensive income (loss) attributable to NC</w:t>
            </w:r>
            <w:r>
              <w:rPr>
                <w:rFonts w:eastAsia="Times New Roman"/>
                <w:b/>
                <w:bCs/>
                <w:color w:val="000000"/>
                <w:sz w:val="20"/>
                <w:szCs w:val="20"/>
              </w:rPr>
              <w:t>R</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78</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41</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divId w:val="1578589628"/>
        <w:rPr>
          <w:rFonts w:eastAsia="Times New Roman"/>
        </w:rPr>
      </w:pPr>
      <w:r>
        <w:rPr>
          <w:rFonts w:eastAsia="Times New Roman"/>
          <w:color w:val="000000"/>
          <w:sz w:val="20"/>
          <w:szCs w:val="20"/>
        </w:rPr>
        <w:t>See Notes to Condensed Consolidated Financial Statements</w:t>
      </w:r>
      <w:r>
        <w:rPr>
          <w:rFonts w:eastAsia="Times New Roman"/>
          <w:color w:val="000000"/>
          <w:sz w:val="20"/>
          <w:szCs w:val="20"/>
        </w:rPr>
        <w:t>.</w:t>
      </w:r>
    </w:p>
    <w:p w:rsidR="00000000" w:rsidRDefault="000A7020">
      <w:pPr>
        <w:jc w:val="center"/>
        <w:divId w:val="487747513"/>
        <w:rPr>
          <w:rFonts w:eastAsia="Times New Roman"/>
        </w:rPr>
      </w:pPr>
      <w:r>
        <w:rPr>
          <w:rFonts w:eastAsia="Times New Roman"/>
          <w:color w:val="000000"/>
          <w:sz w:val="20"/>
          <w:szCs w:val="20"/>
        </w:rPr>
        <w:t>4</w:t>
      </w:r>
    </w:p>
    <w:p w:rsidR="00000000" w:rsidRDefault="000A7020">
      <w:pPr>
        <w:rPr>
          <w:rFonts w:eastAsia="Times New Roman"/>
        </w:rPr>
      </w:pPr>
      <w:r>
        <w:rPr>
          <w:rFonts w:eastAsia="Times New Roman"/>
        </w:rPr>
        <w:pict>
          <v:rect id="_x0000_i1029" style="width:0;height:1.5pt" o:hralign="center" o:hrstd="t" o:hr="t" fillcolor="#a0a0a0" stroked="f"/>
        </w:pict>
      </w:r>
    </w:p>
    <w:p w:rsidR="00000000" w:rsidRDefault="000A7020">
      <w:pPr>
        <w:divId w:val="225994882"/>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342658989"/>
        <w:rPr>
          <w:rFonts w:eastAsia="Times New Roman"/>
        </w:rPr>
      </w:pPr>
    </w:p>
    <w:p w:rsidR="00000000" w:rsidRDefault="000A7020">
      <w:pPr>
        <w:jc w:val="center"/>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rPr>
          <w:rFonts w:eastAsia="Times New Roman"/>
        </w:rPr>
      </w:pPr>
      <w:r>
        <w:rPr>
          <w:rFonts w:eastAsia="Times New Roman"/>
          <w:b/>
          <w:bCs/>
          <w:color w:val="000000"/>
          <w:sz w:val="20"/>
          <w:szCs w:val="20"/>
        </w:rPr>
        <w:t>Condensed Consolidated Balance Sheets (Unaudited</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5616"/>
        <w:gridCol w:w="56"/>
        <w:gridCol w:w="135"/>
        <w:gridCol w:w="1054"/>
        <w:gridCol w:w="85"/>
        <w:gridCol w:w="36"/>
        <w:gridCol w:w="53"/>
        <w:gridCol w:w="36"/>
        <w:gridCol w:w="135"/>
        <w:gridCol w:w="959"/>
        <w:gridCol w:w="85"/>
      </w:tblGrid>
      <w:tr w:rsidR="00000000">
        <w:trPr>
          <w:divId w:val="2078358670"/>
        </w:trPr>
        <w:tc>
          <w:tcPr>
            <w:tcW w:w="50" w:type="pct"/>
            <w:vAlign w:val="center"/>
            <w:hideMark/>
          </w:tcPr>
          <w:p w:rsidR="00000000" w:rsidRDefault="000A7020">
            <w:pPr>
              <w:jc w:val="center"/>
              <w:rPr>
                <w:rFonts w:eastAsia="Times New Roman"/>
              </w:rPr>
            </w:pPr>
          </w:p>
        </w:tc>
        <w:tc>
          <w:tcPr>
            <w:tcW w:w="339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5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8"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9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2078358670"/>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millions, except per share amount</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Current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2078358670"/>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1,681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Accounts receivable, net of allowances of $54 and $44 as of June 30, 2020 and December 31, 2019, respectivel</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1,249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1,490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782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424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4,136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3,144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Property, plant and equipment, ne</w:t>
            </w:r>
            <w:r>
              <w:rPr>
                <w:rFonts w:eastAsia="Times New Roman"/>
                <w:color w:val="000000"/>
                <w:sz w:val="20"/>
                <w:szCs w:val="20"/>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394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413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Goodwil</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2,823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2,832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Intangibles,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562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Operating lease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347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Prepaid pension cos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182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849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656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asset</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9,949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8,987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Liabilities and stockholders’ equit</w:t>
            </w:r>
            <w:r>
              <w:rPr>
                <w:rFonts w:eastAsia="Times New Roman"/>
                <w:b/>
                <w:bCs/>
                <w:color w:val="000000"/>
                <w:sz w:val="20"/>
                <w:szCs w:val="20"/>
              </w:rPr>
              <w:t>y</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Current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2078358670"/>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Short-term borrowing</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217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Payroll and benefits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249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Contract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563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585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Total current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2,294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2,538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Long-term deb</w:t>
            </w:r>
            <w:r>
              <w:rPr>
                <w:rFonts w:eastAsia="Times New Roman"/>
                <w:color w:val="000000"/>
                <w:sz w:val="20"/>
                <w:szCs w:val="20"/>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4,473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Pension and indemnity plan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864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Postretirement and postemployment benefits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114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Income tax accrual</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Operating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334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lastRenderedPageBreak/>
              <w:t>Other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254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liabilitie</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8,424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7,485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Commitments and Contingencies (Note 9</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2078358670"/>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Series </w:t>
            </w:r>
            <w:r>
              <w:rPr>
                <w:rFonts w:eastAsia="Times New Roman"/>
                <w:color w:val="000000"/>
                <w:sz w:val="20"/>
                <w:szCs w:val="20"/>
              </w:rPr>
              <w:t>A convertible preferred stock: par value $0.01 per share, 3.0 shares authorized, 0.4 shares issued and outstanding as of June 30, 2020 and December 31, 2019, respectively; redemption amount and liquidation preference of $405 and $399 as of June 30, 2020 an</w:t>
            </w:r>
            <w:r>
              <w:rPr>
                <w:rFonts w:eastAsia="Times New Roman"/>
                <w:color w:val="000000"/>
                <w:sz w:val="20"/>
                <w:szCs w:val="20"/>
              </w:rPr>
              <w:t>d December 31, 2019, respectivel</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402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Stockholders’ equit</w:t>
            </w:r>
            <w:r>
              <w:rPr>
                <w:rFonts w:eastAsia="Times New Roman"/>
                <w:b/>
                <w:bCs/>
                <w:color w:val="000000"/>
                <w:sz w:val="20"/>
                <w:szCs w:val="20"/>
              </w:rPr>
              <w:t>y</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NCR stockholders’ equit</w:t>
            </w:r>
            <w:r>
              <w:rPr>
                <w:rFonts w:eastAsia="Times New Roman"/>
                <w:color w:val="000000"/>
                <w:sz w:val="20"/>
                <w:szCs w:val="20"/>
              </w:rPr>
              <w:t>y</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2078358670"/>
        </w:trPr>
        <w:tc>
          <w:tcPr>
            <w:tcW w:w="0" w:type="auto"/>
            <w:gridSpan w:val="3"/>
            <w:shd w:val="clear" w:color="auto" w:fill="CCEEFF"/>
            <w:tcMar>
              <w:top w:w="30" w:type="dxa"/>
              <w:left w:w="360" w:type="dxa"/>
              <w:bottom w:w="30" w:type="dxa"/>
              <w:right w:w="20" w:type="dxa"/>
            </w:tcMar>
            <w:hideMark/>
          </w:tcPr>
          <w:p w:rsidR="00000000" w:rsidRDefault="000A7020">
            <w:pPr>
              <w:jc w:val="both"/>
              <w:rPr>
                <w:rFonts w:eastAsia="Times New Roman"/>
              </w:rPr>
            </w:pPr>
            <w:r>
              <w:rPr>
                <w:rFonts w:eastAsia="Times New Roman"/>
                <w:color w:val="000000"/>
                <w:sz w:val="20"/>
                <w:szCs w:val="20"/>
              </w:rPr>
              <w:t>Preferred stock: par value $0.01 per share, 100.0 shares authorized, no shares issued and outstanding as of June 30, 2020 and December 31, 2019, respectivel</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360" w:type="dxa"/>
              <w:bottom w:w="30" w:type="dxa"/>
              <w:right w:w="20" w:type="dxa"/>
            </w:tcMar>
            <w:hideMark/>
          </w:tcPr>
          <w:p w:rsidR="00000000" w:rsidRDefault="000A7020">
            <w:pPr>
              <w:jc w:val="both"/>
              <w:rPr>
                <w:rFonts w:eastAsia="Times New Roman"/>
              </w:rPr>
            </w:pPr>
            <w:r>
              <w:rPr>
                <w:rFonts w:eastAsia="Times New Roman"/>
                <w:color w:val="000000"/>
                <w:sz w:val="20"/>
                <w:szCs w:val="20"/>
              </w:rPr>
              <w:t>Common stock: par value $0.01 per share, 500.0 shares authorized, 128.2 and 127.</w:t>
            </w:r>
            <w:r>
              <w:rPr>
                <w:rFonts w:eastAsia="Times New Roman"/>
                <w:color w:val="000000"/>
                <w:sz w:val="20"/>
                <w:szCs w:val="20"/>
              </w:rPr>
              <w:t>7 shares issued and outstanding as of June 30, 2020 and December 31, 2019, respectivel</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Paid-in capita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Retained earning</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1,134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Accumulated other comprehensive los</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(315</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(269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NCR stockholders’ equit</w:t>
            </w:r>
            <w:r>
              <w:rPr>
                <w:rFonts w:eastAsia="Times New Roman"/>
                <w:b/>
                <w:bCs/>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1,120</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1,104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Noncontrolling interests in subsidiarie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stockholders’ equit</w:t>
            </w:r>
            <w:r>
              <w:rPr>
                <w:rFonts w:eastAsia="Times New Roman"/>
                <w:b/>
                <w:bCs/>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1,123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1,107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2078358670"/>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liabilities and stockholders’ equit</w:t>
            </w:r>
            <w:r>
              <w:rPr>
                <w:rFonts w:eastAsia="Times New Roman"/>
                <w:b/>
                <w:bCs/>
                <w:color w:val="000000"/>
                <w:sz w:val="20"/>
                <w:szCs w:val="20"/>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9,949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8,987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bl>
    <w:p w:rsidR="00000000" w:rsidRDefault="000A7020">
      <w:pPr>
        <w:jc w:val="center"/>
        <w:divId w:val="521480119"/>
        <w:rPr>
          <w:rFonts w:eastAsia="Times New Roman"/>
        </w:rPr>
      </w:pPr>
      <w:r>
        <w:rPr>
          <w:rFonts w:eastAsia="Times New Roman"/>
          <w:color w:val="000000"/>
          <w:sz w:val="20"/>
          <w:szCs w:val="20"/>
        </w:rPr>
        <w:t>See Notes to Condensed Consolidated Financial Statements</w:t>
      </w:r>
      <w:r>
        <w:rPr>
          <w:rFonts w:eastAsia="Times New Roman"/>
          <w:color w:val="000000"/>
          <w:sz w:val="20"/>
          <w:szCs w:val="20"/>
        </w:rPr>
        <w:t>.</w:t>
      </w:r>
    </w:p>
    <w:p w:rsidR="00000000" w:rsidRDefault="000A7020">
      <w:pPr>
        <w:jc w:val="center"/>
        <w:divId w:val="786585897"/>
        <w:rPr>
          <w:rFonts w:eastAsia="Times New Roman"/>
        </w:rPr>
      </w:pPr>
      <w:r>
        <w:rPr>
          <w:rFonts w:eastAsia="Times New Roman"/>
          <w:color w:val="000000"/>
          <w:sz w:val="20"/>
          <w:szCs w:val="20"/>
        </w:rPr>
        <w:t>5</w:t>
      </w:r>
    </w:p>
    <w:p w:rsidR="00000000" w:rsidRDefault="000A7020">
      <w:pPr>
        <w:rPr>
          <w:rFonts w:eastAsia="Times New Roman"/>
        </w:rPr>
      </w:pPr>
      <w:r>
        <w:rPr>
          <w:rFonts w:eastAsia="Times New Roman"/>
        </w:rPr>
        <w:pict>
          <v:rect id="_x0000_i1030" style="width:0;height:1.5pt" o:hralign="center" o:hrstd="t" o:hr="t" fillcolor="#a0a0a0" stroked="f"/>
        </w:pict>
      </w:r>
    </w:p>
    <w:p w:rsidR="00000000" w:rsidRDefault="000A7020">
      <w:pPr>
        <w:divId w:val="598026394"/>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rPr>
          <w:rFonts w:eastAsia="Times New Roman"/>
        </w:rPr>
      </w:pPr>
      <w:r>
        <w:rPr>
          <w:rFonts w:eastAsia="Times New Roman"/>
          <w:b/>
          <w:bCs/>
          <w:color w:val="000000"/>
          <w:sz w:val="18"/>
          <w:szCs w:val="18"/>
        </w:rPr>
        <w:t>NCR Corporatio</w:t>
      </w:r>
      <w:r>
        <w:rPr>
          <w:rFonts w:eastAsia="Times New Roman"/>
          <w:b/>
          <w:bCs/>
          <w:color w:val="000000"/>
          <w:sz w:val="18"/>
          <w:szCs w:val="18"/>
        </w:rPr>
        <w:t>n</w:t>
      </w:r>
    </w:p>
    <w:p w:rsidR="00000000" w:rsidRDefault="000A7020">
      <w:pPr>
        <w:jc w:val="center"/>
        <w:rPr>
          <w:rFonts w:eastAsia="Times New Roman"/>
        </w:rPr>
      </w:pPr>
      <w:r>
        <w:rPr>
          <w:rFonts w:eastAsia="Times New Roman"/>
          <w:b/>
          <w:bCs/>
          <w:color w:val="000000"/>
          <w:sz w:val="18"/>
          <w:szCs w:val="18"/>
        </w:rPr>
        <w:t>Condensed Consolidated Statements of Cash Flows (Unaudited</w:t>
      </w:r>
      <w:r>
        <w:rPr>
          <w:rFonts w:eastAsia="Times New Roman"/>
          <w:b/>
          <w:bCs/>
          <w:color w:val="000000"/>
          <w:sz w:val="18"/>
          <w:szCs w:val="18"/>
        </w:rPr>
        <w:t>)</w:t>
      </w:r>
    </w:p>
    <w:p w:rsidR="00000000" w:rsidRDefault="000A7020">
      <w:pPr>
        <w:divId w:val="668870948"/>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2"/>
        <w:gridCol w:w="5177"/>
        <w:gridCol w:w="40"/>
        <w:gridCol w:w="135"/>
        <w:gridCol w:w="860"/>
        <w:gridCol w:w="85"/>
        <w:gridCol w:w="37"/>
        <w:gridCol w:w="303"/>
        <w:gridCol w:w="36"/>
        <w:gridCol w:w="135"/>
        <w:gridCol w:w="903"/>
        <w:gridCol w:w="85"/>
        <w:gridCol w:w="120"/>
        <w:gridCol w:w="120"/>
        <w:gridCol w:w="120"/>
        <w:gridCol w:w="36"/>
        <w:gridCol w:w="36"/>
        <w:gridCol w:w="36"/>
      </w:tblGrid>
      <w:tr w:rsidR="00000000">
        <w:trPr>
          <w:gridAfter w:val="6"/>
          <w:divId w:val="826366596"/>
        </w:trPr>
        <w:tc>
          <w:tcPr>
            <w:tcW w:w="50" w:type="pct"/>
            <w:vAlign w:val="center"/>
            <w:hideMark/>
          </w:tcPr>
          <w:p w:rsidR="00000000" w:rsidRDefault="000A7020">
            <w:pPr>
              <w:rPr>
                <w:rFonts w:eastAsia="Times New Roman"/>
              </w:rPr>
            </w:pPr>
          </w:p>
        </w:tc>
        <w:tc>
          <w:tcPr>
            <w:tcW w:w="338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2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3"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2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826366596"/>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826366596"/>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Operating activitie</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Adjustments to reconcile net income to net cash provided by operating activities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Loss from discontinued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Stock-based compensation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Impairment of 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Gain on sale of property, plant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Changes in assets and liabilities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585" w:type="dxa"/>
              <w:bottom w:w="30" w:type="dxa"/>
              <w:right w:w="20" w:type="dxa"/>
            </w:tcMar>
            <w:hideMark/>
          </w:tcPr>
          <w:p w:rsidR="00000000" w:rsidRDefault="000A7020">
            <w:pPr>
              <w:rPr>
                <w:rFonts w:eastAsia="Times New Roman"/>
              </w:rPr>
            </w:pPr>
            <w:r>
              <w:rPr>
                <w:rFonts w:eastAsia="Times New Roman"/>
                <w:color w:val="000000"/>
                <w:sz w:val="20"/>
                <w:szCs w:val="20"/>
              </w:rPr>
              <w:t>Receivable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253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585" w:type="dxa"/>
              <w:bottom w:w="30" w:type="dxa"/>
              <w:right w:w="20" w:type="dxa"/>
            </w:tcMar>
            <w:hideMark/>
          </w:tcPr>
          <w:p w:rsidR="00000000" w:rsidRDefault="000A7020">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585" w:type="dxa"/>
              <w:bottom w:w="30" w:type="dxa"/>
              <w:right w:w="20" w:type="dxa"/>
            </w:tcMar>
            <w:hideMark/>
          </w:tcPr>
          <w:p w:rsidR="00000000" w:rsidRDefault="000A7020">
            <w:pPr>
              <w:rPr>
                <w:rFonts w:eastAsia="Times New Roman"/>
              </w:rPr>
            </w:pPr>
            <w:r>
              <w:rPr>
                <w:rFonts w:eastAsia="Times New Roman"/>
                <w:color w:val="000000"/>
                <w:sz w:val="20"/>
                <w:szCs w:val="20"/>
              </w:rPr>
              <w:t>Current payables and 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(230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(144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585" w:type="dxa"/>
              <w:bottom w:w="30" w:type="dxa"/>
              <w:right w:w="20" w:type="dxa"/>
            </w:tcMar>
            <w:hideMark/>
          </w:tcPr>
          <w:p w:rsidR="00000000" w:rsidRDefault="000A7020">
            <w:pPr>
              <w:rPr>
                <w:rFonts w:eastAsia="Times New Roman"/>
              </w:rPr>
            </w:pPr>
            <w:r>
              <w:rPr>
                <w:rFonts w:eastAsia="Times New Roman"/>
                <w:color w:val="000000"/>
                <w:sz w:val="20"/>
                <w:szCs w:val="20"/>
              </w:rPr>
              <w:t>Contract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585" w:type="dxa"/>
              <w:bottom w:w="30" w:type="dxa"/>
              <w:right w:w="20" w:type="dxa"/>
            </w:tcMar>
            <w:hideMark/>
          </w:tcPr>
          <w:p w:rsidR="00000000" w:rsidRDefault="000A7020">
            <w:pPr>
              <w:rPr>
                <w:rFonts w:eastAsia="Times New Roman"/>
              </w:rPr>
            </w:pPr>
            <w:r>
              <w:rPr>
                <w:rFonts w:eastAsia="Times New Roman"/>
                <w:color w:val="000000"/>
                <w:sz w:val="20"/>
                <w:szCs w:val="20"/>
              </w:rPr>
              <w:t>Employee benefit plan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585" w:type="dxa"/>
              <w:bottom w:w="30" w:type="dxa"/>
              <w:right w:w="20" w:type="dxa"/>
            </w:tcMar>
            <w:hideMark/>
          </w:tcPr>
          <w:p w:rsidR="00000000" w:rsidRDefault="000A7020">
            <w:pPr>
              <w:rPr>
                <w:rFonts w:eastAsia="Times New Roman"/>
              </w:rPr>
            </w:pPr>
            <w:r>
              <w:rPr>
                <w:rFonts w:eastAsia="Times New Roman"/>
                <w:color w:val="000000"/>
                <w:sz w:val="20"/>
                <w:szCs w:val="20"/>
              </w:rPr>
              <w:t>Other assets and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Net cash provided by operating activitie</w:t>
            </w:r>
            <w:r>
              <w:rPr>
                <w:rFonts w:eastAsia="Times New Roman"/>
                <w:b/>
                <w:bCs/>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283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Investing activitie</w:t>
            </w:r>
            <w:r>
              <w:rPr>
                <w:rFonts w:eastAsia="Times New Roman"/>
                <w:b/>
                <w:bCs/>
                <w:color w:val="000000"/>
                <w:sz w:val="20"/>
                <w:szCs w:val="20"/>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Expenditures for property, plant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(18</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Proceeds from sale of property, plant and equipmen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Additions to capitalized softwar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Business acquisitions,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Purchases of investment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Proceeds from sales of investment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Other investing activities,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Net cash used in investing activitie</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(154</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(134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Financing activitie</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Short term borrowings,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Payments on term credit facilitie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Payments on revolving credit facilitie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(666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(914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Borrowings on term credit facilitie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Borrowings on revolving credit facilitie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1,404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Proceeds from issuance of senior unsecured note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Debt issuance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Series A Preferred Stock Dividend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Repurchases of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Proceeds from employee stock plan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Tax withholding payments on behalf of employee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Net change in client funds obligation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Other financing activitie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Net cash provided by (used in) financing activitie</w:t>
            </w:r>
            <w:r>
              <w:rPr>
                <w:rFonts w:eastAsia="Times New Roman"/>
                <w:b/>
                <w:bCs/>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1,057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Cash flows from discontinued operation</w:t>
            </w:r>
            <w:r>
              <w:rPr>
                <w:rFonts w:eastAsia="Times New Roman"/>
                <w:b/>
                <w:bCs/>
                <w:color w:val="000000"/>
                <w:sz w:val="20"/>
                <w:szCs w:val="20"/>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Net cash provided by (used in) operating activitie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Effect of exchange rate changes on cash, cash equivalents and 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Increase (decrease) in cash, cash equivalents, and restricted cas</w:t>
            </w:r>
            <w:r>
              <w:rPr>
                <w:rFonts w:eastAsia="Times New Roman"/>
                <w:color w:val="000000"/>
                <w:sz w:val="20"/>
                <w:szCs w:val="20"/>
              </w:rPr>
              <w:t>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1,176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(131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Cash, cash equivalents and restricted cash at beginning of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563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26366596"/>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Cash, cash equivalents and restricted cash at end of perio</w:t>
            </w:r>
            <w:r>
              <w:rPr>
                <w:rFonts w:eastAsia="Times New Roman"/>
                <w:b/>
                <w:bCs/>
                <w:color w:val="000000"/>
                <w:sz w:val="20"/>
                <w:szCs w:val="20"/>
              </w:rPr>
              <w:t>d</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1,739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divId w:val="169224982"/>
        <w:rPr>
          <w:rFonts w:eastAsia="Times New Roman"/>
        </w:rPr>
      </w:pPr>
      <w:r>
        <w:rPr>
          <w:rFonts w:eastAsia="Times New Roman"/>
          <w:color w:val="000000"/>
          <w:sz w:val="20"/>
          <w:szCs w:val="20"/>
        </w:rPr>
        <w:t>See Notes to Condensed Consolidated Financial Statements</w:t>
      </w:r>
      <w:r>
        <w:rPr>
          <w:rFonts w:eastAsia="Times New Roman"/>
          <w:color w:val="000000"/>
          <w:sz w:val="20"/>
          <w:szCs w:val="20"/>
        </w:rPr>
        <w:t>.</w:t>
      </w:r>
    </w:p>
    <w:p w:rsidR="00000000" w:rsidRDefault="000A7020">
      <w:pPr>
        <w:jc w:val="center"/>
        <w:divId w:val="1839029785"/>
        <w:rPr>
          <w:rFonts w:eastAsia="Times New Roman"/>
        </w:rPr>
      </w:pPr>
      <w:r>
        <w:rPr>
          <w:rFonts w:eastAsia="Times New Roman"/>
          <w:color w:val="000000"/>
          <w:sz w:val="20"/>
          <w:szCs w:val="20"/>
        </w:rPr>
        <w:t>6</w:t>
      </w:r>
    </w:p>
    <w:p w:rsidR="00000000" w:rsidRDefault="000A7020">
      <w:pPr>
        <w:rPr>
          <w:rFonts w:eastAsia="Times New Roman"/>
        </w:rPr>
      </w:pPr>
      <w:r>
        <w:rPr>
          <w:rFonts w:eastAsia="Times New Roman"/>
        </w:rPr>
        <w:pict>
          <v:rect id="_x0000_i1031" style="width:0;height:1.5pt" o:hralign="center" o:hrstd="t" o:hr="t" fillcolor="#a0a0a0" stroked="f"/>
        </w:pict>
      </w:r>
    </w:p>
    <w:p w:rsidR="00000000" w:rsidRDefault="000A7020">
      <w:pPr>
        <w:divId w:val="1592468941"/>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rPr>
          <w:rFonts w:eastAsia="Times New Roman"/>
        </w:rPr>
      </w:pPr>
      <w:r>
        <w:rPr>
          <w:rFonts w:eastAsia="Times New Roman"/>
          <w:b/>
          <w:bCs/>
          <w:color w:val="000000"/>
          <w:sz w:val="20"/>
          <w:szCs w:val="20"/>
        </w:rPr>
        <w:t>Condensed Consolidated Statements of Changes in Stockholder's Equity (Unaudited</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345"/>
        <w:gridCol w:w="39"/>
        <w:gridCol w:w="36"/>
        <w:gridCol w:w="36"/>
        <w:gridCol w:w="36"/>
        <w:gridCol w:w="72"/>
        <w:gridCol w:w="360"/>
        <w:gridCol w:w="76"/>
        <w:gridCol w:w="37"/>
        <w:gridCol w:w="37"/>
        <w:gridCol w:w="37"/>
        <w:gridCol w:w="117"/>
        <w:gridCol w:w="434"/>
        <w:gridCol w:w="83"/>
        <w:gridCol w:w="36"/>
        <w:gridCol w:w="36"/>
        <w:gridCol w:w="36"/>
        <w:gridCol w:w="116"/>
        <w:gridCol w:w="382"/>
        <w:gridCol w:w="82"/>
        <w:gridCol w:w="36"/>
        <w:gridCol w:w="36"/>
        <w:gridCol w:w="36"/>
        <w:gridCol w:w="116"/>
        <w:gridCol w:w="486"/>
        <w:gridCol w:w="88"/>
        <w:gridCol w:w="36"/>
        <w:gridCol w:w="36"/>
        <w:gridCol w:w="36"/>
        <w:gridCol w:w="115"/>
        <w:gridCol w:w="362"/>
        <w:gridCol w:w="75"/>
        <w:gridCol w:w="36"/>
        <w:gridCol w:w="36"/>
        <w:gridCol w:w="36"/>
        <w:gridCol w:w="116"/>
        <w:gridCol w:w="926"/>
        <w:gridCol w:w="90"/>
        <w:gridCol w:w="36"/>
        <w:gridCol w:w="36"/>
        <w:gridCol w:w="36"/>
        <w:gridCol w:w="149"/>
        <w:gridCol w:w="775"/>
        <w:gridCol w:w="148"/>
        <w:gridCol w:w="36"/>
        <w:gridCol w:w="36"/>
        <w:gridCol w:w="36"/>
        <w:gridCol w:w="135"/>
        <w:gridCol w:w="135"/>
        <w:gridCol w:w="135"/>
        <w:gridCol w:w="36"/>
        <w:gridCol w:w="36"/>
        <w:gridCol w:w="36"/>
        <w:gridCol w:w="36"/>
        <w:gridCol w:w="36"/>
        <w:gridCol w:w="36"/>
        <w:gridCol w:w="36"/>
        <w:gridCol w:w="36"/>
        <w:gridCol w:w="36"/>
        <w:gridCol w:w="36"/>
        <w:gridCol w:w="36"/>
        <w:gridCol w:w="46"/>
      </w:tblGrid>
      <w:tr w:rsidR="00000000">
        <w:trPr>
          <w:gridAfter w:val="18"/>
          <w:divId w:val="443696018"/>
          <w:jc w:val="center"/>
        </w:trPr>
        <w:tc>
          <w:tcPr>
            <w:tcW w:w="50" w:type="pct"/>
            <w:vAlign w:val="center"/>
            <w:hideMark/>
          </w:tcPr>
          <w:p w:rsidR="00000000" w:rsidRDefault="000A7020">
            <w:pPr>
              <w:jc w:val="center"/>
              <w:rPr>
                <w:rFonts w:eastAsia="Times New Roman"/>
              </w:rPr>
            </w:pPr>
          </w:p>
        </w:tc>
        <w:tc>
          <w:tcPr>
            <w:tcW w:w="166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5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5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3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7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8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6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443696018"/>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NCR Stockholder</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443696018"/>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Accumulated Other Comprehensive (Loss) Incom</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Non-Redeemable Noncontrolling Interests in Subsidiarie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Share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Paid-in Capita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Retained Earning</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vMerge/>
            <w:tcBorders>
              <w:top w:val="single" w:sz="8" w:space="0" w:color="000000"/>
            </w:tcBorders>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Merge/>
            <w:vAlign w:val="center"/>
            <w:hideMark/>
          </w:tcPr>
          <w:p w:rsidR="00000000" w:rsidRDefault="000A7020">
            <w:pP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A7020">
        <w:trPr>
          <w:divId w:val="443696018"/>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127</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312</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1,060</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(269</w:t>
            </w: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3</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1,107</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Comprehensive income</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     Net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23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24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     Other comprehensive income (loss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(60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(61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Total comprehensive income (loss</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23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(60</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(37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Employee stock purchase and stock compensation plan</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Series A convertible preferred stock dividend</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Repurchase of Company common stoc</w:t>
            </w:r>
            <w:r>
              <w:rPr>
                <w:rFonts w:eastAsia="Times New Roman"/>
                <w:color w:val="000000"/>
                <w:sz w:val="16"/>
                <w:szCs w:val="16"/>
              </w:rPr>
              <w:t>k</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(41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(41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March 31, 202</w:t>
            </w:r>
            <w:r>
              <w:rPr>
                <w:rFonts w:eastAsia="Times New Roman"/>
                <w:b/>
                <w:bCs/>
                <w:color w:val="000000"/>
                <w:sz w:val="16"/>
                <w:szCs w:val="16"/>
              </w:rPr>
              <w:t>0</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127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275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1,077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(329</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1,027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Comprehensive income</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     Net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64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64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     Other comprehensive incom</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Total comprehensive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64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78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Employee stock purchase and stock compensation plan</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25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25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Series A convertible preferred stock dividend</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A7020">
        <w:trPr>
          <w:divId w:val="443696018"/>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128</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300</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1,134</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(315</w:t>
            </w: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3</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1,123</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43696018"/>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rPr>
          <w:rFonts w:eastAsia="Times New Roman"/>
        </w:rPr>
      </w:pPr>
      <w:r>
        <w:rPr>
          <w:rFonts w:eastAsia="Times New Roman"/>
          <w:color w:val="000000"/>
          <w:sz w:val="20"/>
          <w:szCs w:val="20"/>
        </w:rPr>
        <w:t>See Notes to Condensed Consolidated Financial Statemen</w:t>
      </w:r>
      <w:r>
        <w:rPr>
          <w:rFonts w:eastAsia="Times New Roman"/>
          <w:color w:val="000000"/>
          <w:sz w:val="20"/>
          <w:szCs w:val="20"/>
        </w:rPr>
        <w:t>ts</w:t>
      </w:r>
      <w:r>
        <w:rPr>
          <w:rFonts w:eastAsia="Times New Roman"/>
          <w:color w:val="000000"/>
          <w:sz w:val="20"/>
          <w:szCs w:val="20"/>
        </w:rPr>
        <w:t>.</w:t>
      </w:r>
    </w:p>
    <w:p w:rsidR="00000000" w:rsidRDefault="000A7020">
      <w:pPr>
        <w:jc w:val="center"/>
        <w:rPr>
          <w:rFonts w:eastAsia="Times New Roman"/>
        </w:rPr>
      </w:pPr>
    </w:p>
    <w:p w:rsidR="00000000" w:rsidRDefault="000A7020">
      <w:pPr>
        <w:jc w:val="center"/>
        <w:rPr>
          <w:rFonts w:eastAsia="Times New Roman"/>
        </w:rPr>
      </w:pPr>
    </w:p>
    <w:p w:rsidR="00000000" w:rsidRDefault="000A7020">
      <w:pPr>
        <w:jc w:val="center"/>
        <w:divId w:val="1339112146"/>
        <w:rPr>
          <w:rFonts w:eastAsia="Times New Roman"/>
        </w:rPr>
      </w:pPr>
      <w:r>
        <w:rPr>
          <w:rFonts w:eastAsia="Times New Roman"/>
          <w:color w:val="000000"/>
          <w:sz w:val="20"/>
          <w:szCs w:val="20"/>
        </w:rPr>
        <w:t>7</w:t>
      </w:r>
    </w:p>
    <w:p w:rsidR="00000000" w:rsidRDefault="000A7020">
      <w:pPr>
        <w:rPr>
          <w:rFonts w:eastAsia="Times New Roman"/>
        </w:rPr>
      </w:pPr>
      <w:r>
        <w:rPr>
          <w:rFonts w:eastAsia="Times New Roman"/>
        </w:rPr>
        <w:pict>
          <v:rect id="_x0000_i1032" style="width:0;height:1.5pt" o:hralign="center" o:hrstd="t" o:hr="t" fillcolor="#a0a0a0" stroked="f"/>
        </w:pict>
      </w:r>
    </w:p>
    <w:p w:rsidR="00000000" w:rsidRDefault="000A7020">
      <w:pPr>
        <w:divId w:val="481581384"/>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rPr>
          <w:rFonts w:eastAsia="Times New Roman"/>
        </w:rPr>
      </w:pPr>
    </w:p>
    <w:p w:rsidR="00000000" w:rsidRDefault="000A7020">
      <w:pPr>
        <w:jc w:val="center"/>
        <w:rPr>
          <w:rFonts w:eastAsia="Times New Roman"/>
        </w:rPr>
      </w:pPr>
    </w:p>
    <w:p w:rsidR="00000000" w:rsidRDefault="000A7020">
      <w:pPr>
        <w:jc w:val="center"/>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rPr>
          <w:rFonts w:eastAsia="Times New Roman"/>
        </w:rPr>
      </w:pPr>
      <w:r>
        <w:rPr>
          <w:rFonts w:eastAsia="Times New Roman"/>
          <w:b/>
          <w:bCs/>
          <w:color w:val="000000"/>
          <w:sz w:val="20"/>
          <w:szCs w:val="20"/>
        </w:rPr>
        <w:t>Condensed Consolidated Statements of Changes in Stockholder's Equity (Unaudited) - (Continued</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346"/>
        <w:gridCol w:w="39"/>
        <w:gridCol w:w="36"/>
        <w:gridCol w:w="36"/>
        <w:gridCol w:w="36"/>
        <w:gridCol w:w="71"/>
        <w:gridCol w:w="362"/>
        <w:gridCol w:w="76"/>
        <w:gridCol w:w="37"/>
        <w:gridCol w:w="37"/>
        <w:gridCol w:w="36"/>
        <w:gridCol w:w="116"/>
        <w:gridCol w:w="434"/>
        <w:gridCol w:w="83"/>
        <w:gridCol w:w="36"/>
        <w:gridCol w:w="36"/>
        <w:gridCol w:w="36"/>
        <w:gridCol w:w="116"/>
        <w:gridCol w:w="382"/>
        <w:gridCol w:w="82"/>
        <w:gridCol w:w="36"/>
        <w:gridCol w:w="36"/>
        <w:gridCol w:w="36"/>
        <w:gridCol w:w="116"/>
        <w:gridCol w:w="486"/>
        <w:gridCol w:w="88"/>
        <w:gridCol w:w="36"/>
        <w:gridCol w:w="36"/>
        <w:gridCol w:w="36"/>
        <w:gridCol w:w="115"/>
        <w:gridCol w:w="362"/>
        <w:gridCol w:w="75"/>
        <w:gridCol w:w="36"/>
        <w:gridCol w:w="36"/>
        <w:gridCol w:w="36"/>
        <w:gridCol w:w="116"/>
        <w:gridCol w:w="926"/>
        <w:gridCol w:w="90"/>
        <w:gridCol w:w="36"/>
        <w:gridCol w:w="36"/>
        <w:gridCol w:w="36"/>
        <w:gridCol w:w="149"/>
        <w:gridCol w:w="775"/>
        <w:gridCol w:w="148"/>
        <w:gridCol w:w="36"/>
        <w:gridCol w:w="36"/>
        <w:gridCol w:w="36"/>
        <w:gridCol w:w="135"/>
        <w:gridCol w:w="135"/>
        <w:gridCol w:w="135"/>
        <w:gridCol w:w="36"/>
        <w:gridCol w:w="36"/>
        <w:gridCol w:w="36"/>
        <w:gridCol w:w="36"/>
        <w:gridCol w:w="36"/>
        <w:gridCol w:w="36"/>
        <w:gridCol w:w="36"/>
        <w:gridCol w:w="36"/>
        <w:gridCol w:w="36"/>
        <w:gridCol w:w="36"/>
        <w:gridCol w:w="36"/>
        <w:gridCol w:w="46"/>
      </w:tblGrid>
      <w:tr w:rsidR="00000000">
        <w:trPr>
          <w:gridAfter w:val="18"/>
          <w:divId w:val="1328555625"/>
          <w:jc w:val="center"/>
        </w:trPr>
        <w:tc>
          <w:tcPr>
            <w:tcW w:w="50" w:type="pct"/>
            <w:vAlign w:val="center"/>
            <w:hideMark/>
          </w:tcPr>
          <w:p w:rsidR="00000000" w:rsidRDefault="000A7020">
            <w:pPr>
              <w:jc w:val="center"/>
              <w:rPr>
                <w:rFonts w:eastAsia="Times New Roman"/>
              </w:rPr>
            </w:pPr>
          </w:p>
        </w:tc>
        <w:tc>
          <w:tcPr>
            <w:tcW w:w="166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5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5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3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7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8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6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328555625"/>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NCR Stockholder</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1328555625"/>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Accumulated Other Comprehensive (Loss) Incom</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Non-Redeemable Noncontrolling Interests in Subsidiarie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Share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Paid-in Capita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Retained Earning</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vMerge/>
            <w:tcBorders>
              <w:top w:val="single" w:sz="8" w:space="0" w:color="000000"/>
            </w:tcBorders>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Merge/>
            <w:vAlign w:val="center"/>
            <w:hideMark/>
          </w:tcPr>
          <w:p w:rsidR="00000000" w:rsidRDefault="000A7020">
            <w:pP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A7020">
        <w:trPr>
          <w:divId w:val="132855562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December 31, 201</w:t>
            </w:r>
            <w:r>
              <w:rPr>
                <w:rFonts w:eastAsia="Times New Roman"/>
                <w:b/>
                <w:bCs/>
                <w:color w:val="000000"/>
                <w:sz w:val="16"/>
                <w:szCs w:val="16"/>
              </w:rPr>
              <w:t>8</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119</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34</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606</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(246</w:t>
            </w: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4</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399</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Comprehensive income</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     Net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37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38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r>
              <w:rPr>
                <w:rFonts w:eastAsia="Times New Roman"/>
                <w:color w:val="000000"/>
                <w:sz w:val="16"/>
                <w:szCs w:val="16"/>
              </w:rPr>
              <w:t> Other comprehensive incom</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Total comprehensive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37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54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Employee stock purchase and stock compensation plan</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Series A convertible preferred stock dividend</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March 31, 201</w:t>
            </w:r>
            <w:r>
              <w:rPr>
                <w:rFonts w:eastAsia="Times New Roman"/>
                <w:b/>
                <w:bCs/>
                <w:color w:val="000000"/>
                <w:sz w:val="16"/>
                <w:szCs w:val="16"/>
              </w:rPr>
              <w:t>9</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120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48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630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(230</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454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Comprehensive income</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     Net incom</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     Other comprehensive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Total comprehensive incom</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88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(11</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77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Employee stock purchase and stock compensation plan</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28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28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FFFF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Repurchase of Common Stoc</w:t>
            </w:r>
            <w:r>
              <w:rPr>
                <w:rFonts w:eastAsia="Times New Roman"/>
                <w:color w:val="000000"/>
                <w:sz w:val="16"/>
                <w:szCs w:val="16"/>
              </w:rPr>
              <w:t>k</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shd w:val="clear" w:color="auto" w:fill="CCEEFF"/>
            <w:tcMar>
              <w:top w:w="30" w:type="dxa"/>
              <w:left w:w="135" w:type="dxa"/>
              <w:bottom w:w="30" w:type="dxa"/>
              <w:right w:w="20" w:type="dxa"/>
            </w:tcMar>
            <w:vAlign w:val="bottom"/>
            <w:hideMark/>
          </w:tcPr>
          <w:p w:rsidR="00000000" w:rsidRDefault="000A7020">
            <w:pPr>
              <w:rPr>
                <w:rFonts w:eastAsia="Times New Roman"/>
              </w:rPr>
            </w:pPr>
            <w:r>
              <w:rPr>
                <w:rFonts w:eastAsia="Times New Roman"/>
                <w:color w:val="000000"/>
                <w:sz w:val="16"/>
                <w:szCs w:val="16"/>
              </w:rPr>
              <w:t>Series A convertible preferred stock dividend</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16"/>
                <w:szCs w:val="16"/>
              </w:rPr>
              <w:t>(12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A7020">
        <w:trPr>
          <w:divId w:val="1328555625"/>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June 30, 201</w:t>
            </w:r>
            <w:r>
              <w:rPr>
                <w:rFonts w:eastAsia="Times New Roman"/>
                <w:b/>
                <w:bCs/>
                <w:color w:val="000000"/>
                <w:sz w:val="16"/>
                <w:szCs w:val="16"/>
              </w:rPr>
              <w:t>9</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120</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1</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76</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706</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(241</w:t>
            </w: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5</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16"/>
                <w:szCs w:val="16"/>
              </w:rPr>
              <w:t>547</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16"/>
                <w:szCs w:val="16"/>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28555625"/>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rPr>
          <w:rFonts w:eastAsia="Times New Roman"/>
        </w:rPr>
      </w:pPr>
      <w:r>
        <w:rPr>
          <w:rFonts w:eastAsia="Times New Roman"/>
          <w:color w:val="000000"/>
          <w:sz w:val="20"/>
          <w:szCs w:val="20"/>
        </w:rPr>
        <w:t>See Notes to Condensed Consolidated Financial Statements</w:t>
      </w:r>
      <w:r>
        <w:rPr>
          <w:rFonts w:eastAsia="Times New Roman"/>
          <w:color w:val="000000"/>
          <w:sz w:val="20"/>
          <w:szCs w:val="20"/>
        </w:rPr>
        <w:t>.</w:t>
      </w:r>
    </w:p>
    <w:p w:rsidR="00000000" w:rsidRDefault="000A7020">
      <w:pPr>
        <w:jc w:val="center"/>
        <w:rPr>
          <w:rFonts w:eastAsia="Times New Roman"/>
        </w:rPr>
      </w:pPr>
    </w:p>
    <w:p w:rsidR="00000000" w:rsidRDefault="000A7020">
      <w:pPr>
        <w:divId w:val="630523806"/>
        <w:rPr>
          <w:rFonts w:eastAsia="Times New Roman"/>
        </w:rPr>
      </w:pPr>
    </w:p>
    <w:p w:rsidR="00000000" w:rsidRDefault="000A7020">
      <w:pPr>
        <w:jc w:val="center"/>
        <w:divId w:val="1297029717"/>
        <w:rPr>
          <w:rFonts w:eastAsia="Times New Roman"/>
        </w:rPr>
      </w:pPr>
      <w:r>
        <w:rPr>
          <w:rFonts w:eastAsia="Times New Roman"/>
          <w:color w:val="000000"/>
          <w:sz w:val="20"/>
          <w:szCs w:val="20"/>
        </w:rPr>
        <w:t>8</w:t>
      </w:r>
    </w:p>
    <w:p w:rsidR="00000000" w:rsidRDefault="000A7020">
      <w:pPr>
        <w:rPr>
          <w:rFonts w:eastAsia="Times New Roman"/>
        </w:rPr>
      </w:pPr>
      <w:r>
        <w:rPr>
          <w:rFonts w:eastAsia="Times New Roman"/>
        </w:rPr>
        <w:pict>
          <v:rect id="_x0000_i1033" style="width:0;height:1.5pt" o:hralign="center" o:hrstd="t" o:hr="t" fillcolor="#a0a0a0" stroked="f"/>
        </w:pict>
      </w:r>
    </w:p>
    <w:p w:rsidR="00000000" w:rsidRDefault="000A7020">
      <w:pPr>
        <w:divId w:val="1365210224"/>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301349021"/>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0A7020">
      <w:pPr>
        <w:jc w:val="center"/>
        <w:divId w:val="2076513362"/>
        <w:rPr>
          <w:rFonts w:eastAsia="Times New Roman"/>
        </w:rPr>
      </w:pPr>
    </w:p>
    <w:p w:rsidR="00000000" w:rsidRDefault="000A7020">
      <w:pPr>
        <w:jc w:val="center"/>
        <w:rPr>
          <w:rFonts w:eastAsia="Times New Roman"/>
        </w:rPr>
      </w:pPr>
      <w:r>
        <w:rPr>
          <w:rFonts w:eastAsia="Times New Roman"/>
          <w:b/>
          <w:bCs/>
          <w:color w:val="000000"/>
          <w:sz w:val="20"/>
          <w:szCs w:val="20"/>
        </w:rPr>
        <w:t>Index to Financial Statements and Supplemental Dat</w:t>
      </w:r>
      <w:r>
        <w:rPr>
          <w:rFonts w:eastAsia="Times New Roman"/>
          <w:b/>
          <w:bCs/>
          <w:color w:val="000000"/>
          <w:sz w:val="20"/>
          <w:szCs w:val="20"/>
        </w:rPr>
        <w:t>a</w:t>
      </w:r>
    </w:p>
    <w:tbl>
      <w:tblPr>
        <w:tblW w:w="5000" w:type="pct"/>
        <w:jc w:val="center"/>
        <w:tblCellMar>
          <w:top w:w="15" w:type="dxa"/>
          <w:left w:w="15" w:type="dxa"/>
          <w:bottom w:w="15" w:type="dxa"/>
          <w:right w:w="15" w:type="dxa"/>
        </w:tblCellMar>
        <w:tblLook w:val="04A0" w:firstRow="1" w:lastRow="0" w:firstColumn="1" w:lastColumn="0" w:noHBand="0" w:noVBand="1"/>
      </w:tblPr>
      <w:tblGrid>
        <w:gridCol w:w="83"/>
        <w:gridCol w:w="8140"/>
        <w:gridCol w:w="83"/>
      </w:tblGrid>
      <w:tr w:rsidR="00000000">
        <w:trPr>
          <w:divId w:val="506871440"/>
          <w:jc w:val="center"/>
        </w:trPr>
        <w:tc>
          <w:tcPr>
            <w:tcW w:w="50" w:type="pct"/>
            <w:vAlign w:val="center"/>
            <w:hideMark/>
          </w:tcPr>
          <w:p w:rsidR="00000000" w:rsidRDefault="000A7020">
            <w:pPr>
              <w:jc w:val="center"/>
              <w:rPr>
                <w:rFonts w:eastAsia="Times New Roman"/>
              </w:rPr>
            </w:pPr>
          </w:p>
        </w:tc>
        <w:tc>
          <w:tcPr>
            <w:tcW w:w="490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506871440"/>
          <w:trHeight w:val="300"/>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238095849"/>
              <w:rPr>
                <w:rFonts w:eastAsia="Times New Roman"/>
              </w:rPr>
            </w:pPr>
            <w:hyperlink w:anchor="ic0df5956a4b14938a5c94b8fe25f3429_37" w:history="1">
              <w:r>
                <w:rPr>
                  <w:rStyle w:val="a3"/>
                  <w:rFonts w:eastAsia="Times New Roman"/>
                  <w:sz w:val="20"/>
                  <w:szCs w:val="20"/>
                </w:rPr>
                <w:t>Note 1. Basis of Presentation and Summary of Significant Accounting Policies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488981983"/>
              <w:rPr>
                <w:rFonts w:eastAsia="Times New Roman"/>
              </w:rPr>
            </w:pPr>
            <w:hyperlink w:anchor="ic0df5956a4b14938a5c94b8fe25f3429_1604" w:history="1">
              <w:r>
                <w:rPr>
                  <w:rStyle w:val="a3"/>
                  <w:rFonts w:eastAsia="Times New Roman"/>
                  <w:sz w:val="20"/>
                  <w:szCs w:val="20"/>
                </w:rPr>
                <w:t>Note 2. Revisions to Previously Issued Financial Statements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341710600"/>
              <w:rPr>
                <w:rFonts w:eastAsia="Times New Roman"/>
              </w:rPr>
            </w:pPr>
            <w:hyperlink w:anchor="ic0df5956a4b14938a5c94b8fe25f3429_1504" w:history="1">
              <w:r>
                <w:rPr>
                  <w:rStyle w:val="a3"/>
                  <w:rFonts w:eastAsia="Times New Roman"/>
                  <w:sz w:val="20"/>
                  <w:szCs w:val="20"/>
                </w:rPr>
                <w:t>Note 3. Business Combinations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383066006"/>
              <w:rPr>
                <w:rFonts w:eastAsia="Times New Roman"/>
              </w:rPr>
            </w:pPr>
            <w:hyperlink w:anchor="ic0df5956a4b14938a5c94b8fe25f3429_46" w:history="1">
              <w:r>
                <w:rPr>
                  <w:rStyle w:val="a3"/>
                  <w:rFonts w:eastAsia="Times New Roman"/>
                  <w:sz w:val="20"/>
                  <w:szCs w:val="20"/>
                </w:rPr>
                <w:t>Note 4. Goodwill and Long-Lived Assets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1008867381"/>
              <w:rPr>
                <w:rFonts w:eastAsia="Times New Roman"/>
              </w:rPr>
            </w:pPr>
            <w:hyperlink w:anchor="ic0df5956a4b14938a5c94b8fe25f3429_52" w:history="1">
              <w:r>
                <w:rPr>
                  <w:rStyle w:val="a3"/>
                  <w:rFonts w:eastAsia="Times New Roman"/>
                  <w:sz w:val="20"/>
                  <w:szCs w:val="20"/>
                </w:rPr>
                <w:t>Note 5. Debt Obligations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927690798"/>
              <w:rPr>
                <w:rFonts w:eastAsia="Times New Roman"/>
              </w:rPr>
            </w:pPr>
            <w:hyperlink w:anchor="ic0df5956a4b14938a5c94b8fe25f3429_58" w:history="1">
              <w:r>
                <w:rPr>
                  <w:rStyle w:val="a3"/>
                  <w:rFonts w:eastAsia="Times New Roman"/>
                  <w:sz w:val="20"/>
                  <w:szCs w:val="20"/>
                </w:rPr>
                <w:t>Note 6. I</w:t>
              </w:r>
              <w:r>
                <w:rPr>
                  <w:rStyle w:val="a3"/>
                  <w:rFonts w:eastAsia="Times New Roman"/>
                  <w:sz w:val="20"/>
                  <w:szCs w:val="20"/>
                </w:rPr>
                <w:t>ncome Taxes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1028919052"/>
              <w:rPr>
                <w:rFonts w:eastAsia="Times New Roman"/>
              </w:rPr>
            </w:pPr>
            <w:hyperlink w:anchor="ic0df5956a4b14938a5c94b8fe25f3429_64" w:history="1">
              <w:r>
                <w:rPr>
                  <w:rStyle w:val="a3"/>
                  <w:rFonts w:eastAsia="Times New Roman"/>
                  <w:sz w:val="20"/>
                  <w:szCs w:val="20"/>
                </w:rPr>
                <w:t>Note 7. Stock Compensation Plans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1111586612"/>
              <w:rPr>
                <w:rFonts w:eastAsia="Times New Roman"/>
              </w:rPr>
            </w:pPr>
            <w:hyperlink w:anchor="ic0df5956a4b14938a5c94b8fe25f3429_70" w:history="1">
              <w:r>
                <w:rPr>
                  <w:rStyle w:val="a3"/>
                  <w:rFonts w:eastAsia="Times New Roman"/>
                  <w:sz w:val="20"/>
                  <w:szCs w:val="20"/>
                </w:rPr>
                <w:t>Note 8. Employee Benefit Plans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648485803"/>
              <w:rPr>
                <w:rFonts w:eastAsia="Times New Roman"/>
              </w:rPr>
            </w:pPr>
            <w:hyperlink w:anchor="ic0df5956a4b14938a5c94b8fe25f3429_73" w:history="1">
              <w:r>
                <w:rPr>
                  <w:rStyle w:val="a3"/>
                  <w:rFonts w:eastAsia="Times New Roman"/>
                  <w:sz w:val="20"/>
                  <w:szCs w:val="20"/>
                </w:rPr>
                <w:t>Note 9. Commitments and Contingencies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2064136992"/>
              <w:rPr>
                <w:rFonts w:eastAsia="Times New Roman"/>
              </w:rPr>
            </w:pPr>
            <w:hyperlink w:anchor="ic0df5956a4b14938a5c94b8fe25f3429_79" w:history="1">
              <w:r>
                <w:rPr>
                  <w:rStyle w:val="a3"/>
                  <w:rFonts w:eastAsia="Times New Roman"/>
                  <w:sz w:val="20"/>
                  <w:szCs w:val="20"/>
                </w:rPr>
                <w:t>Note 10. Leasing</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1372220668"/>
              <w:rPr>
                <w:rFonts w:eastAsia="Times New Roman"/>
              </w:rPr>
            </w:pPr>
            <w:hyperlink w:anchor="ic0df5956a4b14938a5c94b8fe25f3429_82" w:history="1">
              <w:r>
                <w:rPr>
                  <w:rStyle w:val="a3"/>
                  <w:rFonts w:eastAsia="Times New Roman"/>
                  <w:sz w:val="20"/>
                  <w:szCs w:val="20"/>
                </w:rPr>
                <w:t>Note 11. Series A Convertible Preferred Stock</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644892777"/>
              <w:rPr>
                <w:rFonts w:eastAsia="Times New Roman"/>
              </w:rPr>
            </w:pPr>
            <w:hyperlink w:anchor="ic0df5956a4b14938a5c94b8fe25f3429_88" w:history="1">
              <w:r>
                <w:rPr>
                  <w:rStyle w:val="a3"/>
                  <w:rFonts w:eastAsia="Times New Roman"/>
                  <w:sz w:val="20"/>
                  <w:szCs w:val="20"/>
                </w:rPr>
                <w:t>Note 12. Earnings Per Share</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1877353449"/>
              <w:rPr>
                <w:rFonts w:eastAsia="Times New Roman"/>
              </w:rPr>
            </w:pPr>
            <w:hyperlink w:anchor="ic0df5956a4b14938a5c94b8fe25f3429_91" w:history="1">
              <w:r>
                <w:rPr>
                  <w:rStyle w:val="a3"/>
                  <w:rFonts w:eastAsia="Times New Roman"/>
                  <w:sz w:val="20"/>
                  <w:szCs w:val="20"/>
                </w:rPr>
                <w:t>Note 13. Derivatives and Hedging Instruments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653025870"/>
              <w:rPr>
                <w:rFonts w:eastAsia="Times New Roman"/>
              </w:rPr>
            </w:pPr>
            <w:hyperlink w:anchor="ic0df5956a4b14938a5c94b8fe25f3429_94" w:history="1">
              <w:r>
                <w:rPr>
                  <w:rStyle w:val="a3"/>
                  <w:rFonts w:eastAsia="Times New Roman"/>
                  <w:sz w:val="20"/>
                  <w:szCs w:val="20"/>
                </w:rPr>
                <w:t>Note 14. Fair Value of Assets and Liabilities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1908567084"/>
              <w:rPr>
                <w:rFonts w:eastAsia="Times New Roman"/>
              </w:rPr>
            </w:pPr>
            <w:hyperlink w:anchor="ic0df5956a4b14938a5c94b8fe25f3429_100" w:history="1">
              <w:r>
                <w:rPr>
                  <w:rStyle w:val="a3"/>
                  <w:rFonts w:eastAsia="Times New Roman"/>
                  <w:sz w:val="20"/>
                  <w:szCs w:val="20"/>
                </w:rPr>
                <w:t>Note 15. Accumulated Other Comprehensive Income (Loss) (AOCI)</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1960719776"/>
              <w:rPr>
                <w:rFonts w:eastAsia="Times New Roman"/>
              </w:rPr>
            </w:pPr>
            <w:hyperlink w:anchor="ic0df5956a4b14938a5c94b8fe25f3429_43" w:history="1">
              <w:r>
                <w:rPr>
                  <w:rStyle w:val="a3"/>
                  <w:rFonts w:eastAsia="Times New Roman"/>
                  <w:sz w:val="20"/>
                  <w:szCs w:val="20"/>
                </w:rPr>
                <w:t>Note 16. Segment Information and Concentrations</w:t>
              </w:r>
            </w:hyperlink>
          </w:p>
        </w:tc>
      </w:tr>
      <w:tr w:rsidR="00000000">
        <w:trPr>
          <w:divId w:val="506871440"/>
          <w:jc w:val="center"/>
        </w:trPr>
        <w:tc>
          <w:tcPr>
            <w:tcW w:w="0" w:type="auto"/>
            <w:gridSpan w:val="3"/>
            <w:tcMar>
              <w:top w:w="30" w:type="dxa"/>
              <w:left w:w="20" w:type="dxa"/>
              <w:bottom w:w="30" w:type="dxa"/>
              <w:right w:w="20" w:type="dxa"/>
            </w:tcMar>
            <w:vAlign w:val="bottom"/>
            <w:hideMark/>
          </w:tcPr>
          <w:p w:rsidR="00000000" w:rsidRDefault="000A7020">
            <w:pPr>
              <w:divId w:val="1417433242"/>
              <w:rPr>
                <w:rFonts w:eastAsia="Times New Roman"/>
              </w:rPr>
            </w:pPr>
            <w:hyperlink w:anchor="ic0df5956a4b14938a5c94b8fe25f3429_103" w:history="1">
              <w:r>
                <w:rPr>
                  <w:rStyle w:val="a3"/>
                  <w:rFonts w:eastAsia="Times New Roman"/>
                  <w:sz w:val="20"/>
                  <w:szCs w:val="20"/>
                </w:rPr>
                <w:t>Note 17. Supplemental Financial Information</w:t>
              </w:r>
            </w:hyperlink>
          </w:p>
        </w:tc>
      </w:tr>
    </w:tbl>
    <w:p w:rsidR="00000000" w:rsidRDefault="000A7020">
      <w:pPr>
        <w:jc w:val="center"/>
        <w:divId w:val="803622892"/>
        <w:rPr>
          <w:rFonts w:eastAsia="Times New Roman"/>
        </w:rPr>
      </w:pPr>
    </w:p>
    <w:p w:rsidR="00000000" w:rsidRDefault="000A7020">
      <w:pPr>
        <w:jc w:val="center"/>
        <w:divId w:val="494222558"/>
        <w:rPr>
          <w:rFonts w:eastAsia="Times New Roman"/>
        </w:rPr>
      </w:pPr>
      <w:r>
        <w:rPr>
          <w:rFonts w:eastAsia="Times New Roman"/>
          <w:color w:val="000000"/>
          <w:sz w:val="20"/>
          <w:szCs w:val="20"/>
        </w:rPr>
        <w:t>9</w:t>
      </w:r>
    </w:p>
    <w:p w:rsidR="00000000" w:rsidRDefault="000A7020">
      <w:pPr>
        <w:rPr>
          <w:rFonts w:eastAsia="Times New Roman"/>
        </w:rPr>
      </w:pPr>
      <w:r>
        <w:rPr>
          <w:rFonts w:eastAsia="Times New Roman"/>
        </w:rPr>
        <w:pict>
          <v:rect id="_x0000_i1034" style="width:0;height:1.5pt" o:hralign="center" o:hrstd="t" o:hr="t" fillcolor="#a0a0a0" stroked="f"/>
        </w:pict>
      </w:r>
    </w:p>
    <w:p w:rsidR="00000000" w:rsidRDefault="000A7020">
      <w:pPr>
        <w:ind w:firstLine="720"/>
        <w:divId w:val="569392227"/>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291666942"/>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291666942"/>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divId w:val="755902846"/>
        <w:rPr>
          <w:rFonts w:eastAsia="Times New Roman"/>
        </w:rPr>
      </w:pPr>
    </w:p>
    <w:p w:rsidR="00000000" w:rsidRDefault="000A7020">
      <w:pPr>
        <w:divId w:val="1803814687"/>
        <w:rPr>
          <w:rFonts w:eastAsia="Times New Roman"/>
        </w:rPr>
      </w:pPr>
      <w:r>
        <w:rPr>
          <w:rFonts w:eastAsia="Times New Roman"/>
          <w:b/>
          <w:bCs/>
          <w:color w:val="54B948"/>
          <w:sz w:val="20"/>
          <w:szCs w:val="20"/>
        </w:rPr>
        <w:t>1. BASIS OF PRESENTATION AND SUMMARY OF SIGNIFICANT ACCOUNTING POLICIE</w:t>
      </w:r>
      <w:r>
        <w:rPr>
          <w:rFonts w:eastAsia="Times New Roman"/>
          <w:b/>
          <w:bCs/>
          <w:color w:val="54B948"/>
          <w:sz w:val="20"/>
          <w:szCs w:val="20"/>
        </w:rPr>
        <w:t>S</w:t>
      </w:r>
      <w:r>
        <w:rPr>
          <w:rFonts w:eastAsia="Times New Roman"/>
          <w:b/>
          <w:bCs/>
          <w:color w:val="000000"/>
          <w:sz w:val="20"/>
          <w:szCs w:val="20"/>
        </w:rPr>
        <w:t xml:space="preserve"> </w:t>
      </w:r>
    </w:p>
    <w:p w:rsidR="00000000" w:rsidRDefault="000A7020">
      <w:pPr>
        <w:divId w:val="657882703"/>
        <w:rPr>
          <w:rFonts w:eastAsia="Times New Roman"/>
        </w:rPr>
      </w:pPr>
    </w:p>
    <w:p w:rsidR="00000000" w:rsidRDefault="000A7020">
      <w:pPr>
        <w:jc w:val="both"/>
        <w:rPr>
          <w:rFonts w:eastAsia="Times New Roman"/>
        </w:rPr>
      </w:pPr>
      <w:r>
        <w:rPr>
          <w:rFonts w:eastAsia="Times New Roman"/>
          <w:color w:val="000000"/>
          <w:sz w:val="20"/>
          <w:szCs w:val="20"/>
        </w:rPr>
        <w:t>The accompanying Condensed Consolidated Financial Statements have been prepared by NCR Corporation (NCR, the Company, we or us) without audit pursuant to the rules and regulations o</w:t>
      </w:r>
      <w:r>
        <w:rPr>
          <w:rFonts w:eastAsia="Times New Roman"/>
          <w:color w:val="000000"/>
          <w:sz w:val="20"/>
          <w:szCs w:val="20"/>
        </w:rPr>
        <w:t>f the U.S. Securities and Exchange Commission (SEC) and, in the opinion of management, include all adjustments (consisting of normal, recurring adjustments, unless otherwise disclosed) necessary for a fair statement of the consolidated results of operation</w:t>
      </w:r>
      <w:r>
        <w:rPr>
          <w:rFonts w:eastAsia="Times New Roman"/>
          <w:color w:val="000000"/>
          <w:sz w:val="20"/>
          <w:szCs w:val="20"/>
        </w:rPr>
        <w:t>s, financial position, and cash flows for each period presented. The consolidated results for the interim periods are not necessarily indicative of results to be expected for the full year. The 2019 year-end Condensed Consolidated Balance Sheet was derived</w:t>
      </w:r>
      <w:r>
        <w:rPr>
          <w:rFonts w:eastAsia="Times New Roman"/>
          <w:color w:val="000000"/>
          <w:sz w:val="20"/>
          <w:szCs w:val="20"/>
        </w:rPr>
        <w:t xml:space="preserve"> from audited financial statements, but does not include all disclosures required by accounting principles generally accepted in the United States (GAAP). These financial statements should be read in conjunction with NCR’s Form 10-K for the year ended Dece</w:t>
      </w:r>
      <w:r>
        <w:rPr>
          <w:rFonts w:eastAsia="Times New Roman"/>
          <w:color w:val="000000"/>
          <w:sz w:val="20"/>
          <w:szCs w:val="20"/>
        </w:rPr>
        <w:t>mber 31, 2019</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Use of Estimate</w:t>
      </w:r>
      <w:r>
        <w:rPr>
          <w:rFonts w:eastAsia="Times New Roman"/>
          <w:b/>
          <w:bCs/>
          <w:color w:val="000000"/>
          <w:sz w:val="20"/>
          <w:szCs w:val="20"/>
        </w:rPr>
        <w:t>s</w:t>
      </w:r>
      <w:r>
        <w:rPr>
          <w:rFonts w:eastAsia="Times New Roman"/>
          <w:color w:val="000000"/>
          <w:sz w:val="20"/>
          <w:szCs w:val="20"/>
        </w:rPr>
        <w:t xml:space="preserve"> The preparation of financial statements in accordance with GAAP requires management to make estimates and judgments that affect the reported amounts of assets and liabilities, the disclosure of contingent assets and liabil</w:t>
      </w:r>
      <w:r>
        <w:rPr>
          <w:rFonts w:eastAsia="Times New Roman"/>
          <w:color w:val="000000"/>
          <w:sz w:val="20"/>
          <w:szCs w:val="20"/>
        </w:rPr>
        <w:t>ities at the date of the financial statements, and revenue and expenses during the period reported.</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Although our estimates contemplate current and expected future conditions, as applicable, it is reasonably possible that actual conditions could differ f</w:t>
      </w:r>
      <w:r>
        <w:rPr>
          <w:rFonts w:eastAsia="Times New Roman"/>
          <w:color w:val="000000"/>
          <w:sz w:val="20"/>
          <w:szCs w:val="20"/>
        </w:rPr>
        <w:t>rom our expectations, which could materially affect our results of operations and financial position. In particular, a number of estimates have been and will continue to be affected by the ongoing novel coronavirus (COVID-19) pandemic. The severity, magnit</w:t>
      </w:r>
      <w:r>
        <w:rPr>
          <w:rFonts w:eastAsia="Times New Roman"/>
          <w:color w:val="000000"/>
          <w:sz w:val="20"/>
          <w:szCs w:val="20"/>
        </w:rPr>
        <w:t>ude and duration of the COVID-19 pandemic, and the resulting economic consequences, are uncertain, rapidly changing and difficult to predict. As a result, our accounting estimates and assumptions may change over time as a consequence of the effects of COVI</w:t>
      </w:r>
      <w:r>
        <w:rPr>
          <w:rFonts w:eastAsia="Times New Roman"/>
          <w:color w:val="000000"/>
          <w:sz w:val="20"/>
          <w:szCs w:val="20"/>
        </w:rPr>
        <w:t>D-19</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Such changes could result in future impairments of goodwill, intangible assets, long-lived assets, incremental credit losses on accounts receivable and decreases in the carrying amount of our tax assets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Evaluation of Subsequent Event</w:t>
      </w:r>
      <w:r>
        <w:rPr>
          <w:rFonts w:eastAsia="Times New Roman"/>
          <w:b/>
          <w:bCs/>
          <w:color w:val="000000"/>
          <w:sz w:val="20"/>
          <w:szCs w:val="20"/>
        </w:rPr>
        <w:t>s</w:t>
      </w:r>
      <w:r>
        <w:rPr>
          <w:rFonts w:eastAsia="Times New Roman"/>
          <w:color w:val="000000"/>
          <w:sz w:val="20"/>
          <w:szCs w:val="20"/>
        </w:rPr>
        <w:t> The Compan</w:t>
      </w:r>
      <w:r>
        <w:rPr>
          <w:rFonts w:eastAsia="Times New Roman"/>
          <w:color w:val="000000"/>
          <w:sz w:val="20"/>
          <w:szCs w:val="20"/>
        </w:rPr>
        <w:t>y evaluated subsequent events through the date that our Condensed Consolidated Financial Statements were issued. No matters were identified that required adjustment of the Condensed Consolidated Financial Statements or additional disclosure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Cash, Cash Equivalents, and Restricted Cash</w:t>
      </w:r>
      <w:r>
        <w:rPr>
          <w:rFonts w:eastAsia="Times New Roman"/>
          <w:b/>
          <w:bCs/>
          <w:color w:val="000000"/>
          <w:sz w:val="20"/>
          <w:szCs w:val="20"/>
        </w:rPr>
        <w:t xml:space="preserve"> </w:t>
      </w:r>
      <w:r>
        <w:rPr>
          <w:rFonts w:eastAsia="Times New Roman"/>
          <w:color w:val="000000"/>
          <w:sz w:val="20"/>
          <w:szCs w:val="20"/>
        </w:rPr>
        <w:t>All short-term, highly liquid investments having original maturities of three months or less, including time deposits, are considered to be cash equivalents. The Company has restricted cash on deposit with a bank</w:t>
      </w:r>
      <w:r>
        <w:rPr>
          <w:rFonts w:eastAsia="Times New Roman"/>
          <w:color w:val="000000"/>
          <w:sz w:val="20"/>
          <w:szCs w:val="20"/>
        </w:rPr>
        <w:t xml:space="preserve"> as collateral for letters of credit, funds held for clients as well as cash included in settlement assets. Refer to Note 2, Revisions of Previously Issued Financial Statements, for disclosure related to the revision to include funds held for clients and c</w:t>
      </w:r>
      <w:r>
        <w:rPr>
          <w:rFonts w:eastAsia="Times New Roman"/>
          <w:color w:val="000000"/>
          <w:sz w:val="20"/>
          <w:szCs w:val="20"/>
        </w:rPr>
        <w:t>ash included in settlement processing assets within cash, cash equivalents and restricted cash in the Condensed Consolidated Statement of Cash Flows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reconciliation of cash, cash equivalents and restricted cash in the Condensed Consolidated Statement</w:t>
      </w:r>
      <w:r>
        <w:rPr>
          <w:rFonts w:eastAsia="Times New Roman"/>
          <w:color w:val="000000"/>
          <w:sz w:val="20"/>
          <w:szCs w:val="20"/>
        </w:rPr>
        <w:t>s of Cash Flows is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5513"/>
        <w:gridCol w:w="37"/>
        <w:gridCol w:w="135"/>
        <w:gridCol w:w="532"/>
        <w:gridCol w:w="85"/>
        <w:gridCol w:w="37"/>
        <w:gridCol w:w="289"/>
        <w:gridCol w:w="36"/>
        <w:gridCol w:w="135"/>
        <w:gridCol w:w="701"/>
        <w:gridCol w:w="85"/>
        <w:gridCol w:w="192"/>
        <w:gridCol w:w="191"/>
        <w:gridCol w:w="191"/>
        <w:gridCol w:w="36"/>
        <w:gridCol w:w="36"/>
        <w:gridCol w:w="36"/>
      </w:tblGrid>
      <w:tr w:rsidR="00000000">
        <w:trPr>
          <w:gridAfter w:val="6"/>
          <w:divId w:val="1953317076"/>
        </w:trPr>
        <w:tc>
          <w:tcPr>
            <w:tcW w:w="50" w:type="pct"/>
            <w:vAlign w:val="center"/>
            <w:hideMark/>
          </w:tcPr>
          <w:p w:rsidR="00000000" w:rsidRDefault="000A7020">
            <w:pPr>
              <w:jc w:val="both"/>
              <w:rPr>
                <w:rFonts w:eastAsia="Times New Roman"/>
              </w:rPr>
            </w:pPr>
          </w:p>
        </w:tc>
        <w:tc>
          <w:tcPr>
            <w:tcW w:w="370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1"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1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953317076"/>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953317076"/>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p w:rsidR="00000000" w:rsidRDefault="000A7020">
            <w:pPr>
              <w:jc w:val="center"/>
              <w:rPr>
                <w:rFonts w:eastAsia="Times New Roman"/>
              </w:rPr>
            </w:pPr>
            <w:r>
              <w:rPr>
                <w:rFonts w:eastAsia="Times New Roman"/>
                <w:b/>
                <w:bCs/>
                <w:color w:val="000000"/>
                <w:sz w:val="16"/>
                <w:szCs w:val="16"/>
              </w:rPr>
              <w:t>As Revise</w:t>
            </w:r>
            <w:r>
              <w:rPr>
                <w:rFonts w:eastAsia="Times New Roman"/>
                <w:b/>
                <w:bCs/>
                <w:color w:val="000000"/>
                <w:sz w:val="16"/>
                <w:szCs w:val="16"/>
              </w:rPr>
              <w:t>d</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953317076"/>
        </w:trPr>
        <w:tc>
          <w:tcPr>
            <w:tcW w:w="0" w:type="auto"/>
            <w:gridSpan w:val="3"/>
            <w:tcMar>
              <w:top w:w="30" w:type="dxa"/>
              <w:left w:w="20" w:type="dxa"/>
              <w:bottom w:w="30" w:type="dxa"/>
              <w:right w:w="20" w:type="dxa"/>
            </w:tcMar>
            <w:vAlign w:val="center"/>
            <w:hideMark/>
          </w:tcPr>
          <w:p w:rsidR="00000000" w:rsidRDefault="000A7020">
            <w:pPr>
              <w:rPr>
                <w:rFonts w:eastAsia="Times New Roman"/>
              </w:rPr>
            </w:pPr>
            <w:r>
              <w:rPr>
                <w:rFonts w:eastAsia="Times New Roman"/>
                <w:b/>
                <w:bCs/>
                <w:color w:val="000000"/>
                <w:sz w:val="16"/>
                <w:szCs w:val="16"/>
              </w:rPr>
              <w:t>Reconciliation of cash, cash equivalents and restricted cash as shown in the Condensed Consolidated Statements of Cash Flow</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953317076"/>
        </w:trPr>
        <w:tc>
          <w:tcPr>
            <w:tcW w:w="0" w:type="auto"/>
            <w:gridSpan w:val="3"/>
            <w:shd w:val="clear" w:color="auto" w:fill="CCEEFF"/>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b/>
                <w:bCs/>
                <w:color w:val="000000"/>
                <w:sz w:val="20"/>
                <w:szCs w:val="20"/>
              </w:rPr>
              <w:t>1,681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953317076"/>
        </w:trPr>
        <w:tc>
          <w:tcPr>
            <w:tcW w:w="0" w:type="auto"/>
            <w:gridSpan w:val="3"/>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Restricted cash included in other asset</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center"/>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953317076"/>
        </w:trPr>
        <w:tc>
          <w:tcPr>
            <w:tcW w:w="0" w:type="auto"/>
            <w:gridSpan w:val="3"/>
            <w:shd w:val="clear" w:color="auto" w:fill="CCEEFF"/>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Funds held for clients included in other current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953317076"/>
        </w:trPr>
        <w:tc>
          <w:tcPr>
            <w:tcW w:w="0" w:type="auto"/>
            <w:gridSpan w:val="3"/>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Cash included in settlement processing assets included in other current asset</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21</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center"/>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953317076"/>
        </w:trPr>
        <w:tc>
          <w:tcPr>
            <w:tcW w:w="0" w:type="auto"/>
            <w:gridSpan w:val="3"/>
            <w:shd w:val="clear" w:color="auto" w:fill="CCEEFF"/>
            <w:tcMar>
              <w:top w:w="30" w:type="dxa"/>
              <w:left w:w="20" w:type="dxa"/>
              <w:bottom w:w="30" w:type="dxa"/>
              <w:right w:w="20" w:type="dxa"/>
            </w:tcMar>
            <w:vAlign w:val="center"/>
            <w:hideMark/>
          </w:tcPr>
          <w:p w:rsidR="00000000" w:rsidRDefault="000A7020">
            <w:pPr>
              <w:rPr>
                <w:rFonts w:eastAsia="Times New Roman"/>
              </w:rPr>
            </w:pPr>
            <w:r>
              <w:rPr>
                <w:rFonts w:eastAsia="Times New Roman"/>
                <w:b/>
                <w:bCs/>
                <w:color w:val="000000"/>
                <w:sz w:val="20"/>
                <w:szCs w:val="20"/>
              </w:rPr>
              <w:t>Total cash, cash equivalents and restricted cas</w:t>
            </w:r>
            <w:r>
              <w:rPr>
                <w:rFonts w:eastAsia="Times New Roman"/>
                <w:b/>
                <w:bCs/>
                <w:color w:val="000000"/>
                <w:sz w:val="20"/>
                <w:szCs w:val="20"/>
              </w:rPr>
              <w:t>h</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b/>
                <w:bCs/>
                <w:color w:val="000000"/>
                <w:sz w:val="20"/>
                <w:szCs w:val="20"/>
              </w:rPr>
              <w:t>1,739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Contract Assets and Liabilities</w:t>
      </w:r>
      <w:r>
        <w:rPr>
          <w:rFonts w:eastAsia="Times New Roman"/>
          <w:b/>
          <w:bCs/>
          <w:color w:val="000000"/>
          <w:sz w:val="20"/>
          <w:szCs w:val="20"/>
        </w:rPr>
        <w:t xml:space="preserve"> </w:t>
      </w:r>
      <w:r>
        <w:rPr>
          <w:rFonts w:eastAsia="Times New Roman"/>
          <w:color w:val="000000"/>
          <w:sz w:val="20"/>
          <w:szCs w:val="20"/>
        </w:rPr>
        <w:t>The following table presents the net contract asset and contract liability balances as of June 30, 2020 and December 31, 2019</w:t>
      </w:r>
      <w:r>
        <w:rPr>
          <w:rFonts w:eastAsia="Times New Roman"/>
          <w:color w:val="000000"/>
          <w:sz w:val="20"/>
          <w:szCs w:val="20"/>
        </w:rPr>
        <w:t>.</w:t>
      </w:r>
    </w:p>
    <w:p w:rsidR="00000000" w:rsidRDefault="000A7020">
      <w:pPr>
        <w:jc w:val="center"/>
        <w:divId w:val="699356021"/>
        <w:rPr>
          <w:rFonts w:eastAsia="Times New Roman"/>
        </w:rPr>
      </w:pPr>
      <w:r>
        <w:rPr>
          <w:rFonts w:eastAsia="Times New Roman"/>
          <w:color w:val="000000"/>
          <w:sz w:val="20"/>
          <w:szCs w:val="20"/>
        </w:rPr>
        <w:t>1</w:t>
      </w:r>
      <w:r>
        <w:rPr>
          <w:rFonts w:eastAsia="Times New Roman"/>
          <w:color w:val="000000"/>
          <w:sz w:val="20"/>
          <w:szCs w:val="20"/>
        </w:rPr>
        <w:t>0</w:t>
      </w:r>
    </w:p>
    <w:p w:rsidR="00000000" w:rsidRDefault="000A7020">
      <w:pPr>
        <w:rPr>
          <w:rFonts w:eastAsia="Times New Roman"/>
        </w:rPr>
      </w:pPr>
      <w:r>
        <w:rPr>
          <w:rFonts w:eastAsia="Times New Roman"/>
        </w:rPr>
        <w:pict>
          <v:rect id="_x0000_i1035" style="width:0;height:1.5pt" o:hralign="center" o:hrstd="t" o:hr="t" fillcolor="#a0a0a0" stroked="f"/>
        </w:pict>
      </w:r>
    </w:p>
    <w:p w:rsidR="00000000" w:rsidRDefault="000A7020">
      <w:pPr>
        <w:ind w:firstLine="720"/>
        <w:divId w:val="1918592737"/>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946771309"/>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946771309"/>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2764"/>
        <w:gridCol w:w="61"/>
        <w:gridCol w:w="61"/>
        <w:gridCol w:w="3055"/>
        <w:gridCol w:w="61"/>
        <w:gridCol w:w="36"/>
        <w:gridCol w:w="36"/>
        <w:gridCol w:w="36"/>
        <w:gridCol w:w="135"/>
        <w:gridCol w:w="634"/>
        <w:gridCol w:w="85"/>
        <w:gridCol w:w="36"/>
        <w:gridCol w:w="36"/>
        <w:gridCol w:w="36"/>
        <w:gridCol w:w="136"/>
        <w:gridCol w:w="952"/>
        <w:gridCol w:w="85"/>
      </w:tblGrid>
      <w:tr w:rsidR="00000000">
        <w:trPr>
          <w:divId w:val="345987878"/>
          <w:jc w:val="center"/>
        </w:trPr>
        <w:tc>
          <w:tcPr>
            <w:tcW w:w="50" w:type="pct"/>
            <w:vAlign w:val="center"/>
            <w:hideMark/>
          </w:tcPr>
          <w:p w:rsidR="00000000" w:rsidRDefault="000A7020">
            <w:pPr>
              <w:jc w:val="center"/>
              <w:rPr>
                <w:rFonts w:eastAsia="Times New Roman"/>
              </w:rPr>
            </w:pPr>
          </w:p>
        </w:tc>
        <w:tc>
          <w:tcPr>
            <w:tcW w:w="16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85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9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345987878"/>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Location in the Condensed Consolidated Balance Shee</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r>
      <w:tr w:rsidR="00000000">
        <w:trPr>
          <w:divId w:val="345987878"/>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Current portion of contract asset</w:t>
            </w:r>
            <w:r>
              <w:rPr>
                <w:rFonts w:eastAsia="Times New Roman"/>
                <w:color w:val="000000"/>
                <w:sz w:val="20"/>
                <w:szCs w:val="20"/>
              </w:rPr>
              <w: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45987878"/>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Current portion of contract liabilitie</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Contract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45987878"/>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Non-current portion of contract liabilitie</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During the three months ended June 30, 2020, the Company recognized $303 million in revenue that was included in contract liabilities as of December 31, 2019</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Remaining Performance Obligations</w:t>
      </w:r>
      <w:r>
        <w:rPr>
          <w:rFonts w:eastAsia="Times New Roman"/>
          <w:b/>
          <w:bCs/>
          <w:color w:val="000000"/>
          <w:sz w:val="20"/>
          <w:szCs w:val="20"/>
        </w:rPr>
        <w:t xml:space="preserve"> </w:t>
      </w:r>
      <w:r>
        <w:rPr>
          <w:rFonts w:eastAsia="Times New Roman"/>
          <w:color w:val="000000"/>
          <w:sz w:val="20"/>
          <w:szCs w:val="20"/>
        </w:rPr>
        <w:t>Remaining performance obligations represent the transaction price of orders for which products have not been delivered or services have not been performed. As of June 30, 2020, the aggregate amount of the transaction price allocated to remaining performanc</w:t>
      </w:r>
      <w:r>
        <w:rPr>
          <w:rFonts w:eastAsia="Times New Roman"/>
          <w:color w:val="000000"/>
          <w:sz w:val="20"/>
          <w:szCs w:val="20"/>
        </w:rPr>
        <w:t>e obligations was approximately $4 billion. The Company expects to recognize revenue on approximately three-quarters of the remaining performance obligations over the next 12 months, with the remainder recognized thereafter. The majority of our professiona</w:t>
      </w:r>
      <w:r>
        <w:rPr>
          <w:rFonts w:eastAsia="Times New Roman"/>
          <w:color w:val="000000"/>
          <w:sz w:val="20"/>
          <w:szCs w:val="20"/>
        </w:rPr>
        <w:t>l services are expected to be recognized over the next 12 months but this is contingent upon a number of factors, including customers’ needs and schedules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Company has made two elections that affect the value of remaining performance obligations desc</w:t>
      </w:r>
      <w:r>
        <w:rPr>
          <w:rFonts w:eastAsia="Times New Roman"/>
          <w:color w:val="000000"/>
          <w:sz w:val="20"/>
          <w:szCs w:val="20"/>
        </w:rPr>
        <w:t>ribed above. We do not disclose remaining performance obligations for Software as a Service (SaaS) contracts where variable consideration is directly allocated based on usage or when the original expected length is one year or less.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Recent Accounting Pr</w:t>
      </w:r>
      <w:r>
        <w:rPr>
          <w:rFonts w:eastAsia="Times New Roman"/>
          <w:b/>
          <w:bCs/>
          <w:color w:val="000000"/>
          <w:sz w:val="20"/>
          <w:szCs w:val="20"/>
        </w:rPr>
        <w:t>onouncement</w:t>
      </w:r>
      <w:r>
        <w:rPr>
          <w:rFonts w:eastAsia="Times New Roman"/>
          <w:b/>
          <w:bCs/>
          <w:color w:val="000000"/>
          <w:sz w:val="20"/>
          <w:szCs w:val="20"/>
        </w:rPr>
        <w:t>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Adopte</w:t>
      </w:r>
      <w:r>
        <w:rPr>
          <w:rFonts w:eastAsia="Times New Roman"/>
          <w:i/>
          <w:iCs/>
          <w:color w:val="000000"/>
          <w:sz w:val="20"/>
          <w:szCs w:val="20"/>
        </w:rPr>
        <w:t>d</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June 2016, the Financial Accounting Standards Board ("FASB") issued an accounting standards update with new guidance on accounting for credit losses on financial instruments. The new guidance includes an impairment model for es</w:t>
      </w:r>
      <w:r>
        <w:rPr>
          <w:rFonts w:eastAsia="Times New Roman"/>
          <w:color w:val="000000"/>
          <w:sz w:val="20"/>
          <w:szCs w:val="20"/>
        </w:rPr>
        <w:t>timating credit losses that is based on expected losses, rather than incurred losses. This accounting standards update is effective prospectively for fiscal years and interim periods beginning after December 15, 2019, with early adoption permitted. The ado</w:t>
      </w:r>
      <w:r>
        <w:rPr>
          <w:rFonts w:eastAsia="Times New Roman"/>
          <w:color w:val="000000"/>
          <w:sz w:val="20"/>
          <w:szCs w:val="20"/>
        </w:rPr>
        <w:t>ption of this accounting standards update did not have a material effect on the Company's net income, cash flows or financial condition.</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August 2018, the FASB issued an accounting standards update with new guidance on fair value measurement disclosur</w:t>
      </w:r>
      <w:r>
        <w:rPr>
          <w:rFonts w:eastAsia="Times New Roman"/>
          <w:color w:val="000000"/>
          <w:sz w:val="20"/>
          <w:szCs w:val="20"/>
        </w:rPr>
        <w:t xml:space="preserve">e requirements that requires the disclosure of additions to and transfers into and out of Level 3 of the fair value hierarchy. This accounting standards update also requires disclosure about the uncertainty in measurement as of the reporting date. The new </w:t>
      </w:r>
      <w:r>
        <w:rPr>
          <w:rFonts w:eastAsia="Times New Roman"/>
          <w:color w:val="000000"/>
          <w:sz w:val="20"/>
          <w:szCs w:val="20"/>
        </w:rPr>
        <w:t>standard became effective for fiscal years, and interim periods within those fiscal years, beginning after December 15, 2019 with early adoption permitted. The adoption of this accounting standards update did not have a material impact on our financial sta</w:t>
      </w:r>
      <w:r>
        <w:rPr>
          <w:rFonts w:eastAsia="Times New Roman"/>
          <w:color w:val="000000"/>
          <w:sz w:val="20"/>
          <w:szCs w:val="20"/>
        </w:rPr>
        <w:t>tement disclosures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August 2018, the FASB issued an accounting standards update related to accounting for implementation costs incurred in a cloud computing arrangement that is also a service contract. If a cloud computing arrangement also includes an</w:t>
      </w:r>
      <w:r>
        <w:rPr>
          <w:rFonts w:eastAsia="Times New Roman"/>
          <w:color w:val="000000"/>
          <w:sz w:val="20"/>
          <w:szCs w:val="20"/>
        </w:rPr>
        <w:t xml:space="preserve"> internal-use software, an intangible asset is recognized, and a liability is recognized for any payments related to the software license. However, if a cloud computing arrangement does not include a software license, the entity should account for the arra</w:t>
      </w:r>
      <w:r>
        <w:rPr>
          <w:rFonts w:eastAsia="Times New Roman"/>
          <w:color w:val="000000"/>
          <w:sz w:val="20"/>
          <w:szCs w:val="20"/>
        </w:rPr>
        <w:t>ngement as a service contract and any fees associated with the service are expensed as incurred. The new standard is effective for fiscal years, and interim periods within those fiscal years, beginning after December 15, 2019, with early adoption permitted</w:t>
      </w:r>
      <w:r>
        <w:rPr>
          <w:rFonts w:eastAsia="Times New Roman"/>
          <w:color w:val="000000"/>
          <w:sz w:val="20"/>
          <w:szCs w:val="20"/>
        </w:rPr>
        <w:t>. The adoption of this accounting standards update did not have a material effect on the Company's net income, cash flows or financial condition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December 2019, the FASB issued an accounting standards update with new guidance that removes certain exce</w:t>
      </w:r>
      <w:r>
        <w:rPr>
          <w:rFonts w:eastAsia="Times New Roman"/>
          <w:color w:val="000000"/>
          <w:sz w:val="20"/>
          <w:szCs w:val="20"/>
        </w:rPr>
        <w:t>ptions for recognizing deferred taxes for investments, performing intraperiod allocation and calculating income taxes in interim periods. This accounting standards update also adds guidance to reduce complexity in certain areas, including recognizing measu</w:t>
      </w:r>
      <w:r>
        <w:rPr>
          <w:rFonts w:eastAsia="Times New Roman"/>
          <w:color w:val="000000"/>
          <w:sz w:val="20"/>
          <w:szCs w:val="20"/>
        </w:rPr>
        <w:t>res for the accounting for income taxes. This accounting standards update is effective for fiscal years and interim periods beginning after December 15, 2020, with early adoption permitted. The adoption of this accounting standards update did not have a ma</w:t>
      </w:r>
      <w:r>
        <w:rPr>
          <w:rFonts w:eastAsia="Times New Roman"/>
          <w:color w:val="000000"/>
          <w:sz w:val="20"/>
          <w:szCs w:val="20"/>
        </w:rPr>
        <w:t>terial impact on the Company's net income, cash flows or financial condition</w:t>
      </w:r>
      <w:r>
        <w:rPr>
          <w:rFonts w:eastAsia="Times New Roman"/>
          <w:color w:val="000000"/>
          <w:sz w:val="20"/>
          <w:szCs w:val="20"/>
        </w:rPr>
        <w:t>.</w:t>
      </w:r>
    </w:p>
    <w:p w:rsidR="00000000" w:rsidRDefault="000A7020">
      <w:pPr>
        <w:jc w:val="both"/>
        <w:rPr>
          <w:rFonts w:eastAsia="Times New Roman"/>
        </w:rPr>
      </w:pPr>
    </w:p>
    <w:p w:rsidR="00000000" w:rsidRDefault="000A7020">
      <w:pPr>
        <w:jc w:val="center"/>
        <w:divId w:val="1901092713"/>
        <w:rPr>
          <w:rFonts w:eastAsia="Times New Roman"/>
        </w:rPr>
      </w:pPr>
      <w:r>
        <w:rPr>
          <w:rFonts w:eastAsia="Times New Roman"/>
          <w:color w:val="000000"/>
          <w:sz w:val="20"/>
          <w:szCs w:val="20"/>
        </w:rPr>
        <w:t>1</w:t>
      </w:r>
      <w:r>
        <w:rPr>
          <w:rFonts w:eastAsia="Times New Roman"/>
          <w:color w:val="000000"/>
          <w:sz w:val="20"/>
          <w:szCs w:val="20"/>
        </w:rPr>
        <w:t>1</w:t>
      </w:r>
    </w:p>
    <w:p w:rsidR="00000000" w:rsidRDefault="000A7020">
      <w:pPr>
        <w:rPr>
          <w:rFonts w:eastAsia="Times New Roman"/>
        </w:rPr>
      </w:pPr>
      <w:r>
        <w:rPr>
          <w:rFonts w:eastAsia="Times New Roman"/>
        </w:rPr>
        <w:pict>
          <v:rect id="_x0000_i1036" style="width:0;height:1.5pt" o:hralign="center" o:hrstd="t" o:hr="t" fillcolor="#a0a0a0" stroked="f"/>
        </w:pict>
      </w:r>
    </w:p>
    <w:p w:rsidR="00000000" w:rsidRDefault="000A7020">
      <w:pPr>
        <w:ind w:firstLine="720"/>
        <w:divId w:val="1528446178"/>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014379570"/>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014379570"/>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In March 2020, the SEC adopted final rules, effective January 4, 2021, that, among other things, amend the financial disclosure requirements of Regulation S-X under the Securities</w:t>
      </w:r>
      <w:r>
        <w:rPr>
          <w:rFonts w:eastAsia="Times New Roman"/>
          <w:color w:val="000000"/>
          <w:sz w:val="20"/>
          <w:szCs w:val="20"/>
        </w:rPr>
        <w:t xml:space="preserve"> Act for guaranteed securities registered with the SEC. As permitted by such rules, the Company is voluntarily complying with the rules in advance of the effective date. Accordingly, we are no longer required to provide, and are not providing, supplemental</w:t>
      </w:r>
      <w:r>
        <w:rPr>
          <w:rFonts w:eastAsia="Times New Roman"/>
          <w:color w:val="000000"/>
          <w:sz w:val="20"/>
          <w:szCs w:val="20"/>
        </w:rPr>
        <w:t xml:space="preserve"> guarantor information for NCR International, Inc.'s SEC registered guarantee of the 5.00% and 6.375% senior unsecured notes given that NCR International, Inc.'s reporting obligations with respect to guarantees under Section 15(d) of the Exchange Act have </w:t>
      </w:r>
      <w:r>
        <w:rPr>
          <w:rFonts w:eastAsia="Times New Roman"/>
          <w:color w:val="000000"/>
          <w:sz w:val="20"/>
          <w:szCs w:val="20"/>
        </w:rPr>
        <w:t>been automatically suspended.</w:t>
      </w:r>
      <w:r>
        <w:rPr>
          <w:rFonts w:eastAsia="Times New Roman"/>
          <w:color w:val="000000"/>
          <w:sz w:val="20"/>
          <w:szCs w:val="20"/>
        </w:rPr>
        <w:t xml:space="preserve"> </w:t>
      </w:r>
    </w:p>
    <w:p w:rsidR="00000000" w:rsidRDefault="000A7020">
      <w:pPr>
        <w:divId w:val="1997879311"/>
        <w:rPr>
          <w:rFonts w:eastAsia="Times New Roman"/>
        </w:rPr>
      </w:pPr>
    </w:p>
    <w:p w:rsidR="00000000" w:rsidRDefault="000A7020">
      <w:pPr>
        <w:divId w:val="659968216"/>
        <w:rPr>
          <w:rFonts w:eastAsia="Times New Roman"/>
        </w:rPr>
      </w:pPr>
    </w:p>
    <w:p w:rsidR="00000000" w:rsidRDefault="000A7020">
      <w:pPr>
        <w:divId w:val="306474591"/>
        <w:rPr>
          <w:rFonts w:eastAsia="Times New Roman"/>
        </w:rPr>
      </w:pPr>
    </w:p>
    <w:p w:rsidR="00000000" w:rsidRDefault="000A7020">
      <w:pPr>
        <w:divId w:val="1463302725"/>
        <w:rPr>
          <w:rFonts w:eastAsia="Times New Roman"/>
        </w:rPr>
      </w:pPr>
    </w:p>
    <w:p w:rsidR="00000000" w:rsidRDefault="000A7020">
      <w:pPr>
        <w:divId w:val="1906724414"/>
        <w:rPr>
          <w:rFonts w:eastAsia="Times New Roman"/>
        </w:rPr>
      </w:pPr>
      <w:r>
        <w:rPr>
          <w:rFonts w:eastAsia="Times New Roman"/>
          <w:b/>
          <w:bCs/>
          <w:color w:val="54B948"/>
          <w:sz w:val="20"/>
          <w:szCs w:val="20"/>
        </w:rPr>
        <w:t>2. REVISIONS OF PREVIOUSLY ISSUED FINANCIAL STATEMENT</w:t>
      </w:r>
      <w:r>
        <w:rPr>
          <w:rFonts w:eastAsia="Times New Roman"/>
          <w:b/>
          <w:bCs/>
          <w:color w:val="54B948"/>
          <w:sz w:val="20"/>
          <w:szCs w:val="20"/>
        </w:rPr>
        <w:t>S</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During 2020, the Company determined there were errors in its previously issued Consolidated Statements of Cash Flows related to the business activities that commenced upon the acquisition of JetPay Corporation (JetPay) in December 2018. As a result of thes</w:t>
      </w:r>
      <w:r>
        <w:rPr>
          <w:rFonts w:eastAsia="Times New Roman"/>
          <w:color w:val="000000"/>
          <w:sz w:val="20"/>
          <w:szCs w:val="20"/>
        </w:rPr>
        <w:t>e errors, the Company's cash, cash equivalents and restricted cash within the Consolidated Statement of Cash Flows for the years ended December 31, 2019 and 2018 and within the Condensed Consolidated Statement of Cash Flows for the interim periods in fisca</w:t>
      </w:r>
      <w:r>
        <w:rPr>
          <w:rFonts w:eastAsia="Times New Roman"/>
          <w:color w:val="000000"/>
          <w:sz w:val="20"/>
          <w:szCs w:val="20"/>
        </w:rPr>
        <w:t>l 2019 and for the three months ended March 31, 2020, were understated. This also resulted in misclassifications of activities between net cash from operations, investing, and financing activities in each of the periods noted above.</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More specifically, t</w:t>
      </w:r>
      <w:r>
        <w:rPr>
          <w:rFonts w:eastAsia="Times New Roman"/>
          <w:color w:val="000000"/>
          <w:sz w:val="20"/>
          <w:szCs w:val="20"/>
        </w:rPr>
        <w:t>he Company determined: (i) the funds held for clients represent cash balances that, based upon the Company's intent, are restricted solely for the purposes of satisfying the obligations to remit funds relating to the Company's payroll and payroll tax filin</w:t>
      </w:r>
      <w:r>
        <w:rPr>
          <w:rFonts w:eastAsia="Times New Roman"/>
          <w:color w:val="000000"/>
          <w:sz w:val="20"/>
          <w:szCs w:val="20"/>
        </w:rPr>
        <w:t xml:space="preserve">g services, which are classified as client fund obligations; and (ii) there are restricted cash balances included within settlement processing assets that are not yet due to the merchants. Such funds are held in a fiduciary duty, and are not available for </w:t>
      </w:r>
      <w:r>
        <w:rPr>
          <w:rFonts w:eastAsia="Times New Roman"/>
          <w:color w:val="000000"/>
          <w:sz w:val="20"/>
          <w:szCs w:val="20"/>
        </w:rPr>
        <w:t>the Company to use to fund its cash requirements. As a result, (i) the business acquisition purchase price upon the acquisition of JetPay should have been reflected net of these cash balances and (ii) the restricted cash in all periods should have been pre</w:t>
      </w:r>
      <w:r>
        <w:rPr>
          <w:rFonts w:eastAsia="Times New Roman"/>
          <w:color w:val="000000"/>
          <w:sz w:val="20"/>
          <w:szCs w:val="20"/>
        </w:rPr>
        <w:t>sented within cash, cash equivalents and restricted cash within the Consolidated Statement of Cash Flows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Additionally, the Company determined the presentation of the cash inflow or outflow from client fund obligations should be reflected within financin</w:t>
      </w:r>
      <w:r>
        <w:rPr>
          <w:rFonts w:eastAsia="Times New Roman"/>
          <w:color w:val="000000"/>
          <w:sz w:val="20"/>
          <w:szCs w:val="20"/>
        </w:rPr>
        <w:t>g activities rather than within operating activities beginning in the third quarter of 2019 and through December 31, 2019. However, in analyzing the impact of the change to include funds held for clients within cash, cash equivalents and restricted cash, i</w:t>
      </w:r>
      <w:r>
        <w:rPr>
          <w:rFonts w:eastAsia="Times New Roman"/>
          <w:color w:val="000000"/>
          <w:sz w:val="20"/>
          <w:szCs w:val="20"/>
        </w:rPr>
        <w:t>t was determined the cash inflow or outflow from client funds obligations was incorrect</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Company assessed the materiality of these errors on the prior period financial statements in accordance with SEC Staff Bulletin No. 99,</w:t>
      </w:r>
      <w:r>
        <w:rPr>
          <w:rFonts w:eastAsia="Times New Roman"/>
          <w:color w:val="000000"/>
          <w:sz w:val="20"/>
          <w:szCs w:val="20"/>
        </w:rPr>
        <w:t xml:space="preserve"> </w:t>
      </w:r>
      <w:r>
        <w:rPr>
          <w:rFonts w:eastAsia="Times New Roman"/>
          <w:i/>
          <w:iCs/>
          <w:color w:val="000000"/>
          <w:sz w:val="20"/>
          <w:szCs w:val="20"/>
        </w:rPr>
        <w:t>Materialit</w:t>
      </w:r>
      <w:r>
        <w:rPr>
          <w:rFonts w:eastAsia="Times New Roman"/>
          <w:i/>
          <w:iCs/>
          <w:color w:val="000000"/>
          <w:sz w:val="20"/>
          <w:szCs w:val="20"/>
        </w:rPr>
        <w:t>y</w:t>
      </w:r>
      <w:r>
        <w:rPr>
          <w:rFonts w:eastAsia="Times New Roman"/>
          <w:color w:val="000000"/>
          <w:sz w:val="20"/>
          <w:szCs w:val="20"/>
        </w:rPr>
        <w:t xml:space="preserve">, codified in </w:t>
      </w:r>
      <w:r>
        <w:rPr>
          <w:rFonts w:eastAsia="Times New Roman"/>
          <w:color w:val="000000"/>
          <w:sz w:val="20"/>
          <w:szCs w:val="20"/>
        </w:rPr>
        <w:t>ASC Topic 250,</w:t>
      </w:r>
      <w:r>
        <w:rPr>
          <w:rFonts w:eastAsia="Times New Roman"/>
          <w:color w:val="000000"/>
          <w:sz w:val="20"/>
          <w:szCs w:val="20"/>
        </w:rPr>
        <w:t xml:space="preserve"> </w:t>
      </w:r>
      <w:r>
        <w:rPr>
          <w:rFonts w:eastAsia="Times New Roman"/>
          <w:i/>
          <w:iCs/>
          <w:color w:val="000000"/>
          <w:sz w:val="20"/>
          <w:szCs w:val="20"/>
        </w:rPr>
        <w:t>Accounting Changes and Error Correction</w:t>
      </w:r>
      <w:r>
        <w:rPr>
          <w:rFonts w:eastAsia="Times New Roman"/>
          <w:i/>
          <w:iCs/>
          <w:color w:val="000000"/>
          <w:sz w:val="20"/>
          <w:szCs w:val="20"/>
        </w:rPr>
        <w:t>s</w:t>
      </w:r>
      <w:r>
        <w:rPr>
          <w:rFonts w:eastAsia="Times New Roman"/>
          <w:color w:val="000000"/>
          <w:sz w:val="20"/>
          <w:szCs w:val="20"/>
        </w:rPr>
        <w:t>. Based on this assessment, the Company determined the impact from these errors was not material to its previously filed annual or interim financial statements. The corrections had no impact on the Com</w:t>
      </w:r>
      <w:r>
        <w:rPr>
          <w:rFonts w:eastAsia="Times New Roman"/>
          <w:color w:val="000000"/>
          <w:sz w:val="20"/>
          <w:szCs w:val="20"/>
        </w:rPr>
        <w:t>pany's Consolidated Statements of Income, Consolidated Statements of Comprehensive Income or Consolidated Balance Sheets in previously issued annual or interim financial statements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However, the Company has determined that it will revise its previously i</w:t>
      </w:r>
      <w:r>
        <w:rPr>
          <w:rFonts w:eastAsia="Times New Roman"/>
          <w:color w:val="000000"/>
          <w:sz w:val="20"/>
          <w:szCs w:val="20"/>
        </w:rPr>
        <w:t>ssued annual and interim financial statements to correct these errors within the Consolidated Statements of Cash Flows. The revision for the Condensed Consolidated Statement of Cash Flows for the six months ended June 30, 2019 is reflected within the accom</w:t>
      </w:r>
      <w:r>
        <w:rPr>
          <w:rFonts w:eastAsia="Times New Roman"/>
          <w:color w:val="000000"/>
          <w:sz w:val="20"/>
          <w:szCs w:val="20"/>
        </w:rPr>
        <w:t xml:space="preserve">panying Condensed Consolidated Financial Statements and the details for the revision for all periods are presented below. The Company will effect such revisions to its Consolidated Statements of Cash Flows for the years ended December 31, 2019 and 2018 in </w:t>
      </w:r>
      <w:r>
        <w:rPr>
          <w:rFonts w:eastAsia="Times New Roman"/>
          <w:color w:val="000000"/>
          <w:sz w:val="20"/>
          <w:szCs w:val="20"/>
        </w:rPr>
        <w:t>connection with the future filing of its 2020 Annual Report on Form 10-K, which contain these comparative periods and will effect the revisions for the three months ended March 31, 2020 and the nine months ended September 30, 2019 in connection with the fu</w:t>
      </w:r>
      <w:r>
        <w:rPr>
          <w:rFonts w:eastAsia="Times New Roman"/>
          <w:color w:val="000000"/>
          <w:sz w:val="20"/>
          <w:szCs w:val="20"/>
        </w:rPr>
        <w:t>ture filings of its Form 10-Q which contain these comparative periods. In addition, in the previously issued unaudited interim financial statements for the three months ended March 31, 2020, the Company revised its beginning and ending cash, cash equivalen</w:t>
      </w:r>
      <w:r>
        <w:rPr>
          <w:rFonts w:eastAsia="Times New Roman"/>
          <w:color w:val="000000"/>
          <w:sz w:val="20"/>
          <w:szCs w:val="20"/>
        </w:rPr>
        <w:t>ts and restricted cash balances for the three months ended March 31, 2020 and 2019, which corrected for certain errors that were known at the time of such filing.</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appropriate changes are reflected in our Condensed Consolidated Statement of Cash Flow</w:t>
      </w:r>
      <w:r>
        <w:rPr>
          <w:rFonts w:eastAsia="Times New Roman"/>
          <w:color w:val="000000"/>
          <w:sz w:val="20"/>
          <w:szCs w:val="20"/>
        </w:rPr>
        <w:t>s and the corrections are reflected in the tables below</w:t>
      </w:r>
      <w:r>
        <w:rPr>
          <w:rFonts w:eastAsia="Times New Roman"/>
          <w:color w:val="000000"/>
          <w:sz w:val="20"/>
          <w:szCs w:val="20"/>
        </w:rPr>
        <w:t>:</w:t>
      </w:r>
    </w:p>
    <w:p w:rsidR="00000000" w:rsidRDefault="000A7020">
      <w:pPr>
        <w:jc w:val="both"/>
        <w:rPr>
          <w:rFonts w:eastAsia="Times New Roman"/>
        </w:rPr>
      </w:pPr>
    </w:p>
    <w:p w:rsidR="00000000" w:rsidRDefault="000A7020">
      <w:pPr>
        <w:jc w:val="center"/>
        <w:divId w:val="1063483110"/>
        <w:rPr>
          <w:rFonts w:eastAsia="Times New Roman"/>
        </w:rPr>
      </w:pPr>
      <w:r>
        <w:rPr>
          <w:rFonts w:eastAsia="Times New Roman"/>
          <w:color w:val="000000"/>
          <w:sz w:val="20"/>
          <w:szCs w:val="20"/>
        </w:rPr>
        <w:t>1</w:t>
      </w:r>
      <w:r>
        <w:rPr>
          <w:rFonts w:eastAsia="Times New Roman"/>
          <w:color w:val="000000"/>
          <w:sz w:val="20"/>
          <w:szCs w:val="20"/>
        </w:rPr>
        <w:t>2</w:t>
      </w:r>
    </w:p>
    <w:p w:rsidR="00000000" w:rsidRDefault="000A7020">
      <w:pPr>
        <w:rPr>
          <w:rFonts w:eastAsia="Times New Roman"/>
        </w:rPr>
      </w:pPr>
      <w:r>
        <w:rPr>
          <w:rFonts w:eastAsia="Times New Roman"/>
        </w:rPr>
        <w:pict>
          <v:rect id="_x0000_i1037" style="width:0;height:1.5pt" o:hralign="center" o:hrstd="t" o:hr="t" fillcolor="#a0a0a0" stroked="f"/>
        </w:pict>
      </w:r>
    </w:p>
    <w:p w:rsidR="00000000" w:rsidRDefault="000A7020">
      <w:pPr>
        <w:ind w:firstLine="720"/>
        <w:divId w:val="1875388663"/>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679770004"/>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679770004"/>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Continued</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3864"/>
        <w:gridCol w:w="36"/>
        <w:gridCol w:w="136"/>
        <w:gridCol w:w="1011"/>
        <w:gridCol w:w="86"/>
        <w:gridCol w:w="36"/>
        <w:gridCol w:w="36"/>
        <w:gridCol w:w="36"/>
        <w:gridCol w:w="136"/>
        <w:gridCol w:w="1023"/>
        <w:gridCol w:w="85"/>
        <w:gridCol w:w="36"/>
        <w:gridCol w:w="36"/>
        <w:gridCol w:w="36"/>
        <w:gridCol w:w="135"/>
        <w:gridCol w:w="1023"/>
        <w:gridCol w:w="85"/>
        <w:gridCol w:w="36"/>
        <w:gridCol w:w="36"/>
        <w:gridCol w:w="36"/>
        <w:gridCol w:w="36"/>
        <w:gridCol w:w="36"/>
        <w:gridCol w:w="36"/>
        <w:gridCol w:w="36"/>
        <w:gridCol w:w="36"/>
        <w:gridCol w:w="36"/>
        <w:gridCol w:w="36"/>
        <w:gridCol w:w="36"/>
        <w:gridCol w:w="36"/>
      </w:tblGrid>
      <w:tr w:rsidR="00000000">
        <w:trPr>
          <w:gridAfter w:val="12"/>
          <w:divId w:val="424694005"/>
        </w:trPr>
        <w:tc>
          <w:tcPr>
            <w:tcW w:w="50" w:type="pct"/>
            <w:vAlign w:val="center"/>
            <w:hideMark/>
          </w:tcPr>
          <w:p w:rsidR="00000000" w:rsidRDefault="000A7020">
            <w:pPr>
              <w:jc w:val="center"/>
              <w:rPr>
                <w:rFonts w:eastAsia="Times New Roman"/>
              </w:rPr>
            </w:pPr>
          </w:p>
        </w:tc>
        <w:tc>
          <w:tcPr>
            <w:tcW w:w="249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8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8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8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424694005"/>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year ended December 31, 201</w:t>
            </w:r>
            <w:r>
              <w:rPr>
                <w:rFonts w:eastAsia="Times New Roman"/>
                <w:b/>
                <w:bCs/>
                <w:color w:val="000000"/>
                <w:sz w:val="16"/>
                <w:szCs w:val="16"/>
              </w:rPr>
              <w:t>8</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424694005"/>
        </w:trPr>
        <w:tc>
          <w:tcPr>
            <w:tcW w:w="0" w:type="auto"/>
            <w:gridSpan w:val="3"/>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Adjustmen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Revise</w:t>
            </w:r>
            <w:r>
              <w:rPr>
                <w:rFonts w:eastAsia="Times New Roman"/>
                <w:b/>
                <w:bCs/>
                <w:color w:val="000000"/>
                <w:sz w:val="16"/>
                <w:szCs w:val="16"/>
              </w:rPr>
              <w:t>d</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24694005"/>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Business acquisitions, ne</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(206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(160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24694005"/>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Net cash provided by (used in) investing activitie</w:t>
            </w:r>
            <w:r>
              <w:rPr>
                <w:rFonts w:eastAsia="Times New Roman"/>
                <w:b/>
                <w:bCs/>
                <w:color w:val="000000"/>
                <w:sz w:val="20"/>
                <w:szCs w:val="20"/>
              </w:rPr>
              <w:t>s</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(520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(474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24694005"/>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Net increase (decrease) in client obligation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24694005"/>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Net cash provided by (used in) financing activitie</w:t>
            </w:r>
            <w:r>
              <w:rPr>
                <w:rFonts w:eastAsia="Times New Roman"/>
                <w:b/>
                <w:bCs/>
                <w:color w:val="000000"/>
                <w:sz w:val="20"/>
                <w:szCs w:val="20"/>
              </w:rPr>
              <w:t>s</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24694005"/>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Increase (decrease) in cash, cash equivalents and restricted cas</w:t>
            </w:r>
            <w:r>
              <w:rPr>
                <w:rFonts w:eastAsia="Times New Roman"/>
                <w:color w:val="000000"/>
                <w:sz w:val="20"/>
                <w:szCs w:val="20"/>
              </w:rPr>
              <w:t>h</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(67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24694005"/>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Cash, cash equivalents and restricted cash at the end of the perio</w:t>
            </w:r>
            <w:r>
              <w:rPr>
                <w:rFonts w:eastAsia="Times New Roman"/>
                <w:b/>
                <w:bCs/>
                <w:color w:val="000000"/>
                <w:sz w:val="20"/>
                <w:szCs w:val="20"/>
              </w:rPr>
              <w:t>d</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p>
    <w:p w:rsidR="00000000" w:rsidRDefault="000A7020">
      <w:pPr>
        <w:divId w:val="179289442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204"/>
        <w:gridCol w:w="38"/>
        <w:gridCol w:w="136"/>
        <w:gridCol w:w="541"/>
        <w:gridCol w:w="85"/>
        <w:gridCol w:w="36"/>
        <w:gridCol w:w="36"/>
        <w:gridCol w:w="36"/>
        <w:gridCol w:w="136"/>
        <w:gridCol w:w="676"/>
        <w:gridCol w:w="86"/>
        <w:gridCol w:w="36"/>
        <w:gridCol w:w="36"/>
        <w:gridCol w:w="36"/>
        <w:gridCol w:w="135"/>
        <w:gridCol w:w="365"/>
        <w:gridCol w:w="85"/>
        <w:gridCol w:w="36"/>
        <w:gridCol w:w="36"/>
        <w:gridCol w:w="36"/>
        <w:gridCol w:w="136"/>
        <w:gridCol w:w="676"/>
        <w:gridCol w:w="86"/>
        <w:gridCol w:w="36"/>
        <w:gridCol w:w="36"/>
        <w:gridCol w:w="36"/>
        <w:gridCol w:w="135"/>
        <w:gridCol w:w="36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316691179"/>
        </w:trPr>
        <w:tc>
          <w:tcPr>
            <w:tcW w:w="50" w:type="pct"/>
            <w:vAlign w:val="center"/>
            <w:hideMark/>
          </w:tcPr>
          <w:p w:rsidR="00000000" w:rsidRDefault="000A7020">
            <w:pPr>
              <w:rPr>
                <w:rFonts w:eastAsia="Times New Roman"/>
              </w:rPr>
            </w:pPr>
          </w:p>
        </w:tc>
        <w:tc>
          <w:tcPr>
            <w:tcW w:w="233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8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8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8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8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9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316691179"/>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three months ended March 31, 201</w:t>
            </w:r>
            <w:r>
              <w:rPr>
                <w:rFonts w:eastAsia="Times New Roman"/>
                <w:b/>
                <w:bCs/>
                <w:color w:val="000000"/>
                <w:sz w:val="16"/>
                <w:szCs w:val="16"/>
              </w:rPr>
              <w:t>9</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316691179"/>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Reported in March 31, 2019 Form 10-</w:t>
            </w:r>
            <w:r>
              <w:rPr>
                <w:rFonts w:eastAsia="Times New Roman"/>
                <w:b/>
                <w:bCs/>
                <w:color w:val="000000"/>
                <w:sz w:val="16"/>
                <w:szCs w:val="16"/>
              </w:rPr>
              <w:t>Q</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Adjustmen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Revised in March 31, 2020 Form 10-</w:t>
            </w:r>
            <w:r>
              <w:rPr>
                <w:rFonts w:eastAsia="Times New Roman"/>
                <w:b/>
                <w:bCs/>
                <w:color w:val="000000"/>
                <w:sz w:val="16"/>
                <w:szCs w:val="16"/>
              </w:rPr>
              <w:t>Q</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Further Adjustmen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Revise</w:t>
            </w:r>
            <w:r>
              <w:rPr>
                <w:rFonts w:eastAsia="Times New Roman"/>
                <w:b/>
                <w:bCs/>
                <w:color w:val="000000"/>
                <w:sz w:val="16"/>
                <w:szCs w:val="16"/>
              </w:rPr>
              <w:t>d</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316691179"/>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Increase (decrease) in other assets and liabilitie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316691179"/>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Net cash provided by (used in) operating activitie</w:t>
            </w:r>
            <w:r>
              <w:rPr>
                <w:rFonts w:eastAsia="Times New Roman"/>
                <w:b/>
                <w:bCs/>
                <w:color w:val="000000"/>
                <w:sz w:val="20"/>
                <w:szCs w:val="20"/>
              </w:rPr>
              <w:t>s</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316691179"/>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316691179"/>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316691179"/>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Net increase (decrease) in client obligation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316691179"/>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Net cash provided by (used in) financing activitie</w:t>
            </w:r>
            <w:r>
              <w:rPr>
                <w:rFonts w:eastAsia="Times New Roman"/>
                <w:b/>
                <w:bCs/>
                <w:color w:val="000000"/>
                <w:sz w:val="20"/>
                <w:szCs w:val="20"/>
              </w:rPr>
              <w:t>s</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316691179"/>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Increase (decrease) in cash, cash equivalents and restricted cas</w:t>
            </w:r>
            <w:r>
              <w:rPr>
                <w:rFonts w:eastAsia="Times New Roman"/>
                <w:color w:val="000000"/>
                <w:sz w:val="20"/>
                <w:szCs w:val="20"/>
              </w:rPr>
              <w:t>h</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316691179"/>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Cash, cash equivalents and restricted cash at the beginning of the perio</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316691179"/>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Cash, cash equivalents and restricted cash at the end of the perio</w:t>
            </w:r>
            <w:r>
              <w:rPr>
                <w:rFonts w:eastAsia="Times New Roman"/>
                <w:b/>
                <w:bCs/>
                <w:color w:val="000000"/>
                <w:sz w:val="20"/>
                <w:szCs w:val="20"/>
              </w:rPr>
              <w:t>d</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417"/>
        <w:gridCol w:w="37"/>
        <w:gridCol w:w="136"/>
        <w:gridCol w:w="862"/>
        <w:gridCol w:w="86"/>
        <w:gridCol w:w="36"/>
        <w:gridCol w:w="36"/>
        <w:gridCol w:w="36"/>
        <w:gridCol w:w="136"/>
        <w:gridCol w:w="895"/>
        <w:gridCol w:w="85"/>
        <w:gridCol w:w="36"/>
        <w:gridCol w:w="36"/>
        <w:gridCol w:w="36"/>
        <w:gridCol w:w="135"/>
        <w:gridCol w:w="745"/>
        <w:gridCol w:w="85"/>
        <w:gridCol w:w="36"/>
        <w:gridCol w:w="36"/>
        <w:gridCol w:w="36"/>
        <w:gridCol w:w="36"/>
        <w:gridCol w:w="36"/>
        <w:gridCol w:w="36"/>
        <w:gridCol w:w="36"/>
        <w:gridCol w:w="36"/>
        <w:gridCol w:w="36"/>
        <w:gridCol w:w="36"/>
        <w:gridCol w:w="36"/>
        <w:gridCol w:w="36"/>
      </w:tblGrid>
      <w:tr w:rsidR="00000000">
        <w:trPr>
          <w:gridAfter w:val="12"/>
          <w:divId w:val="1879509142"/>
        </w:trPr>
        <w:tc>
          <w:tcPr>
            <w:tcW w:w="50" w:type="pct"/>
            <w:vAlign w:val="center"/>
            <w:hideMark/>
          </w:tcPr>
          <w:p w:rsidR="00000000" w:rsidRDefault="000A7020">
            <w:pPr>
              <w:jc w:val="both"/>
              <w:rPr>
                <w:rFonts w:eastAsia="Times New Roman"/>
              </w:rPr>
            </w:pPr>
          </w:p>
        </w:tc>
        <w:tc>
          <w:tcPr>
            <w:tcW w:w="284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8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0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879509142"/>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six months ended June 30, 201</w:t>
            </w:r>
            <w:r>
              <w:rPr>
                <w:rFonts w:eastAsia="Times New Roman"/>
                <w:b/>
                <w:bCs/>
                <w:color w:val="000000"/>
                <w:sz w:val="16"/>
                <w:szCs w:val="16"/>
              </w:rPr>
              <w:t>9</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1879509142"/>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Adjustmen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Revise</w:t>
            </w:r>
            <w:r>
              <w:rPr>
                <w:rFonts w:eastAsia="Times New Roman"/>
                <w:b/>
                <w:bCs/>
                <w:color w:val="000000"/>
                <w:sz w:val="16"/>
                <w:szCs w:val="16"/>
              </w:rPr>
              <w:t>d</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879509142"/>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Cash, cash equivalents and restricted cash at the beginning of the perio</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879509142"/>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Cash, cash equivalents and restricted cash at the end of the perio</w:t>
            </w:r>
            <w:r>
              <w:rPr>
                <w:rFonts w:eastAsia="Times New Roman"/>
                <w:b/>
                <w:bCs/>
                <w:color w:val="000000"/>
                <w:sz w:val="20"/>
                <w:szCs w:val="20"/>
              </w:rPr>
              <w:t>d</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032"/>
        <w:gridCol w:w="38"/>
        <w:gridCol w:w="136"/>
        <w:gridCol w:w="979"/>
        <w:gridCol w:w="86"/>
        <w:gridCol w:w="36"/>
        <w:gridCol w:w="36"/>
        <w:gridCol w:w="36"/>
        <w:gridCol w:w="136"/>
        <w:gridCol w:w="891"/>
        <w:gridCol w:w="85"/>
        <w:gridCol w:w="36"/>
        <w:gridCol w:w="36"/>
        <w:gridCol w:w="36"/>
        <w:gridCol w:w="135"/>
        <w:gridCol w:w="1015"/>
        <w:gridCol w:w="85"/>
        <w:gridCol w:w="36"/>
        <w:gridCol w:w="36"/>
        <w:gridCol w:w="36"/>
        <w:gridCol w:w="36"/>
        <w:gridCol w:w="36"/>
        <w:gridCol w:w="36"/>
        <w:gridCol w:w="36"/>
        <w:gridCol w:w="36"/>
        <w:gridCol w:w="36"/>
        <w:gridCol w:w="36"/>
        <w:gridCol w:w="36"/>
        <w:gridCol w:w="36"/>
      </w:tblGrid>
      <w:tr w:rsidR="00000000">
        <w:trPr>
          <w:gridAfter w:val="12"/>
          <w:divId w:val="2125535644"/>
        </w:trPr>
        <w:tc>
          <w:tcPr>
            <w:tcW w:w="50" w:type="pct"/>
            <w:vAlign w:val="center"/>
            <w:hideMark/>
          </w:tcPr>
          <w:p w:rsidR="00000000" w:rsidRDefault="000A7020">
            <w:pPr>
              <w:jc w:val="both"/>
              <w:rPr>
                <w:rFonts w:eastAsia="Times New Roman"/>
              </w:rPr>
            </w:pPr>
          </w:p>
        </w:tc>
        <w:tc>
          <w:tcPr>
            <w:tcW w:w="259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5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9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9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2125535644"/>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nine months ended September 30, 2019</w:t>
            </w:r>
            <w:r>
              <w:rPr>
                <w:rFonts w:eastAsia="Times New Roman"/>
                <w:b/>
                <w:bCs/>
                <w:color w:val="000000"/>
                <w:sz w:val="16"/>
                <w:szCs w:val="16"/>
              </w:rPr>
              <w:t xml:space="preserve"> </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2125535644"/>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Adjustmen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Revise</w:t>
            </w:r>
            <w:r>
              <w:rPr>
                <w:rFonts w:eastAsia="Times New Roman"/>
                <w:b/>
                <w:bCs/>
                <w:color w:val="000000"/>
                <w:sz w:val="16"/>
                <w:szCs w:val="16"/>
              </w:rPr>
              <w:t>d</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125535644"/>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Net increase (decrease) in client fund</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125535644"/>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Net cash provided by (used in) investing activitie</w:t>
            </w:r>
            <w:r>
              <w:rPr>
                <w:rFonts w:eastAsia="Times New Roman"/>
                <w:b/>
                <w:bCs/>
                <w:color w:val="000000"/>
                <w:sz w:val="20"/>
                <w:szCs w:val="20"/>
              </w:rPr>
              <w:t>s</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(292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(290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125535644"/>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Net increase (decrease) in client obligation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125535644"/>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Net cash provided by (used in) financing activitie</w:t>
            </w:r>
            <w:r>
              <w:rPr>
                <w:rFonts w:eastAsia="Times New Roman"/>
                <w:b/>
                <w:bCs/>
                <w:color w:val="000000"/>
                <w:sz w:val="20"/>
                <w:szCs w:val="20"/>
              </w:rPr>
              <w:t>s</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125535644"/>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Increase (decrease) in Cash, cash equivalents and restricted cas</w:t>
            </w:r>
            <w:r>
              <w:rPr>
                <w:rFonts w:eastAsia="Times New Roman"/>
                <w:color w:val="000000"/>
                <w:sz w:val="20"/>
                <w:szCs w:val="20"/>
              </w:rPr>
              <w:t>h</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(67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(69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125535644"/>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Cash, cash equivalents and restricted cash at the beginning of the perio</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125535644"/>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Cash, cash equivalents and restricted cash at the end of the perio</w:t>
            </w:r>
            <w:r>
              <w:rPr>
                <w:rFonts w:eastAsia="Times New Roman"/>
                <w:b/>
                <w:bCs/>
                <w:color w:val="000000"/>
                <w:sz w:val="20"/>
                <w:szCs w:val="20"/>
              </w:rPr>
              <w:t>d</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ind w:firstLine="720"/>
        <w:jc w:val="both"/>
        <w:rPr>
          <w:rFonts w:eastAsia="Times New Roman"/>
        </w:rPr>
      </w:pPr>
    </w:p>
    <w:p w:rsidR="00000000" w:rsidRDefault="000A7020">
      <w:pPr>
        <w:jc w:val="both"/>
        <w:rPr>
          <w:rFonts w:eastAsia="Times New Roman"/>
        </w:rPr>
      </w:pPr>
    </w:p>
    <w:p w:rsidR="00000000" w:rsidRDefault="000A7020">
      <w:pPr>
        <w:jc w:val="center"/>
        <w:divId w:val="2043749540"/>
        <w:rPr>
          <w:rFonts w:eastAsia="Times New Roman"/>
        </w:rPr>
      </w:pPr>
      <w:r>
        <w:rPr>
          <w:rFonts w:eastAsia="Times New Roman"/>
          <w:color w:val="000000"/>
          <w:sz w:val="20"/>
          <w:szCs w:val="20"/>
        </w:rPr>
        <w:t>1</w:t>
      </w:r>
      <w:r>
        <w:rPr>
          <w:rFonts w:eastAsia="Times New Roman"/>
          <w:color w:val="000000"/>
          <w:sz w:val="20"/>
          <w:szCs w:val="20"/>
        </w:rPr>
        <w:t>3</w:t>
      </w:r>
    </w:p>
    <w:p w:rsidR="00000000" w:rsidRDefault="000A7020">
      <w:pPr>
        <w:rPr>
          <w:rFonts w:eastAsia="Times New Roman"/>
        </w:rPr>
      </w:pPr>
      <w:r>
        <w:rPr>
          <w:rFonts w:eastAsia="Times New Roman"/>
        </w:rPr>
        <w:pict>
          <v:rect id="_x0000_i1038" style="width:0;height:1.5pt" o:hralign="center" o:hrstd="t" o:hr="t" fillcolor="#a0a0a0" stroked="f"/>
        </w:pict>
      </w:r>
    </w:p>
    <w:p w:rsidR="00000000" w:rsidRDefault="000A7020">
      <w:pPr>
        <w:ind w:firstLine="720"/>
        <w:divId w:val="989136796"/>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2125922531"/>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2125922531"/>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4047"/>
        <w:gridCol w:w="38"/>
        <w:gridCol w:w="136"/>
        <w:gridCol w:w="964"/>
        <w:gridCol w:w="86"/>
        <w:gridCol w:w="36"/>
        <w:gridCol w:w="36"/>
        <w:gridCol w:w="36"/>
        <w:gridCol w:w="136"/>
        <w:gridCol w:w="976"/>
        <w:gridCol w:w="85"/>
        <w:gridCol w:w="36"/>
        <w:gridCol w:w="36"/>
        <w:gridCol w:w="36"/>
        <w:gridCol w:w="135"/>
        <w:gridCol w:w="930"/>
        <w:gridCol w:w="85"/>
        <w:gridCol w:w="36"/>
        <w:gridCol w:w="36"/>
        <w:gridCol w:w="36"/>
        <w:gridCol w:w="36"/>
        <w:gridCol w:w="36"/>
        <w:gridCol w:w="36"/>
        <w:gridCol w:w="36"/>
        <w:gridCol w:w="36"/>
        <w:gridCol w:w="36"/>
        <w:gridCol w:w="36"/>
        <w:gridCol w:w="36"/>
        <w:gridCol w:w="36"/>
      </w:tblGrid>
      <w:tr w:rsidR="00000000">
        <w:trPr>
          <w:gridAfter w:val="12"/>
          <w:divId w:val="1453938206"/>
        </w:trPr>
        <w:tc>
          <w:tcPr>
            <w:tcW w:w="50" w:type="pct"/>
            <w:vAlign w:val="center"/>
            <w:hideMark/>
          </w:tcPr>
          <w:p w:rsidR="00000000" w:rsidRDefault="000A7020">
            <w:pPr>
              <w:jc w:val="center"/>
              <w:rPr>
                <w:rFonts w:eastAsia="Times New Roman"/>
              </w:rPr>
            </w:pPr>
          </w:p>
        </w:tc>
        <w:tc>
          <w:tcPr>
            <w:tcW w:w="261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5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5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2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453938206"/>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year ended December 31, 201</w:t>
            </w:r>
            <w:r>
              <w:rPr>
                <w:rFonts w:eastAsia="Times New Roman"/>
                <w:b/>
                <w:bCs/>
                <w:color w:val="000000"/>
                <w:sz w:val="16"/>
                <w:szCs w:val="16"/>
              </w:rPr>
              <w:t>9</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1453938206"/>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Adjustmen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Revise</w:t>
            </w:r>
            <w:r>
              <w:rPr>
                <w:rFonts w:eastAsia="Times New Roman"/>
                <w:b/>
                <w:bCs/>
                <w:color w:val="000000"/>
                <w:sz w:val="16"/>
                <w:szCs w:val="16"/>
              </w:rPr>
              <w:t>d</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53938206"/>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Increase (decrease) in other assets and liabilitie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53938206"/>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Net cash provided by (used in) operating activitie</w:t>
            </w:r>
            <w:r>
              <w:rPr>
                <w:rFonts w:eastAsia="Times New Roman"/>
                <w:b/>
                <w:bCs/>
                <w:color w:val="000000"/>
                <w:sz w:val="20"/>
                <w:szCs w:val="20"/>
              </w:rPr>
              <w:t>s</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628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634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53938206"/>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Net increase (decrease) in client obligation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53938206"/>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Net cash provided by (used in) investing activitie</w:t>
            </w:r>
            <w:r>
              <w:rPr>
                <w:rFonts w:eastAsia="Times New Roman"/>
                <w:b/>
                <w:bCs/>
                <w:color w:val="000000"/>
                <w:sz w:val="20"/>
                <w:szCs w:val="20"/>
              </w:rPr>
              <w:t>s</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(527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53938206"/>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Net increase (decrease) in client obligation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53938206"/>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Net cash provided by (used in) financing activitie</w:t>
            </w:r>
            <w:r>
              <w:rPr>
                <w:rFonts w:eastAsia="Times New Roman"/>
                <w:b/>
                <w:bCs/>
                <w:color w:val="000000"/>
                <w:sz w:val="20"/>
                <w:szCs w:val="20"/>
              </w:rPr>
              <w:t>s</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(61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53938206"/>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Increase (decrease) in Cash, cash equivalents and restricted cas</w:t>
            </w:r>
            <w:r>
              <w:rPr>
                <w:rFonts w:eastAsia="Times New Roman"/>
                <w:color w:val="000000"/>
                <w:sz w:val="20"/>
                <w:szCs w:val="20"/>
              </w:rPr>
              <w:t>h</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53938206"/>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Cash, cash equivalents and restricted cash at the beginning of the perio</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53938206"/>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Cash, cash equivalents and restricted cash at the end of the perio</w:t>
            </w:r>
            <w:r>
              <w:rPr>
                <w:rFonts w:eastAsia="Times New Roman"/>
                <w:b/>
                <w:bCs/>
                <w:color w:val="000000"/>
                <w:sz w:val="20"/>
                <w:szCs w:val="20"/>
              </w:rPr>
              <w:t>d</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002"/>
        <w:gridCol w:w="38"/>
        <w:gridCol w:w="135"/>
        <w:gridCol w:w="1032"/>
        <w:gridCol w:w="85"/>
        <w:gridCol w:w="36"/>
        <w:gridCol w:w="36"/>
        <w:gridCol w:w="36"/>
        <w:gridCol w:w="136"/>
        <w:gridCol w:w="931"/>
        <w:gridCol w:w="85"/>
        <w:gridCol w:w="36"/>
        <w:gridCol w:w="36"/>
        <w:gridCol w:w="36"/>
        <w:gridCol w:w="135"/>
        <w:gridCol w:w="954"/>
        <w:gridCol w:w="85"/>
        <w:gridCol w:w="36"/>
        <w:gridCol w:w="36"/>
        <w:gridCol w:w="36"/>
        <w:gridCol w:w="36"/>
        <w:gridCol w:w="36"/>
        <w:gridCol w:w="36"/>
        <w:gridCol w:w="36"/>
        <w:gridCol w:w="36"/>
        <w:gridCol w:w="36"/>
        <w:gridCol w:w="36"/>
        <w:gridCol w:w="36"/>
        <w:gridCol w:w="36"/>
      </w:tblGrid>
      <w:tr w:rsidR="00000000">
        <w:trPr>
          <w:gridAfter w:val="12"/>
          <w:divId w:val="1182013797"/>
        </w:trPr>
        <w:tc>
          <w:tcPr>
            <w:tcW w:w="50" w:type="pct"/>
            <w:vAlign w:val="center"/>
            <w:hideMark/>
          </w:tcPr>
          <w:p w:rsidR="00000000" w:rsidRDefault="000A7020">
            <w:pPr>
              <w:jc w:val="both"/>
              <w:rPr>
                <w:rFonts w:eastAsia="Times New Roman"/>
              </w:rPr>
            </w:pPr>
          </w:p>
        </w:tc>
        <w:tc>
          <w:tcPr>
            <w:tcW w:w="258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9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2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3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182013797"/>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three months ended March 31, 202</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1182013797"/>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Adjustmen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As Revise</w:t>
            </w:r>
            <w:r>
              <w:rPr>
                <w:rFonts w:eastAsia="Times New Roman"/>
                <w:b/>
                <w:bCs/>
                <w:color w:val="000000"/>
                <w:sz w:val="16"/>
                <w:szCs w:val="16"/>
              </w:rPr>
              <w:t>d</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2013797"/>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Increase (decrease) in other assets and liabilitie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(90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(97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2013797"/>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Net cash provided by (used in) operating activitie</w:t>
            </w:r>
            <w:r>
              <w:rPr>
                <w:rFonts w:eastAsia="Times New Roman"/>
                <w:b/>
                <w:bCs/>
                <w:color w:val="000000"/>
                <w:sz w:val="20"/>
                <w:szCs w:val="20"/>
              </w:rPr>
              <w:t>s</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2013797"/>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Increase (decrease) in Cash, cash equivalents and restricted cas</w:t>
            </w:r>
            <w:r>
              <w:rPr>
                <w:rFonts w:eastAsia="Times New Roman"/>
                <w:color w:val="000000"/>
                <w:sz w:val="20"/>
                <w:szCs w:val="20"/>
              </w:rPr>
              <w:t>h</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717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710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2013797"/>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Cash, cash equivalents and restricted cash at the beginning of the perio</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82013797"/>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Cash, cash equivalents and restricted cash at the end of the perio</w:t>
            </w:r>
            <w:r>
              <w:rPr>
                <w:rFonts w:eastAsia="Times New Roman"/>
                <w:b/>
                <w:bCs/>
                <w:color w:val="000000"/>
                <w:sz w:val="20"/>
                <w:szCs w:val="20"/>
              </w:rPr>
              <w:t>d</w:t>
            </w: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1,265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1,273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Consistent with the revision to the Consolidated Statement of Cash Flows described above, the Company has revised the reconciliation of cash, cash equivalents and restricted cash included in the Consolidated Statement of Cash Flows for all periods that inc</w:t>
      </w:r>
      <w:r>
        <w:rPr>
          <w:rFonts w:eastAsia="Times New Roman"/>
          <w:color w:val="000000"/>
          <w:sz w:val="20"/>
          <w:szCs w:val="20"/>
        </w:rPr>
        <w:t>lude a revision. The appropriate changes are reflected in our Condensed Consolidated Statement of Cash Flows for the six months ended June 30, 2019, and the corrections, as reflected in the table below to include funds held for clients and cash included in</w:t>
      </w:r>
      <w:r>
        <w:rPr>
          <w:rFonts w:eastAsia="Times New Roman"/>
          <w:color w:val="000000"/>
          <w:sz w:val="20"/>
          <w:szCs w:val="20"/>
        </w:rPr>
        <w:t xml:space="preserve"> settlement assets within cash, cash equivalents and restricted cash, will be revised in connection with the future Form 10-K and 10-Q filings discussed above</w:t>
      </w:r>
      <w:r>
        <w:rPr>
          <w:rFonts w:eastAsia="Times New Roman"/>
          <w:color w:val="000000"/>
          <w:sz w:val="20"/>
          <w:szCs w:val="20"/>
        </w:rPr>
        <w:t>.</w:t>
      </w:r>
    </w:p>
    <w:p w:rsidR="00000000" w:rsidRDefault="000A7020">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288"/>
        <w:gridCol w:w="37"/>
        <w:gridCol w:w="36"/>
        <w:gridCol w:w="36"/>
        <w:gridCol w:w="36"/>
        <w:gridCol w:w="135"/>
        <w:gridCol w:w="515"/>
        <w:gridCol w:w="85"/>
        <w:gridCol w:w="36"/>
        <w:gridCol w:w="36"/>
        <w:gridCol w:w="36"/>
        <w:gridCol w:w="136"/>
        <w:gridCol w:w="562"/>
        <w:gridCol w:w="85"/>
        <w:gridCol w:w="36"/>
        <w:gridCol w:w="36"/>
        <w:gridCol w:w="36"/>
        <w:gridCol w:w="136"/>
        <w:gridCol w:w="597"/>
        <w:gridCol w:w="90"/>
        <w:gridCol w:w="36"/>
        <w:gridCol w:w="36"/>
        <w:gridCol w:w="36"/>
        <w:gridCol w:w="135"/>
        <w:gridCol w:w="365"/>
        <w:gridCol w:w="85"/>
        <w:gridCol w:w="36"/>
        <w:gridCol w:w="36"/>
        <w:gridCol w:w="36"/>
        <w:gridCol w:w="135"/>
        <w:gridCol w:w="365"/>
        <w:gridCol w:w="85"/>
        <w:gridCol w:w="36"/>
        <w:gridCol w:w="36"/>
        <w:gridCol w:w="36"/>
        <w:gridCol w:w="136"/>
        <w:gridCol w:w="562"/>
        <w:gridCol w:w="85"/>
      </w:tblGrid>
      <w:tr w:rsidR="00000000">
        <w:trPr>
          <w:divId w:val="1365715933"/>
        </w:trPr>
        <w:tc>
          <w:tcPr>
            <w:tcW w:w="50" w:type="pct"/>
            <w:vAlign w:val="center"/>
            <w:hideMark/>
          </w:tcPr>
          <w:p w:rsidR="00000000" w:rsidRDefault="000A7020">
            <w:pPr>
              <w:jc w:val="both"/>
              <w:rPr>
                <w:rFonts w:eastAsia="Times New Roman"/>
              </w:rPr>
            </w:pPr>
          </w:p>
        </w:tc>
        <w:tc>
          <w:tcPr>
            <w:tcW w:w="211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3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3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3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3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3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1"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3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365715933"/>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March 31,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September 30,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March 31,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8</w:t>
            </w:r>
          </w:p>
        </w:tc>
      </w:tr>
      <w:tr w:rsidR="00000000">
        <w:trPr>
          <w:divId w:val="1365715933"/>
        </w:trPr>
        <w:tc>
          <w:tcPr>
            <w:tcW w:w="0" w:type="auto"/>
            <w:gridSpan w:val="3"/>
            <w:tcMar>
              <w:top w:w="30" w:type="dxa"/>
              <w:left w:w="20" w:type="dxa"/>
              <w:bottom w:w="30" w:type="dxa"/>
              <w:right w:w="20" w:type="dxa"/>
            </w:tcMar>
            <w:vAlign w:val="center"/>
            <w:hideMark/>
          </w:tcPr>
          <w:p w:rsidR="00000000" w:rsidRDefault="000A7020">
            <w:pPr>
              <w:rPr>
                <w:rFonts w:eastAsia="Times New Roman"/>
              </w:rPr>
            </w:pPr>
            <w:r>
              <w:rPr>
                <w:rFonts w:eastAsia="Times New Roman"/>
                <w:b/>
                <w:bCs/>
                <w:color w:val="000000"/>
                <w:sz w:val="16"/>
                <w:szCs w:val="16"/>
              </w:rPr>
              <w:t>Reconciliation of cash, cash equivalents and restricted cash as shown in the Condensed Consolidated Statements of Cash Flow</w:t>
            </w:r>
            <w:r>
              <w:rPr>
                <w:rFonts w:eastAsia="Times New Roman"/>
                <w:b/>
                <w:bCs/>
                <w:color w:val="000000"/>
                <w:sz w:val="16"/>
                <w:szCs w:val="16"/>
              </w:rPr>
              <w:t>s</w:t>
            </w:r>
          </w:p>
        </w:tc>
        <w:tc>
          <w:tcPr>
            <w:tcW w:w="0" w:type="auto"/>
            <w:gridSpan w:val="3"/>
            <w:tcMar>
              <w:top w:w="15" w:type="dxa"/>
              <w:left w:w="20" w:type="dxa"/>
              <w:bottom w:w="15" w:type="dxa"/>
              <w:right w:w="20" w:type="dxa"/>
            </w:tcMar>
            <w:vAlign w:val="center"/>
            <w:hideMark/>
          </w:tcPr>
          <w:p w:rsidR="00000000" w:rsidRDefault="000A7020">
            <w:pPr>
              <w:rPr>
                <w:rFonts w:eastAsia="Times New Roman"/>
              </w:rPr>
            </w:pPr>
          </w:p>
        </w:tc>
        <w:tc>
          <w:tcPr>
            <w:tcW w:w="0" w:type="auto"/>
            <w:gridSpan w:val="3"/>
            <w:tcBorders>
              <w:top w:val="single" w:sz="8" w:space="0" w:color="000000"/>
            </w:tcBorders>
            <w:tcMar>
              <w:top w:w="15" w:type="dxa"/>
              <w:left w:w="20" w:type="dxa"/>
              <w:bottom w:w="15" w:type="dxa"/>
              <w:right w:w="20" w:type="dxa"/>
            </w:tcMar>
            <w:vAlign w:val="center"/>
            <w:hideMark/>
          </w:tcPr>
          <w:p w:rsidR="00000000" w:rsidRDefault="000A7020">
            <w:pPr>
              <w:jc w:val="right"/>
              <w:rPr>
                <w:rFonts w:eastAsia="Times New Roman"/>
                <w:sz w:val="20"/>
                <w:szCs w:val="20"/>
              </w:rPr>
            </w:pPr>
          </w:p>
        </w:tc>
        <w:tc>
          <w:tcPr>
            <w:tcW w:w="0" w:type="auto"/>
            <w:gridSpan w:val="3"/>
            <w:tcMar>
              <w:top w:w="15" w:type="dxa"/>
              <w:left w:w="20" w:type="dxa"/>
              <w:bottom w:w="15" w:type="dxa"/>
              <w:right w:w="20" w:type="dxa"/>
            </w:tcMar>
            <w:vAlign w:val="center"/>
            <w:hideMark/>
          </w:tcPr>
          <w:p w:rsidR="00000000" w:rsidRDefault="000A7020">
            <w:pPr>
              <w:jc w:val="right"/>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center"/>
            <w:hideMark/>
          </w:tcPr>
          <w:p w:rsidR="00000000" w:rsidRDefault="000A7020">
            <w:pPr>
              <w:jc w:val="right"/>
              <w:rPr>
                <w:rFonts w:eastAsia="Times New Roman"/>
                <w:sz w:val="20"/>
                <w:szCs w:val="20"/>
              </w:rPr>
            </w:pPr>
          </w:p>
        </w:tc>
        <w:tc>
          <w:tcPr>
            <w:tcW w:w="0" w:type="auto"/>
            <w:gridSpan w:val="3"/>
            <w:tcMar>
              <w:top w:w="15" w:type="dxa"/>
              <w:left w:w="20" w:type="dxa"/>
              <w:bottom w:w="15" w:type="dxa"/>
              <w:right w:w="20" w:type="dxa"/>
            </w:tcMar>
            <w:vAlign w:val="center"/>
            <w:hideMark/>
          </w:tcPr>
          <w:p w:rsidR="00000000" w:rsidRDefault="000A7020">
            <w:pPr>
              <w:jc w:val="right"/>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center"/>
            <w:hideMark/>
          </w:tcPr>
          <w:p w:rsidR="00000000" w:rsidRDefault="000A7020">
            <w:pPr>
              <w:jc w:val="right"/>
              <w:rPr>
                <w:rFonts w:eastAsia="Times New Roman"/>
                <w:sz w:val="20"/>
                <w:szCs w:val="20"/>
              </w:rPr>
            </w:pPr>
          </w:p>
        </w:tc>
        <w:tc>
          <w:tcPr>
            <w:tcW w:w="0" w:type="auto"/>
            <w:gridSpan w:val="3"/>
            <w:tcMar>
              <w:top w:w="15" w:type="dxa"/>
              <w:left w:w="20" w:type="dxa"/>
              <w:bottom w:w="15" w:type="dxa"/>
              <w:right w:w="20" w:type="dxa"/>
            </w:tcMar>
            <w:vAlign w:val="center"/>
            <w:hideMark/>
          </w:tcPr>
          <w:p w:rsidR="00000000" w:rsidRDefault="000A7020">
            <w:pPr>
              <w:jc w:val="right"/>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center"/>
            <w:hideMark/>
          </w:tcPr>
          <w:p w:rsidR="00000000" w:rsidRDefault="000A7020">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1365715933"/>
        </w:trPr>
        <w:tc>
          <w:tcPr>
            <w:tcW w:w="0" w:type="auto"/>
            <w:gridSpan w:val="3"/>
            <w:shd w:val="clear" w:color="auto" w:fill="CCEEFF"/>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center"/>
            <w:hideMark/>
          </w:tcPr>
          <w:p w:rsidR="00000000" w:rsidRDefault="000A7020">
            <w:pPr>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1,214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335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r>
      <w:tr w:rsidR="00000000">
        <w:trPr>
          <w:divId w:val="1365715933"/>
        </w:trPr>
        <w:tc>
          <w:tcPr>
            <w:tcW w:w="0" w:type="auto"/>
            <w:gridSpan w:val="3"/>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Restricted cash included in other asset</w:t>
            </w:r>
            <w:r>
              <w:rPr>
                <w:rFonts w:eastAsia="Times New Roman"/>
                <w:color w:val="000000"/>
                <w:sz w:val="20"/>
                <w:szCs w:val="20"/>
              </w:rPr>
              <w:t>s</w:t>
            </w:r>
          </w:p>
        </w:tc>
        <w:tc>
          <w:tcPr>
            <w:tcW w:w="0" w:type="auto"/>
            <w:gridSpan w:val="3"/>
            <w:tcMar>
              <w:top w:w="15" w:type="dxa"/>
              <w:left w:w="20" w:type="dxa"/>
              <w:bottom w:w="15" w:type="dxa"/>
              <w:right w:w="20" w:type="dxa"/>
            </w:tcMar>
            <w:vAlign w:val="center"/>
            <w:hideMark/>
          </w:tcPr>
          <w:p w:rsidR="00000000" w:rsidRDefault="000A7020">
            <w:pPr>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365715933"/>
        </w:trPr>
        <w:tc>
          <w:tcPr>
            <w:tcW w:w="0" w:type="auto"/>
            <w:gridSpan w:val="3"/>
            <w:shd w:val="clear" w:color="auto" w:fill="CCEEFF"/>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Funds held for clients included in other current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center"/>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365715933"/>
        </w:trPr>
        <w:tc>
          <w:tcPr>
            <w:tcW w:w="0" w:type="auto"/>
            <w:gridSpan w:val="3"/>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Cash included in settlement processing assets included in other current asset</w:t>
            </w:r>
            <w:r>
              <w:rPr>
                <w:rFonts w:eastAsia="Times New Roman"/>
                <w:color w:val="000000"/>
                <w:sz w:val="20"/>
                <w:szCs w:val="20"/>
              </w:rPr>
              <w:t>s</w:t>
            </w:r>
          </w:p>
        </w:tc>
        <w:tc>
          <w:tcPr>
            <w:tcW w:w="0" w:type="auto"/>
            <w:gridSpan w:val="3"/>
            <w:tcMar>
              <w:top w:w="15" w:type="dxa"/>
              <w:left w:w="20" w:type="dxa"/>
              <w:bottom w:w="15" w:type="dxa"/>
              <w:right w:w="20" w:type="dxa"/>
            </w:tcMar>
            <w:vAlign w:val="center"/>
            <w:hideMark/>
          </w:tcPr>
          <w:p w:rsidR="00000000" w:rsidRDefault="000A7020">
            <w:pPr>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365715933"/>
        </w:trPr>
        <w:tc>
          <w:tcPr>
            <w:tcW w:w="0" w:type="auto"/>
            <w:gridSpan w:val="3"/>
            <w:shd w:val="clear" w:color="auto" w:fill="CCEEFF"/>
            <w:tcMar>
              <w:top w:w="30" w:type="dxa"/>
              <w:left w:w="20" w:type="dxa"/>
              <w:bottom w:w="30" w:type="dxa"/>
              <w:right w:w="20" w:type="dxa"/>
            </w:tcMar>
            <w:vAlign w:val="center"/>
            <w:hideMark/>
          </w:tcPr>
          <w:p w:rsidR="00000000" w:rsidRDefault="000A7020">
            <w:pPr>
              <w:rPr>
                <w:rFonts w:eastAsia="Times New Roman"/>
              </w:rPr>
            </w:pPr>
            <w:r>
              <w:rPr>
                <w:rFonts w:eastAsia="Times New Roman"/>
                <w:b/>
                <w:bCs/>
                <w:color w:val="000000"/>
                <w:sz w:val="20"/>
                <w:szCs w:val="20"/>
              </w:rPr>
              <w:t>Total cash, cash equivalents and restricted cas</w:t>
            </w:r>
            <w:r>
              <w:rPr>
                <w:rFonts w:eastAsia="Times New Roman"/>
                <w:b/>
                <w:bCs/>
                <w:color w:val="000000"/>
                <w:sz w:val="20"/>
                <w:szCs w:val="20"/>
              </w:rPr>
              <w:t>h</w:t>
            </w:r>
          </w:p>
        </w:tc>
        <w:tc>
          <w:tcPr>
            <w:tcW w:w="0" w:type="auto"/>
            <w:gridSpan w:val="3"/>
            <w:shd w:val="clear" w:color="auto" w:fill="CCEEFF"/>
            <w:tcMar>
              <w:top w:w="15" w:type="dxa"/>
              <w:left w:w="20" w:type="dxa"/>
              <w:bottom w:w="15" w:type="dxa"/>
              <w:right w:w="20" w:type="dxa"/>
            </w:tcMar>
            <w:vAlign w:val="center"/>
            <w:hideMark/>
          </w:tcPr>
          <w:p w:rsidR="00000000" w:rsidRDefault="000A70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1,273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center"/>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496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color w:val="000000"/>
                <w:sz w:val="20"/>
                <w:szCs w:val="20"/>
              </w:rPr>
              <w:t> </w:t>
            </w:r>
          </w:p>
        </w:tc>
      </w:tr>
    </w:tbl>
    <w:p w:rsidR="00000000" w:rsidRDefault="000A7020">
      <w:pPr>
        <w:jc w:val="both"/>
        <w:rPr>
          <w:rFonts w:eastAsia="Times New Roman"/>
        </w:rPr>
      </w:pPr>
    </w:p>
    <w:p w:rsidR="00000000" w:rsidRDefault="000A7020">
      <w:pPr>
        <w:jc w:val="both"/>
        <w:rPr>
          <w:rFonts w:eastAsia="Times New Roman"/>
        </w:rPr>
      </w:pPr>
    </w:p>
    <w:p w:rsidR="00000000" w:rsidRDefault="000A7020">
      <w:pPr>
        <w:divId w:val="1293249851"/>
        <w:rPr>
          <w:rFonts w:eastAsia="Times New Roman"/>
        </w:rPr>
      </w:pPr>
      <w:r>
        <w:rPr>
          <w:rFonts w:eastAsia="Times New Roman"/>
          <w:b/>
          <w:bCs/>
          <w:color w:val="54B948"/>
          <w:sz w:val="20"/>
          <w:szCs w:val="20"/>
        </w:rPr>
        <w:t>3. BUSINESS COMBINATION</w:t>
      </w:r>
      <w:r>
        <w:rPr>
          <w:rFonts w:eastAsia="Times New Roman"/>
          <w:b/>
          <w:bCs/>
          <w:color w:val="54B948"/>
          <w:sz w:val="20"/>
          <w:szCs w:val="20"/>
        </w:rPr>
        <w:t>S</w:t>
      </w:r>
    </w:p>
    <w:p w:rsidR="00000000" w:rsidRDefault="000A7020">
      <w:pPr>
        <w:divId w:val="521551365"/>
        <w:rPr>
          <w:rFonts w:eastAsia="Times New Roman"/>
        </w:rPr>
      </w:pPr>
    </w:p>
    <w:p w:rsidR="00000000" w:rsidRDefault="000A7020">
      <w:pPr>
        <w:jc w:val="both"/>
        <w:rPr>
          <w:rFonts w:eastAsia="Times New Roman"/>
        </w:rPr>
      </w:pPr>
      <w:r>
        <w:rPr>
          <w:rFonts w:eastAsia="Times New Roman"/>
          <w:b/>
          <w:bCs/>
          <w:color w:val="000000"/>
          <w:sz w:val="20"/>
          <w:szCs w:val="20"/>
        </w:rPr>
        <w:t>Acquisition of Origam</w:t>
      </w:r>
      <w:r>
        <w:rPr>
          <w:rFonts w:eastAsia="Times New Roman"/>
          <w:b/>
          <w:bCs/>
          <w:color w:val="000000"/>
          <w:sz w:val="20"/>
          <w:szCs w:val="20"/>
        </w:rPr>
        <w:t>i</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On June 6, 2019, our subsidiary, NCR Brasil Ltda. (NCR Brasil) entered into a definitive agreement with OKI Electric Industry Co., Ltd. and its Brazilian subsidiary, OKI Brasil Industria e Comércio de Produtos e Tecnologia em Automação S.A. (OKI</w:t>
      </w:r>
      <w:r>
        <w:rPr>
          <w:rFonts w:eastAsia="Times New Roman"/>
          <w:color w:val="000000"/>
          <w:sz w:val="20"/>
          <w:szCs w:val="20"/>
        </w:rPr>
        <w:t xml:space="preserve"> </w:t>
      </w:r>
    </w:p>
    <w:p w:rsidR="00000000" w:rsidRDefault="000A7020">
      <w:pPr>
        <w:jc w:val="center"/>
        <w:divId w:val="1653829162"/>
        <w:rPr>
          <w:rFonts w:eastAsia="Times New Roman"/>
        </w:rPr>
      </w:pPr>
      <w:r>
        <w:rPr>
          <w:rFonts w:eastAsia="Times New Roman"/>
          <w:color w:val="000000"/>
          <w:sz w:val="20"/>
          <w:szCs w:val="20"/>
        </w:rPr>
        <w:t>1</w:t>
      </w:r>
      <w:r>
        <w:rPr>
          <w:rFonts w:eastAsia="Times New Roman"/>
          <w:color w:val="000000"/>
          <w:sz w:val="20"/>
          <w:szCs w:val="20"/>
        </w:rPr>
        <w:t>4</w:t>
      </w:r>
    </w:p>
    <w:p w:rsidR="00000000" w:rsidRDefault="000A7020">
      <w:pPr>
        <w:rPr>
          <w:rFonts w:eastAsia="Times New Roman"/>
        </w:rPr>
      </w:pPr>
      <w:r>
        <w:rPr>
          <w:rFonts w:eastAsia="Times New Roman"/>
        </w:rPr>
        <w:pict>
          <v:rect id="_x0000_i1039" style="width:0;height:1.5pt" o:hralign="center" o:hrstd="t" o:hr="t" fillcolor="#a0a0a0" stroked="f"/>
        </w:pict>
      </w:r>
    </w:p>
    <w:p w:rsidR="00000000" w:rsidRDefault="000A7020">
      <w:pPr>
        <w:ind w:firstLine="720"/>
        <w:divId w:val="1604650742"/>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250050397"/>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250050397"/>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Brasil), to purchase OKI Brasil's IT services and select software assets for use in the financial, retail and other industries. Neither OKI Brasil's manufacturing operations nor its printing business in Brazil are included in the acquisition. On April 9, 2</w:t>
      </w:r>
      <w:r>
        <w:rPr>
          <w:rFonts w:eastAsia="Times New Roman"/>
          <w:color w:val="000000"/>
          <w:sz w:val="20"/>
          <w:szCs w:val="20"/>
        </w:rPr>
        <w:t>020, NCR Brasil completed this acquisition through the purchase of 100% of the quotas of Origami Brasil Tecnologia e Serviços em Automação Ltda. (Origami), which became a wholly owned subsidiary of NCR Brasil. The purchase price was approximately $5 millio</w:t>
      </w:r>
      <w:r>
        <w:rPr>
          <w:rFonts w:eastAsia="Times New Roman"/>
          <w:color w:val="000000"/>
          <w:sz w:val="20"/>
          <w:szCs w:val="20"/>
        </w:rPr>
        <w:t>n, of which $2 million is payable in cash within two years of the acquisition date, subject to certain conditions, and the remaining $3 million is payable in cash within six years of the acquisition date, subject to purchase price adjustments</w:t>
      </w:r>
      <w:r>
        <w:rPr>
          <w:rFonts w:eastAsia="Times New Roman"/>
          <w:color w:val="000000"/>
          <w:sz w:val="20"/>
          <w:szCs w:val="20"/>
        </w:rPr>
        <w:t>.</w:t>
      </w:r>
    </w:p>
    <w:p w:rsidR="00000000" w:rsidRDefault="000A7020">
      <w:pPr>
        <w:divId w:val="1597789073"/>
        <w:rPr>
          <w:rFonts w:eastAsia="Times New Roman"/>
        </w:rPr>
      </w:pPr>
    </w:p>
    <w:p w:rsidR="00000000" w:rsidRDefault="000A7020">
      <w:pPr>
        <w:jc w:val="both"/>
        <w:rPr>
          <w:rFonts w:eastAsia="Times New Roman"/>
        </w:rPr>
      </w:pPr>
      <w:r>
        <w:rPr>
          <w:rFonts w:eastAsia="Times New Roman"/>
          <w:color w:val="000000"/>
          <w:sz w:val="20"/>
          <w:szCs w:val="20"/>
        </w:rPr>
        <w:t>The fair v</w:t>
      </w:r>
      <w:r>
        <w:rPr>
          <w:rFonts w:eastAsia="Times New Roman"/>
          <w:color w:val="000000"/>
          <w:sz w:val="20"/>
          <w:szCs w:val="20"/>
        </w:rPr>
        <w:t>alue of consideration transferred to acquire Origami was allocated to the identifiable assets and liabilities assumed based upon their estimated fair values as of the date of acquisition as set forth below. The acquisition is expected to result in a bargai</w:t>
      </w:r>
      <w:r>
        <w:rPr>
          <w:rFonts w:eastAsia="Times New Roman"/>
          <w:color w:val="000000"/>
          <w:sz w:val="20"/>
          <w:szCs w:val="20"/>
        </w:rPr>
        <w:t>n purchase gain based on the purchase price being limited mostly to the net assets of the business excluding cash and investments.</w:t>
      </w:r>
      <w:r>
        <w:rPr>
          <w:rFonts w:eastAsia="Times New Roman"/>
          <w:color w:val="000000"/>
          <w:sz w:val="20"/>
          <w:szCs w:val="20"/>
        </w:rPr>
        <w:t xml:space="preserve"> </w:t>
      </w:r>
    </w:p>
    <w:p w:rsidR="00000000" w:rsidRDefault="000A7020">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68"/>
        <w:gridCol w:w="6900"/>
        <w:gridCol w:w="69"/>
        <w:gridCol w:w="136"/>
        <w:gridCol w:w="998"/>
        <w:gridCol w:w="85"/>
      </w:tblGrid>
      <w:tr w:rsidR="00000000">
        <w:trPr>
          <w:divId w:val="2136485716"/>
        </w:trPr>
        <w:tc>
          <w:tcPr>
            <w:tcW w:w="50" w:type="pct"/>
            <w:vAlign w:val="center"/>
            <w:hideMark/>
          </w:tcPr>
          <w:p w:rsidR="00000000" w:rsidRDefault="000A7020">
            <w:pPr>
              <w:jc w:val="both"/>
              <w:rPr>
                <w:rFonts w:eastAsia="Times New Roman"/>
              </w:rPr>
            </w:pPr>
          </w:p>
        </w:tc>
        <w:tc>
          <w:tcPr>
            <w:tcW w:w="418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1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2136485716"/>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r>
      <w:tr w:rsidR="00000000">
        <w:trPr>
          <w:divId w:val="2136485716"/>
        </w:trPr>
        <w:tc>
          <w:tcPr>
            <w:tcW w:w="0" w:type="auto"/>
            <w:gridSpan w:val="3"/>
            <w:shd w:val="clear" w:color="auto" w:fill="CCEEFF"/>
            <w:tcMar>
              <w:top w:w="30" w:type="dxa"/>
              <w:left w:w="20" w:type="dxa"/>
              <w:bottom w:w="30" w:type="dxa"/>
              <w:right w:w="20" w:type="dxa"/>
            </w:tcMar>
            <w:vAlign w:val="center"/>
            <w:hideMark/>
          </w:tcPr>
          <w:p w:rsidR="00000000" w:rsidRDefault="000A7020">
            <w:pPr>
              <w:rPr>
                <w:rFonts w:eastAsia="Times New Roman"/>
              </w:rPr>
            </w:pPr>
            <w:r>
              <w:rPr>
                <w:rFonts w:eastAsia="Times New Roman"/>
                <w:color w:val="000000"/>
                <w:sz w:val="20"/>
                <w:szCs w:val="20"/>
              </w:rPr>
              <w:t>Cash acquire</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0A7020">
            <w:pPr>
              <w:jc w:val="right"/>
              <w:rPr>
                <w:rFonts w:eastAsia="Times New Roman"/>
              </w:rPr>
            </w:pPr>
            <w:r>
              <w:rPr>
                <w:rFonts w:eastAsia="Times New Roman"/>
                <w:b/>
                <w:bCs/>
                <w:color w:val="000000"/>
                <w:sz w:val="20"/>
                <w:szCs w:val="20"/>
              </w:rPr>
              <w:t> </w:t>
            </w:r>
          </w:p>
        </w:tc>
      </w:tr>
      <w:tr w:rsidR="00000000">
        <w:trPr>
          <w:divId w:val="2136485716"/>
        </w:trPr>
        <w:tc>
          <w:tcPr>
            <w:tcW w:w="0" w:type="auto"/>
            <w:gridSpan w:val="3"/>
            <w:shd w:val="clear" w:color="auto" w:fill="FFFFFF"/>
            <w:tcMar>
              <w:top w:w="30" w:type="dxa"/>
              <w:left w:w="20" w:type="dxa"/>
              <w:bottom w:w="30" w:type="dxa"/>
              <w:right w:w="20" w:type="dxa"/>
            </w:tcMar>
            <w:vAlign w:val="center"/>
            <w:hideMark/>
          </w:tcPr>
          <w:p w:rsidR="00000000" w:rsidRDefault="000A7020">
            <w:pPr>
              <w:rPr>
                <w:rFonts w:eastAsia="Times New Roman"/>
              </w:rPr>
            </w:pPr>
            <w:r>
              <w:rPr>
                <w:rFonts w:eastAsia="Times New Roman"/>
                <w:color w:val="000000"/>
                <w:sz w:val="20"/>
                <w:szCs w:val="20"/>
              </w:rPr>
              <w:t>Investments acquire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2136485716"/>
        </w:trPr>
        <w:tc>
          <w:tcPr>
            <w:tcW w:w="0" w:type="auto"/>
            <w:gridSpan w:val="3"/>
            <w:shd w:val="clear" w:color="auto" w:fill="CCEEFF"/>
            <w:tcMar>
              <w:top w:w="30" w:type="dxa"/>
              <w:left w:w="20" w:type="dxa"/>
              <w:bottom w:w="30" w:type="dxa"/>
              <w:right w:w="20" w:type="dxa"/>
            </w:tcMar>
            <w:vAlign w:val="center"/>
            <w:hideMark/>
          </w:tcPr>
          <w:p w:rsidR="00000000" w:rsidRDefault="000A7020">
            <w:pPr>
              <w:rPr>
                <w:rFonts w:eastAsia="Times New Roman"/>
              </w:rPr>
            </w:pPr>
            <w:r>
              <w:rPr>
                <w:rFonts w:eastAsia="Times New Roman"/>
                <w:color w:val="000000"/>
                <w:sz w:val="20"/>
                <w:szCs w:val="20"/>
              </w:rPr>
              <w:t>Tangible assets acquire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2136485716"/>
        </w:trPr>
        <w:tc>
          <w:tcPr>
            <w:tcW w:w="0" w:type="auto"/>
            <w:gridSpan w:val="3"/>
            <w:shd w:val="clear" w:color="auto" w:fill="FFFFFF"/>
            <w:tcMar>
              <w:top w:w="30" w:type="dxa"/>
              <w:left w:w="20" w:type="dxa"/>
              <w:bottom w:w="30" w:type="dxa"/>
              <w:right w:w="20" w:type="dxa"/>
            </w:tcMar>
            <w:vAlign w:val="center"/>
            <w:hideMark/>
          </w:tcPr>
          <w:p w:rsidR="00000000" w:rsidRDefault="000A7020">
            <w:pPr>
              <w:rPr>
                <w:rFonts w:eastAsia="Times New Roman"/>
              </w:rPr>
            </w:pPr>
            <w:r>
              <w:rPr>
                <w:rFonts w:eastAsia="Times New Roman"/>
                <w:color w:val="000000"/>
                <w:sz w:val="20"/>
                <w:szCs w:val="20"/>
              </w:rPr>
              <w:t>Deferred gain on business acquisitio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2136485716"/>
        </w:trPr>
        <w:tc>
          <w:tcPr>
            <w:tcW w:w="0" w:type="auto"/>
            <w:gridSpan w:val="3"/>
            <w:shd w:val="clear" w:color="auto" w:fill="CCEEFF"/>
            <w:tcMar>
              <w:top w:w="30" w:type="dxa"/>
              <w:left w:w="20" w:type="dxa"/>
              <w:bottom w:w="30" w:type="dxa"/>
              <w:right w:w="20" w:type="dxa"/>
            </w:tcMar>
            <w:vAlign w:val="center"/>
            <w:hideMark/>
          </w:tcPr>
          <w:p w:rsidR="00000000" w:rsidRDefault="000A7020">
            <w:pPr>
              <w:rPr>
                <w:rFonts w:eastAsia="Times New Roman"/>
              </w:rPr>
            </w:pPr>
            <w:r>
              <w:rPr>
                <w:rFonts w:eastAsia="Times New Roman"/>
                <w:color w:val="000000"/>
                <w:sz w:val="20"/>
                <w:szCs w:val="20"/>
              </w:rPr>
              <w:t>Liabilities assume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2136485716"/>
        </w:trPr>
        <w:tc>
          <w:tcPr>
            <w:tcW w:w="0" w:type="auto"/>
            <w:gridSpan w:val="3"/>
            <w:shd w:val="clear" w:color="auto" w:fill="FFFFFF"/>
            <w:tcMar>
              <w:top w:w="30" w:type="dxa"/>
              <w:left w:w="20" w:type="dxa"/>
              <w:bottom w:w="30" w:type="dxa"/>
              <w:right w:w="20" w:type="dxa"/>
            </w:tcMar>
            <w:vAlign w:val="center"/>
            <w:hideMark/>
          </w:tcPr>
          <w:p w:rsidR="00000000" w:rsidRDefault="000A7020">
            <w:pPr>
              <w:rPr>
                <w:rFonts w:eastAsia="Times New Roman"/>
              </w:rPr>
            </w:pPr>
            <w:r>
              <w:rPr>
                <w:rFonts w:eastAsia="Times New Roman"/>
                <w:b/>
                <w:bCs/>
                <w:color w:val="000000"/>
                <w:sz w:val="20"/>
                <w:szCs w:val="20"/>
              </w:rPr>
              <w:t>Total purchase consideratio</w:t>
            </w:r>
            <w:r>
              <w:rPr>
                <w:rFonts w:eastAsia="Times New Roman"/>
                <w:b/>
                <w:bCs/>
                <w:color w:val="000000"/>
                <w:sz w:val="20"/>
                <w:szCs w:val="20"/>
              </w:rPr>
              <w:t>n</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This allocation of the purchase price is provisional as of June 30, 2020 and the deferred gain recognized may be subject to future adjustments as the Company obtains additional information to finalize and reassess the accounting for the business combinatio</w:t>
      </w:r>
      <w:r>
        <w:rPr>
          <w:rFonts w:eastAsia="Times New Roman"/>
          <w:color w:val="000000"/>
          <w:sz w:val="20"/>
          <w:szCs w:val="20"/>
        </w:rPr>
        <w:t>n. The estimated deferred gain on business acquisition of $10 million has been included within other current liabilities in the Condensed Consolidated Balance Sheet</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operating results of Origami have been included within NCR's results as of the closi</w:t>
      </w:r>
      <w:r>
        <w:rPr>
          <w:rFonts w:eastAsia="Times New Roman"/>
          <w:color w:val="000000"/>
          <w:sz w:val="20"/>
          <w:szCs w:val="20"/>
        </w:rPr>
        <w:t>ng date of the acquisition. Supplemental pro forma information and actual revenue and earnings since the acquisition date have not been provided as this acquisition did not have a material impact on the Company's Condensed Consolidated Statements of Operat</w:t>
      </w:r>
      <w:r>
        <w:rPr>
          <w:rFonts w:eastAsia="Times New Roman"/>
          <w:color w:val="000000"/>
          <w:sz w:val="20"/>
          <w:szCs w:val="20"/>
        </w:rPr>
        <w:t>ions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p>
    <w:p w:rsidR="00000000" w:rsidRDefault="000A7020">
      <w:pPr>
        <w:divId w:val="1011757575"/>
        <w:rPr>
          <w:rFonts w:eastAsia="Times New Roman"/>
        </w:rPr>
      </w:pPr>
      <w:r>
        <w:rPr>
          <w:rFonts w:eastAsia="Times New Roman"/>
          <w:b/>
          <w:bCs/>
          <w:color w:val="54B948"/>
          <w:sz w:val="20"/>
          <w:szCs w:val="20"/>
        </w:rPr>
        <w:t>4. GOODWILL AND LONG-LIVED ASSET</w:t>
      </w:r>
      <w:r>
        <w:rPr>
          <w:rFonts w:eastAsia="Times New Roman"/>
          <w:b/>
          <w:bCs/>
          <w:color w:val="54B948"/>
          <w:sz w:val="20"/>
          <w:szCs w:val="20"/>
        </w:rPr>
        <w:t>S</w:t>
      </w:r>
      <w:r>
        <w:rPr>
          <w:rFonts w:eastAsia="Times New Roman"/>
          <w:b/>
          <w:bCs/>
          <w:color w:val="000000"/>
          <w:sz w:val="20"/>
          <w:szCs w:val="20"/>
        </w:rPr>
        <w:t xml:space="preserve"> </w:t>
      </w:r>
    </w:p>
    <w:p w:rsidR="00000000" w:rsidRDefault="000A7020">
      <w:pPr>
        <w:divId w:val="979185619"/>
        <w:rPr>
          <w:rFonts w:eastAsia="Times New Roman"/>
        </w:rPr>
      </w:pPr>
    </w:p>
    <w:p w:rsidR="00000000" w:rsidRDefault="000A7020">
      <w:pPr>
        <w:jc w:val="both"/>
        <w:rPr>
          <w:rFonts w:eastAsia="Times New Roman"/>
        </w:rPr>
      </w:pPr>
      <w:r>
        <w:rPr>
          <w:rFonts w:eastAsia="Times New Roman"/>
          <w:i/>
          <w:iCs/>
          <w:color w:val="000000"/>
          <w:sz w:val="20"/>
          <w:szCs w:val="20"/>
        </w:rPr>
        <w:t>Hospitality Goodwill Assessment</w:t>
      </w:r>
      <w:r>
        <w:rPr>
          <w:rFonts w:eastAsia="Times New Roman"/>
          <w:i/>
          <w:iCs/>
          <w:color w:val="000000"/>
          <w:sz w:val="20"/>
          <w:szCs w:val="20"/>
        </w:rPr>
        <w:t xml:space="preserve"> </w:t>
      </w:r>
      <w:r>
        <w:rPr>
          <w:rFonts w:eastAsia="Times New Roman"/>
          <w:color w:val="000000"/>
          <w:sz w:val="20"/>
          <w:szCs w:val="20"/>
        </w:rPr>
        <w:t>In addition to our annual goodwill impairment test performed in the fourth quarter, we perform interim impairment tests for long-lived and intangible assets, including goodwill,</w:t>
      </w:r>
      <w:r>
        <w:rPr>
          <w:rFonts w:eastAsia="Times New Roman"/>
          <w:color w:val="000000"/>
          <w:sz w:val="20"/>
          <w:szCs w:val="20"/>
        </w:rPr>
        <w:t xml:space="preserve"> whenever events or changes in circumstances indicate that the carrying amount of the asset (group) may not be recoverable.</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Late in the quarter ended March 31, 2020, there was significant market volatility driven by the COVID-19 pandemic that drove unce</w:t>
      </w:r>
      <w:r>
        <w:rPr>
          <w:rFonts w:eastAsia="Times New Roman"/>
          <w:color w:val="000000"/>
          <w:sz w:val="20"/>
          <w:szCs w:val="20"/>
        </w:rPr>
        <w:t>rtainty around our full year revenue and operating income expectations. As a result, we withdrew our full year outlook for 2020 on March 31, 2020, which was previously provided during our fourth quarter 2019 earnings conference call on February 11, 2020. G</w:t>
      </w:r>
      <w:r>
        <w:rPr>
          <w:rFonts w:eastAsia="Times New Roman"/>
          <w:color w:val="000000"/>
          <w:sz w:val="20"/>
          <w:szCs w:val="20"/>
        </w:rPr>
        <w:t>iven the rapidly changing environment, we considered if there was an indication that the carrying value of net assets were in excess of the fair value for each of our reporting units. This consideration included the expected impacts to the current year cas</w:t>
      </w:r>
      <w:r>
        <w:rPr>
          <w:rFonts w:eastAsia="Times New Roman"/>
          <w:color w:val="000000"/>
          <w:sz w:val="20"/>
          <w:szCs w:val="20"/>
        </w:rPr>
        <w:t>h flows, and the potential impacts to future cash flows, as well as the excess of the fair value over the carrying value from the prior year annual assessment. As a result, we determined there was an indication that the carrying value of the net assets ass</w:t>
      </w:r>
      <w:r>
        <w:rPr>
          <w:rFonts w:eastAsia="Times New Roman"/>
          <w:color w:val="000000"/>
          <w:sz w:val="20"/>
          <w:szCs w:val="20"/>
        </w:rPr>
        <w:t>igned to the Hospitality reporting unit may not be recoverable.</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fair value of the Hospitality reporting unit was estimated using a weighted methodology considering the output from both the income and market approaches. The income approach incorporates the use of discounted cash flow (DCF) analysis. A number of sign</w:t>
      </w:r>
      <w:r>
        <w:rPr>
          <w:rFonts w:eastAsia="Times New Roman"/>
          <w:color w:val="000000"/>
          <w:sz w:val="20"/>
          <w:szCs w:val="20"/>
        </w:rPr>
        <w:t xml:space="preserve">ificant assumptions and estimates are involved in the application of the discounted cash flow model to forecast operating cash flows, including revenue growth, operating income margin and discount rate. The market approach is performed using the Guideline </w:t>
      </w:r>
      <w:r>
        <w:rPr>
          <w:rFonts w:eastAsia="Times New Roman"/>
          <w:color w:val="000000"/>
          <w:sz w:val="20"/>
          <w:szCs w:val="20"/>
        </w:rPr>
        <w:t>Public Companies (GPC) method, which is based on earnings multiple data of peer companies.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For the Hospitality reporting unit, the Company expects the COVID-19 pandemic to have a significant impact to our customers in the table service market, travel an</w:t>
      </w:r>
      <w:r>
        <w:rPr>
          <w:rFonts w:eastAsia="Times New Roman"/>
          <w:color w:val="000000"/>
          <w:sz w:val="20"/>
          <w:szCs w:val="20"/>
        </w:rPr>
        <w:t>d entertainment market and small and medium business market in the near term. The Company expects the long term growth strategy to remain intact with previous growth expectations returning in 2021. Based on</w:t>
      </w:r>
      <w:r>
        <w:rPr>
          <w:rFonts w:eastAsia="Times New Roman"/>
          <w:color w:val="000000"/>
          <w:sz w:val="20"/>
          <w:szCs w:val="20"/>
        </w:rPr>
        <w:t xml:space="preserve"> </w:t>
      </w:r>
    </w:p>
    <w:p w:rsidR="00000000" w:rsidRDefault="000A7020">
      <w:pPr>
        <w:jc w:val="center"/>
        <w:divId w:val="966818659"/>
        <w:rPr>
          <w:rFonts w:eastAsia="Times New Roman"/>
        </w:rPr>
      </w:pPr>
      <w:r>
        <w:rPr>
          <w:rFonts w:eastAsia="Times New Roman"/>
          <w:color w:val="000000"/>
          <w:sz w:val="20"/>
          <w:szCs w:val="20"/>
        </w:rPr>
        <w:t>1</w:t>
      </w:r>
      <w:r>
        <w:rPr>
          <w:rFonts w:eastAsia="Times New Roman"/>
          <w:color w:val="000000"/>
          <w:sz w:val="20"/>
          <w:szCs w:val="20"/>
        </w:rPr>
        <w:t>5</w:t>
      </w:r>
    </w:p>
    <w:p w:rsidR="00000000" w:rsidRDefault="000A7020">
      <w:pPr>
        <w:rPr>
          <w:rFonts w:eastAsia="Times New Roman"/>
        </w:rPr>
      </w:pPr>
      <w:r>
        <w:rPr>
          <w:rFonts w:eastAsia="Times New Roman"/>
        </w:rPr>
        <w:pict>
          <v:rect id="_x0000_i1040" style="width:0;height:1.5pt" o:hralign="center" o:hrstd="t" o:hr="t" fillcolor="#a0a0a0" stroked="f"/>
        </w:pict>
      </w:r>
    </w:p>
    <w:p w:rsidR="00000000" w:rsidRDefault="000A7020">
      <w:pPr>
        <w:ind w:firstLine="720"/>
        <w:divId w:val="1918323280"/>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984234821"/>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984234821"/>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these assumptions, the Company determined the fair value of the Hospitality segment continues t</w:t>
      </w:r>
      <w:r>
        <w:rPr>
          <w:rFonts w:eastAsia="Times New Roman"/>
          <w:color w:val="000000"/>
          <w:sz w:val="20"/>
          <w:szCs w:val="20"/>
        </w:rPr>
        <w:t>o be greater than the carrying value and therefore, no impairment existed as of March 31, 2020. Additionally, as of June 30, 2020, the Company determined there was no indication the carrying value of the net assets assigned to the Hospitality segment may n</w:t>
      </w:r>
      <w:r>
        <w:rPr>
          <w:rFonts w:eastAsia="Times New Roman"/>
          <w:color w:val="000000"/>
          <w:sz w:val="20"/>
          <w:szCs w:val="20"/>
        </w:rPr>
        <w:t>ot be recoverable. However, if the actual results or the anticipated timing of the recovery from the COVID-19 pandemic differ from our expectations for the Hospitality, or any, reporting unit, there is a possibility we would have to perform another interim</w:t>
      </w:r>
      <w:r>
        <w:rPr>
          <w:rFonts w:eastAsia="Times New Roman"/>
          <w:color w:val="000000"/>
          <w:sz w:val="20"/>
          <w:szCs w:val="20"/>
        </w:rPr>
        <w:t xml:space="preserve"> impairment test in 2020, which could lead to an impairment of goodwill or other assets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Goodwill by Segment</w:t>
      </w:r>
      <w:r>
        <w:rPr>
          <w:rFonts w:eastAsia="Times New Roman"/>
          <w:i/>
          <w:iCs/>
          <w:color w:val="000000"/>
          <w:sz w:val="20"/>
          <w:szCs w:val="20"/>
        </w:rPr>
        <w:t xml:space="preserve"> </w:t>
      </w:r>
      <w:r>
        <w:rPr>
          <w:rFonts w:eastAsia="Times New Roman"/>
          <w:color w:val="000000"/>
          <w:sz w:val="20"/>
          <w:szCs w:val="20"/>
        </w:rPr>
        <w:t>The carrying amounts of goodwill by segment as of June 30, 2020 and December 31, 2019 are included in the table below. Foreign currency fluctuati</w:t>
      </w:r>
      <w:r>
        <w:rPr>
          <w:rFonts w:eastAsia="Times New Roman"/>
          <w:color w:val="000000"/>
          <w:sz w:val="20"/>
          <w:szCs w:val="20"/>
        </w:rPr>
        <w:t>ons are included within other adjustment</w:t>
      </w:r>
      <w:r>
        <w:rPr>
          <w:rFonts w:eastAsia="Times New Roman"/>
          <w:color w:val="000000"/>
          <w:sz w:val="20"/>
          <w:szCs w:val="20"/>
        </w:rPr>
        <w:t>s</w:t>
      </w:r>
      <w:r>
        <w:rPr>
          <w:rFonts w:eastAsia="Times New Roman"/>
          <w:color w:val="000000"/>
          <w:sz w:val="16"/>
          <w:szCs w:val="16"/>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62"/>
        <w:gridCol w:w="806"/>
        <w:gridCol w:w="61"/>
        <w:gridCol w:w="135"/>
        <w:gridCol w:w="515"/>
        <w:gridCol w:w="85"/>
        <w:gridCol w:w="36"/>
        <w:gridCol w:w="36"/>
        <w:gridCol w:w="36"/>
        <w:gridCol w:w="136"/>
        <w:gridCol w:w="770"/>
        <w:gridCol w:w="88"/>
        <w:gridCol w:w="36"/>
        <w:gridCol w:w="36"/>
        <w:gridCol w:w="36"/>
        <w:gridCol w:w="135"/>
        <w:gridCol w:w="515"/>
        <w:gridCol w:w="85"/>
        <w:gridCol w:w="36"/>
        <w:gridCol w:w="36"/>
        <w:gridCol w:w="36"/>
        <w:gridCol w:w="136"/>
        <w:gridCol w:w="538"/>
        <w:gridCol w:w="85"/>
        <w:gridCol w:w="36"/>
        <w:gridCol w:w="36"/>
        <w:gridCol w:w="36"/>
        <w:gridCol w:w="136"/>
        <w:gridCol w:w="694"/>
        <w:gridCol w:w="86"/>
        <w:gridCol w:w="36"/>
        <w:gridCol w:w="36"/>
        <w:gridCol w:w="36"/>
        <w:gridCol w:w="135"/>
        <w:gridCol w:w="349"/>
        <w:gridCol w:w="85"/>
        <w:gridCol w:w="36"/>
        <w:gridCol w:w="36"/>
        <w:gridCol w:w="36"/>
        <w:gridCol w:w="135"/>
        <w:gridCol w:w="515"/>
        <w:gridCol w:w="85"/>
        <w:gridCol w:w="36"/>
        <w:gridCol w:w="36"/>
        <w:gridCol w:w="36"/>
        <w:gridCol w:w="136"/>
        <w:gridCol w:w="770"/>
        <w:gridCol w:w="88"/>
        <w:gridCol w:w="36"/>
        <w:gridCol w:w="36"/>
        <w:gridCol w:w="36"/>
        <w:gridCol w:w="135"/>
        <w:gridCol w:w="515"/>
        <w:gridCol w:w="85"/>
        <w:gridCol w:w="36"/>
        <w:gridCol w:w="36"/>
        <w:gridCol w:w="36"/>
        <w:gridCol w:w="36"/>
        <w:gridCol w:w="36"/>
        <w:gridCol w:w="36"/>
        <w:gridCol w:w="36"/>
        <w:gridCol w:w="36"/>
        <w:gridCol w:w="36"/>
      </w:tblGrid>
      <w:tr w:rsidR="00000000">
        <w:trPr>
          <w:gridAfter w:val="9"/>
          <w:divId w:val="1441488884"/>
          <w:jc w:val="center"/>
        </w:trPr>
        <w:tc>
          <w:tcPr>
            <w:tcW w:w="50" w:type="pct"/>
            <w:vAlign w:val="center"/>
            <w:hideMark/>
          </w:tcPr>
          <w:p w:rsidR="00000000" w:rsidRDefault="000A7020">
            <w:pPr>
              <w:jc w:val="both"/>
              <w:rPr>
                <w:rFonts w:eastAsia="Times New Roman"/>
              </w:rPr>
            </w:pPr>
          </w:p>
        </w:tc>
        <w:tc>
          <w:tcPr>
            <w:tcW w:w="65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1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8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1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1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4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8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441488884"/>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vAlign w:val="center"/>
            <w:hideMark/>
          </w:tcPr>
          <w:p w:rsidR="00000000" w:rsidRDefault="000A7020">
            <w:pPr>
              <w:jc w:val="center"/>
              <w:rPr>
                <w:rFonts w:eastAsia="Times New Roman"/>
              </w:rPr>
            </w:pPr>
          </w:p>
        </w:tc>
      </w:tr>
      <w:tr w:rsidR="00000000">
        <w:trPr>
          <w:divId w:val="1441488884"/>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Goodwil</w:t>
            </w:r>
            <w:r>
              <w:rPr>
                <w:rFonts w:eastAsia="Times New Roman"/>
                <w:b/>
                <w:bCs/>
                <w:color w:val="000000"/>
                <w:sz w:val="16"/>
                <w:szCs w:val="16"/>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Accumulated Impairment Losse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Addition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Impairmen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Goodwil</w:t>
            </w:r>
            <w:r>
              <w:rPr>
                <w:rFonts w:eastAsia="Times New Roman"/>
                <w:b/>
                <w:bCs/>
                <w:color w:val="000000"/>
                <w:sz w:val="16"/>
                <w:szCs w:val="16"/>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Accumulated Impairment Losse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A7020">
        <w:trPr>
          <w:divId w:val="1441488884"/>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Bankin</w:t>
            </w:r>
            <w:r>
              <w:rPr>
                <w:rFonts w:eastAsia="Times New Roman"/>
                <w:color w:val="000000"/>
                <w:sz w:val="20"/>
                <w:szCs w:val="20"/>
              </w:rPr>
              <w:t>g</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1,774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(101</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1,673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1,768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101</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1,667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A7020">
        <w:trPr>
          <w:divId w:val="1441488884"/>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Retail</w:t>
            </w:r>
            <w:r>
              <w:rPr>
                <w:rFonts w:eastAsia="Times New Roman"/>
                <w:color w:val="00000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638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604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634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600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A7020">
        <w:trPr>
          <w:divId w:val="1441488884"/>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Hospitalit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402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379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403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A7020">
        <w:trPr>
          <w:divId w:val="1441488884"/>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187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187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A7020">
        <w:trPr>
          <w:divId w:val="1441488884"/>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Total goodwil</w:t>
            </w:r>
            <w:r>
              <w:rPr>
                <w:rFonts w:eastAsia="Times New Roman"/>
                <w:b/>
                <w:bCs/>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3,001</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(169</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2,832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2,992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(169</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2,823</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Identifiable Intangible Assets</w:t>
      </w:r>
      <w:r>
        <w:rPr>
          <w:rFonts w:eastAsia="Times New Roman"/>
          <w:i/>
          <w:iCs/>
          <w:color w:val="000000"/>
          <w:sz w:val="20"/>
          <w:szCs w:val="20"/>
        </w:rPr>
        <w:t xml:space="preserve"> </w:t>
      </w:r>
      <w:r>
        <w:rPr>
          <w:rFonts w:eastAsia="Times New Roman"/>
          <w:color w:val="000000"/>
          <w:sz w:val="20"/>
          <w:szCs w:val="20"/>
        </w:rPr>
        <w:t xml:space="preserve">NCR's purchased intangible assets, reported in intangibles, net in the Condensed Consolidated Balance Sheets, were specifically identified when acquired, and </w:t>
      </w:r>
      <w:r>
        <w:rPr>
          <w:rFonts w:eastAsia="Times New Roman"/>
          <w:color w:val="000000"/>
          <w:sz w:val="20"/>
          <w:szCs w:val="20"/>
        </w:rPr>
        <w:t>are deemed to have finite lives. The gross carrying amount and accumulated amortization for NCR’s identifiable intangible assets were as set forth in the table below.</w:t>
      </w:r>
      <w:r>
        <w:rPr>
          <w:rFonts w:eastAsia="Times New Roman"/>
          <w:color w:val="000000"/>
          <w:sz w:val="20"/>
          <w:szCs w:val="20"/>
        </w:rPr>
        <w:t xml:space="preserve"> </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07"/>
        <w:gridCol w:w="37"/>
        <w:gridCol w:w="81"/>
        <w:gridCol w:w="795"/>
        <w:gridCol w:w="80"/>
        <w:gridCol w:w="36"/>
        <w:gridCol w:w="36"/>
        <w:gridCol w:w="36"/>
        <w:gridCol w:w="135"/>
        <w:gridCol w:w="515"/>
        <w:gridCol w:w="85"/>
        <w:gridCol w:w="94"/>
        <w:gridCol w:w="485"/>
        <w:gridCol w:w="93"/>
        <w:gridCol w:w="135"/>
        <w:gridCol w:w="449"/>
        <w:gridCol w:w="85"/>
        <w:gridCol w:w="133"/>
        <w:gridCol w:w="691"/>
        <w:gridCol w:w="132"/>
        <w:gridCol w:w="135"/>
        <w:gridCol w:w="515"/>
        <w:gridCol w:w="85"/>
        <w:gridCol w:w="94"/>
        <w:gridCol w:w="485"/>
        <w:gridCol w:w="93"/>
        <w:gridCol w:w="135"/>
        <w:gridCol w:w="449"/>
        <w:gridCol w:w="85"/>
        <w:gridCol w:w="319"/>
        <w:gridCol w:w="319"/>
        <w:gridCol w:w="319"/>
        <w:gridCol w:w="36"/>
        <w:gridCol w:w="36"/>
        <w:gridCol w:w="36"/>
        <w:gridCol w:w="36"/>
        <w:gridCol w:w="36"/>
        <w:gridCol w:w="36"/>
        <w:gridCol w:w="36"/>
        <w:gridCol w:w="36"/>
        <w:gridCol w:w="36"/>
      </w:tblGrid>
      <w:tr w:rsidR="00000000">
        <w:trPr>
          <w:gridAfter w:val="12"/>
          <w:divId w:val="574701759"/>
          <w:jc w:val="center"/>
        </w:trPr>
        <w:tc>
          <w:tcPr>
            <w:tcW w:w="50" w:type="pct"/>
            <w:vAlign w:val="center"/>
            <w:hideMark/>
          </w:tcPr>
          <w:p w:rsidR="00000000" w:rsidRDefault="000A7020">
            <w:pPr>
              <w:jc w:val="both"/>
              <w:rPr>
                <w:rFonts w:eastAsia="Times New Roman"/>
              </w:rPr>
            </w:pPr>
          </w:p>
        </w:tc>
        <w:tc>
          <w:tcPr>
            <w:tcW w:w="177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9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9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9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6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2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574701759"/>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xml:space="preserve">Amortization </w:t>
            </w:r>
            <w:r>
              <w:rPr>
                <w:rFonts w:eastAsia="Times New Roman"/>
                <w:b/>
                <w:bCs/>
                <w:color w:val="000000"/>
                <w:sz w:val="16"/>
                <w:szCs w:val="16"/>
              </w:rPr>
              <w:br/>
              <w:t>Period</w:t>
            </w:r>
            <w:r>
              <w:rPr>
                <w:rFonts w:eastAsia="Times New Roman"/>
                <w:b/>
                <w:bCs/>
                <w:color w:val="000000"/>
                <w:sz w:val="16"/>
                <w:szCs w:val="16"/>
              </w:rPr>
              <w:br/>
              <w:t>(in Years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574701759"/>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Gross Carrying Amoun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Accumulated Amortizatio</w:t>
            </w:r>
            <w:r>
              <w:rPr>
                <w:rFonts w:eastAsia="Times New Roman"/>
                <w:b/>
                <w:bCs/>
                <w:color w:val="000000"/>
                <w:sz w:val="16"/>
                <w:szCs w:val="16"/>
              </w:rPr>
              <w:t>n</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Gross Carrying Amoun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Accumulated Amortizatio</w:t>
            </w:r>
            <w:r>
              <w:rPr>
                <w:rFonts w:eastAsia="Times New Roman"/>
                <w:b/>
                <w:bCs/>
                <w:color w:val="000000"/>
                <w:sz w:val="16"/>
                <w:szCs w:val="16"/>
              </w:rPr>
              <w:t>n</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74701759"/>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Identifiable intangible asset</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74701759"/>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Reseller &amp; customer relationship</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1 - 2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737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(297</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(270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74701759"/>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Intellectual propert</w:t>
            </w:r>
            <w:r>
              <w:rPr>
                <w:rFonts w:eastAsia="Times New Roman"/>
                <w:color w:val="000000"/>
                <w:sz w:val="20"/>
                <w:szCs w:val="20"/>
              </w:rPr>
              <w:t>y</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 xml:space="preserve">2 - </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524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(407</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397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74701759"/>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Customer contract</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74701759"/>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Tradename</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1 - 1</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74701759"/>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Total identifiable intangible asset</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1,427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(865</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1,431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(824</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aggregate amortization expense (actual and estimated) for identifiable intangible assets for the following periods is:</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481"/>
        <w:gridCol w:w="54"/>
        <w:gridCol w:w="136"/>
        <w:gridCol w:w="1968"/>
        <w:gridCol w:w="85"/>
        <w:gridCol w:w="36"/>
        <w:gridCol w:w="36"/>
        <w:gridCol w:w="36"/>
        <w:gridCol w:w="136"/>
        <w:gridCol w:w="1824"/>
        <w:gridCol w:w="85"/>
        <w:gridCol w:w="36"/>
        <w:gridCol w:w="36"/>
        <w:gridCol w:w="36"/>
        <w:gridCol w:w="136"/>
        <w:gridCol w:w="2045"/>
        <w:gridCol w:w="85"/>
      </w:tblGrid>
      <w:tr w:rsidR="00000000">
        <w:trPr>
          <w:divId w:val="1807549804"/>
          <w:jc w:val="center"/>
        </w:trPr>
        <w:tc>
          <w:tcPr>
            <w:tcW w:w="50" w:type="pct"/>
            <w:vAlign w:val="center"/>
            <w:hideMark/>
          </w:tcPr>
          <w:p w:rsidR="00000000" w:rsidRDefault="000A7020">
            <w:pPr>
              <w:jc w:val="both"/>
              <w:rPr>
                <w:rFonts w:eastAsia="Times New Roman"/>
              </w:rPr>
            </w:pPr>
          </w:p>
        </w:tc>
        <w:tc>
          <w:tcPr>
            <w:tcW w:w="91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20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1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26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807549804"/>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Remai</w:t>
            </w:r>
            <w:r>
              <w:rPr>
                <w:rFonts w:eastAsia="Times New Roman"/>
                <w:b/>
                <w:bCs/>
                <w:color w:val="000000"/>
                <w:sz w:val="16"/>
                <w:szCs w:val="16"/>
              </w:rPr>
              <w:t>nder of 2020 (estimated</w:t>
            </w:r>
            <w:r>
              <w:rPr>
                <w:rFonts w:eastAsia="Times New Roman"/>
                <w:b/>
                <w:bCs/>
                <w:color w:val="000000"/>
                <w:sz w:val="16"/>
                <w:szCs w:val="16"/>
              </w:rPr>
              <w:t>)</w:t>
            </w:r>
          </w:p>
        </w:tc>
      </w:tr>
      <w:tr w:rsidR="00000000">
        <w:trPr>
          <w:divId w:val="1807549804"/>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Amortization expens</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bl>
    <w:tbl>
      <w:tblPr>
        <w:tblW w:w="4978" w:type="pct"/>
        <w:jc w:val="center"/>
        <w:tblCellMar>
          <w:top w:w="15" w:type="dxa"/>
          <w:left w:w="15" w:type="dxa"/>
          <w:bottom w:w="15" w:type="dxa"/>
          <w:right w:w="15" w:type="dxa"/>
        </w:tblCellMar>
        <w:tblLook w:val="04A0" w:firstRow="1" w:lastRow="0" w:firstColumn="1" w:lastColumn="0" w:noHBand="0" w:noVBand="1"/>
      </w:tblPr>
      <w:tblGrid>
        <w:gridCol w:w="144"/>
        <w:gridCol w:w="3342"/>
        <w:gridCol w:w="144"/>
        <w:gridCol w:w="144"/>
        <w:gridCol w:w="144"/>
        <w:gridCol w:w="144"/>
        <w:gridCol w:w="144"/>
        <w:gridCol w:w="719"/>
        <w:gridCol w:w="144"/>
        <w:gridCol w:w="144"/>
        <w:gridCol w:w="144"/>
        <w:gridCol w:w="144"/>
        <w:gridCol w:w="144"/>
        <w:gridCol w:w="719"/>
        <w:gridCol w:w="144"/>
        <w:gridCol w:w="144"/>
        <w:gridCol w:w="144"/>
        <w:gridCol w:w="144"/>
        <w:gridCol w:w="144"/>
        <w:gridCol w:w="719"/>
        <w:gridCol w:w="144"/>
        <w:gridCol w:w="144"/>
        <w:gridCol w:w="144"/>
        <w:gridCol w:w="144"/>
        <w:gridCol w:w="144"/>
        <w:gridCol w:w="744"/>
        <w:gridCol w:w="144"/>
        <w:gridCol w:w="144"/>
        <w:gridCol w:w="144"/>
        <w:gridCol w:w="144"/>
        <w:gridCol w:w="144"/>
        <w:gridCol w:w="721"/>
        <w:gridCol w:w="144"/>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24"/>
          <w:jc w:val="center"/>
        </w:trPr>
        <w:tc>
          <w:tcPr>
            <w:tcW w:w="50" w:type="pct"/>
            <w:vAlign w:val="center"/>
            <w:hideMark/>
          </w:tcPr>
          <w:p w:rsidR="00000000" w:rsidRDefault="000A7020">
            <w:pPr>
              <w:jc w:val="center"/>
              <w:rPr>
                <w:rFonts w:eastAsia="Times New Roman"/>
              </w:rPr>
            </w:pPr>
          </w:p>
        </w:tc>
        <w:tc>
          <w:tcPr>
            <w:tcW w:w="202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years ended December 31 (estimated</w:t>
            </w:r>
            <w:r>
              <w:rPr>
                <w:rFonts w:eastAsia="Times New Roman"/>
                <w:b/>
                <w:bCs/>
                <w:color w:val="000000"/>
                <w:sz w:val="16"/>
                <w:szCs w:val="16"/>
              </w:rPr>
              <w:t>)</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1</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2</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3</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4</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5</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Amortization expens</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rPr>
          <w:rFonts w:eastAsia="Times New Roman"/>
        </w:rPr>
      </w:pP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 </w:t>
      </w:r>
    </w:p>
    <w:p w:rsidR="00000000" w:rsidRDefault="000A7020">
      <w:pPr>
        <w:divId w:val="1004279292"/>
        <w:rPr>
          <w:rFonts w:eastAsia="Times New Roman"/>
        </w:rPr>
      </w:pPr>
    </w:p>
    <w:p w:rsidR="00000000" w:rsidRDefault="000A7020">
      <w:pPr>
        <w:ind w:firstLine="720"/>
        <w:divId w:val="1975479453"/>
        <w:rPr>
          <w:rFonts w:eastAsia="Times New Roman"/>
        </w:rPr>
      </w:pPr>
    </w:p>
    <w:p w:rsidR="00000000" w:rsidRDefault="000A7020">
      <w:pPr>
        <w:jc w:val="center"/>
        <w:divId w:val="1890919220"/>
        <w:rPr>
          <w:rFonts w:eastAsia="Times New Roman"/>
        </w:rPr>
      </w:pPr>
      <w:r>
        <w:rPr>
          <w:rFonts w:eastAsia="Times New Roman"/>
          <w:color w:val="000000"/>
          <w:sz w:val="20"/>
          <w:szCs w:val="20"/>
        </w:rPr>
        <w:t>1</w:t>
      </w:r>
      <w:r>
        <w:rPr>
          <w:rFonts w:eastAsia="Times New Roman"/>
          <w:color w:val="000000"/>
          <w:sz w:val="20"/>
          <w:szCs w:val="20"/>
        </w:rPr>
        <w:t>6</w:t>
      </w:r>
    </w:p>
    <w:p w:rsidR="00000000" w:rsidRDefault="000A7020">
      <w:pPr>
        <w:rPr>
          <w:rFonts w:eastAsia="Times New Roman"/>
        </w:rPr>
      </w:pPr>
      <w:r>
        <w:rPr>
          <w:rFonts w:eastAsia="Times New Roman"/>
        </w:rPr>
        <w:pict>
          <v:rect id="_x0000_i1041" style="width:0;height:1.5pt" o:hralign="center" o:hrstd="t" o:hr="t" fillcolor="#a0a0a0" stroked="f"/>
        </w:pict>
      </w:r>
    </w:p>
    <w:p w:rsidR="00000000" w:rsidRDefault="000A7020">
      <w:pPr>
        <w:ind w:firstLine="720"/>
        <w:divId w:val="1400129333"/>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573932510"/>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573932510"/>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divId w:val="1844469460"/>
        <w:rPr>
          <w:rFonts w:eastAsia="Times New Roman"/>
        </w:rPr>
      </w:pPr>
      <w:r>
        <w:rPr>
          <w:rFonts w:eastAsia="Times New Roman"/>
          <w:b/>
          <w:bCs/>
          <w:color w:val="54B948"/>
          <w:sz w:val="20"/>
          <w:szCs w:val="20"/>
        </w:rPr>
        <w:t>5. DEBT OBLIGATION</w:t>
      </w:r>
      <w:r>
        <w:rPr>
          <w:rFonts w:eastAsia="Times New Roman"/>
          <w:b/>
          <w:bCs/>
          <w:color w:val="54B948"/>
          <w:sz w:val="20"/>
          <w:szCs w:val="20"/>
        </w:rPr>
        <w:t>S</w:t>
      </w:r>
    </w:p>
    <w:p w:rsidR="00000000" w:rsidRDefault="000A7020">
      <w:pPr>
        <w:divId w:val="137310600"/>
        <w:rPr>
          <w:rFonts w:eastAsia="Times New Roman"/>
        </w:rPr>
      </w:pPr>
    </w:p>
    <w:p w:rsidR="00000000" w:rsidRDefault="000A7020">
      <w:pPr>
        <w:divId w:val="1251934540"/>
        <w:rPr>
          <w:rFonts w:eastAsia="Times New Roman"/>
        </w:rPr>
      </w:pPr>
      <w:r>
        <w:rPr>
          <w:rFonts w:eastAsia="Times New Roman"/>
          <w:color w:val="000000"/>
          <w:sz w:val="20"/>
          <w:szCs w:val="20"/>
        </w:rPr>
        <w:t>The following table summarize</w:t>
      </w:r>
      <w:r>
        <w:rPr>
          <w:rFonts w:eastAsia="Times New Roman"/>
          <w:color w:val="000000"/>
          <w:sz w:val="20"/>
          <w:szCs w:val="20"/>
        </w:rPr>
        <w:t>s the Company's short-term borrowings and long-term debt</w:t>
      </w:r>
      <w:r>
        <w:rPr>
          <w:rFonts w:eastAsia="Times New Roman"/>
          <w:color w:val="000000"/>
          <w:sz w:val="20"/>
          <w:szCs w:val="20"/>
        </w:rPr>
        <w:t>:</w:t>
      </w:r>
    </w:p>
    <w:tbl>
      <w:tblPr>
        <w:tblW w:w="4926" w:type="pct"/>
        <w:jc w:val="center"/>
        <w:tblCellMar>
          <w:top w:w="15" w:type="dxa"/>
          <w:left w:w="15" w:type="dxa"/>
          <w:bottom w:w="15" w:type="dxa"/>
          <w:right w:w="15" w:type="dxa"/>
        </w:tblCellMar>
        <w:tblLook w:val="04A0" w:firstRow="1" w:lastRow="0" w:firstColumn="1" w:lastColumn="0" w:noHBand="0" w:noVBand="1"/>
      </w:tblPr>
      <w:tblGrid>
        <w:gridCol w:w="39"/>
        <w:gridCol w:w="59"/>
        <w:gridCol w:w="39"/>
        <w:gridCol w:w="39"/>
        <w:gridCol w:w="1781"/>
        <w:gridCol w:w="38"/>
        <w:gridCol w:w="135"/>
        <w:gridCol w:w="515"/>
        <w:gridCol w:w="85"/>
        <w:gridCol w:w="136"/>
        <w:gridCol w:w="483"/>
        <w:gridCol w:w="86"/>
        <w:gridCol w:w="44"/>
        <w:gridCol w:w="503"/>
        <w:gridCol w:w="43"/>
        <w:gridCol w:w="102"/>
        <w:gridCol w:w="549"/>
        <w:gridCol w:w="101"/>
        <w:gridCol w:w="135"/>
        <w:gridCol w:w="515"/>
        <w:gridCol w:w="85"/>
        <w:gridCol w:w="136"/>
        <w:gridCol w:w="438"/>
        <w:gridCol w:w="85"/>
        <w:gridCol w:w="41"/>
        <w:gridCol w:w="476"/>
        <w:gridCol w:w="40"/>
        <w:gridCol w:w="251"/>
        <w:gridCol w:w="251"/>
        <w:gridCol w:w="250"/>
        <w:gridCol w:w="82"/>
        <w:gridCol w:w="81"/>
        <w:gridCol w:w="81"/>
        <w:gridCol w:w="81"/>
        <w:gridCol w:w="81"/>
        <w:gridCol w:w="81"/>
        <w:gridCol w:w="36"/>
        <w:gridCol w:w="36"/>
        <w:gridCol w:w="36"/>
        <w:gridCol w:w="36"/>
        <w:gridCol w:w="36"/>
        <w:gridCol w:w="36"/>
      </w:tblGrid>
      <w:tr w:rsidR="00000000">
        <w:trPr>
          <w:gridAfter w:val="15"/>
          <w:divId w:val="1173838423"/>
          <w:jc w:val="center"/>
        </w:trPr>
        <w:tc>
          <w:tcPr>
            <w:tcW w:w="5" w:type="pct"/>
            <w:vAlign w:val="center"/>
            <w:hideMark/>
          </w:tcPr>
          <w:p w:rsidR="00000000" w:rsidRDefault="000A7020">
            <w:pPr>
              <w:rPr>
                <w:rFonts w:eastAsia="Times New Roman"/>
              </w:rPr>
            </w:pPr>
          </w:p>
        </w:tc>
        <w:tc>
          <w:tcPr>
            <w:tcW w:w="108"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92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8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1"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8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8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8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173838423"/>
          <w:jc w:val="center"/>
        </w:trPr>
        <w:tc>
          <w:tcPr>
            <w:tcW w:w="0" w:type="auto"/>
            <w:gridSpan w:val="6"/>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173838423"/>
          <w:jc w:val="center"/>
        </w:trPr>
        <w:tc>
          <w:tcPr>
            <w:tcW w:w="0" w:type="auto"/>
            <w:gridSpan w:val="6"/>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millions, except percentage</w:t>
            </w:r>
            <w:r>
              <w:rPr>
                <w:rFonts w:eastAsia="Times New Roman"/>
                <w:b/>
                <w:bCs/>
                <w:color w:val="000000"/>
                <w:sz w:val="16"/>
                <w:szCs w:val="16"/>
              </w:rPr>
              <w:t>s</w:t>
            </w:r>
          </w:p>
        </w:tc>
        <w:tc>
          <w:tcPr>
            <w:tcW w:w="0" w:type="auto"/>
            <w:gridSpan w:val="3"/>
            <w:vAlign w:val="center"/>
            <w:hideMark/>
          </w:tcPr>
          <w:p w:rsidR="00000000" w:rsidRDefault="000A70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Weighted-Average Interest Rat</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Weighted-Average Interest Rat</w:t>
            </w:r>
            <w:r>
              <w:rPr>
                <w:rFonts w:eastAsia="Times New Roman"/>
                <w:b/>
                <w:bCs/>
                <w:color w:val="000000"/>
                <w:sz w:val="16"/>
                <w:szCs w:val="16"/>
              </w:rPr>
              <w:t>e</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6"/>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i/>
                <w:iCs/>
                <w:color w:val="000000"/>
                <w:sz w:val="20"/>
                <w:szCs w:val="20"/>
              </w:rPr>
              <w:t>Short-Term Borrowing</w:t>
            </w:r>
            <w:r>
              <w:rPr>
                <w:rFonts w:eastAsia="Times New Roman"/>
                <w:b/>
                <w:bCs/>
                <w:i/>
                <w:iCs/>
                <w:color w:val="000000"/>
                <w:sz w:val="20"/>
                <w:szCs w:val="20"/>
              </w:rPr>
              <w:t>s</w:t>
            </w:r>
          </w:p>
        </w:tc>
        <w:tc>
          <w:tcPr>
            <w:tcW w:w="0" w:type="auto"/>
            <w:gridSpan w:val="3"/>
            <w:vAlign w:val="center"/>
            <w:hideMark/>
          </w:tcPr>
          <w:p w:rsidR="00000000" w:rsidRDefault="000A702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6"/>
            <w:shd w:val="clear" w:color="auto" w:fill="FFFFFF"/>
            <w:tcMar>
              <w:top w:w="30" w:type="dxa"/>
              <w:left w:w="20" w:type="dxa"/>
              <w:bottom w:w="30" w:type="dxa"/>
              <w:right w:w="20" w:type="dxa"/>
            </w:tcMar>
            <w:vAlign w:val="bottom"/>
            <w:hideMark/>
          </w:tcPr>
          <w:p w:rsidR="00000000" w:rsidRDefault="000A7020">
            <w:pPr>
              <w:divId w:val="1109810476"/>
              <w:rPr>
                <w:rFonts w:eastAsia="Times New Roman"/>
              </w:rPr>
            </w:pPr>
            <w:r>
              <w:rPr>
                <w:rFonts w:eastAsia="Times New Roman"/>
                <w:color w:val="000000"/>
                <w:sz w:val="20"/>
                <w:szCs w:val="20"/>
              </w:rPr>
              <w:t>Current portion of Senior Secured Credit Facility</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gridSpan w:val="3"/>
            <w:vAlign w:val="center"/>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2.68</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4.30</w:t>
            </w: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6"/>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Trade Receivables Securitization Facilit</w:t>
            </w:r>
            <w:r>
              <w:rPr>
                <w:rFonts w:eastAsia="Times New Roman"/>
                <w:color w:val="000000"/>
                <w:sz w:val="20"/>
                <w:szCs w:val="20"/>
              </w:rPr>
              <w:t>y</w:t>
            </w:r>
          </w:p>
        </w:tc>
        <w:tc>
          <w:tcPr>
            <w:tcW w:w="0" w:type="auto"/>
            <w:gridSpan w:val="3"/>
            <w:vAlign w:val="center"/>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1.14</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2.65</w:t>
            </w: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6"/>
            <w:shd w:val="clear" w:color="auto" w:fill="FFFFFF"/>
            <w:tcMar>
              <w:top w:w="30" w:type="dxa"/>
              <w:left w:w="20" w:type="dxa"/>
              <w:bottom w:w="30" w:type="dxa"/>
              <w:right w:w="20" w:type="dxa"/>
            </w:tcMar>
            <w:vAlign w:val="bottom"/>
            <w:hideMark/>
          </w:tcPr>
          <w:p w:rsidR="00000000" w:rsidRDefault="000A7020">
            <w:pPr>
              <w:divId w:val="2135098095"/>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gridSpan w:val="3"/>
            <w:vAlign w:val="center"/>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4.70</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2.82</w:t>
            </w: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short-term borrowing</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217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6"/>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i/>
                <w:iCs/>
                <w:color w:val="000000"/>
                <w:sz w:val="20"/>
                <w:szCs w:val="20"/>
              </w:rPr>
              <w:t>Long-Term Deb</w:t>
            </w:r>
            <w:r>
              <w:rPr>
                <w:rFonts w:eastAsia="Times New Roman"/>
                <w:b/>
                <w:bCs/>
                <w:i/>
                <w:iCs/>
                <w:color w:val="000000"/>
                <w:sz w:val="20"/>
                <w:szCs w:val="20"/>
              </w:rPr>
              <w:t>t</w:t>
            </w:r>
          </w:p>
        </w:tc>
        <w:tc>
          <w:tcPr>
            <w:tcW w:w="0" w:type="auto"/>
            <w:gridSpan w:val="3"/>
            <w:vAlign w:val="center"/>
            <w:hideMark/>
          </w:tcPr>
          <w:p w:rsidR="00000000" w:rsidRDefault="000A7020">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6"/>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Senior Secured Credit Facility</w:t>
            </w:r>
            <w:r>
              <w:rPr>
                <w:rFonts w:eastAsia="Times New Roman"/>
                <w:color w:val="000000"/>
                <w:sz w:val="20"/>
                <w:szCs w:val="20"/>
              </w:rPr>
              <w:t>:</w:t>
            </w:r>
          </w:p>
        </w:tc>
        <w:tc>
          <w:tcPr>
            <w:tcW w:w="0" w:type="auto"/>
            <w:gridSpan w:val="3"/>
            <w:vAlign w:val="center"/>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A7020">
            <w:pPr>
              <w:divId w:val="591551479"/>
              <w:rPr>
                <w:rFonts w:eastAsia="Times New Roman"/>
              </w:rPr>
            </w:pPr>
            <w:r>
              <w:rPr>
                <w:rFonts w:eastAsia="Times New Roman"/>
                <w:color w:val="000000"/>
                <w:sz w:val="20"/>
                <w:szCs w:val="20"/>
              </w:rPr>
              <w:t>Term loan facility</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736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2.68</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4.30</w:t>
            </w: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divId w:val="1136753122"/>
              <w:rPr>
                <w:rFonts w:eastAsia="Times New Roman"/>
              </w:rPr>
            </w:pPr>
            <w:r>
              <w:rPr>
                <w:rFonts w:eastAsia="Times New Roman"/>
                <w:color w:val="000000"/>
                <w:sz w:val="20"/>
                <w:szCs w:val="20"/>
              </w:rPr>
              <w:t>Revolving credit facility</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1,070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2.19</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3.76</w:t>
            </w: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6"/>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Senior notes</w:t>
            </w:r>
            <w:r>
              <w:rPr>
                <w:rFonts w:eastAsia="Times New Roman"/>
                <w:color w:val="000000"/>
                <w:sz w:val="20"/>
                <w:szCs w:val="20"/>
              </w:rPr>
              <w:t>:</w:t>
            </w:r>
          </w:p>
        </w:tc>
        <w:tc>
          <w:tcPr>
            <w:tcW w:w="0" w:type="auto"/>
            <w:gridSpan w:val="3"/>
            <w:vAlign w:val="center"/>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5.00% Senior Notes due 202</w:t>
            </w:r>
            <w:r>
              <w:rPr>
                <w:rFonts w:eastAsia="Times New Roman"/>
                <w:color w:val="000000"/>
                <w:sz w:val="20"/>
                <w:szCs w:val="20"/>
              </w:rPr>
              <w:t>2</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6.375% Senior Notes due 202</w:t>
            </w:r>
            <w:r>
              <w:rPr>
                <w:rFonts w:eastAsia="Times New Roman"/>
                <w:color w:val="000000"/>
                <w:sz w:val="20"/>
                <w:szCs w:val="20"/>
              </w:rPr>
              <w:t>3</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700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8.125% Senior Notes due 202</w:t>
            </w:r>
            <w:r>
              <w:rPr>
                <w:rFonts w:eastAsia="Times New Roman"/>
                <w:color w:val="000000"/>
                <w:sz w:val="20"/>
                <w:szCs w:val="20"/>
              </w:rPr>
              <w:t>5</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5.750% Senior Notes due 202</w:t>
            </w:r>
            <w:r>
              <w:rPr>
                <w:rFonts w:eastAsia="Times New Roman"/>
                <w:color w:val="000000"/>
                <w:sz w:val="20"/>
                <w:szCs w:val="20"/>
              </w:rPr>
              <w:t>7</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500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6.125% Senior Notes due 202</w:t>
            </w:r>
            <w:r>
              <w:rPr>
                <w:rFonts w:eastAsia="Times New Roman"/>
                <w:color w:val="000000"/>
                <w:sz w:val="20"/>
                <w:szCs w:val="20"/>
              </w:rPr>
              <w:t>9</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6"/>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Deferred financing fee</w:t>
            </w:r>
            <w:r>
              <w:rPr>
                <w:rFonts w:eastAsia="Times New Roman"/>
                <w:color w:val="000000"/>
                <w:sz w:val="20"/>
                <w:szCs w:val="20"/>
              </w:rPr>
              <w:t>s</w:t>
            </w:r>
          </w:p>
        </w:tc>
        <w:tc>
          <w:tcPr>
            <w:tcW w:w="0" w:type="auto"/>
            <w:gridSpan w:val="3"/>
            <w:vAlign w:val="center"/>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6"/>
            <w:shd w:val="clear" w:color="auto" w:fill="CCEEFF"/>
            <w:tcMar>
              <w:top w:w="30" w:type="dxa"/>
              <w:left w:w="20" w:type="dxa"/>
              <w:bottom w:w="30" w:type="dxa"/>
              <w:right w:w="20" w:type="dxa"/>
            </w:tcMar>
            <w:vAlign w:val="bottom"/>
            <w:hideMark/>
          </w:tcPr>
          <w:p w:rsidR="00000000" w:rsidRDefault="000A7020">
            <w:pPr>
              <w:divId w:val="2019886408"/>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gridSpan w:val="3"/>
            <w:vAlign w:val="center"/>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0.05</w:t>
            </w: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73838423"/>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long-term deb</w:t>
            </w:r>
            <w:r>
              <w:rPr>
                <w:rFonts w:eastAsia="Times New Roman"/>
                <w:color w:val="000000"/>
                <w:sz w:val="20"/>
                <w:szCs w:val="20"/>
              </w:rPr>
              <w:t>t</w:t>
            </w:r>
          </w:p>
        </w:tc>
        <w:tc>
          <w:tcPr>
            <w:tcW w:w="0" w:type="auto"/>
            <w:tcBorders>
              <w:top w:val="single" w:sz="8" w:space="0" w:color="000000"/>
              <w:bottom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4,473</w:t>
            </w:r>
            <w:r>
              <w:rPr>
                <w:rFonts w:eastAsia="Times New Roman"/>
                <w:b/>
                <w:bCs/>
                <w:color w:val="000000"/>
                <w:sz w:val="20"/>
                <w:szCs w:val="20"/>
              </w:rPr>
              <w:t> </w:t>
            </w:r>
          </w:p>
        </w:tc>
        <w:tc>
          <w:tcPr>
            <w:tcW w:w="0" w:type="auto"/>
            <w:tcBorders>
              <w:top w:val="single" w:sz="8" w:space="0" w:color="000000"/>
              <w:bottom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3,277</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ind w:hanging="270"/>
        <w:jc w:val="both"/>
        <w:divId w:val="1475637332"/>
        <w:rPr>
          <w:rFonts w:eastAsia="Times New Roman"/>
        </w:rPr>
      </w:pPr>
      <w:r>
        <w:rPr>
          <w:rFonts w:eastAsia="Times New Roman"/>
          <w:color w:val="000000"/>
          <w:sz w:val="13"/>
          <w:szCs w:val="13"/>
          <w:vertAlign w:val="superscript"/>
        </w:rPr>
        <w:t>(1</w:t>
      </w:r>
      <w:r>
        <w:rPr>
          <w:rFonts w:eastAsia="Times New Roman"/>
          <w:color w:val="000000"/>
          <w:sz w:val="13"/>
          <w:szCs w:val="13"/>
          <w:vertAlign w:val="superscript"/>
        </w:rPr>
        <w:t>)</w:t>
      </w:r>
      <w:r>
        <w:rPr>
          <w:rFonts w:eastAsia="Times New Roman"/>
          <w:color w:val="000000"/>
          <w:sz w:val="20"/>
          <w:szCs w:val="20"/>
        </w:rPr>
        <w:t> Interest rates are weighted-average interest rates as of June 30, 2020 and December 31, 2019.</w:t>
      </w:r>
      <w:r>
        <w:rPr>
          <w:rFonts w:eastAsia="Times New Roman"/>
          <w:color w:val="000000"/>
          <w:sz w:val="20"/>
          <w:szCs w:val="20"/>
        </w:rPr>
        <w:t xml:space="preserve"> </w:t>
      </w:r>
    </w:p>
    <w:p w:rsidR="00000000" w:rsidRDefault="000A7020">
      <w:pPr>
        <w:jc w:val="both"/>
        <w:divId w:val="2012753658"/>
        <w:rPr>
          <w:rFonts w:eastAsia="Times New Roman"/>
        </w:rPr>
      </w:pPr>
    </w:p>
    <w:p w:rsidR="00000000" w:rsidRDefault="000A7020">
      <w:pPr>
        <w:jc w:val="both"/>
        <w:rPr>
          <w:rFonts w:eastAsia="Times New Roman"/>
        </w:rPr>
      </w:pPr>
      <w:r>
        <w:rPr>
          <w:rFonts w:eastAsia="Times New Roman"/>
          <w:i/>
          <w:iCs/>
          <w:color w:val="000000"/>
          <w:sz w:val="20"/>
          <w:szCs w:val="20"/>
        </w:rPr>
        <w:t>Senior Secured Credit Facility</w:t>
      </w:r>
      <w:r>
        <w:rPr>
          <w:rFonts w:eastAsia="Times New Roman"/>
          <w:i/>
          <w:iCs/>
          <w:color w:val="000000"/>
          <w:sz w:val="20"/>
          <w:szCs w:val="20"/>
        </w:rPr>
        <w:t xml:space="preserve"> </w:t>
      </w:r>
      <w:r>
        <w:rPr>
          <w:rFonts w:eastAsia="Times New Roman"/>
          <w:color w:val="000000"/>
          <w:sz w:val="20"/>
          <w:szCs w:val="20"/>
        </w:rPr>
        <w:t>On August 28, 2019, the Company entered into an amended and restated senior secured credit facility with and among certain subsidiaries of NCR (the Foreign Borrowers), the lenders party thereto and JPMorgan Chase Bank, NA (JPMCB) as the administrative agen</w:t>
      </w:r>
      <w:r>
        <w:rPr>
          <w:rFonts w:eastAsia="Times New Roman"/>
          <w:color w:val="000000"/>
          <w:sz w:val="20"/>
          <w:szCs w:val="20"/>
        </w:rPr>
        <w:t>t, refinancing its term loan facility and revolving credit facility thereunder (the Senior Secured Credit Facility). The Senior Secured Credit Facility consists of a term loan facility with an aggregate principal commitment of $750 million, of which $744 m</w:t>
      </w:r>
      <w:r>
        <w:rPr>
          <w:rFonts w:eastAsia="Times New Roman"/>
          <w:color w:val="000000"/>
          <w:sz w:val="20"/>
          <w:szCs w:val="20"/>
        </w:rPr>
        <w:t xml:space="preserve">illion was outstanding as of June 30, 2020. Additionally, the Senior Secured Credit Facility provides for a five-year revolving credit facility with an aggregate principal amount of $1.1 billion, of which $1.07 billion was outstanding as of June 30, 2020. </w:t>
      </w:r>
      <w:r>
        <w:rPr>
          <w:rFonts w:eastAsia="Times New Roman"/>
          <w:color w:val="000000"/>
          <w:sz w:val="20"/>
          <w:szCs w:val="20"/>
        </w:rPr>
        <w:t>The revolving credit facility also allows a portion of the availability to be used for letters of credit, and as of June 30, 2020, there were $28 million of letters of credit outstanding.</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Up to $400 million of the revolving credit facility is available </w:t>
      </w:r>
      <w:r>
        <w:rPr>
          <w:rFonts w:eastAsia="Times New Roman"/>
          <w:color w:val="000000"/>
          <w:sz w:val="20"/>
          <w:szCs w:val="20"/>
        </w:rPr>
        <w:t>to the Foreign Borrowers, as long as there is availability under the revolving credit facility. Term loans were made to the Company in U.S. Dollars, and loans under the revolving credit facility are available in U.S. Dollars, Euros and Pound Sterling</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w:t>
      </w:r>
      <w:r>
        <w:rPr>
          <w:rFonts w:eastAsia="Times New Roman"/>
          <w:color w:val="000000"/>
          <w:sz w:val="20"/>
          <w:szCs w:val="20"/>
        </w:rPr>
        <w:t xml:space="preserve">e outstanding principal balance of the term loan facility is required to be repaid in equal quarterly installments of approximately 0.25% of the aggregate principal amount that began with the fiscal quarter ending December 31, 2019, with the balance being </w:t>
      </w:r>
      <w:r>
        <w:rPr>
          <w:rFonts w:eastAsia="Times New Roman"/>
          <w:color w:val="000000"/>
          <w:sz w:val="20"/>
          <w:szCs w:val="20"/>
        </w:rPr>
        <w:t>due at maturity on August 28, 2026. Borrowings under the revolving portion of the credit facility are due August 28, 2024. Revolving loans outstanding under the Senior Secured Credit Facility denominated in U.S. Dollars bear interest at the Company's optio</w:t>
      </w:r>
      <w:r>
        <w:rPr>
          <w:rFonts w:eastAsia="Times New Roman"/>
          <w:color w:val="000000"/>
          <w:sz w:val="20"/>
          <w:szCs w:val="20"/>
        </w:rPr>
        <w:t>n at (a) London Inter-bank Offered Rate ("LIBOR"), plus a margin ranging from 1.25% to 2.25% or (b) a base rate equal to the highest of (i) the federal funds rate plus 0.50%, (ii) the rate of interest last quoted by the Wall Street Journal as the “prime ra</w:t>
      </w:r>
      <w:r>
        <w:rPr>
          <w:rFonts w:eastAsia="Times New Roman"/>
          <w:color w:val="000000"/>
          <w:sz w:val="20"/>
          <w:szCs w:val="20"/>
        </w:rPr>
        <w:t>te” and (iii) the one-month LIBOR rate plus 1.00% (the Base Rate), plus, a margin ranging from 0.25% to 1.25%, in each case, depending on the Company’s consolidated leverage ratio. Revolving loans denominated in Euro bear interest at the EURIBOR, plus a ma</w:t>
      </w:r>
      <w:r>
        <w:rPr>
          <w:rFonts w:eastAsia="Times New Roman"/>
          <w:color w:val="000000"/>
          <w:sz w:val="20"/>
          <w:szCs w:val="20"/>
        </w:rPr>
        <w:t>rgin ranging from 1.25% to 2.25% depending on the Company’s consolidated leverage ratio. The terms of the Senior Secured Credit Facility also require certain other fees and payments to be made by the Company, including a commitment fee on the undrawn porti</w:t>
      </w:r>
      <w:r>
        <w:rPr>
          <w:rFonts w:eastAsia="Times New Roman"/>
          <w:color w:val="000000"/>
          <w:sz w:val="20"/>
          <w:szCs w:val="20"/>
        </w:rPr>
        <w:t>on of the revolving credit facility. Term loans outstanding under the Senior Secured Credit Facility bear interest, at NCR's option, at LIBOR plus 2.50% per annum or the Base Rate plus a 1.50% margin</w:t>
      </w:r>
      <w:r>
        <w:rPr>
          <w:rFonts w:eastAsia="Times New Roman"/>
          <w:color w:val="000000"/>
          <w:sz w:val="20"/>
          <w:szCs w:val="20"/>
        </w:rPr>
        <w:t xml:space="preserve"> </w:t>
      </w:r>
    </w:p>
    <w:p w:rsidR="00000000" w:rsidRDefault="000A7020">
      <w:pPr>
        <w:jc w:val="center"/>
        <w:divId w:val="915091817"/>
        <w:rPr>
          <w:rFonts w:eastAsia="Times New Roman"/>
        </w:rPr>
      </w:pPr>
      <w:r>
        <w:rPr>
          <w:rFonts w:eastAsia="Times New Roman"/>
          <w:color w:val="000000"/>
          <w:sz w:val="20"/>
          <w:szCs w:val="20"/>
        </w:rPr>
        <w:t>1</w:t>
      </w:r>
      <w:r>
        <w:rPr>
          <w:rFonts w:eastAsia="Times New Roman"/>
          <w:color w:val="000000"/>
          <w:sz w:val="20"/>
          <w:szCs w:val="20"/>
        </w:rPr>
        <w:t>7</w:t>
      </w:r>
    </w:p>
    <w:p w:rsidR="00000000" w:rsidRDefault="000A7020">
      <w:pPr>
        <w:rPr>
          <w:rFonts w:eastAsia="Times New Roman"/>
        </w:rPr>
      </w:pPr>
      <w:r>
        <w:rPr>
          <w:rFonts w:eastAsia="Times New Roman"/>
        </w:rPr>
        <w:pict>
          <v:rect id="_x0000_i1042" style="width:0;height:1.5pt" o:hralign="center" o:hrstd="t" o:hr="t" fillcolor="#a0a0a0" stroked="f"/>
        </w:pict>
      </w:r>
    </w:p>
    <w:p w:rsidR="00000000" w:rsidRDefault="000A7020">
      <w:pPr>
        <w:ind w:firstLine="720"/>
        <w:divId w:val="1620917687"/>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649599007"/>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649599007"/>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per annum. In the event that LIBOR is no longer available or in certain other circumsta</w:t>
      </w:r>
      <w:r>
        <w:rPr>
          <w:rFonts w:eastAsia="Times New Roman"/>
          <w:color w:val="000000"/>
          <w:sz w:val="20"/>
          <w:szCs w:val="20"/>
        </w:rPr>
        <w:t xml:space="preserve">nces as described in the Senior Secured Credit Facility, the Senior Secured Credit Facility provides a mechanism for determining an alternative rate of interest. There is no assurance that any such alternative, successor or replacement reference rate will </w:t>
      </w:r>
      <w:r>
        <w:rPr>
          <w:rFonts w:eastAsia="Times New Roman"/>
          <w:color w:val="000000"/>
          <w:sz w:val="20"/>
          <w:szCs w:val="20"/>
        </w:rPr>
        <w:t>be similar to, or produce the same value or economic equivalence of, LIBOR</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obligations of the Company and Foreign Borrowers under the Senior Secured Credit Facility are guaranteed by certain of the Company's wholly-owned domestic subsidiaries. The S</w:t>
      </w:r>
      <w:r>
        <w:rPr>
          <w:rFonts w:eastAsia="Times New Roman"/>
          <w:color w:val="000000"/>
          <w:sz w:val="20"/>
          <w:szCs w:val="20"/>
        </w:rPr>
        <w:t xml:space="preserve">enior Secured Credit Facility and these guarantees are secured by a first priority lien and security interest in certain equity interests owned by the Company and the guarantor subsidiaries in certain of their respective domestic and foreign subsidiaries, </w:t>
      </w:r>
      <w:r>
        <w:rPr>
          <w:rFonts w:eastAsia="Times New Roman"/>
          <w:color w:val="000000"/>
          <w:sz w:val="20"/>
          <w:szCs w:val="20"/>
        </w:rPr>
        <w:t>and a perfected first priority lien and security interest in substantially all of the Company's U.S. assets and the assets of the guarantor subsidiaries, subject to certain exclusions. These security interests would be released if the Company achieves an “</w:t>
      </w:r>
      <w:r>
        <w:rPr>
          <w:rFonts w:eastAsia="Times New Roman"/>
          <w:color w:val="000000"/>
          <w:sz w:val="20"/>
          <w:szCs w:val="20"/>
        </w:rPr>
        <w:t>investment grade” rating and will remain released so long as the Company maintains that rating</w:t>
      </w:r>
      <w:r>
        <w:rPr>
          <w:rFonts w:eastAsia="Times New Roman"/>
          <w:color w:val="000000"/>
          <w:sz w:val="20"/>
          <w:szCs w:val="20"/>
        </w:rPr>
        <w:t>.</w:t>
      </w:r>
    </w:p>
    <w:p w:rsidR="00000000" w:rsidRDefault="000A7020">
      <w:pPr>
        <w:jc w:val="both"/>
        <w:divId w:val="1804955763"/>
        <w:rPr>
          <w:rFonts w:eastAsia="Times New Roman"/>
        </w:rPr>
      </w:pPr>
      <w:r>
        <w:rPr>
          <w:rFonts w:eastAsia="Times New Roman"/>
          <w:color w:val="000000"/>
          <w:sz w:val="20"/>
          <w:szCs w:val="20"/>
        </w:rPr>
        <w:t xml:space="preserve">The Senior Secured Credit Facility includes affirmative and negative covenants that restrict or limit the ability of the Company and its subsidiaries to, among </w:t>
      </w:r>
      <w:r>
        <w:rPr>
          <w:rFonts w:eastAsia="Times New Roman"/>
          <w:color w:val="000000"/>
          <w:sz w:val="20"/>
          <w:szCs w:val="20"/>
        </w:rPr>
        <w:t>other things, incur indebtedness; create liens on assets; engage in certain fundamental corporate changes or changes to the Company's business activities; make investments; sell or otherwise dispose of assets; engage in sale-leaseback or hedging transactio</w:t>
      </w:r>
      <w:r>
        <w:rPr>
          <w:rFonts w:eastAsia="Times New Roman"/>
          <w:color w:val="000000"/>
          <w:sz w:val="20"/>
          <w:szCs w:val="20"/>
        </w:rPr>
        <w:t xml:space="preserve">ns; repurchase stock, pay dividends or make similar distributions; repay other indebtedness; engage in certain affiliate transactions; or enter into agreements that restrict the Company's ability to create liens, pay dividends or make loan repayments. The </w:t>
      </w:r>
      <w:r>
        <w:rPr>
          <w:rFonts w:eastAsia="Times New Roman"/>
          <w:color w:val="000000"/>
          <w:sz w:val="20"/>
          <w:szCs w:val="20"/>
        </w:rPr>
        <w:t>Senior Secured Credit Facility also includes a financial covenant that requires the Company to maintain</w:t>
      </w:r>
      <w:r>
        <w:rPr>
          <w:rFonts w:eastAsia="Times New Roman"/>
          <w:color w:val="000000"/>
          <w:sz w:val="20"/>
          <w:szCs w:val="20"/>
        </w:rPr>
        <w:t>:</w:t>
      </w:r>
    </w:p>
    <w:p w:rsidR="00000000" w:rsidRDefault="000A7020">
      <w:pPr>
        <w:ind w:hanging="360"/>
        <w:jc w:val="both"/>
        <w:divId w:val="413599231"/>
        <w:rPr>
          <w:rFonts w:eastAsia="Times New Roman"/>
        </w:rPr>
      </w:pPr>
      <w:r>
        <w:rPr>
          <w:rFonts w:eastAsia="Times New Roman"/>
          <w:color w:val="000000"/>
          <w:sz w:val="20"/>
          <w:szCs w:val="20"/>
        </w:rPr>
        <w:t>•</w:t>
      </w:r>
      <w:r>
        <w:rPr>
          <w:rFonts w:eastAsia="Times New Roman"/>
          <w:color w:val="000000"/>
          <w:sz w:val="20"/>
          <w:szCs w:val="20"/>
        </w:rPr>
        <w:t>a consolidated leverage ratio on the last day of any fiscal quarter, not to exceed (i) in the case of any fiscal quarter ending on or prior to March 3</w:t>
      </w:r>
      <w:r>
        <w:rPr>
          <w:rFonts w:eastAsia="Times New Roman"/>
          <w:color w:val="000000"/>
          <w:sz w:val="20"/>
          <w:szCs w:val="20"/>
        </w:rPr>
        <w:t>1, 2021, (a) the sum of 4.50 and an amount (not to exceed 0.50) to reflect debt used to reduce NCR’s unfunded pension liabilities to (b) 1.00, and (ii) in the case of any fiscal quarter ending after March 31, 2021 and on or prior to March 31, 2023, (a) the</w:t>
      </w:r>
      <w:r>
        <w:rPr>
          <w:rFonts w:eastAsia="Times New Roman"/>
          <w:color w:val="000000"/>
          <w:sz w:val="20"/>
          <w:szCs w:val="20"/>
        </w:rPr>
        <w:t xml:space="preserve"> sum of 4.25 and an amount (not to exceed 0.50) to reflect debt used to reduce NCR’s unfunded pension liabilities to (b) 1.00; and (iii) in the case of any fiscal quarter ending after March 31, 2023, (a) the sum of 4.00 and an amount (not to exceed 0.50) t</w:t>
      </w:r>
      <w:r>
        <w:rPr>
          <w:rFonts w:eastAsia="Times New Roman"/>
          <w:color w:val="000000"/>
          <w:sz w:val="20"/>
          <w:szCs w:val="20"/>
        </w:rPr>
        <w:t>o reflect debt used to reduce our unfunded pension liabilities to (b) 1.00.</w:t>
      </w:r>
      <w:r>
        <w:rPr>
          <w:rFonts w:eastAsia="Times New Roman"/>
          <w:color w:val="000000"/>
          <w:sz w:val="20"/>
          <w:szCs w:val="20"/>
        </w:rPr>
        <w:t xml:space="preserve"> </w:t>
      </w:r>
    </w:p>
    <w:p w:rsidR="00000000" w:rsidRDefault="000A7020">
      <w:pPr>
        <w:jc w:val="both"/>
        <w:rPr>
          <w:rFonts w:eastAsia="Times New Roman"/>
        </w:rPr>
      </w:pPr>
      <w:r>
        <w:rPr>
          <w:rFonts w:eastAsia="Times New Roman"/>
          <w:color w:val="000000"/>
          <w:sz w:val="20"/>
          <w:szCs w:val="20"/>
        </w:rPr>
        <w:t>The Company has the option to elect to increase the maximum permitted leverage ratio by 0.25 in connection with the consummation of any material acquisition (as defined in the Sen</w:t>
      </w:r>
      <w:r>
        <w:rPr>
          <w:rFonts w:eastAsia="Times New Roman"/>
          <w:color w:val="000000"/>
          <w:sz w:val="20"/>
          <w:szCs w:val="20"/>
        </w:rPr>
        <w:t>ior Secured Credit Facility) for four fiscal quarters, but in no event will the maximum permitted leverage ratio, inclusive of all increases, exceed 4.75 to 1.00. At June 30, 2020, the maximum consolidated leverage ratio under the Senior Secured Credit Fac</w:t>
      </w:r>
      <w:r>
        <w:rPr>
          <w:rFonts w:eastAsia="Times New Roman"/>
          <w:color w:val="000000"/>
          <w:sz w:val="20"/>
          <w:szCs w:val="20"/>
        </w:rPr>
        <w:t>ility was 4.75 to 1.00</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Senior Secured Credit Facility also includes provisions for events of default, which are customary for similar financings. Upon the occurrence of an event of default, the lenders may, among other things, terminate the loan com</w:t>
      </w:r>
      <w:r>
        <w:rPr>
          <w:rFonts w:eastAsia="Times New Roman"/>
          <w:color w:val="000000"/>
          <w:sz w:val="20"/>
          <w:szCs w:val="20"/>
        </w:rPr>
        <w:t>mitments, accelerate all loans and require cash collateral deposits in respect of outstanding letters of credit. If the Company is unable to pay or repay the amounts due, the lenders could, among other things, proceed against the collateral granted to them</w:t>
      </w:r>
      <w:r>
        <w:rPr>
          <w:rFonts w:eastAsia="Times New Roman"/>
          <w:color w:val="000000"/>
          <w:sz w:val="20"/>
          <w:szCs w:val="20"/>
        </w:rPr>
        <w:t xml:space="preserve"> to secure such indebtedness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Company may request, at any time and from time to time, but the lenders are not obligated to fund, the establishment of one or more incremental term loans and/or revolving credit facilities (subject to the agreement of e</w:t>
      </w:r>
      <w:r>
        <w:rPr>
          <w:rFonts w:eastAsia="Times New Roman"/>
          <w:color w:val="000000"/>
          <w:sz w:val="20"/>
          <w:szCs w:val="20"/>
        </w:rPr>
        <w:t xml:space="preserve">xisting lenders or additional financial institutions to provide such term loans and/or revolving credit facilities) with commitments in an aggregate amount not to exceed the greater of (i) $150 million, and (ii) such amount as would not cause the leverage </w:t>
      </w:r>
      <w:r>
        <w:rPr>
          <w:rFonts w:eastAsia="Times New Roman"/>
          <w:color w:val="000000"/>
          <w:sz w:val="20"/>
          <w:szCs w:val="20"/>
        </w:rPr>
        <w:t>ratio under the Senior Secured Credit Facility, calculated on a pro forma basis including the incremental facility and assuming that it and the revolver are fully drawn, to exceed 3.00 to 1.00, and the proceeds of which can be used for working capital requ</w:t>
      </w:r>
      <w:r>
        <w:rPr>
          <w:rFonts w:eastAsia="Times New Roman"/>
          <w:color w:val="000000"/>
          <w:sz w:val="20"/>
          <w:szCs w:val="20"/>
        </w:rPr>
        <w:t>irements and other general corporate purposes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Senior Unsecured Note</w:t>
      </w:r>
      <w:r>
        <w:rPr>
          <w:rFonts w:eastAsia="Times New Roman"/>
          <w:i/>
          <w:iCs/>
          <w:color w:val="000000"/>
          <w:sz w:val="20"/>
          <w:szCs w:val="20"/>
        </w:rPr>
        <w:t>s</w:t>
      </w:r>
      <w:r>
        <w:rPr>
          <w:rFonts w:eastAsia="Times New Roman"/>
          <w:color w:val="000000"/>
          <w:sz w:val="20"/>
          <w:szCs w:val="20"/>
        </w:rPr>
        <w:t xml:space="preserve"> On September 17, 2012, the Company issued $600 million aggregate principal amount of 5.00% senior unsecured notes due in 2022 (the 5.00% Notes). The 5.00% Notes were sold at 100% of th</w:t>
      </w:r>
      <w:r>
        <w:rPr>
          <w:rFonts w:eastAsia="Times New Roman"/>
          <w:color w:val="000000"/>
          <w:sz w:val="20"/>
          <w:szCs w:val="20"/>
        </w:rPr>
        <w:t>e principal amount and will mature on July 15, 2022. On December 19, 2013, the Company issued $700 million aggregate principal amount of 6.375% senior unsecured notes due in 2023 (the 6.375% Notes). The 6.375% Notes were sold at 100% of the principal amoun</w:t>
      </w:r>
      <w:r>
        <w:rPr>
          <w:rFonts w:eastAsia="Times New Roman"/>
          <w:color w:val="000000"/>
          <w:sz w:val="20"/>
          <w:szCs w:val="20"/>
        </w:rPr>
        <w:t>t and will mature on December 15, 2023. On August 21, 2019, the Company issued $500 million aggregate principal amount of 5.750% senior unsecured notes due in 2027 (the 5.750% Notes) and $500 million aggregate principal amount of 6.125% senior unsecured no</w:t>
      </w:r>
      <w:r>
        <w:rPr>
          <w:rFonts w:eastAsia="Times New Roman"/>
          <w:color w:val="000000"/>
          <w:sz w:val="20"/>
          <w:szCs w:val="20"/>
        </w:rPr>
        <w:t>tes due in 2029 (the 6.125% Notes). The 5.750% Notes were sold at 100% of the principal amount and will mature on September 1, 2027. The 6.125% Notes were sold at 100% of the principal amount and will mature on September 1, 2029.</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center"/>
        <w:divId w:val="520440029"/>
        <w:rPr>
          <w:rFonts w:eastAsia="Times New Roman"/>
        </w:rPr>
      </w:pPr>
      <w:r>
        <w:rPr>
          <w:rFonts w:eastAsia="Times New Roman"/>
          <w:color w:val="000000"/>
          <w:sz w:val="20"/>
          <w:szCs w:val="20"/>
        </w:rPr>
        <w:t>1</w:t>
      </w:r>
      <w:r>
        <w:rPr>
          <w:rFonts w:eastAsia="Times New Roman"/>
          <w:color w:val="000000"/>
          <w:sz w:val="20"/>
          <w:szCs w:val="20"/>
        </w:rPr>
        <w:t>8</w:t>
      </w:r>
    </w:p>
    <w:p w:rsidR="00000000" w:rsidRDefault="000A7020">
      <w:pPr>
        <w:rPr>
          <w:rFonts w:eastAsia="Times New Roman"/>
        </w:rPr>
      </w:pPr>
      <w:r>
        <w:rPr>
          <w:rFonts w:eastAsia="Times New Roman"/>
        </w:rPr>
        <w:pict>
          <v:rect id="_x0000_i1043" style="width:0;height:1.5pt" o:hralign="center" o:hrstd="t" o:hr="t" fillcolor="#a0a0a0" stroked="f"/>
        </w:pict>
      </w:r>
    </w:p>
    <w:p w:rsidR="00000000" w:rsidRDefault="000A7020">
      <w:pPr>
        <w:ind w:firstLine="720"/>
        <w:divId w:val="1150484697"/>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493837873"/>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493837873"/>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 xml:space="preserve">On April 13, 2020, the Company issued $400 million </w:t>
      </w:r>
      <w:r>
        <w:rPr>
          <w:rFonts w:eastAsia="Times New Roman"/>
          <w:color w:val="000000"/>
          <w:sz w:val="20"/>
          <w:szCs w:val="20"/>
        </w:rPr>
        <w:t>aggregate principal amount of 8.125% senior unsecured notes due in 2025 (the 8.125% Notes). The 8.125% Notes were sold at 100% of the principal amount, which resulted in total gross proceeds of $400 million. Interest is payable on the 8.125% Notes semi-ann</w:t>
      </w:r>
      <w:r>
        <w:rPr>
          <w:rFonts w:eastAsia="Times New Roman"/>
          <w:color w:val="000000"/>
          <w:sz w:val="20"/>
          <w:szCs w:val="20"/>
        </w:rPr>
        <w:t>ually in arrears at an annual rate of 8.125%, on April 15 and October 15, beginning on October 15, 2020. The 8.125% Notes will mature on April 15, 2025</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The 8.125% Notes are unsecured senior obligations of the Company and are guaranteed by the Company's </w:t>
      </w:r>
      <w:r>
        <w:rPr>
          <w:rFonts w:eastAsia="Times New Roman"/>
          <w:color w:val="000000"/>
          <w:sz w:val="20"/>
          <w:szCs w:val="20"/>
        </w:rPr>
        <w:t>wholly-owned subsidiary, NCR International, Inc. (Guarantor Subsidiary), which is 100% owned by the Company and has guaranteed fully and unconditionally the obligations to pay principal and interest for these senior unsecured notes.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The Company has the </w:t>
      </w:r>
      <w:r>
        <w:rPr>
          <w:rFonts w:eastAsia="Times New Roman"/>
          <w:color w:val="000000"/>
          <w:sz w:val="20"/>
          <w:szCs w:val="20"/>
        </w:rPr>
        <w:t>option to redeem the 8.125% Notes, in whole or in part, at any time on or after April 15, 2022, at a redemption price of 104.063%, 102.031%, and 100% during the 12-month periods commencing on April 15, 2022, 2023 and 2024 and thereafter, respectively, plus</w:t>
      </w:r>
      <w:r>
        <w:rPr>
          <w:rFonts w:eastAsia="Times New Roman"/>
          <w:color w:val="000000"/>
          <w:sz w:val="20"/>
          <w:szCs w:val="20"/>
        </w:rPr>
        <w:t xml:space="preserve"> accrued and unpaid interest to the redemption date. Prior to April 15, 2022, the Company may redeem some or all of the 8.125% Notes by paying a redemption price equal to 100% of the principal amount of the Notes to be redeemed plus the Applicable Premium,</w:t>
      </w:r>
      <w:r>
        <w:rPr>
          <w:rFonts w:eastAsia="Times New Roman"/>
          <w:color w:val="000000"/>
          <w:sz w:val="20"/>
          <w:szCs w:val="20"/>
        </w:rPr>
        <w:t xml:space="preserve"> as defined in the Indenture, as of, and accrued and unpaid interest to, but excluding, the redemption date (subject to the right of holders of record of the Notes on the relevant record date to receive interest due on the relevant interest payment date)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terms of the indentures for these notes limit the ability of the Company and certain of its subsidiaries to, among other things, incur additional debt or issue redeemable preferred stock; pay dividends or make certain other restricted payments or inv</w:t>
      </w:r>
      <w:r>
        <w:rPr>
          <w:rFonts w:eastAsia="Times New Roman"/>
          <w:color w:val="000000"/>
          <w:sz w:val="20"/>
          <w:szCs w:val="20"/>
        </w:rPr>
        <w:t>estments; incur liens; sell assets; incur restrictions on the ability of the Company's subsidiaries to pay dividends to the Company; enter into affiliate transactions; engage in sale and leaseback transactions; and consolidate, merge, sell or otherwise dis</w:t>
      </w:r>
      <w:r>
        <w:rPr>
          <w:rFonts w:eastAsia="Times New Roman"/>
          <w:color w:val="000000"/>
          <w:sz w:val="20"/>
          <w:szCs w:val="20"/>
        </w:rPr>
        <w:t>pose of all or substantially all of the Company's or such subsidiaries' assets. These covenants are subject to significant exceptions and qualifications. For example, if these notes are assigned an "investment grade" rating by Moody's or S&amp;P and no default</w:t>
      </w:r>
      <w:r>
        <w:rPr>
          <w:rFonts w:eastAsia="Times New Roman"/>
          <w:color w:val="000000"/>
          <w:sz w:val="20"/>
          <w:szCs w:val="20"/>
        </w:rPr>
        <w:t xml:space="preserve"> has occurred or is continuing, certain covenants will be terminated.</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Trade Receivables Securitization Facilit</w:t>
      </w:r>
      <w:r>
        <w:rPr>
          <w:rFonts w:eastAsia="Times New Roman"/>
          <w:i/>
          <w:iCs/>
          <w:color w:val="000000"/>
          <w:sz w:val="20"/>
          <w:szCs w:val="20"/>
        </w:rPr>
        <w:t>y</w:t>
      </w:r>
      <w:r>
        <w:rPr>
          <w:rFonts w:eastAsia="Times New Roman"/>
          <w:color w:val="000000"/>
          <w:sz w:val="20"/>
          <w:szCs w:val="20"/>
        </w:rPr>
        <w:t xml:space="preserve"> In November 2014, the Company established a revolving trade receivables securitization facility (the A/R Facility) with PNC Bank, National As</w:t>
      </w:r>
      <w:r>
        <w:rPr>
          <w:rFonts w:eastAsia="Times New Roman"/>
          <w:color w:val="000000"/>
          <w:sz w:val="20"/>
          <w:szCs w:val="20"/>
        </w:rPr>
        <w:t>sociation (PNC) as the administrative agent, and various lenders. In November 2019, the Company amended the A/R Facility to increase the maximum commitment made available under the Facility and extended the maturity date to November 2021. The amendment als</w:t>
      </w:r>
      <w:r>
        <w:rPr>
          <w:rFonts w:eastAsia="Times New Roman"/>
          <w:color w:val="000000"/>
          <w:sz w:val="20"/>
          <w:szCs w:val="20"/>
        </w:rPr>
        <w:t>o included other modifications including the scope of receivables subject to the facility and related eligibility requirements, the adoption of a new benchmark for determining overnight funding rates and the fees and interest payable to the agent and lende</w:t>
      </w:r>
      <w:r>
        <w:rPr>
          <w:rFonts w:eastAsia="Times New Roman"/>
          <w:color w:val="000000"/>
          <w:sz w:val="20"/>
          <w:szCs w:val="20"/>
        </w:rPr>
        <w:t>rs party thereto. The A/R Facility now provides for up to $300 million in funding based on the availability of eligible receivables and other customary factors and conditions, of which $200 million was outstanding as of June 30, 2020</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Under the A/R Facil</w:t>
      </w:r>
      <w:r>
        <w:rPr>
          <w:rFonts w:eastAsia="Times New Roman"/>
          <w:color w:val="000000"/>
          <w:sz w:val="20"/>
          <w:szCs w:val="20"/>
        </w:rPr>
        <w:t>ity, NCR sells and/or contributes certain of its U.S. trade receivables to a wholly-owned, bankruptcy-remote subsidiary as they are originated, and advances by the lenders to that subsidiary are secured by those trade receivables.  The assets of this finan</w:t>
      </w:r>
      <w:r>
        <w:rPr>
          <w:rFonts w:eastAsia="Times New Roman"/>
          <w:color w:val="000000"/>
          <w:sz w:val="20"/>
          <w:szCs w:val="20"/>
        </w:rPr>
        <w:t xml:space="preserve">cing subsidiary are restricted as collateral for the payment of its obligations under the A/R Facility, and its assets and credit are not available to satisfy the debts and obligations owed to the creditors of the Company. The Company includes the assets, </w:t>
      </w:r>
      <w:r>
        <w:rPr>
          <w:rFonts w:eastAsia="Times New Roman"/>
          <w:color w:val="000000"/>
          <w:sz w:val="20"/>
          <w:szCs w:val="20"/>
        </w:rPr>
        <w:t>liabilities and results of operations of this financing subsidiary in its consolidated financial statements. The financing subsidiary owned $524 million and $603 million of outstanding accounts receivable as of June 30, 2020 and December 31, 2019, respecti</w:t>
      </w:r>
      <w:r>
        <w:rPr>
          <w:rFonts w:eastAsia="Times New Roman"/>
          <w:color w:val="000000"/>
          <w:sz w:val="20"/>
          <w:szCs w:val="20"/>
        </w:rPr>
        <w:t>vely, and these amounts are included in accounts receivable, net in the Company’s Condensed Consolidated Balance Sheets.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financing subsidiary will pay annual commitments and other customary fees to the lenders, and advances by a lender under the A/R</w:t>
      </w:r>
      <w:r>
        <w:rPr>
          <w:rFonts w:eastAsia="Times New Roman"/>
          <w:color w:val="000000"/>
          <w:sz w:val="20"/>
          <w:szCs w:val="20"/>
        </w:rPr>
        <w:t xml:space="preserve"> Facility will accrue interest (i) at a reserve-adjusted LIBOR rate or a base rate equal to the highest of (a) the applicable lender’s prime rate or (b) the federal funds rate plus 0.50%, if the lender is funding as a committed lender under the terms of th</w:t>
      </w:r>
      <w:r>
        <w:rPr>
          <w:rFonts w:eastAsia="Times New Roman"/>
          <w:color w:val="000000"/>
          <w:sz w:val="20"/>
          <w:szCs w:val="20"/>
        </w:rPr>
        <w:t>e A/R Facility, or (ii) based on commercial paper interest rates if the lender is funding as a commercial paper conduit lender.  Advances may be prepaid at any time without premium or penalty</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A/R Facility contains various customary affirmative and n</w:t>
      </w:r>
      <w:r>
        <w:rPr>
          <w:rFonts w:eastAsia="Times New Roman"/>
          <w:color w:val="000000"/>
          <w:sz w:val="20"/>
          <w:szCs w:val="20"/>
        </w:rPr>
        <w:t>egative covenants and default and termination provisions, which provide for the acceleration of the advances under the A/R Facility in circumstances including, but not limited to, failure to pay interest or principal when due, breach of representation, war</w:t>
      </w:r>
      <w:r>
        <w:rPr>
          <w:rFonts w:eastAsia="Times New Roman"/>
          <w:color w:val="000000"/>
          <w:sz w:val="20"/>
          <w:szCs w:val="20"/>
        </w:rPr>
        <w:t>ranty or covenant, certain insolvency events or failure to maintain the security interest in the trade receivables, and defaults under other material indebtedness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Fair Value of Deb</w:t>
      </w:r>
      <w:r>
        <w:rPr>
          <w:rFonts w:eastAsia="Times New Roman"/>
          <w:i/>
          <w:iCs/>
          <w:color w:val="000000"/>
          <w:sz w:val="20"/>
          <w:szCs w:val="20"/>
        </w:rPr>
        <w:t>t</w:t>
      </w:r>
      <w:r>
        <w:rPr>
          <w:rFonts w:eastAsia="Times New Roman"/>
          <w:color w:val="000000"/>
          <w:sz w:val="20"/>
          <w:szCs w:val="20"/>
        </w:rPr>
        <w:t xml:space="preserve"> The Company utilized Level 2 inputs, as defined in the fair value hiera</w:t>
      </w:r>
      <w:r>
        <w:rPr>
          <w:rFonts w:eastAsia="Times New Roman"/>
          <w:color w:val="000000"/>
          <w:sz w:val="20"/>
          <w:szCs w:val="20"/>
        </w:rPr>
        <w:t>rchy, to measure the fair value of the long-term debt, which, as of June 30, 2020 and December 31, 2019 was $4.79 billion and $3.70 billion, respectively.</w:t>
      </w:r>
      <w:r>
        <w:rPr>
          <w:rFonts w:eastAsia="Times New Roman"/>
          <w:color w:val="000000"/>
          <w:sz w:val="20"/>
          <w:szCs w:val="20"/>
        </w:rPr>
        <w:t xml:space="preserve"> </w:t>
      </w:r>
    </w:p>
    <w:p w:rsidR="00000000" w:rsidRDefault="000A7020">
      <w:pPr>
        <w:jc w:val="center"/>
        <w:divId w:val="410742292"/>
        <w:rPr>
          <w:rFonts w:eastAsia="Times New Roman"/>
        </w:rPr>
      </w:pPr>
      <w:r>
        <w:rPr>
          <w:rFonts w:eastAsia="Times New Roman"/>
          <w:color w:val="000000"/>
          <w:sz w:val="20"/>
          <w:szCs w:val="20"/>
        </w:rPr>
        <w:t>1</w:t>
      </w:r>
      <w:r>
        <w:rPr>
          <w:rFonts w:eastAsia="Times New Roman"/>
          <w:color w:val="000000"/>
          <w:sz w:val="20"/>
          <w:szCs w:val="20"/>
        </w:rPr>
        <w:t>9</w:t>
      </w:r>
    </w:p>
    <w:p w:rsidR="00000000" w:rsidRDefault="000A7020">
      <w:pPr>
        <w:rPr>
          <w:rFonts w:eastAsia="Times New Roman"/>
        </w:rPr>
      </w:pPr>
      <w:r>
        <w:rPr>
          <w:rFonts w:eastAsia="Times New Roman"/>
        </w:rPr>
        <w:pict>
          <v:rect id="_x0000_i1044" style="width:0;height:1.5pt" o:hralign="center" o:hrstd="t" o:hr="t" fillcolor="#a0a0a0" stroked="f"/>
        </w:pict>
      </w:r>
    </w:p>
    <w:p w:rsidR="00000000" w:rsidRDefault="000A7020">
      <w:pPr>
        <w:ind w:firstLine="720"/>
        <w:divId w:val="869146039"/>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995256728"/>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995256728"/>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Management's fair value estimates were based on quoted prices for recent trades of NCR’s long-term debt, quoted prices for similar instruments, and inquiries with certain investment communities</w:t>
      </w:r>
      <w:r>
        <w:rPr>
          <w:rFonts w:eastAsia="Times New Roman"/>
          <w:color w:val="000000"/>
          <w:sz w:val="20"/>
          <w:szCs w:val="20"/>
        </w:rPr>
        <w:t>.</w:t>
      </w:r>
    </w:p>
    <w:p w:rsidR="00000000" w:rsidRDefault="000A7020">
      <w:pPr>
        <w:divId w:val="1886795760"/>
        <w:rPr>
          <w:rFonts w:eastAsia="Times New Roman"/>
        </w:rPr>
      </w:pPr>
    </w:p>
    <w:p w:rsidR="00000000" w:rsidRDefault="000A7020">
      <w:pPr>
        <w:divId w:val="231889191"/>
        <w:rPr>
          <w:rFonts w:eastAsia="Times New Roman"/>
        </w:rPr>
      </w:pPr>
      <w:r>
        <w:rPr>
          <w:rFonts w:eastAsia="Times New Roman"/>
          <w:b/>
          <w:bCs/>
          <w:color w:val="54B948"/>
          <w:sz w:val="20"/>
          <w:szCs w:val="20"/>
        </w:rPr>
        <w:t>6. INCOME TAXE</w:t>
      </w:r>
      <w:r>
        <w:rPr>
          <w:rFonts w:eastAsia="Times New Roman"/>
          <w:b/>
          <w:bCs/>
          <w:color w:val="54B948"/>
          <w:sz w:val="20"/>
          <w:szCs w:val="20"/>
        </w:rPr>
        <w:t>S</w:t>
      </w:r>
    </w:p>
    <w:p w:rsidR="00000000" w:rsidRDefault="000A7020">
      <w:pPr>
        <w:divId w:val="1445266681"/>
        <w:rPr>
          <w:rFonts w:eastAsia="Times New Roman"/>
        </w:rPr>
      </w:pPr>
    </w:p>
    <w:p w:rsidR="00000000" w:rsidRDefault="000A7020">
      <w:pPr>
        <w:jc w:val="both"/>
        <w:rPr>
          <w:rFonts w:eastAsia="Times New Roman"/>
        </w:rPr>
      </w:pPr>
      <w:r>
        <w:rPr>
          <w:rFonts w:eastAsia="Times New Roman"/>
          <w:color w:val="000000"/>
          <w:sz w:val="20"/>
          <w:szCs w:val="20"/>
        </w:rPr>
        <w:t>Income tax provisions for interim (quarte</w:t>
      </w:r>
      <w:r>
        <w:rPr>
          <w:rFonts w:eastAsia="Times New Roman"/>
          <w:color w:val="000000"/>
          <w:sz w:val="20"/>
          <w:szCs w:val="20"/>
        </w:rPr>
        <w:t>rly) periods are based on an estimated annual effective income tax rate calculated separately from the effect of significant, infrequent or unusual items. Income tax benefit was $34 million for the three months ended June 30, 2020 compared to income tax ex</w:t>
      </w:r>
      <w:r>
        <w:rPr>
          <w:rFonts w:eastAsia="Times New Roman"/>
          <w:color w:val="000000"/>
          <w:sz w:val="20"/>
          <w:szCs w:val="20"/>
        </w:rPr>
        <w:t>pense of $15 million for the three months ended June 30, 2019. The change was primarily driven by an increase in discrete tax benefits as well as lower income before taxes in the three months ended June 30, 2020. The increase in discrete tax benefits prima</w:t>
      </w:r>
      <w:r>
        <w:rPr>
          <w:rFonts w:eastAsia="Times New Roman"/>
          <w:color w:val="000000"/>
          <w:sz w:val="20"/>
          <w:szCs w:val="20"/>
        </w:rPr>
        <w:t>rily resulted from a $48 million benefit recorded for the release of a valuation allowance against U.S. foreign tax credits and the re-establishment of expected foreign tax credit offsets to unrecognized tax benefits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Income tax benefit was $33 million f</w:t>
      </w:r>
      <w:r>
        <w:rPr>
          <w:rFonts w:eastAsia="Times New Roman"/>
          <w:color w:val="000000"/>
          <w:sz w:val="20"/>
          <w:szCs w:val="20"/>
        </w:rPr>
        <w:t>or the six months ended June 30, 2020 compared to income tax expense of $24 million for the six months ended June 30, 2019. The change was primarily driven by an increase in discrete tax benefits as well as lower income before taxes in the six months ended</w:t>
      </w:r>
      <w:r>
        <w:rPr>
          <w:rFonts w:eastAsia="Times New Roman"/>
          <w:color w:val="000000"/>
          <w:sz w:val="20"/>
          <w:szCs w:val="20"/>
        </w:rPr>
        <w:t xml:space="preserve"> June 30, 2020. The increase in discrete tax benefits primarily resulted from a $48 million benefit recorded for the release of a valuation allowance against U.S. foreign tax credits and the re-establishment of expected foreign tax credit offsets to unreco</w:t>
      </w:r>
      <w:r>
        <w:rPr>
          <w:rFonts w:eastAsia="Times New Roman"/>
          <w:color w:val="000000"/>
          <w:sz w:val="20"/>
          <w:szCs w:val="20"/>
        </w:rPr>
        <w:t>gnized tax benefits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Additionally, in connection with preparing the financial statements for the six months ended June 30, 2020, the Company identified and recorded income tax benefits of $2 million related to an error in the calculation of the permanent</w:t>
      </w:r>
      <w:r>
        <w:rPr>
          <w:rFonts w:eastAsia="Times New Roman"/>
          <w:color w:val="000000"/>
          <w:sz w:val="20"/>
          <w:szCs w:val="20"/>
        </w:rPr>
        <w:t xml:space="preserve"> differences on executive stock compensation and $3 million for the write-off of income tax payables incorrectly recorded in prior periods. The Company determined the impact of these errors was not material to the annual or interim financial statements of </w:t>
      </w:r>
      <w:r>
        <w:rPr>
          <w:rFonts w:eastAsia="Times New Roman"/>
          <w:color w:val="000000"/>
          <w:sz w:val="20"/>
          <w:szCs w:val="20"/>
        </w:rPr>
        <w:t>previous periods and the effect of correcting these errors was not material to the Condensed Consolidated Financial Statements for the six months ended  June 30, 2020 and is not expected to be material to the 2020 annual financial statements.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Compan</w:t>
      </w:r>
      <w:r>
        <w:rPr>
          <w:rFonts w:eastAsia="Times New Roman"/>
          <w:color w:val="000000"/>
          <w:sz w:val="20"/>
          <w:szCs w:val="20"/>
        </w:rPr>
        <w:t>y engages in continuous discussions and negotiations with taxing authorities regarding tax matters, and the Company has determined that over the next 12 months it expects to resolve certain tax matters related to U.S. and foreign jurisdictions. As a result</w:t>
      </w:r>
      <w:r>
        <w:rPr>
          <w:rFonts w:eastAsia="Times New Roman"/>
          <w:color w:val="000000"/>
          <w:sz w:val="20"/>
          <w:szCs w:val="20"/>
        </w:rPr>
        <w:t>, as of June 30, 2020, we estimate that it is reasonably possible that gross unrecognized tax benefits may decrease by $30 million to $37 million in the next 12 months</w:t>
      </w:r>
      <w:r>
        <w:rPr>
          <w:rFonts w:eastAsia="Times New Roman"/>
          <w:color w:val="000000"/>
          <w:sz w:val="20"/>
          <w:szCs w:val="20"/>
        </w:rPr>
        <w:t>.</w:t>
      </w:r>
    </w:p>
    <w:p w:rsidR="00000000" w:rsidRDefault="000A7020">
      <w:pPr>
        <w:jc w:val="both"/>
        <w:rPr>
          <w:rFonts w:eastAsia="Times New Roman"/>
        </w:rPr>
      </w:pPr>
    </w:p>
    <w:p w:rsidR="00000000" w:rsidRDefault="000A7020">
      <w:pPr>
        <w:divId w:val="1105658573"/>
        <w:rPr>
          <w:rFonts w:eastAsia="Times New Roman"/>
        </w:rPr>
      </w:pPr>
    </w:p>
    <w:p w:rsidR="00000000" w:rsidRDefault="000A7020">
      <w:pPr>
        <w:divId w:val="171796091"/>
        <w:rPr>
          <w:rFonts w:eastAsia="Times New Roman"/>
        </w:rPr>
      </w:pPr>
      <w:r>
        <w:rPr>
          <w:rFonts w:eastAsia="Times New Roman"/>
          <w:b/>
          <w:bCs/>
          <w:color w:val="54B948"/>
          <w:sz w:val="20"/>
          <w:szCs w:val="20"/>
        </w:rPr>
        <w:t>7. STOCK COMPENSATION PLAN</w:t>
      </w:r>
      <w:r>
        <w:rPr>
          <w:rFonts w:eastAsia="Times New Roman"/>
          <w:b/>
          <w:bCs/>
          <w:color w:val="54B948"/>
          <w:sz w:val="20"/>
          <w:szCs w:val="20"/>
        </w:rPr>
        <w:t>S</w:t>
      </w:r>
      <w:r>
        <w:rPr>
          <w:rFonts w:eastAsia="Times New Roman"/>
          <w:b/>
          <w:bCs/>
          <w:color w:val="000000"/>
          <w:sz w:val="20"/>
          <w:szCs w:val="20"/>
        </w:rPr>
        <w:t xml:space="preserve"> </w:t>
      </w:r>
    </w:p>
    <w:p w:rsidR="00000000" w:rsidRDefault="000A7020">
      <w:pPr>
        <w:divId w:val="840849411"/>
        <w:rPr>
          <w:rFonts w:eastAsia="Times New Roman"/>
        </w:rPr>
      </w:pPr>
    </w:p>
    <w:p w:rsidR="00000000" w:rsidRDefault="000A7020">
      <w:pPr>
        <w:jc w:val="both"/>
        <w:rPr>
          <w:rFonts w:eastAsia="Times New Roman"/>
        </w:rPr>
      </w:pPr>
      <w:r>
        <w:rPr>
          <w:rFonts w:eastAsia="Times New Roman"/>
          <w:color w:val="000000"/>
          <w:sz w:val="20"/>
          <w:szCs w:val="20"/>
        </w:rPr>
        <w:t>As of June 30, 2020, the Company’s primary type of s</w:t>
      </w:r>
      <w:r>
        <w:rPr>
          <w:rFonts w:eastAsia="Times New Roman"/>
          <w:color w:val="000000"/>
          <w:sz w:val="20"/>
          <w:szCs w:val="20"/>
        </w:rPr>
        <w:t>tock-based compensation was restricted stock units and stock options. Stock-based compensation expense for the following periods were</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709"/>
        <w:gridCol w:w="37"/>
        <w:gridCol w:w="135"/>
        <w:gridCol w:w="411"/>
        <w:gridCol w:w="85"/>
        <w:gridCol w:w="50"/>
        <w:gridCol w:w="260"/>
        <w:gridCol w:w="50"/>
        <w:gridCol w:w="135"/>
        <w:gridCol w:w="539"/>
        <w:gridCol w:w="85"/>
        <w:gridCol w:w="37"/>
        <w:gridCol w:w="289"/>
        <w:gridCol w:w="36"/>
        <w:gridCol w:w="135"/>
        <w:gridCol w:w="450"/>
        <w:gridCol w:w="85"/>
        <w:gridCol w:w="50"/>
        <w:gridCol w:w="260"/>
        <w:gridCol w:w="50"/>
        <w:gridCol w:w="135"/>
        <w:gridCol w:w="450"/>
        <w:gridCol w:w="85"/>
        <w:gridCol w:w="120"/>
        <w:gridCol w:w="120"/>
        <w:gridCol w:w="120"/>
        <w:gridCol w:w="36"/>
        <w:gridCol w:w="36"/>
        <w:gridCol w:w="36"/>
        <w:gridCol w:w="36"/>
        <w:gridCol w:w="36"/>
        <w:gridCol w:w="36"/>
        <w:gridCol w:w="36"/>
        <w:gridCol w:w="36"/>
        <w:gridCol w:w="36"/>
      </w:tblGrid>
      <w:tr w:rsidR="00000000">
        <w:trPr>
          <w:gridAfter w:val="12"/>
          <w:divId w:val="730540358"/>
          <w:jc w:val="center"/>
        </w:trPr>
        <w:tc>
          <w:tcPr>
            <w:tcW w:w="50" w:type="pct"/>
            <w:vAlign w:val="center"/>
            <w:hideMark/>
          </w:tcPr>
          <w:p w:rsidR="00000000" w:rsidRDefault="000A7020">
            <w:pPr>
              <w:jc w:val="both"/>
              <w:rPr>
                <w:rFonts w:eastAsia="Times New Roman"/>
              </w:rPr>
            </w:pPr>
          </w:p>
        </w:tc>
        <w:tc>
          <w:tcPr>
            <w:tcW w:w="263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6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6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1"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730540358"/>
          <w:jc w:val="center"/>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730540358"/>
          <w:jc w:val="center"/>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3054035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Restricted stock unit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3054035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Stock option</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6</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3054035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Employee stock purchase pla</w:t>
            </w:r>
            <w:r>
              <w:rPr>
                <w:rFonts w:eastAsia="Times New Roman"/>
                <w:color w:val="000000"/>
                <w:sz w:val="20"/>
                <w:szCs w:val="20"/>
              </w:rPr>
              <w:t>n</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3054035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Stock-based compensation expens</w:t>
            </w:r>
            <w:r>
              <w:rPr>
                <w:rFonts w:eastAsia="Times New Roman"/>
                <w:color w:val="000000"/>
                <w:sz w:val="20"/>
                <w:szCs w:val="20"/>
              </w:rPr>
              <w:t>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5</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5</w:t>
            </w:r>
          </w:p>
        </w:tc>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3054035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Tax benefi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3054035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Stock-based compensation expense (net of tax</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18</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Stock-based compensation expense is r</w:t>
      </w:r>
      <w:r>
        <w:rPr>
          <w:rFonts w:eastAsia="Times New Roman"/>
          <w:color w:val="000000"/>
          <w:sz w:val="20"/>
          <w:szCs w:val="20"/>
        </w:rPr>
        <w:t>ecognized in the financial statements based upon grant date fair value.</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the six months ended June 30, 2020, the stock options granted were premium-priced stock options, in which the exercise price is equal to 115% of the closing stock price on the date of the grant. The exercise price of the stock options granted in the six</w:t>
      </w:r>
      <w:r>
        <w:rPr>
          <w:rFonts w:eastAsia="Times New Roman"/>
          <w:color w:val="000000"/>
          <w:sz w:val="20"/>
          <w:szCs w:val="20"/>
        </w:rPr>
        <w:t xml:space="preserve"> months ended June 30, 2020 was $37.97. The weighted average fair value of the option grants was $7.80 for the six months ended June 30, 2020 based on using a Monte-Carlo simulation model and will be recognized over the requisite service period. These opti</w:t>
      </w:r>
      <w:r>
        <w:rPr>
          <w:rFonts w:eastAsia="Times New Roman"/>
          <w:color w:val="000000"/>
          <w:sz w:val="20"/>
          <w:szCs w:val="20"/>
        </w:rPr>
        <w:t>on grants have a seven year contractual term that vest at the end of 36 months. For the six months ended June 30,</w:t>
      </w:r>
      <w:r>
        <w:rPr>
          <w:rFonts w:eastAsia="Times New Roman"/>
          <w:color w:val="000000"/>
          <w:sz w:val="20"/>
          <w:szCs w:val="20"/>
        </w:rPr>
        <w:t xml:space="preserve"> </w:t>
      </w:r>
    </w:p>
    <w:p w:rsidR="00000000" w:rsidRDefault="000A7020">
      <w:pPr>
        <w:jc w:val="center"/>
        <w:divId w:val="1809011480"/>
        <w:rPr>
          <w:rFonts w:eastAsia="Times New Roman"/>
        </w:rPr>
      </w:pPr>
      <w:r>
        <w:rPr>
          <w:rFonts w:eastAsia="Times New Roman"/>
          <w:color w:val="000000"/>
          <w:sz w:val="20"/>
          <w:szCs w:val="20"/>
        </w:rPr>
        <w:t>2</w:t>
      </w:r>
      <w:r>
        <w:rPr>
          <w:rFonts w:eastAsia="Times New Roman"/>
          <w:color w:val="000000"/>
          <w:sz w:val="20"/>
          <w:szCs w:val="20"/>
        </w:rPr>
        <w:t>0</w:t>
      </w:r>
    </w:p>
    <w:p w:rsidR="00000000" w:rsidRDefault="000A7020">
      <w:pPr>
        <w:rPr>
          <w:rFonts w:eastAsia="Times New Roman"/>
        </w:rPr>
      </w:pPr>
      <w:r>
        <w:rPr>
          <w:rFonts w:eastAsia="Times New Roman"/>
        </w:rPr>
        <w:pict>
          <v:rect id="_x0000_i1045" style="width:0;height:1.5pt" o:hralign="center" o:hrstd="t" o:hr="t" fillcolor="#a0a0a0" stroked="f"/>
        </w:pict>
      </w:r>
    </w:p>
    <w:p w:rsidR="00000000" w:rsidRDefault="000A7020">
      <w:pPr>
        <w:ind w:firstLine="720"/>
        <w:divId w:val="1870292193"/>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535430645"/>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535430645"/>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 xml:space="preserve">2019, the weighted average fair value of option grants was $8.07 with a seven year contractual term that vest ratably over four years. The table below details the </w:t>
      </w:r>
      <w:r>
        <w:rPr>
          <w:rFonts w:eastAsia="Times New Roman"/>
          <w:color w:val="000000"/>
          <w:sz w:val="20"/>
          <w:szCs w:val="20"/>
        </w:rPr>
        <w:t>assumptions used in determining the fair value of the option grants</w:t>
      </w:r>
      <w:r>
        <w:rPr>
          <w:rFonts w:eastAsia="Times New Roman"/>
          <w:color w:val="000000"/>
          <w:sz w:val="20"/>
          <w:szCs w:val="20"/>
        </w:rPr>
        <w:t>.</w:t>
      </w:r>
    </w:p>
    <w:p w:rsidR="00000000" w:rsidRDefault="000A7020">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805"/>
        <w:gridCol w:w="36"/>
        <w:gridCol w:w="137"/>
        <w:gridCol w:w="716"/>
        <w:gridCol w:w="235"/>
        <w:gridCol w:w="36"/>
        <w:gridCol w:w="36"/>
        <w:gridCol w:w="36"/>
        <w:gridCol w:w="137"/>
        <w:gridCol w:w="677"/>
        <w:gridCol w:w="202"/>
        <w:gridCol w:w="36"/>
        <w:gridCol w:w="36"/>
        <w:gridCol w:w="36"/>
        <w:gridCol w:w="36"/>
        <w:gridCol w:w="36"/>
        <w:gridCol w:w="36"/>
      </w:tblGrid>
      <w:tr w:rsidR="00000000">
        <w:trPr>
          <w:gridAfter w:val="6"/>
          <w:divId w:val="43792461"/>
          <w:jc w:val="center"/>
        </w:trPr>
        <w:tc>
          <w:tcPr>
            <w:tcW w:w="50" w:type="pct"/>
            <w:vAlign w:val="center"/>
            <w:hideMark/>
          </w:tcPr>
          <w:p w:rsidR="00000000" w:rsidRDefault="000A7020">
            <w:pPr>
              <w:jc w:val="both"/>
              <w:rPr>
                <w:rFonts w:eastAsia="Times New Roman"/>
              </w:rPr>
            </w:pPr>
          </w:p>
        </w:tc>
        <w:tc>
          <w:tcPr>
            <w:tcW w:w="36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43792461"/>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43792461"/>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3792461"/>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Dividend yiel</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3792461"/>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Risk-free interest rat</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3792461"/>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Expected volatilit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33.51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34.79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3792461"/>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Expected holding period (years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7</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Expected volatility is calculated as the historical volatility of the Company’s stock over a period equal to the expected term of the options, as management believes this is the best representation of prospective trends. The Company uses historical data to</w:t>
      </w:r>
      <w:r>
        <w:rPr>
          <w:rFonts w:eastAsia="Times New Roman"/>
          <w:color w:val="000000"/>
          <w:sz w:val="20"/>
          <w:szCs w:val="20"/>
        </w:rPr>
        <w:t xml:space="preserve"> estimate option exercise and employee terminations within the valuation model. The expected holding period represents the period of time that options are expected to be outstanding. For options granted during the six months ended June 30, 2020, the seven-</w:t>
      </w:r>
      <w:r>
        <w:rPr>
          <w:rFonts w:eastAsia="Times New Roman"/>
          <w:color w:val="000000"/>
          <w:sz w:val="20"/>
          <w:szCs w:val="20"/>
        </w:rPr>
        <w:t>year U.S. Treasury yield curve was used to determine the risk-free interest rate. For options granted during the six months ended June 30, 2019, the risk-free interest rate was determined based on a blend of the three and five-year U.S. Treasury yield curv</w:t>
      </w:r>
      <w:r>
        <w:rPr>
          <w:rFonts w:eastAsia="Times New Roman"/>
          <w:color w:val="000000"/>
          <w:sz w:val="20"/>
          <w:szCs w:val="20"/>
        </w:rPr>
        <w:t>es in effect at the time of the grant</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As of June 30, 2020, the total unrecognized compensation cost of $84 million related to unvested restricted stock grants is expected to be recognized over a weighted average period of approximately 1.0 year. As of J</w:t>
      </w:r>
      <w:r>
        <w:rPr>
          <w:rFonts w:eastAsia="Times New Roman"/>
          <w:color w:val="000000"/>
          <w:sz w:val="20"/>
          <w:szCs w:val="20"/>
        </w:rPr>
        <w:t>une 30, 2020, the total unrecognized compensation cost of $57 million related to unvested stock option grants is expected to be recognized over a weighted average period of approximately 1.3 years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Employee Stock Purchase Plan</w:t>
      </w:r>
      <w:r>
        <w:rPr>
          <w:rFonts w:eastAsia="Times New Roman"/>
          <w:i/>
          <w:iCs/>
          <w:color w:val="000000"/>
          <w:sz w:val="20"/>
          <w:szCs w:val="20"/>
        </w:rPr>
        <w:t xml:space="preserve"> </w:t>
      </w:r>
      <w:r>
        <w:rPr>
          <w:rFonts w:eastAsia="Times New Roman"/>
          <w:color w:val="000000"/>
          <w:sz w:val="20"/>
          <w:szCs w:val="20"/>
        </w:rPr>
        <w:t>The Company's Employee Stoc</w:t>
      </w:r>
      <w:r>
        <w:rPr>
          <w:rFonts w:eastAsia="Times New Roman"/>
          <w:color w:val="000000"/>
          <w:sz w:val="20"/>
          <w:szCs w:val="20"/>
        </w:rPr>
        <w:t xml:space="preserve">k Purchase Plan ("ESPP") provides employees a 15% discount on stock purchases using a three-month look-back feature where the discount is applied to the stock price that represents the lower of NCR’s closing stock price on either the first day or the last </w:t>
      </w:r>
      <w:r>
        <w:rPr>
          <w:rFonts w:eastAsia="Times New Roman"/>
          <w:color w:val="000000"/>
          <w:sz w:val="20"/>
          <w:szCs w:val="20"/>
        </w:rPr>
        <w:t>day of each calendar quarter. Participants can contribute between 1% and 10% of their compensation.</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For the three months ended June 30, 2020, employees purchased 0.3 million shares, at a discounted price of $14.72. For the three months ended June 30, 20</w:t>
      </w:r>
      <w:r>
        <w:rPr>
          <w:rFonts w:eastAsia="Times New Roman"/>
          <w:color w:val="000000"/>
          <w:sz w:val="20"/>
          <w:szCs w:val="20"/>
        </w:rPr>
        <w:t>19, employees purchased 0.2 million shares, at a discounted price of $24.02.</w:t>
      </w:r>
      <w:r>
        <w:rPr>
          <w:rFonts w:eastAsia="Times New Roman"/>
          <w:color w:val="000000"/>
          <w:sz w:val="20"/>
          <w:szCs w:val="20"/>
        </w:rPr>
        <w:t xml:space="preserve"> </w:t>
      </w:r>
    </w:p>
    <w:p w:rsidR="00000000" w:rsidRDefault="000A7020">
      <w:pPr>
        <w:jc w:val="both"/>
        <w:rPr>
          <w:rFonts w:eastAsia="Times New Roman"/>
        </w:rPr>
      </w:pPr>
    </w:p>
    <w:p w:rsidR="00000000" w:rsidRDefault="000A7020">
      <w:pPr>
        <w:divId w:val="2096366295"/>
        <w:rPr>
          <w:rFonts w:eastAsia="Times New Roman"/>
        </w:rPr>
      </w:pPr>
    </w:p>
    <w:p w:rsidR="00000000" w:rsidRDefault="000A7020">
      <w:pPr>
        <w:divId w:val="2055811906"/>
        <w:rPr>
          <w:rFonts w:eastAsia="Times New Roman"/>
        </w:rPr>
      </w:pPr>
      <w:r>
        <w:rPr>
          <w:rFonts w:eastAsia="Times New Roman"/>
          <w:b/>
          <w:bCs/>
          <w:color w:val="54B948"/>
          <w:sz w:val="20"/>
          <w:szCs w:val="20"/>
        </w:rPr>
        <w:t>8. EMPLOYEE BENEFIT PLAN</w:t>
      </w:r>
      <w:r>
        <w:rPr>
          <w:rFonts w:eastAsia="Times New Roman"/>
          <w:b/>
          <w:bCs/>
          <w:color w:val="54B948"/>
          <w:sz w:val="20"/>
          <w:szCs w:val="20"/>
        </w:rPr>
        <w:t>S</w:t>
      </w:r>
      <w:r>
        <w:rPr>
          <w:rFonts w:eastAsia="Times New Roman"/>
          <w:b/>
          <w:bCs/>
          <w:color w:val="000000"/>
          <w:sz w:val="20"/>
          <w:szCs w:val="20"/>
        </w:rPr>
        <w:t xml:space="preserve"> </w:t>
      </w:r>
    </w:p>
    <w:p w:rsidR="00000000" w:rsidRDefault="000A7020">
      <w:pPr>
        <w:divId w:val="2006205397"/>
        <w:rPr>
          <w:rFonts w:eastAsia="Times New Roman"/>
        </w:rPr>
      </w:pPr>
    </w:p>
    <w:p w:rsidR="00000000" w:rsidRDefault="000A7020">
      <w:pPr>
        <w:divId w:val="1850213916"/>
        <w:rPr>
          <w:rFonts w:eastAsia="Times New Roman"/>
        </w:rPr>
      </w:pPr>
      <w:r>
        <w:rPr>
          <w:rFonts w:eastAsia="Times New Roman"/>
          <w:color w:val="000000"/>
          <w:sz w:val="20"/>
          <w:szCs w:val="20"/>
        </w:rPr>
        <w:t>Components of net periodic benefit cost (income) of the pension plans for the three months ended June 30 were as follows</w:t>
      </w:r>
      <w:r>
        <w:rPr>
          <w:rFonts w:eastAsia="Times New Roman"/>
          <w:color w:val="000000"/>
          <w:sz w:val="20"/>
          <w:szCs w:val="20"/>
        </w:rPr>
        <w:t>:</w:t>
      </w:r>
    </w:p>
    <w:tbl>
      <w:tblPr>
        <w:tblW w:w="4926" w:type="pct"/>
        <w:jc w:val="center"/>
        <w:tblCellMar>
          <w:top w:w="15" w:type="dxa"/>
          <w:left w:w="15" w:type="dxa"/>
          <w:bottom w:w="15" w:type="dxa"/>
          <w:right w:w="15" w:type="dxa"/>
        </w:tblCellMar>
        <w:tblLook w:val="04A0" w:firstRow="1" w:lastRow="0" w:firstColumn="1" w:lastColumn="0" w:noHBand="0" w:noVBand="1"/>
      </w:tblPr>
      <w:tblGrid>
        <w:gridCol w:w="40"/>
        <w:gridCol w:w="843"/>
        <w:gridCol w:w="39"/>
        <w:gridCol w:w="136"/>
        <w:gridCol w:w="587"/>
        <w:gridCol w:w="86"/>
        <w:gridCol w:w="49"/>
        <w:gridCol w:w="263"/>
        <w:gridCol w:w="48"/>
        <w:gridCol w:w="135"/>
        <w:gridCol w:w="586"/>
        <w:gridCol w:w="85"/>
        <w:gridCol w:w="49"/>
        <w:gridCol w:w="263"/>
        <w:gridCol w:w="48"/>
        <w:gridCol w:w="135"/>
        <w:gridCol w:w="249"/>
        <w:gridCol w:w="85"/>
        <w:gridCol w:w="49"/>
        <w:gridCol w:w="263"/>
        <w:gridCol w:w="48"/>
        <w:gridCol w:w="136"/>
        <w:gridCol w:w="833"/>
        <w:gridCol w:w="95"/>
        <w:gridCol w:w="49"/>
        <w:gridCol w:w="263"/>
        <w:gridCol w:w="48"/>
        <w:gridCol w:w="135"/>
        <w:gridCol w:w="832"/>
        <w:gridCol w:w="94"/>
        <w:gridCol w:w="49"/>
        <w:gridCol w:w="263"/>
        <w:gridCol w:w="48"/>
        <w:gridCol w:w="136"/>
        <w:gridCol w:w="318"/>
        <w:gridCol w:w="85"/>
        <w:gridCol w:w="120"/>
        <w:gridCol w:w="120"/>
        <w:gridCol w:w="120"/>
        <w:gridCol w:w="175"/>
        <w:gridCol w:w="175"/>
        <w:gridCol w:w="175"/>
        <w:gridCol w:w="174"/>
        <w:gridCol w:w="174"/>
        <w:gridCol w:w="174"/>
        <w:gridCol w:w="174"/>
        <w:gridCol w:w="174"/>
        <w:gridCol w:w="174"/>
        <w:gridCol w:w="36"/>
        <w:gridCol w:w="36"/>
        <w:gridCol w:w="36"/>
        <w:gridCol w:w="36"/>
        <w:gridCol w:w="36"/>
        <w:gridCol w:w="36"/>
      </w:tblGrid>
      <w:tr w:rsidR="00000000">
        <w:trPr>
          <w:gridAfter w:val="18"/>
          <w:divId w:val="584999985"/>
          <w:jc w:val="center"/>
        </w:trPr>
        <w:tc>
          <w:tcPr>
            <w:tcW w:w="50" w:type="pct"/>
            <w:vAlign w:val="center"/>
            <w:hideMark/>
          </w:tcPr>
          <w:p w:rsidR="00000000" w:rsidRDefault="000A7020">
            <w:pPr>
              <w:rPr>
                <w:rFonts w:eastAsia="Times New Roman"/>
              </w:rPr>
            </w:pPr>
          </w:p>
        </w:tc>
        <w:tc>
          <w:tcPr>
            <w:tcW w:w="146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584999985"/>
          <w:jc w:val="center"/>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U.S. Pension Benefit</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International Pension Benefit</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Total Pension Benefit</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584999985"/>
          <w:jc w:val="center"/>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84999985"/>
          <w:jc w:val="center"/>
        </w:trPr>
        <w:tc>
          <w:tcPr>
            <w:tcW w:w="0" w:type="auto"/>
            <w:gridSpan w:val="3"/>
            <w:shd w:val="clear" w:color="auto" w:fill="CCEEFF"/>
            <w:tcMar>
              <w:top w:w="30" w:type="dxa"/>
              <w:left w:w="135" w:type="dxa"/>
              <w:bottom w:w="30" w:type="dxa"/>
              <w:right w:w="20" w:type="dxa"/>
            </w:tcMar>
            <w:hideMark/>
          </w:tcPr>
          <w:p w:rsidR="00000000" w:rsidRDefault="000A7020">
            <w:pPr>
              <w:rPr>
                <w:rFonts w:eastAsia="Times New Roman"/>
              </w:rPr>
            </w:pPr>
            <w:r>
              <w:rPr>
                <w:rFonts w:eastAsia="Times New Roman"/>
                <w:color w:val="000000"/>
                <w:sz w:val="20"/>
                <w:szCs w:val="20"/>
              </w:rPr>
              <w:t>Net service cos</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84999985"/>
          <w:jc w:val="center"/>
        </w:trPr>
        <w:tc>
          <w:tcPr>
            <w:tcW w:w="0" w:type="auto"/>
            <w:gridSpan w:val="3"/>
            <w:shd w:val="clear" w:color="auto" w:fill="FFFFFF"/>
            <w:tcMar>
              <w:top w:w="30" w:type="dxa"/>
              <w:left w:w="135" w:type="dxa"/>
              <w:bottom w:w="30" w:type="dxa"/>
              <w:right w:w="20" w:type="dxa"/>
            </w:tcMar>
            <w:hideMark/>
          </w:tcPr>
          <w:p w:rsidR="00000000" w:rsidRDefault="000A7020">
            <w:pPr>
              <w:rPr>
                <w:rFonts w:eastAsia="Times New Roman"/>
              </w:rPr>
            </w:pPr>
            <w:r>
              <w:rPr>
                <w:rFonts w:eastAsia="Times New Roman"/>
                <w:color w:val="000000"/>
                <w:sz w:val="20"/>
                <w:szCs w:val="20"/>
              </w:rPr>
              <w:t>Interest cos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5</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84999985"/>
          <w:jc w:val="center"/>
        </w:trPr>
        <w:tc>
          <w:tcPr>
            <w:tcW w:w="0" w:type="auto"/>
            <w:gridSpan w:val="3"/>
            <w:shd w:val="clear" w:color="auto" w:fill="CCEEFF"/>
            <w:tcMar>
              <w:top w:w="30" w:type="dxa"/>
              <w:left w:w="135" w:type="dxa"/>
              <w:bottom w:w="30" w:type="dxa"/>
              <w:right w:w="20" w:type="dxa"/>
            </w:tcMar>
            <w:hideMark/>
          </w:tcPr>
          <w:p w:rsidR="00000000" w:rsidRDefault="000A7020">
            <w:pPr>
              <w:rPr>
                <w:rFonts w:eastAsia="Times New Roman"/>
              </w:rPr>
            </w:pPr>
            <w:r>
              <w:rPr>
                <w:rFonts w:eastAsia="Times New Roman"/>
                <w:color w:val="000000"/>
                <w:sz w:val="20"/>
                <w:szCs w:val="20"/>
              </w:rPr>
              <w:t>Expected return on plan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(15</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84999985"/>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84999985"/>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84999985"/>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84999985"/>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584999985"/>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Net periodic benefit cost (income</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rPr>
          <w:rFonts w:eastAsia="Times New Roman"/>
        </w:rPr>
      </w:pPr>
    </w:p>
    <w:p w:rsidR="00000000" w:rsidRDefault="000A7020">
      <w:pPr>
        <w:divId w:val="1080173135"/>
        <w:rPr>
          <w:rFonts w:eastAsia="Times New Roman"/>
        </w:rPr>
      </w:pPr>
      <w:r>
        <w:rPr>
          <w:rFonts w:eastAsia="Times New Roman"/>
          <w:color w:val="000000"/>
          <w:sz w:val="20"/>
          <w:szCs w:val="20"/>
        </w:rPr>
        <w:t>Components of net periodic benefit cost (income) of the pension plans for the six months ended June 30 were as follows</w:t>
      </w:r>
      <w:r>
        <w:rPr>
          <w:rFonts w:eastAsia="Times New Roman"/>
          <w:color w:val="000000"/>
          <w:sz w:val="20"/>
          <w:szCs w:val="20"/>
        </w:rPr>
        <w:t>:</w:t>
      </w:r>
    </w:p>
    <w:tbl>
      <w:tblPr>
        <w:tblW w:w="4926" w:type="pct"/>
        <w:jc w:val="center"/>
        <w:tblCellMar>
          <w:top w:w="15" w:type="dxa"/>
          <w:left w:w="15" w:type="dxa"/>
          <w:bottom w:w="15" w:type="dxa"/>
          <w:right w:w="15" w:type="dxa"/>
        </w:tblCellMar>
        <w:tblLook w:val="04A0" w:firstRow="1" w:lastRow="0" w:firstColumn="1" w:lastColumn="0" w:noHBand="0" w:noVBand="1"/>
      </w:tblPr>
      <w:tblGrid>
        <w:gridCol w:w="40"/>
        <w:gridCol w:w="843"/>
        <w:gridCol w:w="39"/>
        <w:gridCol w:w="136"/>
        <w:gridCol w:w="587"/>
        <w:gridCol w:w="86"/>
        <w:gridCol w:w="49"/>
        <w:gridCol w:w="263"/>
        <w:gridCol w:w="48"/>
        <w:gridCol w:w="135"/>
        <w:gridCol w:w="586"/>
        <w:gridCol w:w="85"/>
        <w:gridCol w:w="49"/>
        <w:gridCol w:w="263"/>
        <w:gridCol w:w="48"/>
        <w:gridCol w:w="135"/>
        <w:gridCol w:w="249"/>
        <w:gridCol w:w="85"/>
        <w:gridCol w:w="49"/>
        <w:gridCol w:w="263"/>
        <w:gridCol w:w="48"/>
        <w:gridCol w:w="136"/>
        <w:gridCol w:w="833"/>
        <w:gridCol w:w="95"/>
        <w:gridCol w:w="49"/>
        <w:gridCol w:w="263"/>
        <w:gridCol w:w="48"/>
        <w:gridCol w:w="135"/>
        <w:gridCol w:w="832"/>
        <w:gridCol w:w="94"/>
        <w:gridCol w:w="49"/>
        <w:gridCol w:w="263"/>
        <w:gridCol w:w="48"/>
        <w:gridCol w:w="135"/>
        <w:gridCol w:w="349"/>
        <w:gridCol w:w="85"/>
        <w:gridCol w:w="120"/>
        <w:gridCol w:w="120"/>
        <w:gridCol w:w="120"/>
        <w:gridCol w:w="175"/>
        <w:gridCol w:w="175"/>
        <w:gridCol w:w="175"/>
        <w:gridCol w:w="174"/>
        <w:gridCol w:w="174"/>
        <w:gridCol w:w="174"/>
        <w:gridCol w:w="174"/>
        <w:gridCol w:w="174"/>
        <w:gridCol w:w="174"/>
        <w:gridCol w:w="36"/>
        <w:gridCol w:w="36"/>
        <w:gridCol w:w="36"/>
        <w:gridCol w:w="36"/>
        <w:gridCol w:w="36"/>
        <w:gridCol w:w="36"/>
      </w:tblGrid>
      <w:tr w:rsidR="00000000">
        <w:trPr>
          <w:gridAfter w:val="18"/>
          <w:divId w:val="1127041671"/>
          <w:jc w:val="center"/>
        </w:trPr>
        <w:tc>
          <w:tcPr>
            <w:tcW w:w="50" w:type="pct"/>
            <w:vAlign w:val="center"/>
            <w:hideMark/>
          </w:tcPr>
          <w:p w:rsidR="00000000" w:rsidRDefault="000A7020">
            <w:pPr>
              <w:rPr>
                <w:rFonts w:eastAsia="Times New Roman"/>
              </w:rPr>
            </w:pPr>
          </w:p>
        </w:tc>
        <w:tc>
          <w:tcPr>
            <w:tcW w:w="146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7"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4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127041671"/>
          <w:jc w:val="center"/>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U.S. Pension Benefit</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International Pension Benefit</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Total Pension Benefit</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127041671"/>
          <w:jc w:val="center"/>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27041671"/>
          <w:jc w:val="center"/>
        </w:trPr>
        <w:tc>
          <w:tcPr>
            <w:tcW w:w="0" w:type="auto"/>
            <w:gridSpan w:val="3"/>
            <w:shd w:val="clear" w:color="auto" w:fill="CCEEFF"/>
            <w:tcMar>
              <w:top w:w="30" w:type="dxa"/>
              <w:left w:w="135" w:type="dxa"/>
              <w:bottom w:w="30" w:type="dxa"/>
              <w:right w:w="20" w:type="dxa"/>
            </w:tcMar>
            <w:hideMark/>
          </w:tcPr>
          <w:p w:rsidR="00000000" w:rsidRDefault="000A7020">
            <w:pPr>
              <w:rPr>
                <w:rFonts w:eastAsia="Times New Roman"/>
              </w:rPr>
            </w:pPr>
            <w:r>
              <w:rPr>
                <w:rFonts w:eastAsia="Times New Roman"/>
                <w:color w:val="000000"/>
                <w:sz w:val="20"/>
                <w:szCs w:val="20"/>
              </w:rPr>
              <w:t>Net service cos</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27041671"/>
          <w:jc w:val="center"/>
        </w:trPr>
        <w:tc>
          <w:tcPr>
            <w:tcW w:w="0" w:type="auto"/>
            <w:gridSpan w:val="3"/>
            <w:shd w:val="clear" w:color="auto" w:fill="FFFFFF"/>
            <w:tcMar>
              <w:top w:w="30" w:type="dxa"/>
              <w:left w:w="135" w:type="dxa"/>
              <w:bottom w:w="30" w:type="dxa"/>
              <w:right w:w="20" w:type="dxa"/>
            </w:tcMar>
            <w:hideMark/>
          </w:tcPr>
          <w:p w:rsidR="00000000" w:rsidRDefault="000A7020">
            <w:pPr>
              <w:rPr>
                <w:rFonts w:eastAsia="Times New Roman"/>
              </w:rPr>
            </w:pPr>
            <w:r>
              <w:rPr>
                <w:rFonts w:eastAsia="Times New Roman"/>
                <w:color w:val="000000"/>
                <w:sz w:val="20"/>
                <w:szCs w:val="20"/>
              </w:rPr>
              <w:t>Interest cos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27041671"/>
          <w:jc w:val="center"/>
        </w:trPr>
        <w:tc>
          <w:tcPr>
            <w:tcW w:w="0" w:type="auto"/>
            <w:gridSpan w:val="3"/>
            <w:shd w:val="clear" w:color="auto" w:fill="CCEEFF"/>
            <w:tcMar>
              <w:top w:w="30" w:type="dxa"/>
              <w:left w:w="135" w:type="dxa"/>
              <w:bottom w:w="30" w:type="dxa"/>
              <w:right w:w="20" w:type="dxa"/>
            </w:tcMar>
            <w:hideMark/>
          </w:tcPr>
          <w:p w:rsidR="00000000" w:rsidRDefault="000A7020">
            <w:pPr>
              <w:rPr>
                <w:rFonts w:eastAsia="Times New Roman"/>
              </w:rPr>
            </w:pPr>
            <w:r>
              <w:rPr>
                <w:rFonts w:eastAsia="Times New Roman"/>
                <w:color w:val="000000"/>
                <w:sz w:val="20"/>
                <w:szCs w:val="20"/>
              </w:rPr>
              <w:t>Expected return on plan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(18</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27041671"/>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27041671"/>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27041671"/>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27041671"/>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27041671"/>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Net periodic benefit cost (income</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divId w:val="957639809"/>
        <w:rPr>
          <w:rFonts w:eastAsia="Times New Roman"/>
        </w:rPr>
      </w:pPr>
    </w:p>
    <w:p w:rsidR="00000000" w:rsidRDefault="000A7020">
      <w:pPr>
        <w:divId w:val="639530450"/>
        <w:rPr>
          <w:rFonts w:eastAsia="Times New Roman"/>
        </w:rPr>
      </w:pPr>
      <w:r>
        <w:rPr>
          <w:rFonts w:eastAsia="Times New Roman"/>
          <w:color w:val="000000"/>
          <w:sz w:val="20"/>
          <w:szCs w:val="20"/>
        </w:rPr>
        <w:t>The benefit from the postretirement plan for the following periods were</w:t>
      </w:r>
      <w:r>
        <w:rPr>
          <w:rFonts w:eastAsia="Times New Roman"/>
          <w:color w:val="000000"/>
          <w:sz w:val="20"/>
          <w:szCs w:val="20"/>
        </w:rPr>
        <w:t>:</w:t>
      </w:r>
    </w:p>
    <w:p w:rsidR="00000000" w:rsidRDefault="000A7020">
      <w:pPr>
        <w:jc w:val="center"/>
        <w:divId w:val="737678757"/>
        <w:rPr>
          <w:rFonts w:eastAsia="Times New Roman"/>
        </w:rPr>
      </w:pPr>
      <w:r>
        <w:rPr>
          <w:rFonts w:eastAsia="Times New Roman"/>
          <w:color w:val="000000"/>
          <w:sz w:val="20"/>
          <w:szCs w:val="20"/>
        </w:rPr>
        <w:t>2</w:t>
      </w:r>
      <w:r>
        <w:rPr>
          <w:rFonts w:eastAsia="Times New Roman"/>
          <w:color w:val="000000"/>
          <w:sz w:val="20"/>
          <w:szCs w:val="20"/>
        </w:rPr>
        <w:t>1</w:t>
      </w:r>
    </w:p>
    <w:p w:rsidR="00000000" w:rsidRDefault="000A7020">
      <w:pPr>
        <w:rPr>
          <w:rFonts w:eastAsia="Times New Roman"/>
        </w:rPr>
      </w:pPr>
      <w:r>
        <w:rPr>
          <w:rFonts w:eastAsia="Times New Roman"/>
        </w:rPr>
        <w:pict>
          <v:rect id="_x0000_i1046" style="width:0;height:1.5pt" o:hralign="center" o:hrstd="t" o:hr="t" fillcolor="#a0a0a0" stroked="f"/>
        </w:pict>
      </w:r>
    </w:p>
    <w:p w:rsidR="00000000" w:rsidRDefault="000A7020">
      <w:pPr>
        <w:ind w:firstLine="720"/>
        <w:divId w:val="1559130723"/>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590233796"/>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590233796"/>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944"/>
        <w:gridCol w:w="38"/>
        <w:gridCol w:w="135"/>
        <w:gridCol w:w="561"/>
        <w:gridCol w:w="85"/>
        <w:gridCol w:w="50"/>
        <w:gridCol w:w="260"/>
        <w:gridCol w:w="50"/>
        <w:gridCol w:w="135"/>
        <w:gridCol w:w="693"/>
        <w:gridCol w:w="85"/>
        <w:gridCol w:w="50"/>
        <w:gridCol w:w="260"/>
        <w:gridCol w:w="50"/>
        <w:gridCol w:w="135"/>
        <w:gridCol w:w="693"/>
        <w:gridCol w:w="85"/>
        <w:gridCol w:w="50"/>
        <w:gridCol w:w="260"/>
        <w:gridCol w:w="50"/>
        <w:gridCol w:w="135"/>
        <w:gridCol w:w="693"/>
        <w:gridCol w:w="85"/>
        <w:gridCol w:w="120"/>
        <w:gridCol w:w="120"/>
        <w:gridCol w:w="120"/>
        <w:gridCol w:w="36"/>
        <w:gridCol w:w="36"/>
        <w:gridCol w:w="36"/>
        <w:gridCol w:w="36"/>
        <w:gridCol w:w="36"/>
        <w:gridCol w:w="36"/>
        <w:gridCol w:w="36"/>
        <w:gridCol w:w="36"/>
        <w:gridCol w:w="36"/>
      </w:tblGrid>
      <w:tr w:rsidR="00000000">
        <w:trPr>
          <w:gridAfter w:val="12"/>
          <w:divId w:val="1200775192"/>
          <w:jc w:val="center"/>
        </w:trPr>
        <w:tc>
          <w:tcPr>
            <w:tcW w:w="50" w:type="pct"/>
            <w:vAlign w:val="center"/>
            <w:hideMark/>
          </w:tcPr>
          <w:p w:rsidR="00000000" w:rsidRDefault="000A7020">
            <w:pPr>
              <w:jc w:val="center"/>
              <w:rPr>
                <w:rFonts w:eastAsia="Times New Roman"/>
              </w:rPr>
            </w:pPr>
          </w:p>
        </w:tc>
        <w:tc>
          <w:tcPr>
            <w:tcW w:w="212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6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6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6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6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200775192"/>
          <w:jc w:val="center"/>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200775192"/>
          <w:jc w:val="center"/>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00775192"/>
          <w:jc w:val="center"/>
        </w:trPr>
        <w:tc>
          <w:tcPr>
            <w:tcW w:w="0" w:type="auto"/>
            <w:gridSpan w:val="3"/>
            <w:shd w:val="clear" w:color="auto" w:fill="CCEEFF"/>
            <w:tcMar>
              <w:top w:w="30" w:type="dxa"/>
              <w:left w:w="135" w:type="dxa"/>
              <w:bottom w:w="30" w:type="dxa"/>
              <w:right w:w="20" w:type="dxa"/>
            </w:tcMar>
            <w:hideMark/>
          </w:tcPr>
          <w:p w:rsidR="00000000" w:rsidRDefault="000A7020">
            <w:pPr>
              <w:rPr>
                <w:rFonts w:eastAsia="Times New Roman"/>
              </w:rPr>
            </w:pPr>
            <w:r>
              <w:rPr>
                <w:rFonts w:eastAsia="Times New Roman"/>
                <w:color w:val="000000"/>
                <w:sz w:val="20"/>
                <w:szCs w:val="20"/>
              </w:rPr>
              <w:t>Interest cos</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00775192"/>
          <w:jc w:val="center"/>
        </w:trPr>
        <w:tc>
          <w:tcPr>
            <w:tcW w:w="0" w:type="auto"/>
            <w:gridSpan w:val="3"/>
            <w:shd w:val="clear" w:color="auto" w:fill="FFFFFF"/>
            <w:tcMar>
              <w:top w:w="30" w:type="dxa"/>
              <w:left w:w="135" w:type="dxa"/>
              <w:bottom w:w="30" w:type="dxa"/>
              <w:right w:w="20" w:type="dxa"/>
            </w:tcMar>
            <w:hideMark/>
          </w:tcPr>
          <w:p w:rsidR="00000000" w:rsidRDefault="000A7020">
            <w:pPr>
              <w:rPr>
                <w:rFonts w:eastAsia="Times New Roman"/>
              </w:rPr>
            </w:pPr>
            <w:r>
              <w:rPr>
                <w:rFonts w:eastAsia="Times New Roman"/>
                <w:color w:val="000000"/>
                <w:sz w:val="20"/>
                <w:szCs w:val="20"/>
              </w:rPr>
              <w:t>Amortization of</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00775192"/>
          <w:jc w:val="center"/>
        </w:trPr>
        <w:tc>
          <w:tcPr>
            <w:tcW w:w="0" w:type="auto"/>
            <w:gridSpan w:val="3"/>
            <w:shd w:val="clear" w:color="auto" w:fill="CCEEFF"/>
            <w:tcMar>
              <w:top w:w="30" w:type="dxa"/>
              <w:left w:w="135" w:type="dxa"/>
              <w:bottom w:w="30" w:type="dxa"/>
              <w:right w:w="20" w:type="dxa"/>
            </w:tcMar>
            <w:hideMark/>
          </w:tcPr>
          <w:p w:rsidR="00000000" w:rsidRDefault="000A7020">
            <w:pPr>
              <w:rPr>
                <w:rFonts w:eastAsia="Times New Roman"/>
              </w:rPr>
            </w:pPr>
            <w:r>
              <w:rPr>
                <w:rFonts w:eastAsia="Times New Roman"/>
                <w:color w:val="000000"/>
                <w:sz w:val="20"/>
                <w:szCs w:val="20"/>
              </w:rPr>
              <w:t>   </w:t>
            </w:r>
            <w:r>
              <w:rPr>
                <w:rFonts w:eastAsia="Times New Roman"/>
                <w:color w:val="000000"/>
                <w:sz w:val="20"/>
                <w:szCs w:val="20"/>
              </w:rPr>
              <w:t>Prior service benefi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00775192"/>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00775192"/>
          <w:jc w:val="center"/>
        </w:trPr>
        <w:tc>
          <w:tcPr>
            <w:tcW w:w="0" w:type="auto"/>
            <w:gridSpan w:val="3"/>
            <w:shd w:val="clear" w:color="auto" w:fill="FFFFFF"/>
            <w:tcMar>
              <w:top w:w="30" w:type="dxa"/>
              <w:left w:w="135" w:type="dxa"/>
              <w:bottom w:w="30" w:type="dxa"/>
              <w:right w:w="20" w:type="dxa"/>
            </w:tcMar>
            <w:hideMark/>
          </w:tcPr>
          <w:p w:rsidR="00000000" w:rsidRDefault="000A7020">
            <w:pPr>
              <w:rPr>
                <w:rFonts w:eastAsia="Times New Roman"/>
              </w:rPr>
            </w:pPr>
            <w:r>
              <w:rPr>
                <w:rFonts w:eastAsia="Times New Roman"/>
                <w:color w:val="000000"/>
                <w:sz w:val="20"/>
                <w:szCs w:val="20"/>
              </w:rPr>
              <w:t>Net postretirement benefi</w:t>
            </w:r>
            <w:r>
              <w:rPr>
                <w:rFonts w:eastAsia="Times New Roman"/>
                <w:color w:val="000000"/>
                <w:sz w:val="20"/>
                <w:szCs w:val="20"/>
              </w:rPr>
              <w:t>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rPr>
          <w:rFonts w:eastAsia="Times New Roman"/>
        </w:rPr>
      </w:pPr>
    </w:p>
    <w:p w:rsidR="00000000" w:rsidRDefault="000A7020">
      <w:pPr>
        <w:divId w:val="657150049"/>
        <w:rPr>
          <w:rFonts w:eastAsia="Times New Roman"/>
        </w:rPr>
      </w:pPr>
      <w:r>
        <w:rPr>
          <w:rFonts w:eastAsia="Times New Roman"/>
          <w:color w:val="000000"/>
          <w:sz w:val="20"/>
          <w:szCs w:val="20"/>
        </w:rPr>
        <w:t>The net cost of the postemployment plan for the following periods were</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311"/>
        <w:gridCol w:w="38"/>
        <w:gridCol w:w="135"/>
        <w:gridCol w:w="846"/>
        <w:gridCol w:w="85"/>
        <w:gridCol w:w="36"/>
        <w:gridCol w:w="36"/>
        <w:gridCol w:w="36"/>
        <w:gridCol w:w="135"/>
        <w:gridCol w:w="812"/>
        <w:gridCol w:w="85"/>
        <w:gridCol w:w="36"/>
        <w:gridCol w:w="36"/>
        <w:gridCol w:w="36"/>
        <w:gridCol w:w="135"/>
        <w:gridCol w:w="812"/>
        <w:gridCol w:w="85"/>
        <w:gridCol w:w="36"/>
        <w:gridCol w:w="36"/>
        <w:gridCol w:w="36"/>
        <w:gridCol w:w="135"/>
        <w:gridCol w:w="812"/>
        <w:gridCol w:w="85"/>
        <w:gridCol w:w="36"/>
        <w:gridCol w:w="36"/>
        <w:gridCol w:w="36"/>
        <w:gridCol w:w="36"/>
        <w:gridCol w:w="36"/>
        <w:gridCol w:w="36"/>
        <w:gridCol w:w="36"/>
        <w:gridCol w:w="36"/>
        <w:gridCol w:w="36"/>
        <w:gridCol w:w="36"/>
        <w:gridCol w:w="36"/>
        <w:gridCol w:w="36"/>
      </w:tblGrid>
      <w:tr w:rsidR="00000000">
        <w:trPr>
          <w:gridAfter w:val="12"/>
          <w:divId w:val="415519391"/>
          <w:jc w:val="center"/>
        </w:trPr>
        <w:tc>
          <w:tcPr>
            <w:tcW w:w="50" w:type="pct"/>
            <w:vAlign w:val="center"/>
            <w:hideMark/>
          </w:tcPr>
          <w:p w:rsidR="00000000" w:rsidRDefault="000A7020">
            <w:pPr>
              <w:rPr>
                <w:rFonts w:eastAsia="Times New Roman"/>
              </w:rPr>
            </w:pPr>
          </w:p>
        </w:tc>
        <w:tc>
          <w:tcPr>
            <w:tcW w:w="212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6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6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6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6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415519391"/>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415519391"/>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15519391"/>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Net service cos</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15519391"/>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Interest cos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15519391"/>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Amortization of</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15519391"/>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   Prior service benefi</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15519391"/>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   Actuarial gai</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415519391"/>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Net benefit cos</w:t>
            </w:r>
            <w:r>
              <w:rPr>
                <w:rFonts w:eastAsia="Times New Roman"/>
                <w:color w:val="000000"/>
                <w:sz w:val="20"/>
                <w:szCs w:val="20"/>
              </w:rPr>
              <w:t>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11</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r>
        <w:rPr>
          <w:rFonts w:eastAsia="Times New Roman"/>
          <w:b/>
          <w:bCs/>
          <w:i/>
          <w:iCs/>
          <w:color w:val="000000"/>
          <w:sz w:val="20"/>
          <w:szCs w:val="20"/>
        </w:rPr>
        <w:t>Employer Contribution</w:t>
      </w:r>
      <w:r>
        <w:rPr>
          <w:rFonts w:eastAsia="Times New Roman"/>
          <w:b/>
          <w:bCs/>
          <w:i/>
          <w:iCs/>
          <w:color w:val="000000"/>
          <w:sz w:val="20"/>
          <w:szCs w:val="20"/>
        </w:rPr>
        <w:t>s</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Pensio</w:t>
      </w:r>
      <w:r>
        <w:rPr>
          <w:rFonts w:eastAsia="Times New Roman"/>
          <w:i/>
          <w:iCs/>
          <w:color w:val="000000"/>
          <w:sz w:val="20"/>
          <w:szCs w:val="20"/>
        </w:rPr>
        <w:t>n</w:t>
      </w:r>
      <w:r>
        <w:rPr>
          <w:rFonts w:eastAsia="Times New Roman"/>
          <w:color w:val="000000"/>
          <w:sz w:val="20"/>
          <w:szCs w:val="20"/>
        </w:rPr>
        <w:t xml:space="preserve"> For the three and six months ended June 30, 2020, NCR contributed $4 million and $9 million, respectively, to its international pension plans. NCR anticipates contributing an additional $12 million to its international pen</w:t>
      </w:r>
      <w:r>
        <w:rPr>
          <w:rFonts w:eastAsia="Times New Roman"/>
          <w:color w:val="000000"/>
          <w:sz w:val="20"/>
          <w:szCs w:val="20"/>
        </w:rPr>
        <w:t>sion plans for a total of $21 million in 2020.</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Postretiremen</w:t>
      </w:r>
      <w:r>
        <w:rPr>
          <w:rFonts w:eastAsia="Times New Roman"/>
          <w:i/>
          <w:iCs/>
          <w:color w:val="000000"/>
          <w:sz w:val="20"/>
          <w:szCs w:val="20"/>
        </w:rPr>
        <w:t>t</w:t>
      </w:r>
      <w:r>
        <w:rPr>
          <w:rFonts w:eastAsia="Times New Roman"/>
          <w:color w:val="000000"/>
          <w:sz w:val="20"/>
          <w:szCs w:val="20"/>
        </w:rPr>
        <w:t xml:space="preserve"> For the three and six months ended June 30, 2020, NCR made $1 million of contributions to its U.S. postretirement plan. NCR anticipates contributing an additional $1 million to its U.S. postr</w:t>
      </w:r>
      <w:r>
        <w:rPr>
          <w:rFonts w:eastAsia="Times New Roman"/>
          <w:color w:val="000000"/>
          <w:sz w:val="20"/>
          <w:szCs w:val="20"/>
        </w:rPr>
        <w:t>etirement plan for a total of $2 million in 2020.</w:t>
      </w:r>
      <w:r>
        <w:rPr>
          <w:rFonts w:eastAsia="Times New Roman"/>
          <w:color w:val="000000"/>
          <w:sz w:val="20"/>
          <w:szCs w:val="20"/>
        </w:rPr>
        <w:t xml:space="preserve"> </w:t>
      </w:r>
    </w:p>
    <w:p w:rsidR="00000000" w:rsidRDefault="000A7020">
      <w:pPr>
        <w:jc w:val="both"/>
        <w:rPr>
          <w:rFonts w:eastAsia="Times New Roman"/>
        </w:rPr>
      </w:pPr>
      <w:r>
        <w:rPr>
          <w:rFonts w:eastAsia="Times New Roman"/>
          <w:i/>
          <w:iCs/>
          <w:color w:val="000000"/>
          <w:sz w:val="20"/>
          <w:szCs w:val="20"/>
        </w:rPr>
        <w:t>Postemploymen</w:t>
      </w:r>
      <w:r>
        <w:rPr>
          <w:rFonts w:eastAsia="Times New Roman"/>
          <w:i/>
          <w:iCs/>
          <w:color w:val="000000"/>
          <w:sz w:val="20"/>
          <w:szCs w:val="20"/>
        </w:rPr>
        <w:t>t</w:t>
      </w:r>
      <w:r>
        <w:rPr>
          <w:rFonts w:eastAsia="Times New Roman"/>
          <w:color w:val="000000"/>
          <w:sz w:val="20"/>
          <w:szCs w:val="20"/>
        </w:rPr>
        <w:t xml:space="preserve"> For the three and six months ended June 30, 2020, NCR contributed $3 million and $7 million, respectively, to its postemployment plan. NCR anticipates contributing an additional $23 million </w:t>
      </w:r>
      <w:r>
        <w:rPr>
          <w:rFonts w:eastAsia="Times New Roman"/>
          <w:color w:val="000000"/>
          <w:sz w:val="20"/>
          <w:szCs w:val="20"/>
        </w:rPr>
        <w:t>to its postemployment plan for a total of $30 million in 2020</w:t>
      </w:r>
      <w:r>
        <w:rPr>
          <w:rFonts w:eastAsia="Times New Roman"/>
          <w:color w:val="000000"/>
          <w:sz w:val="20"/>
          <w:szCs w:val="20"/>
        </w:rPr>
        <w:t>.</w:t>
      </w:r>
    </w:p>
    <w:p w:rsidR="00000000" w:rsidRDefault="000A7020">
      <w:pPr>
        <w:jc w:val="both"/>
        <w:rPr>
          <w:rFonts w:eastAsia="Times New Roman"/>
        </w:rPr>
      </w:pPr>
    </w:p>
    <w:p w:rsidR="00000000" w:rsidRDefault="000A7020">
      <w:pPr>
        <w:divId w:val="1332752032"/>
        <w:rPr>
          <w:rFonts w:eastAsia="Times New Roman"/>
        </w:rPr>
      </w:pPr>
    </w:p>
    <w:p w:rsidR="00000000" w:rsidRDefault="000A7020">
      <w:pPr>
        <w:jc w:val="both"/>
        <w:rPr>
          <w:rFonts w:eastAsia="Times New Roman"/>
        </w:rPr>
      </w:pPr>
      <w:r>
        <w:rPr>
          <w:rFonts w:eastAsia="Times New Roman"/>
          <w:b/>
          <w:bCs/>
          <w:color w:val="54B948"/>
          <w:sz w:val="20"/>
          <w:szCs w:val="20"/>
        </w:rPr>
        <w:t>9. COMMITMENTS AND CONTINGENCIE</w:t>
      </w:r>
      <w:r>
        <w:rPr>
          <w:rFonts w:eastAsia="Times New Roman"/>
          <w:b/>
          <w:bCs/>
          <w:color w:val="54B948"/>
          <w:sz w:val="20"/>
          <w:szCs w:val="20"/>
        </w:rPr>
        <w:t>S</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the normal course of business, NCR is subject to various proceedings, lawsuits, claims and other matters, including, for example, those that relate to the environment and health and safety, labor and employment, employee benefits, import/export complian</w:t>
      </w:r>
      <w:r>
        <w:rPr>
          <w:rFonts w:eastAsia="Times New Roman"/>
          <w:color w:val="000000"/>
          <w:sz w:val="20"/>
          <w:szCs w:val="20"/>
        </w:rPr>
        <w:t>ce, intellectual property, data privacy and security, product liability, commercial disputes and regulatory compliance, among others. Additionally, NCR is subject to diverse and complex laws and regulations, including those relating to corporate governance</w:t>
      </w:r>
      <w:r>
        <w:rPr>
          <w:rFonts w:eastAsia="Times New Roman"/>
          <w:color w:val="000000"/>
          <w:sz w:val="20"/>
          <w:szCs w:val="20"/>
        </w:rPr>
        <w:t>, public disclosure and reporting, environmental safety and the discharge of materials into the environment, product safety, import and export compliance, data privacy and security, antitrust and competition, government contracting, anti-corruption, and la</w:t>
      </w:r>
      <w:r>
        <w:rPr>
          <w:rFonts w:eastAsia="Times New Roman"/>
          <w:color w:val="000000"/>
          <w:sz w:val="20"/>
          <w:szCs w:val="20"/>
        </w:rPr>
        <w:t xml:space="preserve">bor and human resources, which are rapidly changing and subject to many possible changes in the future. Compliance with these laws and regulations, including changes in accounting standards, taxation requirements, and federal securities laws among others, </w:t>
      </w:r>
      <w:r>
        <w:rPr>
          <w:rFonts w:eastAsia="Times New Roman"/>
          <w:color w:val="000000"/>
          <w:sz w:val="20"/>
          <w:szCs w:val="20"/>
        </w:rPr>
        <w:t>may create a substantial burden on, and substantially increase costs to NCR or could have an impact on NCR's future operating results. The Company has reflected all liabilities when a loss is considered probable and reasonably estimable in the Condensed Co</w:t>
      </w:r>
      <w:r>
        <w:rPr>
          <w:rFonts w:eastAsia="Times New Roman"/>
          <w:color w:val="000000"/>
          <w:sz w:val="20"/>
          <w:szCs w:val="20"/>
        </w:rPr>
        <w:t>nsolidated Financial Statements. We do not believe there is a reasonable possibility that losses exceeding amounts already recognized have been incurred, but there can be no assurances that the amounts required to satisfy alleged liabilities from such matt</w:t>
      </w:r>
      <w:r>
        <w:rPr>
          <w:rFonts w:eastAsia="Times New Roman"/>
          <w:color w:val="000000"/>
          <w:sz w:val="20"/>
          <w:szCs w:val="20"/>
        </w:rPr>
        <w:t xml:space="preserve">ers will not impact future operating results. Other than as stated below, the Company does not currently expect to incur material capital expenditures related to such matters. However, there can be no assurances that the actual amounts required to satisfy </w:t>
      </w:r>
      <w:r>
        <w:rPr>
          <w:rFonts w:eastAsia="Times New Roman"/>
          <w:color w:val="000000"/>
          <w:sz w:val="20"/>
          <w:szCs w:val="20"/>
        </w:rPr>
        <w:t>alleged liabilities from various lawsuits, claims, legal proceedings and other matters, including, but not limited to the Fox River and Kalamazoo River environmental matters and other matters discussed below, and to comply with applicable laws and regulati</w:t>
      </w:r>
      <w:r>
        <w:rPr>
          <w:rFonts w:eastAsia="Times New Roman"/>
          <w:color w:val="000000"/>
          <w:sz w:val="20"/>
          <w:szCs w:val="20"/>
        </w:rPr>
        <w:t>ons, will not exceed the amounts reflected in NCR’s Condensed Consolidated Financial Statements or will not have a material adverse effect on its consolidated results of operations, capital expenditures, competitive position, financial condition or cash fl</w:t>
      </w:r>
      <w:r>
        <w:rPr>
          <w:rFonts w:eastAsia="Times New Roman"/>
          <w:color w:val="000000"/>
          <w:sz w:val="20"/>
          <w:szCs w:val="20"/>
        </w:rPr>
        <w:t>ows</w:t>
      </w:r>
      <w:r>
        <w:rPr>
          <w:rFonts w:eastAsia="Times New Roman"/>
          <w:color w:val="000000"/>
          <w:sz w:val="20"/>
          <w:szCs w:val="20"/>
        </w:rPr>
        <w:t>.</w:t>
      </w:r>
    </w:p>
    <w:p w:rsidR="00000000" w:rsidRDefault="000A7020">
      <w:pPr>
        <w:jc w:val="both"/>
        <w:rPr>
          <w:rFonts w:eastAsia="Times New Roman"/>
        </w:rPr>
      </w:pPr>
    </w:p>
    <w:p w:rsidR="00000000" w:rsidRDefault="000A7020">
      <w:pPr>
        <w:jc w:val="center"/>
        <w:divId w:val="1469276828"/>
        <w:rPr>
          <w:rFonts w:eastAsia="Times New Roman"/>
        </w:rPr>
      </w:pPr>
      <w:r>
        <w:rPr>
          <w:rFonts w:eastAsia="Times New Roman"/>
          <w:color w:val="000000"/>
          <w:sz w:val="20"/>
          <w:szCs w:val="20"/>
        </w:rPr>
        <w:t>2</w:t>
      </w:r>
      <w:r>
        <w:rPr>
          <w:rFonts w:eastAsia="Times New Roman"/>
          <w:color w:val="000000"/>
          <w:sz w:val="20"/>
          <w:szCs w:val="20"/>
        </w:rPr>
        <w:t>2</w:t>
      </w:r>
    </w:p>
    <w:p w:rsidR="00000000" w:rsidRDefault="000A7020">
      <w:pPr>
        <w:rPr>
          <w:rFonts w:eastAsia="Times New Roman"/>
        </w:rPr>
      </w:pPr>
      <w:r>
        <w:rPr>
          <w:rFonts w:eastAsia="Times New Roman"/>
        </w:rPr>
        <w:pict>
          <v:rect id="_x0000_i1047" style="width:0;height:1.5pt" o:hralign="center" o:hrstd="t" o:hr="t" fillcolor="#a0a0a0" stroked="f"/>
        </w:pict>
      </w:r>
    </w:p>
    <w:p w:rsidR="00000000" w:rsidRDefault="000A7020">
      <w:pPr>
        <w:ind w:firstLine="720"/>
        <w:divId w:val="1195844858"/>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746002805"/>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746002805"/>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i/>
          <w:iCs/>
          <w:color w:val="000000"/>
          <w:sz w:val="20"/>
          <w:szCs w:val="20"/>
        </w:rPr>
        <w:t>Nashville Tornad</w:t>
      </w:r>
      <w:r>
        <w:rPr>
          <w:rFonts w:eastAsia="Times New Roman"/>
          <w:i/>
          <w:iCs/>
          <w:color w:val="000000"/>
          <w:sz w:val="20"/>
          <w:szCs w:val="20"/>
        </w:rPr>
        <w:t>o</w:t>
      </w:r>
      <w:r>
        <w:rPr>
          <w:rFonts w:eastAsia="Times New Roman"/>
          <w:color w:val="000000"/>
          <w:sz w:val="20"/>
          <w:szCs w:val="20"/>
        </w:rPr>
        <w:t xml:space="preserve"> On March 3, 2020, one o</w:t>
      </w:r>
      <w:r>
        <w:rPr>
          <w:rFonts w:eastAsia="Times New Roman"/>
          <w:color w:val="000000"/>
          <w:sz w:val="20"/>
          <w:szCs w:val="20"/>
        </w:rPr>
        <w:t>f our Global Fulfillment Centers, operated with a third-party logistics partner in Mount Juliet, Tennessee, was severely impacted by tornadoes in the greater Nashville area. We maintain substantial property damage insurance coverage for this Global Fulfill</w:t>
      </w:r>
      <w:r>
        <w:rPr>
          <w:rFonts w:eastAsia="Times New Roman"/>
          <w:color w:val="000000"/>
          <w:sz w:val="20"/>
          <w:szCs w:val="20"/>
        </w:rPr>
        <w:t>ment Center and have worked, and continue to work, closely with our insurance carrier and claims adjusters to ascertain the property damage, which mainly consisted of raw materials and finished goods inventory. The Company determined approximately $105 mil</w:t>
      </w:r>
      <w:r>
        <w:rPr>
          <w:rFonts w:eastAsia="Times New Roman"/>
          <w:color w:val="000000"/>
          <w:sz w:val="20"/>
          <w:szCs w:val="20"/>
        </w:rPr>
        <w:t>lion of the inventory to be a total loss as of June 30, 2020 and as such, was written-off with an offsetting insurance receivable recorded, which was included within other current assets in the Condensed Consolidated Balance Sheet with no net impact on cos</w:t>
      </w:r>
      <w:r>
        <w:rPr>
          <w:rFonts w:eastAsia="Times New Roman"/>
          <w:color w:val="000000"/>
          <w:sz w:val="20"/>
          <w:szCs w:val="20"/>
        </w:rPr>
        <w:t>t of sales. The insurance receivable was based on the amount probable of recovery based on the terms of the insurance policy. The remaining $45 million of inventory requires further assessment to determine recoverability, which remains ongoing as of June 3</w:t>
      </w:r>
      <w:r>
        <w:rPr>
          <w:rFonts w:eastAsia="Times New Roman"/>
          <w:color w:val="000000"/>
          <w:sz w:val="20"/>
          <w:szCs w:val="20"/>
        </w:rPr>
        <w:t xml:space="preserve">0, 2020. As of June 30, 2020, we received a total of $91 million as an advance from the insurance carrier with $14 million remaining as an insurance receivable. Additionally, our insurance policy also provides for business interruption coverage, including </w:t>
      </w:r>
      <w:r>
        <w:rPr>
          <w:rFonts w:eastAsia="Times New Roman"/>
          <w:color w:val="000000"/>
          <w:sz w:val="20"/>
          <w:szCs w:val="20"/>
        </w:rPr>
        <w:t>lost profits, and reimbursement for other expenses and costs that have been incurred relating to the damages and losses suffered. As of June 30, 2020, the Company has incurred $9 million of other expenses, mainly related to expedite freight, professional s</w:t>
      </w:r>
      <w:r>
        <w:rPr>
          <w:rFonts w:eastAsia="Times New Roman"/>
          <w:color w:val="000000"/>
          <w:sz w:val="20"/>
          <w:szCs w:val="20"/>
        </w:rPr>
        <w:t>ervices and contractor charges. The Company has received a $4 million insurance payment related to these expenses. The Company has recorded an insurance receivable for the remainder based on the amount probable of recovery based on the terms of the insuran</w:t>
      </w:r>
      <w:r>
        <w:rPr>
          <w:rFonts w:eastAsia="Times New Roman"/>
          <w:color w:val="000000"/>
          <w:sz w:val="20"/>
          <w:szCs w:val="20"/>
        </w:rPr>
        <w:t>ce policy</w:t>
      </w:r>
      <w:r>
        <w:rPr>
          <w:rFonts w:eastAsia="Times New Roman"/>
          <w:color w:val="000000"/>
          <w:sz w:val="20"/>
          <w:szCs w:val="20"/>
        </w:rPr>
        <w:t>.</w:t>
      </w:r>
    </w:p>
    <w:p w:rsidR="00000000" w:rsidRDefault="000A7020">
      <w:pPr>
        <w:divId w:val="852456665"/>
        <w:rPr>
          <w:rFonts w:eastAsia="Times New Roman"/>
        </w:rPr>
      </w:pPr>
    </w:p>
    <w:p w:rsidR="00000000" w:rsidRDefault="000A7020">
      <w:pPr>
        <w:jc w:val="both"/>
        <w:rPr>
          <w:rFonts w:eastAsia="Times New Roman"/>
        </w:rPr>
      </w:pPr>
      <w:r>
        <w:rPr>
          <w:rFonts w:eastAsia="Times New Roman"/>
          <w:i/>
          <w:iCs/>
          <w:color w:val="000000"/>
          <w:sz w:val="20"/>
          <w:szCs w:val="20"/>
        </w:rPr>
        <w:t>Boston Consulting Group</w:t>
      </w:r>
      <w:r>
        <w:rPr>
          <w:rFonts w:eastAsia="Times New Roman"/>
          <w:i/>
          <w:iCs/>
          <w:color w:val="000000"/>
          <w:sz w:val="20"/>
          <w:szCs w:val="20"/>
        </w:rPr>
        <w:t xml:space="preserve"> </w:t>
      </w:r>
      <w:r>
        <w:rPr>
          <w:rFonts w:eastAsia="Times New Roman"/>
          <w:color w:val="000000"/>
          <w:sz w:val="20"/>
          <w:szCs w:val="20"/>
        </w:rPr>
        <w:t>On November 6, 2019, Boston Consulting Group, Inc., a former consultant for the Company, commenced a lawsuit against the Company in the United States District Court for the District of New York.  The Complaint in the ma</w:t>
      </w:r>
      <w:r>
        <w:rPr>
          <w:rFonts w:eastAsia="Times New Roman"/>
          <w:color w:val="000000"/>
          <w:sz w:val="20"/>
          <w:szCs w:val="20"/>
        </w:rPr>
        <w:t>tter alleges the Company breached two consulting agreements and seeks in excess of $80 million and other compensatory damages and equitable relief.  While the Company at this time is unable to make any predictions about the outcome of this case or estimate</w:t>
      </w:r>
      <w:r>
        <w:rPr>
          <w:rFonts w:eastAsia="Times New Roman"/>
          <w:color w:val="000000"/>
          <w:sz w:val="20"/>
          <w:szCs w:val="20"/>
        </w:rPr>
        <w:t xml:space="preserve"> any possible liability, the Company believes the allegations of money owed are grossly overstated, and the Company intends to vigorously defend this lawsuit</w:t>
      </w:r>
      <w:r>
        <w:rPr>
          <w:rFonts w:eastAsia="Times New Roman"/>
          <w:color w:val="000000"/>
          <w:sz w:val="20"/>
          <w:szCs w:val="20"/>
        </w:rPr>
        <w:t>.</w:t>
      </w:r>
    </w:p>
    <w:p w:rsidR="00000000" w:rsidRDefault="000A7020">
      <w:pPr>
        <w:jc w:val="both"/>
        <w:rPr>
          <w:rFonts w:eastAsia="Times New Roman"/>
        </w:rPr>
      </w:pPr>
    </w:p>
    <w:p w:rsidR="00000000" w:rsidRDefault="000A7020">
      <w:pPr>
        <w:jc w:val="both"/>
        <w:divId w:val="1225995126"/>
        <w:rPr>
          <w:rFonts w:eastAsia="Times New Roman"/>
        </w:rPr>
      </w:pPr>
      <w:r>
        <w:rPr>
          <w:rFonts w:eastAsia="Times New Roman"/>
          <w:b/>
          <w:bCs/>
          <w:color w:val="000000"/>
          <w:sz w:val="20"/>
          <w:szCs w:val="20"/>
        </w:rPr>
        <w:t>Environmental Matter</w:t>
      </w:r>
      <w:r>
        <w:rPr>
          <w:rFonts w:eastAsia="Times New Roman"/>
          <w:b/>
          <w:bCs/>
          <w:color w:val="000000"/>
          <w:sz w:val="20"/>
          <w:szCs w:val="20"/>
        </w:rPr>
        <w:t>s</w:t>
      </w:r>
      <w:r>
        <w:rPr>
          <w:rFonts w:eastAsia="Times New Roman"/>
          <w:color w:val="000000"/>
          <w:sz w:val="20"/>
          <w:szCs w:val="20"/>
        </w:rPr>
        <w:t xml:space="preserve"> NCR's facilities and operations are subject to a wide range of environmen</w:t>
      </w:r>
      <w:r>
        <w:rPr>
          <w:rFonts w:eastAsia="Times New Roman"/>
          <w:color w:val="000000"/>
          <w:sz w:val="20"/>
          <w:szCs w:val="20"/>
        </w:rPr>
        <w:t>tal protection laws, and NCR has investigatory and remedial activities underway at a number of facilities that it currently owns or operates, or formerly owned or operated, to comply, or to determine compliance, with such laws. Also, NCR has been identifie</w:t>
      </w:r>
      <w:r>
        <w:rPr>
          <w:rFonts w:eastAsia="Times New Roman"/>
          <w:color w:val="000000"/>
          <w:sz w:val="20"/>
          <w:szCs w:val="20"/>
        </w:rPr>
        <w:t>d, either by a government agency or by a private party seeking contribution to site clean-up costs, as a potentially responsible party (PRP) at a number of sites pursuant to various state and federal laws, including the Federal Water Pollution Control Act,</w:t>
      </w:r>
      <w:r>
        <w:rPr>
          <w:rFonts w:eastAsia="Times New Roman"/>
          <w:color w:val="000000"/>
          <w:sz w:val="20"/>
          <w:szCs w:val="20"/>
        </w:rPr>
        <w:t xml:space="preserve"> the Comprehensive Environmental Response, Compensation and Liability Act (CERCLA) and comparable state statutes. Other than the Fox River matter, the Kalamazoo River matter and the Ebina matter discussed below, we currently do not anticipate material expe</w:t>
      </w:r>
      <w:r>
        <w:rPr>
          <w:rFonts w:eastAsia="Times New Roman"/>
          <w:color w:val="000000"/>
          <w:sz w:val="20"/>
          <w:szCs w:val="20"/>
        </w:rPr>
        <w:t>nses and liabilities from these environmental matters</w:t>
      </w:r>
      <w:r>
        <w:rPr>
          <w:rFonts w:eastAsia="Times New Roman"/>
          <w:color w:val="000000"/>
          <w:sz w:val="20"/>
          <w:szCs w:val="20"/>
        </w:rPr>
        <w:t>.</w:t>
      </w:r>
    </w:p>
    <w:p w:rsidR="00000000" w:rsidRDefault="000A7020">
      <w:pPr>
        <w:jc w:val="both"/>
        <w:divId w:val="1604000580"/>
        <w:rPr>
          <w:rFonts w:eastAsia="Times New Roman"/>
        </w:rPr>
      </w:pPr>
      <w:r>
        <w:rPr>
          <w:rFonts w:eastAsia="Times New Roman"/>
          <w:i/>
          <w:iCs/>
          <w:color w:val="000000"/>
          <w:sz w:val="20"/>
          <w:szCs w:val="20"/>
        </w:rPr>
        <w:t>Fox Rive</w:t>
      </w:r>
      <w:r>
        <w:rPr>
          <w:rFonts w:eastAsia="Times New Roman"/>
          <w:i/>
          <w:iCs/>
          <w:color w:val="000000"/>
          <w:sz w:val="20"/>
          <w:szCs w:val="20"/>
        </w:rPr>
        <w:t>r</w:t>
      </w:r>
      <w:r>
        <w:rPr>
          <w:rFonts w:eastAsia="Times New Roman"/>
          <w:color w:val="000000"/>
          <w:sz w:val="20"/>
          <w:szCs w:val="20"/>
        </w:rPr>
        <w:t xml:space="preserve"> NCR is one of eight entities that were formally notified by governmental and other entities, such as local Native American tribes, that they are PRPs for environmental claims (under CERCLA an</w:t>
      </w:r>
      <w:r>
        <w:rPr>
          <w:rFonts w:eastAsia="Times New Roman"/>
          <w:color w:val="000000"/>
          <w:sz w:val="20"/>
          <w:szCs w:val="20"/>
        </w:rPr>
        <w:t>d other statutes) arising out of the presence of polychlorinated biphenyls (PCBs) in sediments in the lower Fox River and in the Bay of Green Bay in Wisconsin. The other Fox River PRPs that received notices include Appleton Papers Inc. (API; now known as A</w:t>
      </w:r>
      <w:r>
        <w:rPr>
          <w:rFonts w:eastAsia="Times New Roman"/>
          <w:color w:val="000000"/>
          <w:sz w:val="20"/>
          <w:szCs w:val="20"/>
        </w:rPr>
        <w:t>ppvion, Inc.), P.H. Glatfelter Company ("Glatfelter"), Georgia-Pacific Consumer Products LP (GP, successor to Fort James Operating Company), and others. NCR was identified as a PRP because of alleged PCB discharges from two carbonless copy paper manufactur</w:t>
      </w:r>
      <w:r>
        <w:rPr>
          <w:rFonts w:eastAsia="Times New Roman"/>
          <w:color w:val="000000"/>
          <w:sz w:val="20"/>
          <w:szCs w:val="20"/>
        </w:rPr>
        <w:t xml:space="preserve">ing facilities it previously owned, which were located along the Fox River. NCR sold its facilities in 1978 to API. The parties have also contended that NCR is responsible for PCB discharges from paper mills owned by other companies because NCR carbonless </w:t>
      </w:r>
      <w:r>
        <w:rPr>
          <w:rFonts w:eastAsia="Times New Roman"/>
          <w:color w:val="000000"/>
          <w:sz w:val="20"/>
          <w:szCs w:val="20"/>
        </w:rPr>
        <w:t>copy paper "broke" was allegedly purchased by those other mills as a raw material</w:t>
      </w:r>
      <w:r>
        <w:rPr>
          <w:rFonts w:eastAsia="Times New Roman"/>
          <w:color w:val="000000"/>
          <w:sz w:val="20"/>
          <w:szCs w:val="20"/>
        </w:rPr>
        <w:t>.</w:t>
      </w:r>
    </w:p>
    <w:p w:rsidR="00000000" w:rsidRDefault="000A7020">
      <w:pPr>
        <w:jc w:val="both"/>
        <w:rPr>
          <w:rFonts w:eastAsia="Times New Roman"/>
        </w:rPr>
      </w:pPr>
      <w:r>
        <w:rPr>
          <w:rFonts w:eastAsia="Times New Roman"/>
          <w:color w:val="000000"/>
          <w:sz w:val="20"/>
          <w:szCs w:val="20"/>
        </w:rPr>
        <w:t>The United States Environmental Protection Agency (USEPA) and Wisconsin Department of Natural Resources (together, the Governments) developed clean-up plans for the upper an</w:t>
      </w:r>
      <w:r>
        <w:rPr>
          <w:rFonts w:eastAsia="Times New Roman"/>
          <w:color w:val="000000"/>
          <w:sz w:val="20"/>
          <w:szCs w:val="20"/>
        </w:rPr>
        <w:t xml:space="preserve">d lower parts of the Fox River and for portions of the Bay of Green Bay. On November 13, 2007, the Governments issued a unilateral administrative order (the 2007 Order) under CERCLA to the eight original PRPs, requiring them to perform remedial work under </w:t>
      </w:r>
      <w:r>
        <w:rPr>
          <w:rFonts w:eastAsia="Times New Roman"/>
          <w:color w:val="000000"/>
          <w:sz w:val="20"/>
          <w:szCs w:val="20"/>
        </w:rPr>
        <w:t>the Governments’ clean-up plan for the lower parts of the river (operable units 2 through 5). In April 2009, NCR and API formed a limited liability company (the LLC), which entered into an agreement with an environmental remediation contractor to perform t</w:t>
      </w:r>
      <w:r>
        <w:rPr>
          <w:rFonts w:eastAsia="Times New Roman"/>
          <w:color w:val="000000"/>
          <w:sz w:val="20"/>
          <w:szCs w:val="20"/>
        </w:rPr>
        <w:t>he work at the Fox River site. In-water dredging and remediation under the clean-up plan commenced shortly thereafter</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NCR and API, along with B.A.T Industries p.l.c. (BAT), share among themselves a portion of the cost of the Fox River clean-up and natur</w:t>
      </w:r>
      <w:r>
        <w:rPr>
          <w:rFonts w:eastAsia="Times New Roman"/>
          <w:color w:val="000000"/>
          <w:sz w:val="20"/>
          <w:szCs w:val="20"/>
        </w:rPr>
        <w:t>al resource damages (NRD) based upon a 1998 agreement (the Cost Sharing Agreement), a 2005 arbitration award (subsequently confirmed as a judgment), and a September 30, 2014 Funding Agreement (the Funding Agreement). The Cost Sharing Agreement and the arbi</w:t>
      </w:r>
      <w:r>
        <w:rPr>
          <w:rFonts w:eastAsia="Times New Roman"/>
          <w:color w:val="000000"/>
          <w:sz w:val="20"/>
          <w:szCs w:val="20"/>
        </w:rPr>
        <w:t>tration resolved disputes that arose out of the Company's 1978 sale of its Fox River facilities to API. The Cost Sharing Agreement and arbitration award resulted in a 45% share for NCR of the first $75 million of such costs (a threshold that was reached in</w:t>
      </w:r>
      <w:r>
        <w:rPr>
          <w:rFonts w:eastAsia="Times New Roman"/>
          <w:color w:val="000000"/>
          <w:sz w:val="20"/>
          <w:szCs w:val="20"/>
        </w:rPr>
        <w:t xml:space="preserve"> 2008), and a 40% share for amounts in excess of $75 million. The Funding Agreement arose out of a 2012 to 2014 arbitration dispute between NCR and API, and provides for regular, ongoing funding of NCR-incurred Fox River remediation costs via contributions</w:t>
      </w:r>
      <w:r>
        <w:rPr>
          <w:rFonts w:eastAsia="Times New Roman"/>
          <w:color w:val="000000"/>
          <w:sz w:val="20"/>
          <w:szCs w:val="20"/>
        </w:rPr>
        <w:t>, made to a new limited liability corporation created by the Funding Agreement, by BAT, API and, for 2014, API's indemnitor, Windward Prospects. The Funding Agreement creates an obligation on BAT and</w:t>
      </w:r>
      <w:r>
        <w:rPr>
          <w:rFonts w:eastAsia="Times New Roman"/>
          <w:color w:val="000000"/>
          <w:sz w:val="20"/>
          <w:szCs w:val="20"/>
        </w:rPr>
        <w:t xml:space="preserve"> </w:t>
      </w:r>
    </w:p>
    <w:p w:rsidR="00000000" w:rsidRDefault="000A7020">
      <w:pPr>
        <w:jc w:val="center"/>
        <w:divId w:val="2104183223"/>
        <w:rPr>
          <w:rFonts w:eastAsia="Times New Roman"/>
        </w:rPr>
      </w:pPr>
      <w:r>
        <w:rPr>
          <w:rFonts w:eastAsia="Times New Roman"/>
          <w:color w:val="000000"/>
          <w:sz w:val="20"/>
          <w:szCs w:val="20"/>
        </w:rPr>
        <w:t>2</w:t>
      </w:r>
      <w:r>
        <w:rPr>
          <w:rFonts w:eastAsia="Times New Roman"/>
          <w:color w:val="000000"/>
          <w:sz w:val="20"/>
          <w:szCs w:val="20"/>
        </w:rPr>
        <w:t>3</w:t>
      </w:r>
    </w:p>
    <w:p w:rsidR="00000000" w:rsidRDefault="000A7020">
      <w:pPr>
        <w:rPr>
          <w:rFonts w:eastAsia="Times New Roman"/>
        </w:rPr>
      </w:pPr>
      <w:r>
        <w:rPr>
          <w:rFonts w:eastAsia="Times New Roman"/>
        </w:rPr>
        <w:pict>
          <v:rect id="_x0000_i1048" style="width:0;height:1.5pt" o:hralign="center" o:hrstd="t" o:hr="t" fillcolor="#a0a0a0" stroked="f"/>
        </w:pict>
      </w:r>
    </w:p>
    <w:p w:rsidR="00000000" w:rsidRDefault="000A7020">
      <w:pPr>
        <w:ind w:firstLine="720"/>
        <w:divId w:val="43532171"/>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179268376"/>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179268376"/>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API to fund 50% of NCR’s Fox River remediation cost</w:t>
      </w:r>
      <w:r>
        <w:rPr>
          <w:rFonts w:eastAsia="Times New Roman"/>
          <w:color w:val="000000"/>
          <w:sz w:val="20"/>
          <w:szCs w:val="20"/>
        </w:rPr>
        <w:t>s from October 1, 2014 forward; (API’s Fox River-related obligations under the Funding Agreement were fully satisfied in 2016); the Funding Agreement also provides NCR contractual avenues for payment of, via direct and third-party sources, (1) the differen</w:t>
      </w:r>
      <w:r>
        <w:rPr>
          <w:rFonts w:eastAsia="Times New Roman"/>
          <w:color w:val="000000"/>
          <w:sz w:val="20"/>
          <w:szCs w:val="20"/>
        </w:rPr>
        <w:t>ce between BAT’s and API’s 60% obligation under the Cost Sharing Agreement and arbitration award on the one hand and their ongoing (since September 2014) 50% payments under the Funding Agreement on the other, as well as (2) the difference between the amoun</w:t>
      </w:r>
      <w:r>
        <w:rPr>
          <w:rFonts w:eastAsia="Times New Roman"/>
          <w:color w:val="000000"/>
          <w:sz w:val="20"/>
          <w:szCs w:val="20"/>
        </w:rPr>
        <w:t>t NCR received under the Funding Agreement and the amount owed to it under the Cost Sharing Agreement and arbitration award for the period from April 2012 through September 2014. As of June 30, 2020 and December 31, 2019, the receivable under the Funding A</w:t>
      </w:r>
      <w:r>
        <w:rPr>
          <w:rFonts w:eastAsia="Times New Roman"/>
          <w:color w:val="000000"/>
          <w:sz w:val="20"/>
          <w:szCs w:val="20"/>
        </w:rPr>
        <w:t>greement was approximately $53 million, respectively, and was included in other assets in the Condensed Consolidated Balance Sheet. The Company anticipates that it will collect sums related to the receivable in 2020 or later, likely after the remediation e</w:t>
      </w:r>
      <w:r>
        <w:rPr>
          <w:rFonts w:eastAsia="Times New Roman"/>
          <w:color w:val="000000"/>
          <w:sz w:val="20"/>
          <w:szCs w:val="20"/>
        </w:rPr>
        <w:t>fforts related to the Fox River matter, described below, are complete. This receivable is not taken into account in calculating the Company’s Fox River net reserve.</w:t>
      </w:r>
      <w:r>
        <w:rPr>
          <w:rFonts w:eastAsia="Times New Roman"/>
          <w:color w:val="000000"/>
          <w:sz w:val="20"/>
          <w:szCs w:val="20"/>
        </w:rPr>
        <w:t xml:space="preserve"> </w:t>
      </w:r>
    </w:p>
    <w:p w:rsidR="00000000" w:rsidRDefault="000A7020">
      <w:pPr>
        <w:divId w:val="2071028517"/>
        <w:rPr>
          <w:rFonts w:eastAsia="Times New Roman"/>
        </w:rPr>
      </w:pPr>
    </w:p>
    <w:p w:rsidR="00000000" w:rsidRDefault="000A7020">
      <w:pPr>
        <w:jc w:val="both"/>
        <w:rPr>
          <w:rFonts w:eastAsia="Times New Roman"/>
        </w:rPr>
      </w:pPr>
      <w:r>
        <w:rPr>
          <w:rFonts w:eastAsia="Times New Roman"/>
          <w:color w:val="000000"/>
          <w:sz w:val="20"/>
          <w:szCs w:val="20"/>
        </w:rPr>
        <w:t>The Company's litigations relating to contribution and enforcement claims concerning the</w:t>
      </w:r>
      <w:r>
        <w:rPr>
          <w:rFonts w:eastAsia="Times New Roman"/>
          <w:color w:val="000000"/>
          <w:sz w:val="20"/>
          <w:szCs w:val="20"/>
        </w:rPr>
        <w:t xml:space="preserve"> Fox River have been concluded. A proposed consent decree settlement (the CD settlement) with respect to the contribution action (a case originally filed by NCR and API) and the government enforcement action (a case originally filed by the federal and stat</w:t>
      </w:r>
      <w:r>
        <w:rPr>
          <w:rFonts w:eastAsia="Times New Roman"/>
          <w:color w:val="000000"/>
          <w:sz w:val="20"/>
          <w:szCs w:val="20"/>
        </w:rPr>
        <w:t>e governments against several PRPs, including the Company) was successfully negotiated by NCR and the federal and state governments and was approved on August 22, 2017 by the federal district court in Wisconsin that had been presiding over those cases. A f</w:t>
      </w:r>
      <w:r>
        <w:rPr>
          <w:rFonts w:eastAsia="Times New Roman"/>
          <w:color w:val="000000"/>
          <w:sz w:val="20"/>
          <w:szCs w:val="20"/>
        </w:rPr>
        <w:t>inal order of dismissal as to the Company in the contribution and government enforcement actions was subsequently entered; one party, Glatfelter, had appealed the approval of the CD settlement. On January 3, 2019, the United States lodged a proposed consen</w:t>
      </w:r>
      <w:r>
        <w:rPr>
          <w:rFonts w:eastAsia="Times New Roman"/>
          <w:color w:val="000000"/>
          <w:sz w:val="20"/>
          <w:szCs w:val="20"/>
        </w:rPr>
        <w:t>t decree with the Wisconsin court, reflecting a settlement reached by the United States, Wisconsin and Glatfelter with respect to Glatfelter’s Fox River liability under the government enforcement action; a component of that settlement was withdrawal of Gla</w:t>
      </w:r>
      <w:r>
        <w:rPr>
          <w:rFonts w:eastAsia="Times New Roman"/>
          <w:color w:val="000000"/>
          <w:sz w:val="20"/>
          <w:szCs w:val="20"/>
        </w:rPr>
        <w:t>tfelter’s appeal opposing the Company’s CD settlement. On March 14, 2019, the Wisconsin court approved the Glatfelter consent decree, and on April 3, 2019, Glatfelter's appeal was dismissed.</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divId w:val="395930846"/>
        <w:rPr>
          <w:rFonts w:eastAsia="Times New Roman"/>
        </w:rPr>
      </w:pPr>
      <w:r>
        <w:rPr>
          <w:rFonts w:eastAsia="Times New Roman"/>
          <w:color w:val="000000"/>
          <w:sz w:val="20"/>
          <w:szCs w:val="20"/>
        </w:rPr>
        <w:t xml:space="preserve">The CD settlement has now resolved the remaining Fox River-related contribution and enforcement claims against the Company. The key components of the approved CD settlement include (1) the Company’s commitment to complete the remediation of the Fox River, </w:t>
      </w:r>
      <w:r>
        <w:rPr>
          <w:rFonts w:eastAsia="Times New Roman"/>
          <w:color w:val="000000"/>
          <w:sz w:val="20"/>
          <w:szCs w:val="20"/>
        </w:rPr>
        <w:t>which is now expected to be completed in July 2020; (2) the Company’s conditional agreement to waive its contribution claims against the two remaining defendants in the case, GP and Glatfelter; (3) the Company’s agreement not to appeal the trial court’s de</w:t>
      </w:r>
      <w:r>
        <w:rPr>
          <w:rFonts w:eastAsia="Times New Roman"/>
          <w:color w:val="000000"/>
          <w:sz w:val="20"/>
          <w:szCs w:val="20"/>
        </w:rPr>
        <w:t>cision on divisibility of harm; (4) the Governments’ agreement to include in the settlement so-called “contribution protection” in the Company’s favor as to GP’s and Glatfelter’s contribution claims against the Company, the effect of which will be to extin</w:t>
      </w:r>
      <w:r>
        <w:rPr>
          <w:rFonts w:eastAsia="Times New Roman"/>
          <w:color w:val="000000"/>
          <w:sz w:val="20"/>
          <w:szCs w:val="20"/>
        </w:rPr>
        <w:t>guish those claims; (5) the Governments’ agreement not to pursue the Company for the Governments’ past oversight costs; and (6) the Governments’ agreement to exercise prosecutorial discretion in pursuing other parties for future oversight costs and long-te</w:t>
      </w:r>
      <w:r>
        <w:rPr>
          <w:rFonts w:eastAsia="Times New Roman"/>
          <w:color w:val="000000"/>
          <w:sz w:val="20"/>
          <w:szCs w:val="20"/>
        </w:rPr>
        <w:t>rm monitoring and maintenance, with the Company retaining so-called “backstop” liability in the event that the other parties fail to pay future oversight costs or to perform long-term monitoring and maintenance. Additionally, although certain state law cla</w:t>
      </w:r>
      <w:r>
        <w:rPr>
          <w:rFonts w:eastAsia="Times New Roman"/>
          <w:color w:val="000000"/>
          <w:sz w:val="20"/>
          <w:szCs w:val="20"/>
        </w:rPr>
        <w:t>ims by GP and Glatfelter against the Company may not be affected directly by the CD settlement, the CD settlement provides that the Company’s contribution claims against those two parties will revive if those parties attempt to assert any claims against th</w:t>
      </w:r>
      <w:r>
        <w:rPr>
          <w:rFonts w:eastAsia="Times New Roman"/>
          <w:color w:val="000000"/>
          <w:sz w:val="20"/>
          <w:szCs w:val="20"/>
        </w:rPr>
        <w:t>e Company relating to the Fox River, including any state law claims</w:t>
      </w:r>
      <w:r>
        <w:rPr>
          <w:rFonts w:eastAsia="Times New Roman"/>
          <w:color w:val="000000"/>
          <w:sz w:val="20"/>
          <w:szCs w:val="20"/>
        </w:rPr>
        <w:t>.</w:t>
      </w:r>
    </w:p>
    <w:p w:rsidR="00000000" w:rsidRDefault="000A7020">
      <w:pPr>
        <w:jc w:val="both"/>
        <w:divId w:val="769933833"/>
        <w:rPr>
          <w:rFonts w:eastAsia="Times New Roman"/>
        </w:rPr>
      </w:pPr>
      <w:r>
        <w:rPr>
          <w:rFonts w:eastAsia="Times New Roman"/>
          <w:color w:val="000000"/>
          <w:sz w:val="20"/>
          <w:szCs w:val="20"/>
        </w:rPr>
        <w:t>In the quarter ending September 30, 2017, the remediation general contractor commenced an arbitration against the LLC, in a dispute over contract interpretation. The hearing on this matte</w:t>
      </w:r>
      <w:r>
        <w:rPr>
          <w:rFonts w:eastAsia="Times New Roman"/>
          <w:color w:val="000000"/>
          <w:sz w:val="20"/>
          <w:szCs w:val="20"/>
        </w:rPr>
        <w:t>r was completed in June 2019, and the parties submitted post-trial briefs in August 2019. The amounts claimed by the contractor range from approximately $46 million to approximately $53 million; the Company disputed the claims and contested them vigorously</w:t>
      </w:r>
      <w:r>
        <w:rPr>
          <w:rFonts w:eastAsia="Times New Roman"/>
          <w:color w:val="000000"/>
          <w:sz w:val="20"/>
          <w:szCs w:val="20"/>
        </w:rPr>
        <w:t xml:space="preserve"> during the hearing. In November 2019, having rejected substantial portions of the claims, the arbitration panel awarded the contractor $10 million. The Company’s indemnitors and co-obligors, described below, were responsible for the majority of the award,</w:t>
      </w:r>
      <w:r>
        <w:rPr>
          <w:rFonts w:eastAsia="Times New Roman"/>
          <w:color w:val="000000"/>
          <w:sz w:val="20"/>
          <w:szCs w:val="20"/>
        </w:rPr>
        <w:t xml:space="preserve"> with the Company’s share being approximately one-fourth of the award</w:t>
      </w:r>
      <w:r>
        <w:rPr>
          <w:rFonts w:eastAsia="Times New Roman"/>
          <w:color w:val="000000"/>
          <w:sz w:val="20"/>
          <w:szCs w:val="20"/>
        </w:rPr>
        <w:t>.</w:t>
      </w:r>
    </w:p>
    <w:p w:rsidR="00000000" w:rsidRDefault="000A7020">
      <w:pPr>
        <w:jc w:val="both"/>
        <w:divId w:val="1574896787"/>
        <w:rPr>
          <w:rFonts w:eastAsia="Times New Roman"/>
        </w:rPr>
      </w:pPr>
      <w:r>
        <w:rPr>
          <w:rFonts w:eastAsia="Times New Roman"/>
          <w:color w:val="000000"/>
          <w:sz w:val="20"/>
          <w:szCs w:val="20"/>
        </w:rPr>
        <w:t>With respect to the Company’s prior dispute with API, which was generally superseded by the Funding Agreement, the Company received timely payments as they came due under the Funding Ag</w:t>
      </w:r>
      <w:r>
        <w:rPr>
          <w:rFonts w:eastAsia="Times New Roman"/>
          <w:color w:val="000000"/>
          <w:sz w:val="20"/>
          <w:szCs w:val="20"/>
        </w:rPr>
        <w:t>reement. Although API filed for bankruptcy protection in October 2017, it had made all of the payments to the Company in connection with the Fox River that are required of it by the Funding Agreement</w:t>
      </w:r>
      <w:r>
        <w:rPr>
          <w:rFonts w:eastAsia="Times New Roman"/>
          <w:color w:val="000000"/>
          <w:sz w:val="20"/>
          <w:szCs w:val="20"/>
        </w:rPr>
        <w:t>.</w:t>
      </w:r>
    </w:p>
    <w:p w:rsidR="00000000" w:rsidRDefault="000A7020">
      <w:pPr>
        <w:jc w:val="both"/>
        <w:divId w:val="374474656"/>
        <w:rPr>
          <w:rFonts w:eastAsia="Times New Roman"/>
        </w:rPr>
      </w:pPr>
      <w:r>
        <w:rPr>
          <w:rFonts w:eastAsia="Times New Roman"/>
          <w:color w:val="000000"/>
          <w:sz w:val="20"/>
          <w:szCs w:val="20"/>
        </w:rPr>
        <w:t>NCR's eventual remediation liability, followed by long-</w:t>
      </w:r>
      <w:r>
        <w:rPr>
          <w:rFonts w:eastAsia="Times New Roman"/>
          <w:color w:val="000000"/>
          <w:sz w:val="20"/>
          <w:szCs w:val="20"/>
        </w:rPr>
        <w:t>term monitoring expected to be performed by others, will depend on a number of factors. In establishing the reserve, NCR attempts to estimate a range of reasonably possible outcomes for each of these factors, although each range is itself uncertain. NCR us</w:t>
      </w:r>
      <w:r>
        <w:rPr>
          <w:rFonts w:eastAsia="Times New Roman"/>
          <w:color w:val="000000"/>
          <w:sz w:val="20"/>
          <w:szCs w:val="20"/>
        </w:rPr>
        <w:t>es its best estimate within the range, if that is possible. Where there is a range of equally possible outcomes, and there is no amount within that range that is considered to be a better estimate than any other amount, NCR uses the low end of the range. T</w:t>
      </w:r>
      <w:r>
        <w:rPr>
          <w:rFonts w:eastAsia="Times New Roman"/>
          <w:color w:val="000000"/>
          <w:sz w:val="20"/>
          <w:szCs w:val="20"/>
        </w:rPr>
        <w:t>he significant factors include: (1) the total remaining clean-up costs, including the costs associated with decommissioning the site, the expected cost impact of which is expected to be neutral or non-material to the Company, including long-term monitoring</w:t>
      </w:r>
      <w:r>
        <w:rPr>
          <w:rFonts w:eastAsia="Times New Roman"/>
          <w:color w:val="000000"/>
          <w:sz w:val="20"/>
          <w:szCs w:val="20"/>
        </w:rPr>
        <w:t xml:space="preserve"> following completion of the clean-up, and what parties are</w:t>
      </w:r>
      <w:r>
        <w:rPr>
          <w:rFonts w:eastAsia="Times New Roman"/>
          <w:color w:val="000000"/>
          <w:sz w:val="20"/>
          <w:szCs w:val="20"/>
        </w:rPr>
        <w:t xml:space="preserve"> </w:t>
      </w:r>
    </w:p>
    <w:p w:rsidR="00000000" w:rsidRDefault="000A7020">
      <w:pPr>
        <w:jc w:val="center"/>
        <w:divId w:val="550575050"/>
        <w:rPr>
          <w:rFonts w:eastAsia="Times New Roman"/>
        </w:rPr>
      </w:pPr>
      <w:r>
        <w:rPr>
          <w:rFonts w:eastAsia="Times New Roman"/>
          <w:color w:val="000000"/>
          <w:sz w:val="20"/>
          <w:szCs w:val="20"/>
        </w:rPr>
        <w:t>2</w:t>
      </w:r>
      <w:r>
        <w:rPr>
          <w:rFonts w:eastAsia="Times New Roman"/>
          <w:color w:val="000000"/>
          <w:sz w:val="20"/>
          <w:szCs w:val="20"/>
        </w:rPr>
        <w:t>4</w:t>
      </w:r>
    </w:p>
    <w:p w:rsidR="00000000" w:rsidRDefault="000A7020">
      <w:pPr>
        <w:rPr>
          <w:rFonts w:eastAsia="Times New Roman"/>
        </w:rPr>
      </w:pPr>
      <w:r>
        <w:rPr>
          <w:rFonts w:eastAsia="Times New Roman"/>
        </w:rPr>
        <w:pict>
          <v:rect id="_x0000_i1049" style="width:0;height:1.5pt" o:hralign="center" o:hrstd="t" o:hr="t" fillcolor="#a0a0a0" stroked="f"/>
        </w:pict>
      </w:r>
    </w:p>
    <w:p w:rsidR="00000000" w:rsidRDefault="000A7020">
      <w:pPr>
        <w:ind w:firstLine="720"/>
        <w:divId w:val="1354260975"/>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027026616"/>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027026616"/>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—(Continued</w:t>
      </w:r>
      <w:r>
        <w:rPr>
          <w:rFonts w:eastAsia="Times New Roman"/>
          <w:b/>
          <w:bCs/>
          <w:color w:val="000000"/>
          <w:sz w:val="20"/>
          <w:szCs w:val="20"/>
        </w:rPr>
        <w:t>)</w:t>
      </w:r>
    </w:p>
    <w:p w:rsidR="00000000" w:rsidRDefault="000A7020">
      <w:pPr>
        <w:jc w:val="both"/>
        <w:divId w:val="1334650024"/>
        <w:rPr>
          <w:rFonts w:eastAsia="Times New Roman"/>
        </w:rPr>
      </w:pPr>
      <w:r>
        <w:rPr>
          <w:rFonts w:eastAsia="Times New Roman"/>
          <w:color w:val="000000"/>
          <w:sz w:val="20"/>
          <w:szCs w:val="20"/>
        </w:rPr>
        <w:t>assigned to discharge the post-clean-up tasks (as noted, the Company no longer expects to bear long-term monitoring costs); (2) total NRD for the site and the share that NCR will bear (which is now resolved as to the Company); (3) the share of</w:t>
      </w:r>
      <w:r>
        <w:rPr>
          <w:rFonts w:eastAsia="Times New Roman"/>
          <w:color w:val="000000"/>
          <w:sz w:val="20"/>
          <w:szCs w:val="20"/>
        </w:rPr>
        <w:t xml:space="preserve"> clean-up costs that NCR will bear (which is resolved under the CD settlement); (4) NCR's transaction and litigation costs to defend itself to the extent additional litigation is required with respect to claims brought by the general contractor; and (5) th</w:t>
      </w:r>
      <w:r>
        <w:rPr>
          <w:rFonts w:eastAsia="Times New Roman"/>
          <w:color w:val="000000"/>
          <w:sz w:val="20"/>
          <w:szCs w:val="20"/>
        </w:rPr>
        <w:t>e share of NCR's payments that BAT will bear (which is governed by the Cost Sharing Agreement and the Funding Agreement, BAT has made all of the payments requested of it, and as discussed above; API is in bankruptcy and is not presumed likely to bear furth</w:t>
      </w:r>
      <w:r>
        <w:rPr>
          <w:rFonts w:eastAsia="Times New Roman"/>
          <w:color w:val="000000"/>
          <w:sz w:val="20"/>
          <w:szCs w:val="20"/>
        </w:rPr>
        <w:t>er shares of NCR’s payments). With respect to NRD, in connection with a certain settlement entered into by other PRPs in 2015, the Government withdrew the NRD claims it had prosecuted on behalf of NRD trustees, including those NRD claims asserted against t</w:t>
      </w:r>
      <w:r>
        <w:rPr>
          <w:rFonts w:eastAsia="Times New Roman"/>
          <w:color w:val="000000"/>
          <w:sz w:val="20"/>
          <w:szCs w:val="20"/>
        </w:rPr>
        <w:t>he Company</w:t>
      </w:r>
      <w:r>
        <w:rPr>
          <w:rFonts w:eastAsia="Times New Roman"/>
          <w:color w:val="000000"/>
          <w:sz w:val="20"/>
          <w:szCs w:val="20"/>
        </w:rPr>
        <w:t>.</w:t>
      </w:r>
    </w:p>
    <w:p w:rsidR="00000000" w:rsidRDefault="000A7020">
      <w:pPr>
        <w:jc w:val="both"/>
        <w:divId w:val="1589728533"/>
        <w:rPr>
          <w:rFonts w:eastAsia="Times New Roman"/>
        </w:rPr>
      </w:pPr>
      <w:r>
        <w:rPr>
          <w:rFonts w:eastAsia="Times New Roman"/>
          <w:color w:val="000000"/>
          <w:sz w:val="20"/>
          <w:szCs w:val="20"/>
        </w:rPr>
        <w:t>Calculation of the Company's Fox River reserve is subject to several complexities, and it is possible there could be additional changes to some elements of the reserve over upcoming periods, although the Company is unable to predict or estimate</w:t>
      </w:r>
      <w:r>
        <w:rPr>
          <w:rFonts w:eastAsia="Times New Roman"/>
          <w:color w:val="000000"/>
          <w:sz w:val="20"/>
          <w:szCs w:val="20"/>
        </w:rPr>
        <w:t xml:space="preserve"> such changes at this time. There can be no assurance that the clean-up and related expenditures and liabilities will not have a material effect on NCR's capital expenditures, earnings, financial condition, cash flows, or competitive position. As of June 3</w:t>
      </w:r>
      <w:r>
        <w:rPr>
          <w:rFonts w:eastAsia="Times New Roman"/>
          <w:color w:val="000000"/>
          <w:sz w:val="20"/>
          <w:szCs w:val="20"/>
        </w:rPr>
        <w:t>0, 2020, the gross reserve for the Fox River matter was approximately $4 million, compared to $5 million as of December 31, 2019. As of June 30, 2020, the net reserve for the Fox River matter was approximately $26 million, compared to $16 million as of Dec</w:t>
      </w:r>
      <w:r>
        <w:rPr>
          <w:rFonts w:eastAsia="Times New Roman"/>
          <w:color w:val="000000"/>
          <w:sz w:val="20"/>
          <w:szCs w:val="20"/>
        </w:rPr>
        <w:t>ember 31, 2019. NCR contributes to the LLC to fund remediation activities and generally, by contract, has funded certain amounts of remediation expenses in advance. As of June 30, 2020 and December 31, 2019, approximately zero remained from this funding. N</w:t>
      </w:r>
      <w:r>
        <w:rPr>
          <w:rFonts w:eastAsia="Times New Roman"/>
          <w:color w:val="000000"/>
          <w:sz w:val="20"/>
          <w:szCs w:val="20"/>
        </w:rPr>
        <w:t>CR's reserve for the Fox River matter is reduced as the LLC makes payments to the remediation contractor and other vendors with respect to remediation activities.</w:t>
      </w:r>
      <w:r>
        <w:rPr>
          <w:rFonts w:eastAsia="Times New Roman"/>
          <w:color w:val="000000"/>
          <w:sz w:val="20"/>
          <w:szCs w:val="20"/>
        </w:rPr>
        <w:t xml:space="preserve"> </w:t>
      </w:r>
    </w:p>
    <w:p w:rsidR="00000000" w:rsidRDefault="000A7020">
      <w:pPr>
        <w:jc w:val="both"/>
        <w:divId w:val="475684077"/>
        <w:rPr>
          <w:rFonts w:eastAsia="Times New Roman"/>
        </w:rPr>
      </w:pPr>
      <w:r>
        <w:rPr>
          <w:rFonts w:eastAsia="Times New Roman"/>
          <w:color w:val="000000"/>
          <w:sz w:val="20"/>
          <w:szCs w:val="20"/>
        </w:rPr>
        <w:t>Under a 1996 agreement, AT&amp;T Corp. (AT&amp;T) and Nokia (as the successor to Lucent Technologies</w:t>
      </w:r>
      <w:r>
        <w:rPr>
          <w:rFonts w:eastAsia="Times New Roman"/>
          <w:color w:val="000000"/>
          <w:sz w:val="20"/>
          <w:szCs w:val="20"/>
        </w:rPr>
        <w:t xml:space="preserve"> and Alcatel-Lucent USA) are responsible severally (not jointly) for indemnifying NCR for certain portions of the amounts paid by NCR for the Fox River matter over a defined threshold and subject to certain offsets. (The agreement governs certain aspects o</w:t>
      </w:r>
      <w:r>
        <w:rPr>
          <w:rFonts w:eastAsia="Times New Roman"/>
          <w:color w:val="000000"/>
          <w:sz w:val="20"/>
          <w:szCs w:val="20"/>
        </w:rPr>
        <w:t>f AT&amp;T's divestiture of NCR and of what was then known as Lucent Technologies.) Those companies have made the payments requested of them by the Company on an ongoing basis</w:t>
      </w:r>
      <w:r>
        <w:rPr>
          <w:rFonts w:eastAsia="Times New Roman"/>
          <w:color w:val="000000"/>
          <w:sz w:val="20"/>
          <w:szCs w:val="20"/>
        </w:rPr>
        <w:t>.</w:t>
      </w:r>
    </w:p>
    <w:p w:rsidR="00000000" w:rsidRDefault="000A7020">
      <w:pPr>
        <w:jc w:val="both"/>
        <w:rPr>
          <w:rFonts w:eastAsia="Times New Roman"/>
        </w:rPr>
      </w:pPr>
      <w:r>
        <w:rPr>
          <w:rFonts w:eastAsia="Times New Roman"/>
          <w:i/>
          <w:iCs/>
          <w:color w:val="000000"/>
          <w:sz w:val="20"/>
          <w:szCs w:val="20"/>
        </w:rPr>
        <w:t>Kalamazoo Rive</w:t>
      </w:r>
      <w:r>
        <w:rPr>
          <w:rFonts w:eastAsia="Times New Roman"/>
          <w:i/>
          <w:iCs/>
          <w:color w:val="000000"/>
          <w:sz w:val="20"/>
          <w:szCs w:val="20"/>
        </w:rPr>
        <w:t>r</w:t>
      </w:r>
      <w:r>
        <w:rPr>
          <w:rFonts w:eastAsia="Times New Roman"/>
          <w:color w:val="000000"/>
          <w:sz w:val="20"/>
          <w:szCs w:val="20"/>
        </w:rPr>
        <w:t> In November 2010, USEPA issued a "general notice letter" to NCR wit</w:t>
      </w:r>
      <w:r>
        <w:rPr>
          <w:rFonts w:eastAsia="Times New Roman"/>
          <w:color w:val="000000"/>
          <w:sz w:val="20"/>
          <w:szCs w:val="20"/>
        </w:rPr>
        <w:t xml:space="preserve">h respect to the Allied Paper, Inc./Portage Creek/Kalamazoo River Superfund Site (Kalamazoo River site) in Michigan. Three other companies - International Paper, Mead Corporation, and Consumers Energy - also received general notice letters at or about the </w:t>
      </w:r>
      <w:r>
        <w:rPr>
          <w:rFonts w:eastAsia="Times New Roman"/>
          <w:color w:val="000000"/>
          <w:sz w:val="20"/>
          <w:szCs w:val="20"/>
        </w:rPr>
        <w:t>same time. USEPA asserts that the site is contaminated by various substances, primarily PCBs, as a result of discharges by various paper mills located along the river. USEPA does not claim that the Company made direct discharges into the Kalamazoo River, a</w:t>
      </w:r>
      <w:r>
        <w:rPr>
          <w:rFonts w:eastAsia="Times New Roman"/>
          <w:color w:val="000000"/>
          <w:sz w:val="20"/>
          <w:szCs w:val="20"/>
        </w:rPr>
        <w:t>nd NCR never had facilities at or near the Kalamazoo River site, but USEPA indicated that "NCR may be liable under Section 107 of CERCLA ... as an arranger, who by contract or agreement, arranged for the disposal, treatment and/or transportation of hazardo</w:t>
      </w:r>
      <w:r>
        <w:rPr>
          <w:rFonts w:eastAsia="Times New Roman"/>
          <w:color w:val="000000"/>
          <w:sz w:val="20"/>
          <w:szCs w:val="20"/>
        </w:rPr>
        <w:t>us substances at the Site." USEPA stated that it "may issue special notice letters to [NCR] and other PRPs for future RI/FS [remedial investigation / feasibility studies] and RD/RA [remedial design / remedial action] negotiations.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connection with the</w:t>
      </w:r>
      <w:r>
        <w:rPr>
          <w:rFonts w:eastAsia="Times New Roman"/>
          <w:color w:val="000000"/>
          <w:sz w:val="20"/>
          <w:szCs w:val="20"/>
        </w:rPr>
        <w:t xml:space="preserve"> Kalamazoo River site, in December 2010 the Company, along with two other defendants, was sued in federal court by three Georgia-Pacific (GP) affiliate corporations in a private-party contribution and cost recovery action for alleged pollution. The suit, p</w:t>
      </w:r>
      <w:r>
        <w:rPr>
          <w:rFonts w:eastAsia="Times New Roman"/>
          <w:color w:val="000000"/>
          <w:sz w:val="20"/>
          <w:szCs w:val="20"/>
        </w:rPr>
        <w:t>ending in Michigan, asks that the Company and other defendants pay a "fair portion" of these companies’ costs. Various removal and remedial actions remain to be decided upon and performed at the Kalamazoo River site, the total costs for which generally rem</w:t>
      </w:r>
      <w:r>
        <w:rPr>
          <w:rFonts w:eastAsia="Times New Roman"/>
          <w:color w:val="000000"/>
          <w:sz w:val="20"/>
          <w:szCs w:val="20"/>
        </w:rPr>
        <w:t xml:space="preserve">ain undetermined; in 2017 Records of Decisions were issued for two parts of the river, and in 2018 such a decision was issued for another part of the river, but such decisions for the majority of the work are expected to be made only over the next several </w:t>
      </w:r>
      <w:r>
        <w:rPr>
          <w:rFonts w:eastAsia="Times New Roman"/>
          <w:color w:val="000000"/>
          <w:sz w:val="20"/>
          <w:szCs w:val="20"/>
        </w:rPr>
        <w:t>years. The suit alleges that the Company is liable to the GP entities as an "arranger" under CERCLA. The initial phase of the case was tried in a Michigan federal court in February 2013; on September 26, 2013 the court issued a decision that held NCR was l</w:t>
      </w:r>
      <w:r>
        <w:rPr>
          <w:rFonts w:eastAsia="Times New Roman"/>
          <w:color w:val="000000"/>
          <w:sz w:val="20"/>
          <w:szCs w:val="20"/>
        </w:rPr>
        <w:t>iable as an “arranger” as of at least March 1969. (PCB-containing carbonless copy paper was produced from approximately 1954 to April 1971, and the majority of contamination at the Kalamazoo River site had occurred prior to 1969). NCR preserved its right t</w:t>
      </w:r>
      <w:r>
        <w:rPr>
          <w:rFonts w:eastAsia="Times New Roman"/>
          <w:color w:val="000000"/>
          <w:sz w:val="20"/>
          <w:szCs w:val="20"/>
        </w:rPr>
        <w:t>o appeal the September 2013 decision.</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divId w:val="259526529"/>
        <w:rPr>
          <w:rFonts w:eastAsia="Times New Roman"/>
        </w:rPr>
      </w:pPr>
      <w:r>
        <w:rPr>
          <w:rFonts w:eastAsia="Times New Roman"/>
          <w:color w:val="000000"/>
          <w:sz w:val="20"/>
          <w:szCs w:val="20"/>
        </w:rPr>
        <w:t>In the 2013 decision, the Court did not determine NCR’s share of the overall liability. Relative shares of liability for the four companies were tried to the court in a subsequent phase of the case in December 2015.</w:t>
      </w:r>
      <w:r>
        <w:rPr>
          <w:rFonts w:eastAsia="Times New Roman"/>
          <w:color w:val="000000"/>
          <w:sz w:val="20"/>
          <w:szCs w:val="20"/>
        </w:rPr>
        <w:t xml:space="preserve"> In a ruling issued on March 29, 2018, the court addressed responsibility for the costs that GP had incurred in the past, totaling to approximately $50 million (GP had sought approximately $105 million, but $55 million of those claims were removed by the c</w:t>
      </w:r>
      <w:r>
        <w:rPr>
          <w:rFonts w:eastAsia="Times New Roman"/>
          <w:color w:val="000000"/>
          <w:sz w:val="20"/>
          <w:szCs w:val="20"/>
        </w:rPr>
        <w:t>ourt upon motions filed by the Company and other parties); NCR and GP were each assigned a 40% share of those costs, and the other two companies were assigned 15% and 5% as their allocations. The court entered a judgment in the case on June 19, 2018, in wh</w:t>
      </w:r>
      <w:r>
        <w:rPr>
          <w:rFonts w:eastAsia="Times New Roman"/>
          <w:color w:val="000000"/>
          <w:sz w:val="20"/>
          <w:szCs w:val="20"/>
        </w:rPr>
        <w:t>ich it indicated that it would not allocate future costs, but would enter a declaratory judgment that the four companies together had responsibility for future costs, in amounts and shares to be determined. Cross-proceedings have been commenced to obtain r</w:t>
      </w:r>
      <w:r>
        <w:rPr>
          <w:rFonts w:eastAsia="Times New Roman"/>
          <w:color w:val="000000"/>
          <w:sz w:val="20"/>
          <w:szCs w:val="20"/>
        </w:rPr>
        <w:t>ecoveries from the other parties pursuant to the judgment; those proceedings are stayed pending the appeal referenced below</w:t>
      </w:r>
      <w:r>
        <w:rPr>
          <w:rFonts w:eastAsia="Times New Roman"/>
          <w:color w:val="000000"/>
          <w:sz w:val="20"/>
          <w:szCs w:val="20"/>
        </w:rPr>
        <w:t>.</w:t>
      </w:r>
    </w:p>
    <w:p w:rsidR="00000000" w:rsidRDefault="000A7020">
      <w:pPr>
        <w:jc w:val="center"/>
        <w:divId w:val="1352797302"/>
        <w:rPr>
          <w:rFonts w:eastAsia="Times New Roman"/>
        </w:rPr>
      </w:pPr>
      <w:r>
        <w:rPr>
          <w:rFonts w:eastAsia="Times New Roman"/>
          <w:color w:val="000000"/>
          <w:sz w:val="20"/>
          <w:szCs w:val="20"/>
        </w:rPr>
        <w:t>2</w:t>
      </w:r>
      <w:r>
        <w:rPr>
          <w:rFonts w:eastAsia="Times New Roman"/>
          <w:color w:val="000000"/>
          <w:sz w:val="20"/>
          <w:szCs w:val="20"/>
        </w:rPr>
        <w:t>5</w:t>
      </w:r>
    </w:p>
    <w:p w:rsidR="00000000" w:rsidRDefault="000A7020">
      <w:pPr>
        <w:rPr>
          <w:rFonts w:eastAsia="Times New Roman"/>
        </w:rPr>
      </w:pPr>
      <w:r>
        <w:rPr>
          <w:rFonts w:eastAsia="Times New Roman"/>
        </w:rPr>
        <w:pict>
          <v:rect id="_x0000_i1050" style="width:0;height:1.5pt" o:hralign="center" o:hrstd="t" o:hr="t" fillcolor="#a0a0a0" stroked="f"/>
        </w:pict>
      </w:r>
    </w:p>
    <w:p w:rsidR="00000000" w:rsidRDefault="000A7020">
      <w:pPr>
        <w:ind w:firstLine="720"/>
        <w:divId w:val="1139148606"/>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835100323"/>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835100323"/>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divId w:val="1766031074"/>
        <w:rPr>
          <w:rFonts w:eastAsia="Times New Roman"/>
        </w:rPr>
      </w:pPr>
      <w:r>
        <w:rPr>
          <w:rFonts w:eastAsia="Times New Roman"/>
          <w:color w:val="000000"/>
          <w:sz w:val="20"/>
          <w:szCs w:val="20"/>
        </w:rPr>
        <w:t xml:space="preserve">In July 2018, the Company appealed to the United States Court of Appeals for the Sixth Circuit both the 2013 court decision, which it believes is in conflict with </w:t>
      </w:r>
      <w:r>
        <w:rPr>
          <w:rFonts w:eastAsia="Times New Roman"/>
          <w:color w:val="000000"/>
          <w:sz w:val="20"/>
          <w:szCs w:val="20"/>
        </w:rPr>
        <w:t>a decision from the Fox River trial court as to Operable Unit 1 of that site and an affirmance of that decision from the Court of Appeals for the Seventh Circuit, and the 2018 court decision, on various legal grounds. The Company filed a bond to stay any e</w:t>
      </w:r>
      <w:r>
        <w:rPr>
          <w:rFonts w:eastAsia="Times New Roman"/>
          <w:color w:val="000000"/>
          <w:sz w:val="20"/>
          <w:szCs w:val="20"/>
        </w:rPr>
        <w:t>xecution of the judgment pending the appeal, and its application for a stay was approved by the court and remains stayed as of June 2020</w:t>
      </w:r>
      <w:r>
        <w:rPr>
          <w:rFonts w:eastAsia="Times New Roman"/>
          <w:color w:val="000000"/>
          <w:sz w:val="20"/>
          <w:szCs w:val="20"/>
        </w:rPr>
        <w:t>.</w:t>
      </w:r>
    </w:p>
    <w:p w:rsidR="00000000" w:rsidRDefault="000A7020">
      <w:pPr>
        <w:jc w:val="both"/>
        <w:rPr>
          <w:rFonts w:eastAsia="Times New Roman"/>
        </w:rPr>
      </w:pPr>
      <w:r>
        <w:rPr>
          <w:rFonts w:eastAsia="Times New Roman"/>
          <w:color w:val="000000"/>
          <w:sz w:val="20"/>
          <w:szCs w:val="20"/>
        </w:rPr>
        <w:t xml:space="preserve">During the pendency of the Sixth Circuit stay, the Company negotiated a settlement of the Kalamazoo River matter with </w:t>
      </w:r>
      <w:r>
        <w:rPr>
          <w:rFonts w:eastAsia="Times New Roman"/>
          <w:color w:val="000000"/>
          <w:sz w:val="20"/>
          <w:szCs w:val="20"/>
        </w:rPr>
        <w:t>the USEPA and other government agencies having oversight over the river. On December 5, 2019, the Company entered into a Consent Decree, filed with the District Court on December 11, 2019, which will resolve all litigation associated with the river clean-u</w:t>
      </w:r>
      <w:r>
        <w:rPr>
          <w:rFonts w:eastAsia="Times New Roman"/>
          <w:color w:val="000000"/>
          <w:sz w:val="20"/>
          <w:szCs w:val="20"/>
        </w:rPr>
        <w:t>p, including the Sixth Circuit appeal when approved. Upon approval, the Consent Decree will require the Company to pay GP its 40% share of past costs, to pay the USEPA and state agencies their past and future administrative costs, to dismiss its Sixth Circ</w:t>
      </w:r>
      <w:r>
        <w:rPr>
          <w:rFonts w:eastAsia="Times New Roman"/>
          <w:color w:val="000000"/>
          <w:sz w:val="20"/>
          <w:szCs w:val="20"/>
        </w:rPr>
        <w:t>uit appeal, and to take responsibility for the remediation of a portion, but not all, of the Kalamazoo River. The Consent Decree further provides the Company protection from other PRPs, including GP, seeking contribution for their costs associated with the</w:t>
      </w:r>
      <w:r>
        <w:rPr>
          <w:rFonts w:eastAsia="Times New Roman"/>
          <w:color w:val="000000"/>
          <w:sz w:val="20"/>
          <w:szCs w:val="20"/>
        </w:rPr>
        <w:t xml:space="preserve"> clean-up anywhere on the river, thereby resolving the allocation of future costs left unresolved by the June 19, 2019 judgment</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Consent Decree was subject to a public comment period, which ended February 18, 2020, and the Company is still awaiting a</w:t>
      </w:r>
      <w:r>
        <w:rPr>
          <w:rFonts w:eastAsia="Times New Roman"/>
          <w:color w:val="000000"/>
          <w:sz w:val="20"/>
          <w:szCs w:val="20"/>
        </w:rPr>
        <w:t>pproval of the Consent Decree. In May 2020, the US and state agencies filed motions supporting entry of the Consent Decree, and in June 2020, the court permitted GP and the other two Kalamazoo defendants to intervene to file motions in opposition to the Co</w:t>
      </w:r>
      <w:r>
        <w:rPr>
          <w:rFonts w:eastAsia="Times New Roman"/>
          <w:color w:val="000000"/>
          <w:sz w:val="20"/>
          <w:szCs w:val="20"/>
        </w:rPr>
        <w:t>nsent Decree. A decision on approval of the Consent Decree is not expected until completion of all briefing in August 2020</w:t>
      </w:r>
      <w:r>
        <w:rPr>
          <w:rFonts w:eastAsia="Times New Roman"/>
          <w:color w:val="000000"/>
          <w:sz w:val="20"/>
          <w:szCs w:val="20"/>
        </w:rPr>
        <w:t>.</w:t>
      </w:r>
    </w:p>
    <w:p w:rsidR="00000000" w:rsidRDefault="000A7020">
      <w:pPr>
        <w:divId w:val="1289319263"/>
        <w:rPr>
          <w:rFonts w:eastAsia="Times New Roman"/>
        </w:rPr>
      </w:pPr>
    </w:p>
    <w:p w:rsidR="00000000" w:rsidRDefault="000A7020">
      <w:pPr>
        <w:jc w:val="both"/>
        <w:divId w:val="691103255"/>
        <w:rPr>
          <w:rFonts w:eastAsia="Times New Roman"/>
        </w:rPr>
      </w:pPr>
      <w:r>
        <w:rPr>
          <w:rFonts w:eastAsia="Times New Roman"/>
          <w:color w:val="000000"/>
          <w:sz w:val="20"/>
          <w:szCs w:val="20"/>
        </w:rPr>
        <w:t>NCR expects to have claims against BAT and API under the Funding Agreement, discussed above for the Kalamazoo River remediation expenses. API filed for bankruptcy protection in October 2017, and thus payment of its potential share under the Funding Agreeme</w:t>
      </w:r>
      <w:r>
        <w:rPr>
          <w:rFonts w:eastAsia="Times New Roman"/>
          <w:color w:val="000000"/>
          <w:sz w:val="20"/>
          <w:szCs w:val="20"/>
        </w:rPr>
        <w:t>nt for so-called “future sites,” which would include the Kalamazoo River site, may be at risk, but as liability under the Cost Sharing Agreement and the Funding Agreement is joint and several, the bankruptcy is not anticipated to affect the Company’s abili</w:t>
      </w:r>
      <w:r>
        <w:rPr>
          <w:rFonts w:eastAsia="Times New Roman"/>
          <w:color w:val="000000"/>
          <w:sz w:val="20"/>
          <w:szCs w:val="20"/>
        </w:rPr>
        <w:t>ty to seek that amount from BAT. The Company will also have indemnity or reimbursement claims against AT&amp;T and Nokia under the arrangement discussed above in connection with the Fox River matter after expenses have met a contractual threshold set out in th</w:t>
      </w:r>
      <w:r>
        <w:rPr>
          <w:rFonts w:eastAsia="Times New Roman"/>
          <w:color w:val="000000"/>
          <w:sz w:val="20"/>
          <w:szCs w:val="20"/>
        </w:rPr>
        <w:t>e 1996 agreement referenced above in the Fox River discussion.</w:t>
      </w:r>
      <w:r>
        <w:rPr>
          <w:rFonts w:eastAsia="Times New Roman"/>
          <w:color w:val="000000"/>
          <w:sz w:val="20"/>
          <w:szCs w:val="20"/>
        </w:rPr>
        <w:t xml:space="preserve"> </w:t>
      </w:r>
    </w:p>
    <w:p w:rsidR="00000000" w:rsidRDefault="000A7020">
      <w:pPr>
        <w:jc w:val="both"/>
        <w:divId w:val="565723389"/>
        <w:rPr>
          <w:rFonts w:eastAsia="Times New Roman"/>
        </w:rPr>
      </w:pPr>
      <w:r>
        <w:rPr>
          <w:rFonts w:eastAsia="Times New Roman"/>
          <w:color w:val="000000"/>
          <w:sz w:val="20"/>
          <w:szCs w:val="20"/>
        </w:rPr>
        <w:t>As of June 30, 2020 and December 31, 2019, the total reserve for Kalamazoo was $80 million and $81 million, respectively. That figure is reported on a basis that is net of expected contributio</w:t>
      </w:r>
      <w:r>
        <w:rPr>
          <w:rFonts w:eastAsia="Times New Roman"/>
          <w:color w:val="000000"/>
          <w:sz w:val="20"/>
          <w:szCs w:val="20"/>
        </w:rPr>
        <w:t xml:space="preserve">ns from the Company's co-obligors and indemnitors, subject to when the applicable threshold is reached. As many aspects of the costs of remediation will not be determined for several years (and thus the high end of a range of possible costs for many areas </w:t>
      </w:r>
      <w:r>
        <w:rPr>
          <w:rFonts w:eastAsia="Times New Roman"/>
          <w:color w:val="000000"/>
          <w:sz w:val="20"/>
          <w:szCs w:val="20"/>
        </w:rPr>
        <w:t>of the site cannot be quantified at this time), the Company has made what it considers to be reasonable estimates of the low end of a range for such costs where remedies are identified, and/or of the costs of investigations and studies for areas of the riv</w:t>
      </w:r>
      <w:r>
        <w:rPr>
          <w:rFonts w:eastAsia="Times New Roman"/>
          <w:color w:val="000000"/>
          <w:sz w:val="20"/>
          <w:szCs w:val="20"/>
        </w:rPr>
        <w:t>er where remedies have not yet been determined, and the reserve is informed by those estimates. The extent of NCR’s potential liability remains subject to many uncertainties, notwithstanding the settlement of this matter and related Consent Decree noted ab</w:t>
      </w:r>
      <w:r>
        <w:rPr>
          <w:rFonts w:eastAsia="Times New Roman"/>
          <w:color w:val="000000"/>
          <w:sz w:val="20"/>
          <w:szCs w:val="20"/>
        </w:rPr>
        <w:t>ove, particularly inasmuch as remedy decisions and cost estimates will not be generated until times in the future and as most of the work to be performed will take place through the 2030s. Under other assumptions or estimates for possible costs of remediat</w:t>
      </w:r>
      <w:r>
        <w:rPr>
          <w:rFonts w:eastAsia="Times New Roman"/>
          <w:color w:val="000000"/>
          <w:sz w:val="20"/>
          <w:szCs w:val="20"/>
        </w:rPr>
        <w:t>ion, which the Company does not at this point consider to be reasonably estimable or verifiable, it is possible that the reserve the Company has taken to discontinued operations reflected in this paragraph could more than approximately double the reflected</w:t>
      </w:r>
      <w:r>
        <w:rPr>
          <w:rFonts w:eastAsia="Times New Roman"/>
          <w:color w:val="000000"/>
          <w:sz w:val="20"/>
          <w:szCs w:val="20"/>
        </w:rPr>
        <w:t xml:space="preserve"> reserve.</w:t>
      </w:r>
      <w:r>
        <w:rPr>
          <w:rFonts w:eastAsia="Times New Roman"/>
          <w:color w:val="000000"/>
          <w:sz w:val="20"/>
          <w:szCs w:val="20"/>
        </w:rPr>
        <w:t xml:space="preserve"> </w:t>
      </w:r>
    </w:p>
    <w:p w:rsidR="00000000" w:rsidRDefault="000A7020">
      <w:pPr>
        <w:jc w:val="both"/>
        <w:rPr>
          <w:rFonts w:eastAsia="Times New Roman"/>
        </w:rPr>
      </w:pPr>
      <w:r>
        <w:rPr>
          <w:rFonts w:eastAsia="Times New Roman"/>
          <w:i/>
          <w:iCs/>
          <w:color w:val="000000"/>
          <w:sz w:val="20"/>
          <w:szCs w:val="20"/>
        </w:rPr>
        <w:t>Ebin</w:t>
      </w:r>
      <w:r>
        <w:rPr>
          <w:rFonts w:eastAsia="Times New Roman"/>
          <w:i/>
          <w:iCs/>
          <w:color w:val="000000"/>
          <w:sz w:val="20"/>
          <w:szCs w:val="20"/>
        </w:rPr>
        <w:t>a</w:t>
      </w:r>
      <w:r>
        <w:rPr>
          <w:rFonts w:eastAsia="Times New Roman"/>
          <w:color w:val="000000"/>
          <w:sz w:val="20"/>
          <w:szCs w:val="20"/>
        </w:rPr>
        <w:t xml:space="preserve"> The Company is engaged in cooperative regulatory compliance activities with the government of Japan in connection with certain environmental contaminants generated in its past operations in that country. The Company has quantities of PCB a</w:t>
      </w:r>
      <w:r>
        <w:rPr>
          <w:rFonts w:eastAsia="Times New Roman"/>
          <w:color w:val="000000"/>
          <w:sz w:val="20"/>
          <w:szCs w:val="20"/>
        </w:rPr>
        <w:t>nd other wastes primarily from its former plant at Oiso, Japan, including capsulated undiluted solutions manufactured in the past, capacitors, light ballasts and PCB-affected soil from the Oiso plant that was excavated and placed in steel drums. These wast</w:t>
      </w:r>
      <w:r>
        <w:rPr>
          <w:rFonts w:eastAsia="Times New Roman"/>
          <w:color w:val="000000"/>
          <w:sz w:val="20"/>
          <w:szCs w:val="20"/>
        </w:rPr>
        <w:t>es are stored in a facility at Ebina, Japan in accordance with Japanese regulations governing such materials. Over the past several years Japan has enacted and amended legislation governing such wastes, and has set a current deadline for treating and dispo</w:t>
      </w:r>
      <w:r>
        <w:rPr>
          <w:rFonts w:eastAsia="Times New Roman"/>
          <w:color w:val="000000"/>
          <w:sz w:val="20"/>
          <w:szCs w:val="20"/>
        </w:rPr>
        <w:t>sing of (at government-constructed disposal facilities) the highest-concentration wastes by 2027. Lower-concentration wastes can be and have been disposed of via private contractors, and as of the period ended June 30, 2020, NCR had disposed of more than a</w:t>
      </w:r>
      <w:r>
        <w:rPr>
          <w:rFonts w:eastAsia="Times New Roman"/>
          <w:color w:val="000000"/>
          <w:sz w:val="20"/>
          <w:szCs w:val="20"/>
        </w:rPr>
        <w:t xml:space="preserve"> third of its lower-concentration wastes.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Company and its consultants have met and communicated regularly with the Japanese agency charged with administration of the law, and are working with that agency on a program to manage disposal of the high-c</w:t>
      </w:r>
      <w:r>
        <w:rPr>
          <w:rFonts w:eastAsia="Times New Roman"/>
          <w:color w:val="000000"/>
          <w:sz w:val="20"/>
          <w:szCs w:val="20"/>
        </w:rPr>
        <w:t>oncentration wastes, including tests of technologies to make the disposal more efficient. Based on communications with the agency, the earliest that high-concentration wastes can be disposed of will be in early 2021, with final deadlines for various of the</w:t>
      </w:r>
      <w:r>
        <w:rPr>
          <w:rFonts w:eastAsia="Times New Roman"/>
          <w:color w:val="000000"/>
          <w:sz w:val="20"/>
          <w:szCs w:val="20"/>
        </w:rPr>
        <w:t xml:space="preserve"> government-constructed disposal sites currently set for 2022, 2023 and later. Low-concentration wastes are required to be contracted for disposal by</w:t>
      </w:r>
      <w:r>
        <w:rPr>
          <w:rFonts w:eastAsia="Times New Roman"/>
          <w:color w:val="000000"/>
          <w:sz w:val="20"/>
          <w:szCs w:val="20"/>
        </w:rPr>
        <w:t xml:space="preserve"> </w:t>
      </w:r>
    </w:p>
    <w:p w:rsidR="00000000" w:rsidRDefault="000A7020">
      <w:pPr>
        <w:jc w:val="center"/>
        <w:divId w:val="858003410"/>
        <w:rPr>
          <w:rFonts w:eastAsia="Times New Roman"/>
        </w:rPr>
      </w:pPr>
      <w:r>
        <w:rPr>
          <w:rFonts w:eastAsia="Times New Roman"/>
          <w:color w:val="000000"/>
          <w:sz w:val="20"/>
          <w:szCs w:val="20"/>
        </w:rPr>
        <w:t>2</w:t>
      </w:r>
      <w:r>
        <w:rPr>
          <w:rFonts w:eastAsia="Times New Roman"/>
          <w:color w:val="000000"/>
          <w:sz w:val="20"/>
          <w:szCs w:val="20"/>
        </w:rPr>
        <w:t>6</w:t>
      </w:r>
    </w:p>
    <w:p w:rsidR="00000000" w:rsidRDefault="000A7020">
      <w:pPr>
        <w:rPr>
          <w:rFonts w:eastAsia="Times New Roman"/>
        </w:rPr>
      </w:pPr>
      <w:r>
        <w:rPr>
          <w:rFonts w:eastAsia="Times New Roman"/>
        </w:rPr>
        <w:pict>
          <v:rect id="_x0000_i1051" style="width:0;height:1.5pt" o:hralign="center" o:hrstd="t" o:hr="t" fillcolor="#a0a0a0" stroked="f"/>
        </w:pict>
      </w:r>
    </w:p>
    <w:p w:rsidR="00000000" w:rsidRDefault="000A7020">
      <w:pPr>
        <w:ind w:firstLine="720"/>
        <w:divId w:val="1588728443"/>
        <w:rPr>
          <w:rFonts w:eastAsia="Times New Roman"/>
        </w:rPr>
      </w:pPr>
      <w:hyperlink w:anchor="ic0df5956a4b14938a5c94b8fe25f3429_7" w:history="1">
        <w:r>
          <w:rPr>
            <w:rStyle w:val="a3"/>
            <w:rFonts w:eastAsia="Times New Roman"/>
            <w:sz w:val="16"/>
            <w:szCs w:val="16"/>
          </w:rPr>
          <w:t>Table of</w:t>
        </w:r>
        <w:r>
          <w:rPr>
            <w:rStyle w:val="a3"/>
            <w:rFonts w:eastAsia="Times New Roman"/>
            <w:sz w:val="16"/>
            <w:szCs w:val="16"/>
          </w:rPr>
          <w:t xml:space="preserve"> Contents</w:t>
        </w:r>
      </w:hyperlink>
    </w:p>
    <w:p w:rsidR="00000000" w:rsidRDefault="000A7020">
      <w:pPr>
        <w:jc w:val="center"/>
        <w:divId w:val="405690412"/>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405690412"/>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 xml:space="preserve">2027, a timetable that the Company expects to meet. In September 2019, the Company’s environmental consultants, following a series of communications and </w:t>
      </w:r>
      <w:r>
        <w:rPr>
          <w:rFonts w:eastAsia="Times New Roman"/>
          <w:color w:val="000000"/>
          <w:sz w:val="20"/>
          <w:szCs w:val="20"/>
        </w:rPr>
        <w:t xml:space="preserve">meetings with the Japanese agency, at the Company’s request prepared an estimate of remaining disposal costs over the coming several years. While the estimate is subject to a range of assumptions and uncertainties, including prospects of cost reduction in </w:t>
      </w:r>
      <w:r>
        <w:rPr>
          <w:rFonts w:eastAsia="Times New Roman"/>
          <w:color w:val="000000"/>
          <w:sz w:val="20"/>
          <w:szCs w:val="20"/>
        </w:rPr>
        <w:t>coordination with the agency as certain field testing to separate high-concentration and low-concentration waste progresses over the coming years, the Company has adjusted its existing reserve for the matter to take into account this cost estimate, and tha</w:t>
      </w:r>
      <w:r>
        <w:rPr>
          <w:rFonts w:eastAsia="Times New Roman"/>
          <w:color w:val="000000"/>
          <w:sz w:val="20"/>
          <w:szCs w:val="20"/>
        </w:rPr>
        <w:t xml:space="preserve">t reserve as of June 30, 2020 is $20 million compared to $19 million at December 31, 2019. The Japan environmental waste issue is treated as a compliance matter and not as litigation or enforcement, and the Company has received no threats of litigation or </w:t>
      </w:r>
      <w:r>
        <w:rPr>
          <w:rFonts w:eastAsia="Times New Roman"/>
          <w:color w:val="000000"/>
          <w:sz w:val="20"/>
          <w:szCs w:val="20"/>
        </w:rPr>
        <w:t>enforcement</w:t>
      </w:r>
      <w:r>
        <w:rPr>
          <w:rFonts w:eastAsia="Times New Roman"/>
          <w:color w:val="000000"/>
          <w:sz w:val="20"/>
          <w:szCs w:val="20"/>
        </w:rPr>
        <w:t>.</w:t>
      </w:r>
    </w:p>
    <w:p w:rsidR="00000000" w:rsidRDefault="000A7020">
      <w:pPr>
        <w:divId w:val="784426965"/>
        <w:rPr>
          <w:rFonts w:eastAsia="Times New Roman"/>
        </w:rPr>
      </w:pPr>
    </w:p>
    <w:p w:rsidR="00000000" w:rsidRDefault="000A7020">
      <w:pPr>
        <w:jc w:val="both"/>
        <w:divId w:val="26225816"/>
        <w:rPr>
          <w:rFonts w:eastAsia="Times New Roman"/>
        </w:rPr>
      </w:pPr>
      <w:r>
        <w:rPr>
          <w:rFonts w:eastAsia="Times New Roman"/>
          <w:i/>
          <w:iCs/>
          <w:color w:val="000000"/>
          <w:sz w:val="20"/>
          <w:szCs w:val="20"/>
        </w:rPr>
        <w:t>Environmental-Related Insurance Recoverie</w:t>
      </w:r>
      <w:r>
        <w:rPr>
          <w:rFonts w:eastAsia="Times New Roman"/>
          <w:i/>
          <w:iCs/>
          <w:color w:val="000000"/>
          <w:sz w:val="20"/>
          <w:szCs w:val="20"/>
        </w:rPr>
        <w:t>s</w:t>
      </w:r>
      <w:r>
        <w:rPr>
          <w:rFonts w:eastAsia="Times New Roman"/>
          <w:color w:val="000000"/>
          <w:sz w:val="20"/>
          <w:szCs w:val="20"/>
        </w:rPr>
        <w:t xml:space="preserve"> In connection with the Fox River and other environmental sites, through June 30, 2020, NCR has received a combined gross total of approximately $202 million in settlements reached with various of it</w:t>
      </w:r>
      <w:r>
        <w:rPr>
          <w:rFonts w:eastAsia="Times New Roman"/>
          <w:color w:val="000000"/>
          <w:sz w:val="20"/>
          <w:szCs w:val="20"/>
        </w:rPr>
        <w:t>s insurance carriers. Portions of many of these settlements agreed in the 2010 through 2013 timeframe are payable to a law firm that litigated the claims on the Company's behalf. Some of the settlements cover not only the Fox River but also other environme</w:t>
      </w:r>
      <w:r>
        <w:rPr>
          <w:rFonts w:eastAsia="Times New Roman"/>
          <w:color w:val="000000"/>
          <w:sz w:val="20"/>
          <w:szCs w:val="20"/>
        </w:rPr>
        <w:t>ntal sites; some are limited to either the Fox River or the Kalamazoo River site. Some of the settlements are directed to defense costs and some are directed to indemnity; some settlements cover both defense costs and indemnity. The Company does not antici</w:t>
      </w:r>
      <w:r>
        <w:rPr>
          <w:rFonts w:eastAsia="Times New Roman"/>
          <w:color w:val="000000"/>
          <w:sz w:val="20"/>
          <w:szCs w:val="20"/>
        </w:rPr>
        <w:t>pate that further material insurance recoveries specific to Kalamazoo River remediation costs will be available to it, owing to considerations under applicable Michigan law. Claims with respect to Kalamazoo River defense costs have now been settled, with t</w:t>
      </w:r>
      <w:r>
        <w:rPr>
          <w:rFonts w:eastAsia="Times New Roman"/>
          <w:color w:val="000000"/>
          <w:sz w:val="20"/>
          <w:szCs w:val="20"/>
        </w:rPr>
        <w:t>he amounts of those settlements included in the sum reported above.</w:t>
      </w:r>
      <w:r>
        <w:rPr>
          <w:rFonts w:eastAsia="Times New Roman"/>
          <w:color w:val="000000"/>
          <w:sz w:val="20"/>
          <w:szCs w:val="20"/>
        </w:rPr>
        <w:t xml:space="preserve"> </w:t>
      </w:r>
    </w:p>
    <w:p w:rsidR="00000000" w:rsidRDefault="000A7020">
      <w:pPr>
        <w:jc w:val="both"/>
        <w:rPr>
          <w:rFonts w:eastAsia="Times New Roman"/>
        </w:rPr>
      </w:pPr>
      <w:r>
        <w:rPr>
          <w:rFonts w:eastAsia="Times New Roman"/>
          <w:i/>
          <w:iCs/>
          <w:color w:val="000000"/>
          <w:sz w:val="20"/>
          <w:szCs w:val="20"/>
        </w:rPr>
        <w:t>Environmental Remediation Estimate</w:t>
      </w:r>
      <w:r>
        <w:rPr>
          <w:rFonts w:eastAsia="Times New Roman"/>
          <w:i/>
          <w:iCs/>
          <w:color w:val="000000"/>
          <w:sz w:val="20"/>
          <w:szCs w:val="20"/>
        </w:rPr>
        <w:t>s</w:t>
      </w:r>
      <w:r>
        <w:rPr>
          <w:rFonts w:eastAsia="Times New Roman"/>
          <w:color w:val="000000"/>
          <w:sz w:val="20"/>
          <w:szCs w:val="20"/>
        </w:rPr>
        <w:t> It is difficult to estimate the future financial impact of environmental laws, including potential liabilities. NCR records environmental provisions wh</w:t>
      </w:r>
      <w:r>
        <w:rPr>
          <w:rFonts w:eastAsia="Times New Roman"/>
          <w:color w:val="000000"/>
          <w:sz w:val="20"/>
          <w:szCs w:val="20"/>
        </w:rPr>
        <w:t>en it is probable that a liability has been incurred and the amount or range of the liability is reasonably estimable in accordance with accounting guidance, where liabilities are not expected to be quantifiable or estimable for a period of years, the esti</w:t>
      </w:r>
      <w:r>
        <w:rPr>
          <w:rFonts w:eastAsia="Times New Roman"/>
          <w:color w:val="000000"/>
          <w:sz w:val="20"/>
          <w:szCs w:val="20"/>
        </w:rPr>
        <w:t>mated costs of investigating those liabilities are recorded as a component of the reserve for that particular site. Provisions for estimated losses from environmental restoration and remediation are, depending on the site, based generally on internal and t</w:t>
      </w:r>
      <w:r>
        <w:rPr>
          <w:rFonts w:eastAsia="Times New Roman"/>
          <w:color w:val="000000"/>
          <w:sz w:val="20"/>
          <w:szCs w:val="20"/>
        </w:rPr>
        <w:t>hird-party environmental studies, estimates as to the number and participation level of other PRPs, the extent of contamination, estimated amounts for attorney and other fees, and the nature of required clean-up and restoration actions. Reserves are adjust</w:t>
      </w:r>
      <w:r>
        <w:rPr>
          <w:rFonts w:eastAsia="Times New Roman"/>
          <w:color w:val="000000"/>
          <w:sz w:val="20"/>
          <w:szCs w:val="20"/>
        </w:rPr>
        <w:t>ed as further information develops or circumstances change. Management expects that the amounts reserved from time to time will be paid out over the period of investigation, negotiation, remediation and restoration for the applicable sites. The amounts pro</w:t>
      </w:r>
      <w:r>
        <w:rPr>
          <w:rFonts w:eastAsia="Times New Roman"/>
          <w:color w:val="000000"/>
          <w:sz w:val="20"/>
          <w:szCs w:val="20"/>
        </w:rPr>
        <w:t>vided for environmental matters in NCR's Condensed Consolidated Financial Statements are the estimated gross undiscounted amounts of such liabilities, without deductions for indemnity insurance, third-party indemnity claims or recoveries from other PRPs, e</w:t>
      </w:r>
      <w:r>
        <w:rPr>
          <w:rFonts w:eastAsia="Times New Roman"/>
          <w:color w:val="000000"/>
          <w:sz w:val="20"/>
          <w:szCs w:val="20"/>
        </w:rPr>
        <w:t>xcept as qualified in the following sentences. In those cases where insurance carriers or third-party indemnitors have agreed to pay any amounts and management believes that collectability of such amounts is probable, the amounts are recorded in the Conden</w:t>
      </w:r>
      <w:r>
        <w:rPr>
          <w:rFonts w:eastAsia="Times New Roman"/>
          <w:color w:val="000000"/>
          <w:sz w:val="20"/>
          <w:szCs w:val="20"/>
        </w:rPr>
        <w:t>sed Consolidated Financial Statements. For the Fox River and Kalamazoo River sites, as described above, assets relating to the AT&amp;T and Nokia indemnities and to the BAT obligations are recorded as payment is supported by contractual agreements, public fili</w:t>
      </w:r>
      <w:r>
        <w:rPr>
          <w:rFonts w:eastAsia="Times New Roman"/>
          <w:color w:val="000000"/>
          <w:sz w:val="20"/>
          <w:szCs w:val="20"/>
        </w:rPr>
        <w:t>ngs and/or payment history</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Guarantees and Product Warrantie</w:t>
      </w:r>
      <w:r>
        <w:rPr>
          <w:rFonts w:eastAsia="Times New Roman"/>
          <w:b/>
          <w:bCs/>
          <w:color w:val="000000"/>
          <w:sz w:val="20"/>
          <w:szCs w:val="20"/>
        </w:rPr>
        <w:t>s</w:t>
      </w:r>
      <w:r>
        <w:rPr>
          <w:rFonts w:eastAsia="Times New Roman"/>
          <w:color w:val="000000"/>
          <w:sz w:val="20"/>
          <w:szCs w:val="20"/>
        </w:rPr>
        <w:t xml:space="preserve"> In the ordinary course of business, NCR may issue performance guarantees on behalf of its subsidiaries to certain of its customers and other parties. Some of those guarantees may be backed by </w:t>
      </w:r>
      <w:r>
        <w:rPr>
          <w:rFonts w:eastAsia="Times New Roman"/>
          <w:color w:val="000000"/>
          <w:sz w:val="20"/>
          <w:szCs w:val="20"/>
        </w:rPr>
        <w:t>standby letters of credit, surety bonds, or similar instruments. In general, under the guarantees, NCR would be obligated to perform, or cause performance, over the term of the underlying contract in the event of an unexcused, uncured breach by its subsidi</w:t>
      </w:r>
      <w:r>
        <w:rPr>
          <w:rFonts w:eastAsia="Times New Roman"/>
          <w:color w:val="000000"/>
          <w:sz w:val="20"/>
          <w:szCs w:val="20"/>
        </w:rPr>
        <w:t>ary, or some other specified triggering event, in each case as defined by the applicable guarantee. NCR believes the likelihood of having to perform under any such guarantee is remote. As of June 30, 2020 and December 31, 2019, NCR had no material obligati</w:t>
      </w:r>
      <w:r>
        <w:rPr>
          <w:rFonts w:eastAsia="Times New Roman"/>
          <w:color w:val="000000"/>
          <w:sz w:val="20"/>
          <w:szCs w:val="20"/>
        </w:rPr>
        <w:t>ons related to such guarantees, and therefore its Condensed Consolidated Financial Statements do not have any associated liability balance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NCR provides its customers a standard manufacturer’s warranty and records, at the time of the sale, a correspondin</w:t>
      </w:r>
      <w:r>
        <w:rPr>
          <w:rFonts w:eastAsia="Times New Roman"/>
          <w:color w:val="000000"/>
          <w:sz w:val="20"/>
          <w:szCs w:val="20"/>
        </w:rPr>
        <w:t>g estimated liability for potential warranty costs. Estimated future obligations due to warranty claims are based upon historical factors, such as labor rates, average repair time, travel time, number of service calls per machine and cost of replacement pa</w:t>
      </w:r>
      <w:r>
        <w:rPr>
          <w:rFonts w:eastAsia="Times New Roman"/>
          <w:color w:val="000000"/>
          <w:sz w:val="20"/>
          <w:szCs w:val="20"/>
        </w:rPr>
        <w:t>rts. When a sale is consummated, the total customer revenue is recognized, provided that all revenue recognition criteria are otherwise satisfied, and the associated warranty liability is recorded using pre-established warranty percentages for the respecti</w:t>
      </w:r>
      <w:r>
        <w:rPr>
          <w:rFonts w:eastAsia="Times New Roman"/>
          <w:color w:val="000000"/>
          <w:sz w:val="20"/>
          <w:szCs w:val="20"/>
        </w:rPr>
        <w:t>ve product classes.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From time to time, product design or quality corrections are accomplished through modification programs. When identified, associated costs of labor and parts for such programs are estimated and accrued as part of the warranty reserve</w:t>
      </w:r>
      <w:r>
        <w:rPr>
          <w:rFonts w:eastAsia="Times New Roman"/>
          <w:color w:val="000000"/>
          <w:sz w:val="20"/>
          <w:szCs w:val="20"/>
        </w:rPr>
        <w:t>.</w:t>
      </w:r>
    </w:p>
    <w:p w:rsidR="00000000" w:rsidRDefault="000A7020">
      <w:pPr>
        <w:divId w:val="1212886261"/>
        <w:rPr>
          <w:rFonts w:eastAsia="Times New Roman"/>
        </w:rPr>
      </w:pPr>
    </w:p>
    <w:p w:rsidR="00000000" w:rsidRDefault="000A7020">
      <w:pPr>
        <w:divId w:val="970479115"/>
        <w:rPr>
          <w:rFonts w:eastAsia="Times New Roman"/>
        </w:rPr>
      </w:pPr>
      <w:r>
        <w:rPr>
          <w:rFonts w:eastAsia="Times New Roman"/>
          <w:color w:val="000000"/>
          <w:sz w:val="20"/>
          <w:szCs w:val="20"/>
        </w:rPr>
        <w:t>The Company recorded the activity related to the warranty reserve for the six months ended June 30 as follows</w:t>
      </w:r>
      <w:r>
        <w:rPr>
          <w:rFonts w:eastAsia="Times New Roman"/>
          <w:color w:val="000000"/>
          <w:sz w:val="20"/>
          <w:szCs w:val="20"/>
        </w:rPr>
        <w:t>:</w:t>
      </w:r>
    </w:p>
    <w:p w:rsidR="00000000" w:rsidRDefault="000A7020">
      <w:pPr>
        <w:jc w:val="center"/>
        <w:divId w:val="1976638049"/>
        <w:rPr>
          <w:rFonts w:eastAsia="Times New Roman"/>
        </w:rPr>
      </w:pPr>
      <w:r>
        <w:rPr>
          <w:rFonts w:eastAsia="Times New Roman"/>
          <w:color w:val="000000"/>
          <w:sz w:val="20"/>
          <w:szCs w:val="20"/>
        </w:rPr>
        <w:t>2</w:t>
      </w:r>
      <w:r>
        <w:rPr>
          <w:rFonts w:eastAsia="Times New Roman"/>
          <w:color w:val="000000"/>
          <w:sz w:val="20"/>
          <w:szCs w:val="20"/>
        </w:rPr>
        <w:t>7</w:t>
      </w:r>
    </w:p>
    <w:p w:rsidR="00000000" w:rsidRDefault="000A7020">
      <w:pPr>
        <w:rPr>
          <w:rFonts w:eastAsia="Times New Roman"/>
        </w:rPr>
      </w:pPr>
      <w:r>
        <w:rPr>
          <w:rFonts w:eastAsia="Times New Roman"/>
        </w:rPr>
        <w:pict>
          <v:rect id="_x0000_i1052" style="width:0;height:1.5pt" o:hralign="center" o:hrstd="t" o:hr="t" fillcolor="#a0a0a0" stroked="f"/>
        </w:pict>
      </w:r>
    </w:p>
    <w:p w:rsidR="00000000" w:rsidRDefault="000A7020">
      <w:pPr>
        <w:ind w:firstLine="720"/>
        <w:divId w:val="1436635801"/>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291980414"/>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291980414"/>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5"/>
        <w:gridCol w:w="5698"/>
        <w:gridCol w:w="56"/>
        <w:gridCol w:w="135"/>
        <w:gridCol w:w="972"/>
        <w:gridCol w:w="85"/>
        <w:gridCol w:w="36"/>
        <w:gridCol w:w="36"/>
        <w:gridCol w:w="36"/>
        <w:gridCol w:w="135"/>
        <w:gridCol w:w="952"/>
        <w:gridCol w:w="85"/>
      </w:tblGrid>
      <w:tr w:rsidR="00000000">
        <w:trPr>
          <w:divId w:val="1866362438"/>
          <w:jc w:val="center"/>
        </w:trPr>
        <w:tc>
          <w:tcPr>
            <w:tcW w:w="50" w:type="pct"/>
            <w:vAlign w:val="center"/>
            <w:hideMark/>
          </w:tcPr>
          <w:p w:rsidR="00000000" w:rsidRDefault="000A7020">
            <w:pPr>
              <w:jc w:val="center"/>
              <w:rPr>
                <w:rFonts w:eastAsia="Times New Roman"/>
              </w:rPr>
            </w:pPr>
          </w:p>
        </w:tc>
        <w:tc>
          <w:tcPr>
            <w:tcW w:w="345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0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0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866362438"/>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r>
      <w:tr w:rsidR="00000000">
        <w:trPr>
          <w:divId w:val="186636243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Warranty reserve liabilit</w:t>
            </w:r>
            <w:r>
              <w:rPr>
                <w:rFonts w:eastAsia="Times New Roman"/>
                <w:b/>
                <w:bCs/>
                <w:color w:val="000000"/>
                <w:sz w:val="20"/>
                <w:szCs w:val="20"/>
              </w:rPr>
              <w:t>y</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186636243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Beginning balance as of January </w:t>
            </w:r>
            <w:r>
              <w:rPr>
                <w:rFonts w:eastAsia="Times New Roman"/>
                <w:color w:val="000000"/>
                <w:sz w:val="20"/>
                <w:szCs w:val="20"/>
              </w:rPr>
              <w:t>1</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86636243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Accruals for warranties issue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86636243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Settlements (in cash or in kind</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(18</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86636243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Ending balance as of June 30</w:t>
            </w:r>
            <w:r>
              <w:rPr>
                <w:rFonts w:eastAsia="Times New Roman"/>
                <w:color w:val="000000"/>
                <w:sz w:val="20"/>
                <w:szCs w:val="20"/>
              </w:rPr>
              <w:t xml:space="preserve">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18</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bl>
    <w:p w:rsidR="00000000" w:rsidRDefault="000A7020">
      <w:pPr>
        <w:divId w:val="788621380"/>
        <w:rPr>
          <w:rFonts w:eastAsia="Times New Roman"/>
        </w:rPr>
      </w:pPr>
      <w:r>
        <w:rPr>
          <w:rFonts w:eastAsia="Times New Roman"/>
          <w:color w:val="000000"/>
          <w:sz w:val="16"/>
          <w:szCs w:val="16"/>
        </w:rPr>
        <w:t> </w:t>
      </w:r>
    </w:p>
    <w:p w:rsidR="00000000" w:rsidRDefault="000A7020">
      <w:pPr>
        <w:jc w:val="both"/>
        <w:rPr>
          <w:rFonts w:eastAsia="Times New Roman"/>
        </w:rPr>
      </w:pPr>
      <w:r>
        <w:rPr>
          <w:rFonts w:eastAsia="Times New Roman"/>
          <w:color w:val="000000"/>
          <w:sz w:val="20"/>
          <w:szCs w:val="20"/>
        </w:rPr>
        <w:t>In addition, NCR provides its customers with certain indemnification rights. In general, NCR agrees to indemnify the customer if a third party asserts patent or other infringement on the part of its customers for its use of the Company’s products subject t</w:t>
      </w:r>
      <w:r>
        <w:rPr>
          <w:rFonts w:eastAsia="Times New Roman"/>
          <w:color w:val="000000"/>
          <w:sz w:val="20"/>
          <w:szCs w:val="20"/>
        </w:rPr>
        <w:t xml:space="preserve">o certain conditions that are generally standard within the Company’s industries. On limited occasions the Company will undertake additional indemnification obligations for business reasons. From time to time, NCR also enters into agreements in connection </w:t>
      </w:r>
      <w:r>
        <w:rPr>
          <w:rFonts w:eastAsia="Times New Roman"/>
          <w:color w:val="000000"/>
          <w:sz w:val="20"/>
          <w:szCs w:val="20"/>
        </w:rPr>
        <w:t>with its acquisition and divestiture activities that include indemnification obligations by the Company. The fair value of these indemnification obligations is not readily determinable due to the conditional nature of the Company’s potential obligations an</w:t>
      </w:r>
      <w:r>
        <w:rPr>
          <w:rFonts w:eastAsia="Times New Roman"/>
          <w:color w:val="000000"/>
          <w:sz w:val="20"/>
          <w:szCs w:val="20"/>
        </w:rPr>
        <w:t>d the specific facts and circumstances involved with each particular agreement. The Company has not recorded a liability in connection with these indemnifications, and no current indemnification instance is material to the Company’s financial position. His</w:t>
      </w:r>
      <w:r>
        <w:rPr>
          <w:rFonts w:eastAsia="Times New Roman"/>
          <w:color w:val="000000"/>
          <w:sz w:val="20"/>
          <w:szCs w:val="20"/>
        </w:rPr>
        <w:t>torically, payments made by the Company under these types of agreements have not had a material effect on the Company’s consolidated financial condition, results of operations or cash flows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Purchase Commitment</w:t>
      </w:r>
      <w:r>
        <w:rPr>
          <w:rFonts w:eastAsia="Times New Roman"/>
          <w:b/>
          <w:bCs/>
          <w:color w:val="000000"/>
          <w:sz w:val="20"/>
          <w:szCs w:val="20"/>
        </w:rPr>
        <w:t>s</w:t>
      </w:r>
      <w:r>
        <w:rPr>
          <w:rFonts w:eastAsia="Times New Roman"/>
          <w:color w:val="000000"/>
          <w:sz w:val="20"/>
          <w:szCs w:val="20"/>
        </w:rPr>
        <w:t xml:space="preserve"> The Company has purchase commitments for m</w:t>
      </w:r>
      <w:r>
        <w:rPr>
          <w:rFonts w:eastAsia="Times New Roman"/>
          <w:color w:val="000000"/>
          <w:sz w:val="20"/>
          <w:szCs w:val="20"/>
        </w:rPr>
        <w:t>aterials, supplies, services, and property, plant and equipment as part of the normal course of business. This includes a long-term service agreement with Accenture, under which many of NCR's key transaction processing activities and functions are performe</w:t>
      </w:r>
      <w:r>
        <w:rPr>
          <w:rFonts w:eastAsia="Times New Roman"/>
          <w:color w:val="000000"/>
          <w:sz w:val="20"/>
          <w:szCs w:val="20"/>
        </w:rPr>
        <w:t>d.</w:t>
      </w:r>
      <w:r>
        <w:rPr>
          <w:rFonts w:eastAsia="Times New Roman"/>
          <w:color w:val="000000"/>
          <w:sz w:val="20"/>
          <w:szCs w:val="20"/>
        </w:rPr>
        <w:t xml:space="preserve"> </w:t>
      </w:r>
    </w:p>
    <w:p w:rsidR="00000000" w:rsidRDefault="000A7020">
      <w:pPr>
        <w:jc w:val="both"/>
        <w:rPr>
          <w:rFonts w:eastAsia="Times New Roman"/>
        </w:rPr>
      </w:pPr>
    </w:p>
    <w:p w:rsidR="00000000" w:rsidRDefault="000A7020">
      <w:pPr>
        <w:divId w:val="706568122"/>
        <w:rPr>
          <w:rFonts w:eastAsia="Times New Roman"/>
        </w:rPr>
      </w:pPr>
    </w:p>
    <w:p w:rsidR="00000000" w:rsidRDefault="000A7020">
      <w:pPr>
        <w:divId w:val="439304200"/>
        <w:rPr>
          <w:rFonts w:eastAsia="Times New Roman"/>
        </w:rPr>
      </w:pPr>
      <w:r>
        <w:rPr>
          <w:rFonts w:eastAsia="Times New Roman"/>
          <w:b/>
          <w:bCs/>
          <w:color w:val="54B948"/>
          <w:sz w:val="20"/>
          <w:szCs w:val="20"/>
        </w:rPr>
        <w:t>10. LEASIN</w:t>
      </w:r>
      <w:r>
        <w:rPr>
          <w:rFonts w:eastAsia="Times New Roman"/>
          <w:b/>
          <w:bCs/>
          <w:color w:val="54B948"/>
          <w:sz w:val="20"/>
          <w:szCs w:val="20"/>
        </w:rPr>
        <w:t>G</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Lesse</w:t>
      </w:r>
      <w:r>
        <w:rPr>
          <w:rFonts w:eastAsia="Times New Roman"/>
          <w:i/>
          <w:iCs/>
          <w:color w:val="000000"/>
          <w:sz w:val="20"/>
          <w:szCs w:val="20"/>
        </w:rPr>
        <w:t>e</w:t>
      </w:r>
      <w:r>
        <w:rPr>
          <w:rFonts w:eastAsia="Times New Roman"/>
          <w:color w:val="000000"/>
          <w:sz w:val="20"/>
          <w:szCs w:val="20"/>
        </w:rPr>
        <w:t xml:space="preserve"> We lease property, vehicles and equipment under operating and financing leases.  For leases with terms greater than 12 months, we record the related asset and obligation at the present value of lease payments over the term. We </w:t>
      </w:r>
      <w:r>
        <w:rPr>
          <w:rFonts w:eastAsia="Times New Roman"/>
          <w:color w:val="000000"/>
          <w:sz w:val="20"/>
          <w:szCs w:val="20"/>
        </w:rPr>
        <w:t>determine the lease term by assuming the exercise of renewal options that are reasonably certain. Leases with a lease term 12 months or less at inception are not recorded on our Condensed Consolidated Balance Sheet and are expensed on a straight-line basis</w:t>
      </w:r>
      <w:r>
        <w:rPr>
          <w:rFonts w:eastAsia="Times New Roman"/>
          <w:color w:val="000000"/>
          <w:sz w:val="20"/>
          <w:szCs w:val="20"/>
        </w:rPr>
        <w:t xml:space="preserve"> over the lease term in our Condensed Consolidated Statement of Operations. Our leases may include rental escalation clauses, renewal options and/or termination options that are factored into our determination of lease payments when appropriate. When avail</w:t>
      </w:r>
      <w:r>
        <w:rPr>
          <w:rFonts w:eastAsia="Times New Roman"/>
          <w:color w:val="000000"/>
          <w:sz w:val="20"/>
          <w:szCs w:val="20"/>
        </w:rPr>
        <w:t>able, we use the rate implicit in the lease to discount lease payments to present value; however, most of our leases do not provide a readily determinable implicit rate. Therefore, we must estimate our incremental borrowing rate to discount the lease payme</w:t>
      </w:r>
      <w:r>
        <w:rPr>
          <w:rFonts w:eastAsia="Times New Roman"/>
          <w:color w:val="000000"/>
          <w:sz w:val="20"/>
          <w:szCs w:val="20"/>
        </w:rPr>
        <w:t>nts based on information available at lease commencement. Our incremental borrowing rate is based on a credit-adjusted risk-free rate at commencement date, which best approximates a secured rate over a similar term of lease. Additionally, we do not separat</w:t>
      </w:r>
      <w:r>
        <w:rPr>
          <w:rFonts w:eastAsia="Times New Roman"/>
          <w:color w:val="000000"/>
          <w:sz w:val="20"/>
          <w:szCs w:val="20"/>
        </w:rPr>
        <w:t>e lease and non-lease components for any asset classes, except for those leases embedded in certain service arrangements. Fixed and in-substance fixed payments are included in the recognition of the operating and financing assets and lease liabilities, how</w:t>
      </w:r>
      <w:r>
        <w:rPr>
          <w:rFonts w:eastAsia="Times New Roman"/>
          <w:color w:val="000000"/>
          <w:sz w:val="20"/>
          <w:szCs w:val="20"/>
        </w:rPr>
        <w:t>ever, variable lease payments, other than those based on a rate or index, are recognized in the Condensed Consolidated Statements of Operations in the period in which the obligation for those payments is incurred. The Company’s variable lease payments gene</w:t>
      </w:r>
      <w:r>
        <w:rPr>
          <w:rFonts w:eastAsia="Times New Roman"/>
          <w:color w:val="000000"/>
          <w:sz w:val="20"/>
          <w:szCs w:val="20"/>
        </w:rPr>
        <w:t>rally relate to payments tied to various indices, non-lease components and payments above a contractual minimum fixed payment</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following table presents our lease balances as of June 30, 2020 and December 31, 2019</w:t>
      </w:r>
      <w:r>
        <w:rPr>
          <w:rFonts w:eastAsia="Times New Roman"/>
          <w:color w:val="000000"/>
          <w:sz w:val="20"/>
          <w:szCs w:val="20"/>
        </w:rPr>
        <w:t>:</w:t>
      </w:r>
    </w:p>
    <w:p w:rsidR="00000000" w:rsidRDefault="000A7020">
      <w:pPr>
        <w:jc w:val="center"/>
        <w:divId w:val="50545984"/>
        <w:rPr>
          <w:rFonts w:eastAsia="Times New Roman"/>
        </w:rPr>
      </w:pPr>
      <w:r>
        <w:rPr>
          <w:rFonts w:eastAsia="Times New Roman"/>
          <w:color w:val="000000"/>
          <w:sz w:val="20"/>
          <w:szCs w:val="20"/>
        </w:rPr>
        <w:t>2</w:t>
      </w:r>
      <w:r>
        <w:rPr>
          <w:rFonts w:eastAsia="Times New Roman"/>
          <w:color w:val="000000"/>
          <w:sz w:val="20"/>
          <w:szCs w:val="20"/>
        </w:rPr>
        <w:t>8</w:t>
      </w:r>
    </w:p>
    <w:p w:rsidR="00000000" w:rsidRDefault="000A7020">
      <w:pPr>
        <w:rPr>
          <w:rFonts w:eastAsia="Times New Roman"/>
        </w:rPr>
      </w:pPr>
      <w:r>
        <w:rPr>
          <w:rFonts w:eastAsia="Times New Roman"/>
        </w:rPr>
        <w:pict>
          <v:rect id="_x0000_i1053" style="width:0;height:1.5pt" o:hralign="center" o:hrstd="t" o:hr="t" fillcolor="#a0a0a0" stroked="f"/>
        </w:pict>
      </w:r>
    </w:p>
    <w:p w:rsidR="00000000" w:rsidRDefault="000A7020">
      <w:pPr>
        <w:ind w:firstLine="720"/>
        <w:divId w:val="1269115792"/>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283195504"/>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283195504"/>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3614"/>
        <w:gridCol w:w="61"/>
        <w:gridCol w:w="61"/>
        <w:gridCol w:w="2302"/>
        <w:gridCol w:w="61"/>
        <w:gridCol w:w="36"/>
        <w:gridCol w:w="36"/>
        <w:gridCol w:w="36"/>
        <w:gridCol w:w="135"/>
        <w:gridCol w:w="719"/>
        <w:gridCol w:w="85"/>
        <w:gridCol w:w="36"/>
        <w:gridCol w:w="46"/>
        <w:gridCol w:w="36"/>
        <w:gridCol w:w="136"/>
        <w:gridCol w:w="747"/>
        <w:gridCol w:w="85"/>
      </w:tblGrid>
      <w:tr w:rsidR="00000000">
        <w:trPr>
          <w:divId w:val="758797367"/>
          <w:jc w:val="center"/>
        </w:trPr>
        <w:tc>
          <w:tcPr>
            <w:tcW w:w="50" w:type="pct"/>
            <w:vAlign w:val="center"/>
            <w:hideMark/>
          </w:tcPr>
          <w:p w:rsidR="00000000" w:rsidRDefault="000A7020">
            <w:pPr>
              <w:jc w:val="center"/>
              <w:rPr>
                <w:rFonts w:eastAsia="Times New Roman"/>
              </w:rPr>
            </w:pPr>
          </w:p>
        </w:tc>
        <w:tc>
          <w:tcPr>
            <w:tcW w:w="219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40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5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1"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6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758797367"/>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Location in the Condensed Consolidated Balance Shee</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r>
      <w:tr w:rsidR="00000000">
        <w:trPr>
          <w:divId w:val="758797367"/>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758797367"/>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Operating lease asset</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Operating lease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347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758797367"/>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Finance lease asset</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Property, plant and equipment,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758797367"/>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Accumulated Amortization of Finance lease asset</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Property, plant and equipment, ne</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758797367"/>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leased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389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758797367"/>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20"/>
                <w:szCs w:val="20"/>
              </w:rPr>
              <w:t>Liabilitie</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758797367"/>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Curren</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758797367"/>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Operating lease liabilitie</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758797367"/>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Finance lease liabilitie</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758797367"/>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Noncurren</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758797367"/>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w:t>
            </w:r>
            <w:r>
              <w:rPr>
                <w:rFonts w:eastAsia="Times New Roman"/>
                <w:color w:val="000000"/>
                <w:sz w:val="20"/>
                <w:szCs w:val="20"/>
              </w:rPr>
              <w:t>Operating lease liabilitie</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Operating lease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334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758797367"/>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Finance lease liabilitie</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758797367"/>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lease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462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following tables present our lease costs for operating and finance leases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51"/>
        <w:gridCol w:w="5329"/>
        <w:gridCol w:w="51"/>
        <w:gridCol w:w="36"/>
        <w:gridCol w:w="36"/>
        <w:gridCol w:w="36"/>
        <w:gridCol w:w="136"/>
        <w:gridCol w:w="1101"/>
        <w:gridCol w:w="85"/>
        <w:gridCol w:w="36"/>
        <w:gridCol w:w="36"/>
        <w:gridCol w:w="36"/>
        <w:gridCol w:w="136"/>
        <w:gridCol w:w="1103"/>
        <w:gridCol w:w="85"/>
      </w:tblGrid>
      <w:tr w:rsidR="00000000">
        <w:trPr>
          <w:divId w:val="140080511"/>
          <w:jc w:val="center"/>
        </w:trPr>
        <w:tc>
          <w:tcPr>
            <w:tcW w:w="50" w:type="pct"/>
            <w:vAlign w:val="center"/>
            <w:hideMark/>
          </w:tcPr>
          <w:p w:rsidR="00000000" w:rsidRDefault="000A7020">
            <w:pPr>
              <w:jc w:val="both"/>
              <w:rPr>
                <w:rFonts w:eastAsia="Times New Roman"/>
              </w:rPr>
            </w:pPr>
          </w:p>
        </w:tc>
        <w:tc>
          <w:tcPr>
            <w:tcW w:w="323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9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9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40080511"/>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30, 202</w:t>
            </w:r>
            <w:r>
              <w:rPr>
                <w:rFonts w:eastAsia="Times New Roman"/>
                <w:b/>
                <w:bCs/>
                <w:color w:val="000000"/>
                <w:sz w:val="16"/>
                <w:szCs w:val="16"/>
              </w:rPr>
              <w:t>0</w:t>
            </w:r>
          </w:p>
        </w:tc>
      </w:tr>
      <w:tr w:rsidR="00000000">
        <w:trPr>
          <w:divId w:val="140080511"/>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Operating lease cos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140080511"/>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Finance lease cos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140080511"/>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Amortization of leased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140080511"/>
          <w:jc w:val="center"/>
        </w:trPr>
        <w:tc>
          <w:tcPr>
            <w:tcW w:w="0" w:type="auto"/>
            <w:gridSpan w:val="3"/>
            <w:shd w:val="clear" w:color="auto" w:fill="FFFFFF"/>
            <w:tcMar>
              <w:top w:w="30" w:type="dxa"/>
              <w:left w:w="225" w:type="dxa"/>
              <w:bottom w:w="30" w:type="dxa"/>
              <w:right w:w="20" w:type="dxa"/>
            </w:tcMar>
            <w:vAlign w:val="bottom"/>
            <w:hideMark/>
          </w:tcPr>
          <w:p w:rsidR="00000000" w:rsidRDefault="000A7020">
            <w:pPr>
              <w:rPr>
                <w:rFonts w:eastAsia="Times New Roman"/>
              </w:rPr>
            </w:pPr>
            <w:r>
              <w:rPr>
                <w:rFonts w:eastAsia="Times New Roman"/>
                <w:color w:val="000000"/>
                <w:sz w:val="20"/>
                <w:szCs w:val="20"/>
              </w:rPr>
              <w:t>  Interest on lease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140080511"/>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Short-Term lease cos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140080511"/>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Variable lease cos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140080511"/>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w:t>
            </w:r>
            <w:r>
              <w:rPr>
                <w:rFonts w:eastAsia="Times New Roman"/>
                <w:color w:val="000000"/>
                <w:sz w:val="20"/>
                <w:szCs w:val="20"/>
              </w:rPr>
              <w:t>Total lease cos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bl>
    <w:p w:rsidR="00000000" w:rsidRDefault="000A7020">
      <w:pPr>
        <w:jc w:val="both"/>
        <w:rPr>
          <w:rFonts w:eastAsia="Times New Roman"/>
        </w:rPr>
      </w:pPr>
    </w:p>
    <w:p w:rsidR="00000000" w:rsidRDefault="000A7020">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5311"/>
        <w:gridCol w:w="37"/>
        <w:gridCol w:w="36"/>
        <w:gridCol w:w="36"/>
        <w:gridCol w:w="36"/>
        <w:gridCol w:w="136"/>
        <w:gridCol w:w="1112"/>
        <w:gridCol w:w="85"/>
        <w:gridCol w:w="36"/>
        <w:gridCol w:w="36"/>
        <w:gridCol w:w="36"/>
        <w:gridCol w:w="136"/>
        <w:gridCol w:w="1112"/>
        <w:gridCol w:w="85"/>
      </w:tblGrid>
      <w:tr w:rsidR="00000000">
        <w:trPr>
          <w:divId w:val="391008521"/>
        </w:trPr>
        <w:tc>
          <w:tcPr>
            <w:tcW w:w="50" w:type="pct"/>
            <w:vAlign w:val="center"/>
            <w:hideMark/>
          </w:tcPr>
          <w:p w:rsidR="00000000" w:rsidRDefault="000A7020">
            <w:pPr>
              <w:jc w:val="both"/>
              <w:rPr>
                <w:rFonts w:eastAsia="Times New Roman"/>
              </w:rPr>
            </w:pPr>
          </w:p>
        </w:tc>
        <w:tc>
          <w:tcPr>
            <w:tcW w:w="324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70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1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70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391008521"/>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three months ended June 30,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six months ended June 30, 201</w:t>
            </w:r>
            <w:r>
              <w:rPr>
                <w:rFonts w:eastAsia="Times New Roman"/>
                <w:b/>
                <w:bCs/>
                <w:color w:val="000000"/>
                <w:sz w:val="16"/>
                <w:szCs w:val="16"/>
              </w:rPr>
              <w:t>9</w:t>
            </w:r>
          </w:p>
        </w:tc>
      </w:tr>
      <w:tr w:rsidR="00000000">
        <w:trPr>
          <w:divId w:val="391008521"/>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Operating lease cos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91008521"/>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Finance lease cos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391008521"/>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Amortization of leased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91008521"/>
        </w:trPr>
        <w:tc>
          <w:tcPr>
            <w:tcW w:w="0" w:type="auto"/>
            <w:gridSpan w:val="3"/>
            <w:shd w:val="clear" w:color="auto" w:fill="FFFFFF"/>
            <w:tcMar>
              <w:top w:w="30" w:type="dxa"/>
              <w:left w:w="225" w:type="dxa"/>
              <w:bottom w:w="30" w:type="dxa"/>
              <w:right w:w="20" w:type="dxa"/>
            </w:tcMar>
            <w:vAlign w:val="bottom"/>
            <w:hideMark/>
          </w:tcPr>
          <w:p w:rsidR="00000000" w:rsidRDefault="000A7020">
            <w:pPr>
              <w:rPr>
                <w:rFonts w:eastAsia="Times New Roman"/>
              </w:rPr>
            </w:pPr>
            <w:r>
              <w:rPr>
                <w:rFonts w:eastAsia="Times New Roman"/>
                <w:color w:val="000000"/>
                <w:sz w:val="20"/>
                <w:szCs w:val="20"/>
              </w:rPr>
              <w:t>Interest on lease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91008521"/>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Short-Term lease cos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91008521"/>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Variable lease cos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91008521"/>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lease cos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91008521"/>
          <w:trHeight w:val="12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following tables present the supplemental cash flow information</w:t>
      </w:r>
      <w:r>
        <w:rPr>
          <w:rFonts w:eastAsia="Times New Roman"/>
          <w:color w:val="000000"/>
          <w:sz w:val="20"/>
          <w:szCs w:val="20"/>
        </w:rPr>
        <w:t>:</w:t>
      </w:r>
    </w:p>
    <w:p w:rsidR="00000000" w:rsidRDefault="000A7020">
      <w:pPr>
        <w:jc w:val="center"/>
        <w:divId w:val="1686400447"/>
        <w:rPr>
          <w:rFonts w:eastAsia="Times New Roman"/>
        </w:rPr>
      </w:pPr>
      <w:r>
        <w:rPr>
          <w:rFonts w:eastAsia="Times New Roman"/>
          <w:color w:val="000000"/>
          <w:sz w:val="20"/>
          <w:szCs w:val="20"/>
        </w:rPr>
        <w:t>2</w:t>
      </w:r>
      <w:r>
        <w:rPr>
          <w:rFonts w:eastAsia="Times New Roman"/>
          <w:color w:val="000000"/>
          <w:sz w:val="20"/>
          <w:szCs w:val="20"/>
        </w:rPr>
        <w:t>9</w:t>
      </w:r>
    </w:p>
    <w:p w:rsidR="00000000" w:rsidRDefault="000A7020">
      <w:pPr>
        <w:rPr>
          <w:rFonts w:eastAsia="Times New Roman"/>
        </w:rPr>
      </w:pPr>
      <w:r>
        <w:rPr>
          <w:rFonts w:eastAsia="Times New Roman"/>
        </w:rPr>
        <w:pict>
          <v:rect id="_x0000_i1054" style="width:0;height:1.5pt" o:hralign="center" o:hrstd="t" o:hr="t" fillcolor="#a0a0a0" stroked="f"/>
        </w:pict>
      </w:r>
    </w:p>
    <w:p w:rsidR="00000000" w:rsidRDefault="000A7020">
      <w:pPr>
        <w:ind w:firstLine="720"/>
        <w:divId w:val="1908874392"/>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52718571"/>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52718571"/>
        <w:rPr>
          <w:rFonts w:eastAsia="Times New Roman"/>
        </w:rPr>
      </w:pPr>
      <w:r>
        <w:rPr>
          <w:rFonts w:eastAsia="Times New Roman"/>
          <w:b/>
          <w:bCs/>
          <w:color w:val="000000"/>
          <w:sz w:val="20"/>
          <w:szCs w:val="20"/>
        </w:rPr>
        <w:t>Notes to Condensed Consolidated Financial Statements (</w:t>
      </w:r>
      <w:r>
        <w:rPr>
          <w:rFonts w:eastAsia="Times New Roman"/>
          <w:b/>
          <w:bCs/>
          <w:color w:val="000000"/>
          <w:sz w:val="20"/>
          <w:szCs w:val="20"/>
        </w:rPr>
        <w:t>Unaudited)—(Continued</w:t>
      </w:r>
      <w:r>
        <w:rPr>
          <w:rFonts w:eastAsia="Times New Roman"/>
          <w:b/>
          <w:bCs/>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51"/>
        <w:gridCol w:w="5329"/>
        <w:gridCol w:w="51"/>
        <w:gridCol w:w="36"/>
        <w:gridCol w:w="36"/>
        <w:gridCol w:w="36"/>
        <w:gridCol w:w="136"/>
        <w:gridCol w:w="1101"/>
        <w:gridCol w:w="85"/>
        <w:gridCol w:w="36"/>
        <w:gridCol w:w="36"/>
        <w:gridCol w:w="36"/>
        <w:gridCol w:w="136"/>
        <w:gridCol w:w="1103"/>
        <w:gridCol w:w="85"/>
      </w:tblGrid>
      <w:tr w:rsidR="00000000">
        <w:trPr>
          <w:divId w:val="1612472213"/>
        </w:trPr>
        <w:tc>
          <w:tcPr>
            <w:tcW w:w="50" w:type="pct"/>
            <w:vAlign w:val="center"/>
            <w:hideMark/>
          </w:tcPr>
          <w:p w:rsidR="00000000" w:rsidRDefault="000A7020">
            <w:pPr>
              <w:jc w:val="center"/>
              <w:rPr>
                <w:rFonts w:eastAsia="Times New Roman"/>
              </w:rPr>
            </w:pPr>
          </w:p>
        </w:tc>
        <w:tc>
          <w:tcPr>
            <w:tcW w:w="323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9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9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612472213"/>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30, 202</w:t>
            </w:r>
            <w:r>
              <w:rPr>
                <w:rFonts w:eastAsia="Times New Roman"/>
                <w:b/>
                <w:bCs/>
                <w:color w:val="000000"/>
                <w:sz w:val="16"/>
                <w:szCs w:val="16"/>
              </w:rPr>
              <w:t>0</w:t>
            </w:r>
          </w:p>
        </w:tc>
      </w:tr>
      <w:tr w:rsidR="00000000">
        <w:trPr>
          <w:divId w:val="1612472213"/>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Cash paid for amounts included in the measurement of lease liabilities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1612472213"/>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Operating cash flows from operating lease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1612472213"/>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Operating cash flows from finance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1612472213"/>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w:t>
            </w:r>
            <w:r>
              <w:rPr>
                <w:rFonts w:eastAsia="Times New Roman"/>
                <w:color w:val="000000"/>
                <w:sz w:val="20"/>
                <w:szCs w:val="20"/>
              </w:rPr>
              <w:t>Financing cash flows from finance lease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1612472213"/>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Lease Assets Obtained in Exchange for Lease Obligation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1612472213"/>
        </w:trPr>
        <w:tc>
          <w:tcPr>
            <w:tcW w:w="0" w:type="auto"/>
            <w:gridSpan w:val="3"/>
            <w:shd w:val="clear" w:color="auto" w:fill="FFFFFF"/>
            <w:tcMar>
              <w:top w:w="30" w:type="dxa"/>
              <w:left w:w="495" w:type="dxa"/>
              <w:bottom w:w="30" w:type="dxa"/>
              <w:right w:w="20" w:type="dxa"/>
            </w:tcMar>
            <w:vAlign w:val="bottom"/>
            <w:hideMark/>
          </w:tcPr>
          <w:p w:rsidR="00000000" w:rsidRDefault="000A7020">
            <w:pPr>
              <w:rPr>
                <w:rFonts w:eastAsia="Times New Roman"/>
              </w:rPr>
            </w:pPr>
            <w:r>
              <w:rPr>
                <w:rFonts w:eastAsia="Times New Roman"/>
                <w:color w:val="000000"/>
                <w:sz w:val="20"/>
                <w:szCs w:val="20"/>
              </w:rPr>
              <w:t>Operating Lease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1612472213"/>
        </w:trPr>
        <w:tc>
          <w:tcPr>
            <w:tcW w:w="0" w:type="auto"/>
            <w:gridSpan w:val="3"/>
            <w:shd w:val="clear" w:color="auto" w:fill="CCEEFF"/>
            <w:tcMar>
              <w:top w:w="30" w:type="dxa"/>
              <w:left w:w="495" w:type="dxa"/>
              <w:bottom w:w="30" w:type="dxa"/>
              <w:right w:w="20" w:type="dxa"/>
            </w:tcMar>
            <w:vAlign w:val="bottom"/>
            <w:hideMark/>
          </w:tcPr>
          <w:p w:rsidR="00000000" w:rsidRDefault="000A7020">
            <w:pPr>
              <w:rPr>
                <w:rFonts w:eastAsia="Times New Roman"/>
              </w:rPr>
            </w:pPr>
            <w:r>
              <w:rPr>
                <w:rFonts w:eastAsia="Times New Roman"/>
                <w:color w:val="000000"/>
                <w:sz w:val="20"/>
                <w:szCs w:val="20"/>
              </w:rPr>
              <w:t>Finance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bl>
    <w:p w:rsidR="00000000" w:rsidRDefault="000A7020">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51"/>
        <w:gridCol w:w="5329"/>
        <w:gridCol w:w="51"/>
        <w:gridCol w:w="36"/>
        <w:gridCol w:w="36"/>
        <w:gridCol w:w="36"/>
        <w:gridCol w:w="136"/>
        <w:gridCol w:w="1101"/>
        <w:gridCol w:w="85"/>
        <w:gridCol w:w="36"/>
        <w:gridCol w:w="36"/>
        <w:gridCol w:w="36"/>
        <w:gridCol w:w="136"/>
        <w:gridCol w:w="1103"/>
        <w:gridCol w:w="85"/>
      </w:tblGrid>
      <w:tr w:rsidR="00000000">
        <w:trPr>
          <w:divId w:val="1668098537"/>
          <w:jc w:val="center"/>
        </w:trPr>
        <w:tc>
          <w:tcPr>
            <w:tcW w:w="50" w:type="pct"/>
            <w:vAlign w:val="center"/>
            <w:hideMark/>
          </w:tcPr>
          <w:p w:rsidR="00000000" w:rsidRDefault="000A7020">
            <w:pPr>
              <w:jc w:val="both"/>
              <w:rPr>
                <w:rFonts w:eastAsia="Times New Roman"/>
              </w:rPr>
            </w:pPr>
          </w:p>
        </w:tc>
        <w:tc>
          <w:tcPr>
            <w:tcW w:w="323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9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9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668098537"/>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three months ended June 30,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six months ended June 30, 201</w:t>
            </w:r>
            <w:r>
              <w:rPr>
                <w:rFonts w:eastAsia="Times New Roman"/>
                <w:b/>
                <w:bCs/>
                <w:color w:val="000000"/>
                <w:sz w:val="16"/>
                <w:szCs w:val="16"/>
              </w:rPr>
              <w:t>9</w:t>
            </w:r>
          </w:p>
        </w:tc>
      </w:tr>
      <w:tr w:rsidR="00000000">
        <w:trPr>
          <w:divId w:val="1668098537"/>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Cash paid for amounts included in the measurement of lease liabilities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1668098537"/>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w:t>
            </w:r>
            <w:r>
              <w:rPr>
                <w:rFonts w:eastAsia="Times New Roman"/>
                <w:color w:val="000000"/>
                <w:sz w:val="20"/>
                <w:szCs w:val="20"/>
              </w:rPr>
              <w:t>Operating cash flows from operating lease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668098537"/>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Operating cash flows from finance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668098537"/>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Financing cash flows from finance lease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668098537"/>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Lease Assets Obtained in Exchange for Lease Obligation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1668098537"/>
          <w:jc w:val="center"/>
        </w:trPr>
        <w:tc>
          <w:tcPr>
            <w:tcW w:w="0" w:type="auto"/>
            <w:gridSpan w:val="3"/>
            <w:shd w:val="clear" w:color="auto" w:fill="FFFFFF"/>
            <w:tcMar>
              <w:top w:w="30" w:type="dxa"/>
              <w:left w:w="495" w:type="dxa"/>
              <w:bottom w:w="30" w:type="dxa"/>
              <w:right w:w="20" w:type="dxa"/>
            </w:tcMar>
            <w:vAlign w:val="bottom"/>
            <w:hideMark/>
          </w:tcPr>
          <w:p w:rsidR="00000000" w:rsidRDefault="000A7020">
            <w:pPr>
              <w:rPr>
                <w:rFonts w:eastAsia="Times New Roman"/>
              </w:rPr>
            </w:pPr>
            <w:r>
              <w:rPr>
                <w:rFonts w:eastAsia="Times New Roman"/>
                <w:color w:val="000000"/>
                <w:sz w:val="20"/>
                <w:szCs w:val="20"/>
              </w:rPr>
              <w:t>Operating Lease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668098537"/>
          <w:jc w:val="center"/>
        </w:trPr>
        <w:tc>
          <w:tcPr>
            <w:tcW w:w="0" w:type="auto"/>
            <w:gridSpan w:val="3"/>
            <w:shd w:val="clear" w:color="auto" w:fill="CCEEFF"/>
            <w:tcMar>
              <w:top w:w="30" w:type="dxa"/>
              <w:left w:w="495" w:type="dxa"/>
              <w:bottom w:w="30" w:type="dxa"/>
              <w:right w:w="20" w:type="dxa"/>
            </w:tcMar>
            <w:vAlign w:val="bottom"/>
            <w:hideMark/>
          </w:tcPr>
          <w:p w:rsidR="00000000" w:rsidRDefault="000A7020">
            <w:pPr>
              <w:rPr>
                <w:rFonts w:eastAsia="Times New Roman"/>
              </w:rPr>
            </w:pPr>
            <w:r>
              <w:rPr>
                <w:rFonts w:eastAsia="Times New Roman"/>
                <w:color w:val="000000"/>
                <w:sz w:val="20"/>
                <w:szCs w:val="20"/>
              </w:rPr>
              <w:t>Finance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following table reconciles the undiscounted cash flows for each of the first five years and total of the remaining years to the finance lease liabilities and operating lease liabilities recorded on the Condensed Consolidated Balance Sheet as of June 30</w:t>
      </w:r>
      <w:r>
        <w:rPr>
          <w:rFonts w:eastAsia="Times New Roman"/>
          <w:color w:val="000000"/>
          <w:sz w:val="20"/>
          <w:szCs w:val="20"/>
        </w:rPr>
        <w:t>, 2020</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4904"/>
        <w:gridCol w:w="52"/>
        <w:gridCol w:w="36"/>
        <w:gridCol w:w="36"/>
        <w:gridCol w:w="36"/>
        <w:gridCol w:w="136"/>
        <w:gridCol w:w="1320"/>
        <w:gridCol w:w="85"/>
        <w:gridCol w:w="36"/>
        <w:gridCol w:w="36"/>
        <w:gridCol w:w="36"/>
        <w:gridCol w:w="136"/>
        <w:gridCol w:w="1320"/>
        <w:gridCol w:w="85"/>
      </w:tblGrid>
      <w:tr w:rsidR="00000000">
        <w:trPr>
          <w:divId w:val="976570345"/>
          <w:jc w:val="center"/>
        </w:trPr>
        <w:tc>
          <w:tcPr>
            <w:tcW w:w="50" w:type="pct"/>
            <w:vAlign w:val="center"/>
            <w:hideMark/>
          </w:tcPr>
          <w:p w:rsidR="00000000" w:rsidRDefault="000A7020">
            <w:pPr>
              <w:jc w:val="both"/>
              <w:rPr>
                <w:rFonts w:eastAsia="Times New Roman"/>
              </w:rPr>
            </w:pPr>
          </w:p>
        </w:tc>
        <w:tc>
          <w:tcPr>
            <w:tcW w:w="297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82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82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976570345"/>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Operating Lease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Finance Lease</w:t>
            </w:r>
            <w:r>
              <w:rPr>
                <w:rFonts w:eastAsia="Times New Roman"/>
                <w:b/>
                <w:bCs/>
                <w:color w:val="000000"/>
                <w:sz w:val="16"/>
                <w:szCs w:val="16"/>
              </w:rPr>
              <w:t>s</w:t>
            </w:r>
          </w:p>
        </w:tc>
      </w:tr>
      <w:tr w:rsidR="00000000">
        <w:trPr>
          <w:divId w:val="97657034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Remainder of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976570345"/>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97657034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976570345"/>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97657034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976570345"/>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97657034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lease payment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569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976570345"/>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Less: Amount representing interes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97657034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Present value of lease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As</w:t>
      </w:r>
      <w:r>
        <w:rPr>
          <w:rFonts w:eastAsia="Times New Roman"/>
          <w:color w:val="000000"/>
          <w:sz w:val="20"/>
          <w:szCs w:val="20"/>
        </w:rPr>
        <w:t xml:space="preserve"> of June 30, 2020, we have additional operating leases of $69 million, primarily for a real estate lease in Europe, that have not yet commenced. This operating lease is expected to commence in 2021 with a lease term of 10 years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following table prese</w:t>
      </w:r>
      <w:r>
        <w:rPr>
          <w:rFonts w:eastAsia="Times New Roman"/>
          <w:color w:val="000000"/>
          <w:sz w:val="20"/>
          <w:szCs w:val="20"/>
        </w:rPr>
        <w:t>nts the weighted average remaining lease term and interest rates:</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732"/>
        <w:gridCol w:w="42"/>
        <w:gridCol w:w="36"/>
        <w:gridCol w:w="36"/>
        <w:gridCol w:w="36"/>
        <w:gridCol w:w="38"/>
        <w:gridCol w:w="917"/>
        <w:gridCol w:w="235"/>
        <w:gridCol w:w="53"/>
        <w:gridCol w:w="937"/>
        <w:gridCol w:w="202"/>
      </w:tblGrid>
      <w:tr w:rsidR="00000000">
        <w:trPr>
          <w:divId w:val="593586145"/>
          <w:jc w:val="center"/>
        </w:trPr>
        <w:tc>
          <w:tcPr>
            <w:tcW w:w="50" w:type="pct"/>
            <w:vAlign w:val="center"/>
            <w:hideMark/>
          </w:tcPr>
          <w:p w:rsidR="00000000" w:rsidRDefault="000A7020">
            <w:pPr>
              <w:jc w:val="both"/>
              <w:rPr>
                <w:rFonts w:eastAsia="Times New Roman"/>
              </w:rPr>
            </w:pPr>
          </w:p>
        </w:tc>
        <w:tc>
          <w:tcPr>
            <w:tcW w:w="347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9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9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593586145"/>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r>
      <w:tr w:rsidR="00000000">
        <w:trPr>
          <w:divId w:val="59358614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Weighted average lease term</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593586145"/>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Operating lease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9.1 year</w:t>
            </w:r>
            <w:r>
              <w:rPr>
                <w:rFonts w:eastAsia="Times New Roman"/>
                <w:b/>
                <w:bCs/>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8.9 year</w:t>
            </w:r>
            <w:r>
              <w:rPr>
                <w:rFonts w:eastAsia="Times New Roman"/>
                <w:color w:val="000000"/>
                <w:sz w:val="20"/>
                <w:szCs w:val="20"/>
              </w:rPr>
              <w:t>s</w:t>
            </w:r>
          </w:p>
        </w:tc>
      </w:tr>
      <w:tr w:rsidR="00000000">
        <w:trPr>
          <w:divId w:val="59358614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Finance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xml:space="preserve">3.1 </w:t>
            </w:r>
            <w:r>
              <w:rPr>
                <w:rFonts w:eastAsia="Times New Roman"/>
                <w:b/>
                <w:bCs/>
                <w:color w:val="000000"/>
                <w:sz w:val="20"/>
                <w:szCs w:val="20"/>
              </w:rPr>
              <w:t>year</w:t>
            </w:r>
            <w:r>
              <w:rPr>
                <w:rFonts w:eastAsia="Times New Roman"/>
                <w:b/>
                <w:bCs/>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3.4 year</w:t>
            </w:r>
            <w:r>
              <w:rPr>
                <w:rFonts w:eastAsia="Times New Roman"/>
                <w:color w:val="000000"/>
                <w:sz w:val="20"/>
                <w:szCs w:val="20"/>
              </w:rPr>
              <w:t>s</w:t>
            </w:r>
          </w:p>
        </w:tc>
      </w:tr>
      <w:tr w:rsidR="00000000">
        <w:trPr>
          <w:divId w:val="593586145"/>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Weighted average interest rates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59358614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Operating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6.45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r>
      <w:tr w:rsidR="00000000">
        <w:trPr>
          <w:divId w:val="593586145"/>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       Finance lease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4.44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r>
    </w:tbl>
    <w:p w:rsidR="00000000" w:rsidRDefault="000A7020">
      <w:pPr>
        <w:jc w:val="center"/>
        <w:divId w:val="1331175957"/>
        <w:rPr>
          <w:rFonts w:eastAsia="Times New Roman"/>
        </w:rPr>
      </w:pPr>
      <w:r>
        <w:rPr>
          <w:rFonts w:eastAsia="Times New Roman"/>
          <w:color w:val="000000"/>
          <w:sz w:val="20"/>
          <w:szCs w:val="20"/>
        </w:rPr>
        <w:t>3</w:t>
      </w:r>
      <w:r>
        <w:rPr>
          <w:rFonts w:eastAsia="Times New Roman"/>
          <w:color w:val="000000"/>
          <w:sz w:val="20"/>
          <w:szCs w:val="20"/>
        </w:rPr>
        <w:t>0</w:t>
      </w:r>
    </w:p>
    <w:p w:rsidR="00000000" w:rsidRDefault="000A7020">
      <w:pPr>
        <w:rPr>
          <w:rFonts w:eastAsia="Times New Roman"/>
        </w:rPr>
      </w:pPr>
      <w:r>
        <w:rPr>
          <w:rFonts w:eastAsia="Times New Roman"/>
        </w:rPr>
        <w:pict>
          <v:rect id="_x0000_i1055" style="width:0;height:1.5pt" o:hralign="center" o:hrstd="t" o:hr="t" fillcolor="#a0a0a0" stroked="f"/>
        </w:pict>
      </w:r>
    </w:p>
    <w:p w:rsidR="00000000" w:rsidRDefault="000A7020">
      <w:pPr>
        <w:ind w:firstLine="720"/>
        <w:divId w:val="2102136797"/>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85795304"/>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85795304"/>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Lesso</w:t>
      </w:r>
      <w:r>
        <w:rPr>
          <w:rFonts w:eastAsia="Times New Roman"/>
          <w:i/>
          <w:iCs/>
          <w:color w:val="000000"/>
          <w:sz w:val="20"/>
          <w:szCs w:val="20"/>
        </w:rPr>
        <w:t>r</w:t>
      </w:r>
      <w:r>
        <w:rPr>
          <w:rFonts w:eastAsia="Times New Roman"/>
          <w:color w:val="000000"/>
          <w:sz w:val="20"/>
          <w:szCs w:val="20"/>
        </w:rPr>
        <w:t xml:space="preserve"> </w:t>
      </w:r>
      <w:r>
        <w:rPr>
          <w:rFonts w:eastAsia="Times New Roman"/>
          <w:color w:val="000000"/>
          <w:sz w:val="20"/>
          <w:szCs w:val="20"/>
        </w:rPr>
        <w:t>We have various arrangements for certain point-of-sale equipment under which we are the lessor. These leases meet the criteria for operating lease classification. Lease income associated with these leases is not material</w:t>
      </w:r>
      <w:r>
        <w:rPr>
          <w:rFonts w:eastAsia="Times New Roman"/>
          <w:color w:val="000000"/>
          <w:sz w:val="20"/>
          <w:szCs w:val="20"/>
        </w:rPr>
        <w:t>.</w:t>
      </w:r>
    </w:p>
    <w:p w:rsidR="00000000" w:rsidRDefault="000A7020">
      <w:pPr>
        <w:jc w:val="both"/>
        <w:rPr>
          <w:rFonts w:eastAsia="Times New Roman"/>
        </w:rPr>
      </w:pPr>
    </w:p>
    <w:p w:rsidR="00000000" w:rsidRDefault="000A7020">
      <w:pPr>
        <w:divId w:val="100153457"/>
        <w:rPr>
          <w:rFonts w:eastAsia="Times New Roman"/>
        </w:rPr>
      </w:pPr>
    </w:p>
    <w:p w:rsidR="00000000" w:rsidRDefault="000A7020">
      <w:pPr>
        <w:divId w:val="1857302947"/>
        <w:rPr>
          <w:rFonts w:eastAsia="Times New Roman"/>
        </w:rPr>
      </w:pPr>
      <w:r>
        <w:rPr>
          <w:rFonts w:eastAsia="Times New Roman"/>
          <w:b/>
          <w:bCs/>
          <w:color w:val="54B948"/>
          <w:sz w:val="20"/>
          <w:szCs w:val="20"/>
        </w:rPr>
        <w:t>11. SERIES A CONVERTIBLE PREFERRED STOC</w:t>
      </w:r>
      <w:r>
        <w:rPr>
          <w:rFonts w:eastAsia="Times New Roman"/>
          <w:b/>
          <w:bCs/>
          <w:color w:val="54B948"/>
          <w:sz w:val="20"/>
          <w:szCs w:val="20"/>
        </w:rPr>
        <w:t>K</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On December 4, 2015, NCR issued 820,000 shares of Series A Convertible Preferred Stock to certain entities affiliated with the Blackstone Group L.P. (collectively, Blackstone) for an aggregate purchase price of $8</w:t>
      </w:r>
      <w:r>
        <w:rPr>
          <w:rFonts w:eastAsia="Times New Roman"/>
          <w:color w:val="000000"/>
          <w:sz w:val="20"/>
          <w:szCs w:val="20"/>
        </w:rPr>
        <w:t>20 million, or $1,000 per share, pursuant to an Investment Agreement between the Company and Blackstone, dated November 11, 2015. In connection with the issuance of the Series A Convertible Preferred Stock, the Company incurred direct and incremental expen</w:t>
      </w:r>
      <w:r>
        <w:rPr>
          <w:rFonts w:eastAsia="Times New Roman"/>
          <w:color w:val="000000"/>
          <w:sz w:val="20"/>
          <w:szCs w:val="20"/>
        </w:rPr>
        <w:t>ses of $26 million, including financial advisory fees, closing costs, legal expenses and other offering-related expenses. These direct and incremental expenses originally reduced the Series A Convertible Preferred Stock, and will be accreted through retain</w:t>
      </w:r>
      <w:r>
        <w:rPr>
          <w:rFonts w:eastAsia="Times New Roman"/>
          <w:color w:val="000000"/>
          <w:sz w:val="20"/>
          <w:szCs w:val="20"/>
        </w:rPr>
        <w:t>ed earnings as a deemed dividend from the date of issuance through the first possible known redemption date, March 16, 2024. Holders of Series A Convertible Preferred Stock are entitled to a cumulative dividend at the rate of 5.5% per annum, payable quarte</w:t>
      </w:r>
      <w:r>
        <w:rPr>
          <w:rFonts w:eastAsia="Times New Roman"/>
          <w:color w:val="000000"/>
          <w:sz w:val="20"/>
          <w:szCs w:val="20"/>
        </w:rPr>
        <w:t>rly in arrears. The Series A Convertible Preferred Stock is convertible at the option of the holders at any time into shares of common stock at a conversion price of $30.00 per share, or a conversion rate of 33.333 shares of common stock per share of Serie</w:t>
      </w:r>
      <w:r>
        <w:rPr>
          <w:rFonts w:eastAsia="Times New Roman"/>
          <w:color w:val="000000"/>
          <w:sz w:val="20"/>
          <w:szCs w:val="20"/>
        </w:rPr>
        <w:t>s A Convertible Preferred Stock.</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Under the Investment Agreement, Blackstone agreed not to sell or otherwise transfer its shares of Series A Convertible Preferred Stock (or any shares of common stock issued upon conversion thereof) without the Company’s </w:t>
      </w:r>
      <w:r>
        <w:rPr>
          <w:rFonts w:eastAsia="Times New Roman"/>
          <w:color w:val="000000"/>
          <w:sz w:val="20"/>
          <w:szCs w:val="20"/>
        </w:rPr>
        <w:t>consent until June 4, 2017. In March 2017, we provided Blackstone with an early release from this lock-up, allowing Blackstone to sell approximately 49% of its shares of Series A Convertible Preferred Stock, and in return, Blackstone agreed to amend the In</w:t>
      </w:r>
      <w:r>
        <w:rPr>
          <w:rFonts w:eastAsia="Times New Roman"/>
          <w:color w:val="000000"/>
          <w:sz w:val="20"/>
          <w:szCs w:val="20"/>
        </w:rPr>
        <w:t>vestment Agreement to extend the lock-up on the remaining 51% of its shares of Series A Convertible Preferred Stock for six months until December 1, 2017</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In connection with the early release of the lock-up, Blackstone offered for sale 342,000 shares of </w:t>
      </w:r>
      <w:r>
        <w:rPr>
          <w:rFonts w:eastAsia="Times New Roman"/>
          <w:color w:val="000000"/>
          <w:sz w:val="20"/>
          <w:szCs w:val="20"/>
        </w:rPr>
        <w:t xml:space="preserve">Series A Convertible Preferred Stock in an underwritten public offering. In addition, Blackstone converted 90,000 shares of Series A Convertible Preferred Stock into shares of our common stock and we repurchased those shares of common stock for $48.47 per </w:t>
      </w:r>
      <w:r>
        <w:rPr>
          <w:rFonts w:eastAsia="Times New Roman"/>
          <w:color w:val="000000"/>
          <w:sz w:val="20"/>
          <w:szCs w:val="20"/>
        </w:rPr>
        <w:t>share. The underwritten offering and the stock repurchase were consummated on March 17, 2017</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On September 18, 2019, NCR entered into an agreement to repurchase and convert the outstanding 512,221 shares of Series A Convertible Preferred Stock owned by B</w:t>
      </w:r>
      <w:r>
        <w:rPr>
          <w:rFonts w:eastAsia="Times New Roman"/>
          <w:color w:val="000000"/>
          <w:sz w:val="20"/>
          <w:szCs w:val="20"/>
        </w:rPr>
        <w:t>lackstone. NCR repurchased 237,673 shares of Series A Convertible Preferred Stock for total cash consideration of $302 million. The remaining shares of Blackstone's Series A Convertible Preferred Stock, including accrued dividends, were converted to approx</w:t>
      </w:r>
      <w:r>
        <w:rPr>
          <w:rFonts w:eastAsia="Times New Roman"/>
          <w:color w:val="000000"/>
          <w:sz w:val="20"/>
          <w:szCs w:val="20"/>
        </w:rPr>
        <w:t>imately 9.16 million shares of common stock at a conversion price of $30.00 per share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Beginning in the first quarter of 2020, dividends are payable in cash or in-kind at the option of the Company. During the three months ended June 30, 2020 and 2019, th</w:t>
      </w:r>
      <w:r>
        <w:rPr>
          <w:rFonts w:eastAsia="Times New Roman"/>
          <w:color w:val="000000"/>
          <w:sz w:val="20"/>
          <w:szCs w:val="20"/>
        </w:rPr>
        <w:t>e Company paid dividends-in-kind of $7 million and $12 million, respectively. During the six months ended June 30, 2020, the Company paid total dividends of $13 million of which $7 million were dividends-in-kind and $6 million were paid in cash. During the</w:t>
      </w:r>
      <w:r>
        <w:rPr>
          <w:rFonts w:eastAsia="Times New Roman"/>
          <w:color w:val="000000"/>
          <w:sz w:val="20"/>
          <w:szCs w:val="20"/>
        </w:rPr>
        <w:t xml:space="preserve"> six months ended June 30, 2019, the Company paid dividends-in-kind of $24 million. As of June 30, 2020 and December 31, 2019, the Company had accrued dividends of $1 million, respectively, associated with the Series A Convertible Preferred Stock</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As of </w:t>
      </w:r>
      <w:r>
        <w:rPr>
          <w:rFonts w:eastAsia="Times New Roman"/>
          <w:color w:val="000000"/>
          <w:sz w:val="20"/>
          <w:szCs w:val="20"/>
        </w:rPr>
        <w:t>June 30, 2020 and December 31, 2019, the maximum number of common shares that could be required to be issued upon conversion of the outstanding shares of Series A Convertible Preferred Stock was 13.5 million and 13.3 million shares, respectively.</w:t>
      </w:r>
      <w:r>
        <w:rPr>
          <w:rFonts w:eastAsia="Times New Roman"/>
          <w:color w:val="000000"/>
          <w:sz w:val="20"/>
          <w:szCs w:val="20"/>
        </w:rPr>
        <w:t xml:space="preserve"> </w:t>
      </w:r>
    </w:p>
    <w:p w:rsidR="00000000" w:rsidRDefault="000A7020">
      <w:pPr>
        <w:jc w:val="both"/>
        <w:rPr>
          <w:rFonts w:eastAsia="Times New Roman"/>
        </w:rPr>
      </w:pPr>
    </w:p>
    <w:p w:rsidR="00000000" w:rsidRDefault="000A7020">
      <w:pPr>
        <w:divId w:val="1626153894"/>
        <w:rPr>
          <w:rFonts w:eastAsia="Times New Roman"/>
        </w:rPr>
      </w:pPr>
    </w:p>
    <w:p w:rsidR="00000000" w:rsidRDefault="000A7020">
      <w:pPr>
        <w:divId w:val="764152789"/>
        <w:rPr>
          <w:rFonts w:eastAsia="Times New Roman"/>
        </w:rPr>
      </w:pPr>
      <w:r>
        <w:rPr>
          <w:rFonts w:eastAsia="Times New Roman"/>
          <w:b/>
          <w:bCs/>
          <w:color w:val="54B948"/>
          <w:sz w:val="20"/>
          <w:szCs w:val="20"/>
        </w:rPr>
        <w:t xml:space="preserve">12. </w:t>
      </w:r>
      <w:r>
        <w:rPr>
          <w:rFonts w:eastAsia="Times New Roman"/>
          <w:b/>
          <w:bCs/>
          <w:color w:val="54B948"/>
          <w:sz w:val="20"/>
          <w:szCs w:val="20"/>
        </w:rPr>
        <w:t>EARNINGS PER SHARE</w:t>
      </w:r>
      <w:r>
        <w:rPr>
          <w:rFonts w:eastAsia="Times New Roman"/>
          <w:b/>
          <w:bCs/>
          <w:color w:val="54B948"/>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Basic earnings per share (EPS) is calculated by dividing net income or loss attributable to NCR, less any dividends (declared or cumulative undeclared), deemed dividends, accretion or decretion, redemption or induced conversion on our</w:t>
      </w:r>
      <w:r>
        <w:rPr>
          <w:rFonts w:eastAsia="Times New Roman"/>
          <w:color w:val="000000"/>
          <w:sz w:val="20"/>
          <w:szCs w:val="20"/>
        </w:rPr>
        <w:t xml:space="preserve"> Series A Convertible Preferred Stock, by the weighted average number of shares outstanding during the period.</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center"/>
        <w:divId w:val="2085293985"/>
        <w:rPr>
          <w:rFonts w:eastAsia="Times New Roman"/>
        </w:rPr>
      </w:pPr>
      <w:r>
        <w:rPr>
          <w:rFonts w:eastAsia="Times New Roman"/>
          <w:color w:val="000000"/>
          <w:sz w:val="20"/>
          <w:szCs w:val="20"/>
        </w:rPr>
        <w:t>3</w:t>
      </w:r>
      <w:r>
        <w:rPr>
          <w:rFonts w:eastAsia="Times New Roman"/>
          <w:color w:val="000000"/>
          <w:sz w:val="20"/>
          <w:szCs w:val="20"/>
        </w:rPr>
        <w:t>1</w:t>
      </w:r>
    </w:p>
    <w:p w:rsidR="00000000" w:rsidRDefault="000A7020">
      <w:pPr>
        <w:rPr>
          <w:rFonts w:eastAsia="Times New Roman"/>
        </w:rPr>
      </w:pPr>
      <w:r>
        <w:rPr>
          <w:rFonts w:eastAsia="Times New Roman"/>
        </w:rPr>
        <w:pict>
          <v:rect id="_x0000_i1056" style="width:0;height:1.5pt" o:hralign="center" o:hrstd="t" o:hr="t" fillcolor="#a0a0a0" stroked="f"/>
        </w:pict>
      </w:r>
    </w:p>
    <w:p w:rsidR="00000000" w:rsidRDefault="000A7020">
      <w:pPr>
        <w:ind w:firstLine="720"/>
        <w:divId w:val="74595191"/>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460025981"/>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460025981"/>
        <w:rPr>
          <w:rFonts w:eastAsia="Times New Roman"/>
        </w:rPr>
      </w:pPr>
      <w:r>
        <w:rPr>
          <w:rFonts w:eastAsia="Times New Roman"/>
          <w:b/>
          <w:bCs/>
          <w:color w:val="000000"/>
          <w:sz w:val="20"/>
          <w:szCs w:val="20"/>
        </w:rPr>
        <w:t>Notes to C</w:t>
      </w:r>
      <w:r>
        <w:rPr>
          <w:rFonts w:eastAsia="Times New Roman"/>
          <w:b/>
          <w:bCs/>
          <w:color w:val="000000"/>
          <w:sz w:val="20"/>
          <w:szCs w:val="20"/>
        </w:rPr>
        <w:t>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In computing diluted EPS, we adjust the numerator used in the basic EPS computation, subject to anti-dilution requirements, to add back the dividends (declared or cumulative undeclared), de</w:t>
      </w:r>
      <w:r>
        <w:rPr>
          <w:rFonts w:eastAsia="Times New Roman"/>
          <w:color w:val="000000"/>
          <w:sz w:val="20"/>
          <w:szCs w:val="20"/>
        </w:rPr>
        <w:t>emed dividends, accretion or decretion, redemption or induced conversion on our Series A Convertible Preferred Stock. We adjust the denominator used in the basic EPS computation, subject to anti-dilution requirements, to include the dilution from potential</w:t>
      </w:r>
      <w:r>
        <w:rPr>
          <w:rFonts w:eastAsia="Times New Roman"/>
          <w:color w:val="000000"/>
          <w:sz w:val="20"/>
          <w:szCs w:val="20"/>
        </w:rPr>
        <w:t xml:space="preserve"> shares related to the Series A Convertible Preferred Stock and stock-based compensation plans.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The holders of Series A Convertible Preferred Stock, unvested restricted stock units and stock options do not have nonforfeitable rights to common stock dividends or common stock dividend equivalents. Accordingly, the Series A Convertible Preferred Stock, </w:t>
      </w:r>
      <w:r>
        <w:rPr>
          <w:rFonts w:eastAsia="Times New Roman"/>
          <w:color w:val="000000"/>
          <w:sz w:val="20"/>
          <w:szCs w:val="20"/>
        </w:rPr>
        <w:t>unvested restricted stock units and stock options do not qualify as participating securities. See Note 7, Stock Compensation Plans for share information on NCR’s stock compensation plans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components of basic earnings per share are as follows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2"/>
        <w:gridCol w:w="3694"/>
        <w:gridCol w:w="41"/>
        <w:gridCol w:w="36"/>
        <w:gridCol w:w="36"/>
        <w:gridCol w:w="36"/>
        <w:gridCol w:w="135"/>
        <w:gridCol w:w="415"/>
        <w:gridCol w:w="85"/>
        <w:gridCol w:w="50"/>
        <w:gridCol w:w="260"/>
        <w:gridCol w:w="50"/>
        <w:gridCol w:w="135"/>
        <w:gridCol w:w="415"/>
        <w:gridCol w:w="85"/>
        <w:gridCol w:w="50"/>
        <w:gridCol w:w="260"/>
        <w:gridCol w:w="50"/>
        <w:gridCol w:w="135"/>
        <w:gridCol w:w="416"/>
        <w:gridCol w:w="85"/>
        <w:gridCol w:w="50"/>
        <w:gridCol w:w="260"/>
        <w:gridCol w:w="50"/>
        <w:gridCol w:w="135"/>
        <w:gridCol w:w="506"/>
        <w:gridCol w:w="85"/>
        <w:gridCol w:w="120"/>
        <w:gridCol w:w="120"/>
        <w:gridCol w:w="120"/>
        <w:gridCol w:w="36"/>
        <w:gridCol w:w="36"/>
        <w:gridCol w:w="36"/>
        <w:gridCol w:w="36"/>
        <w:gridCol w:w="36"/>
        <w:gridCol w:w="36"/>
        <w:gridCol w:w="36"/>
        <w:gridCol w:w="36"/>
        <w:gridCol w:w="36"/>
      </w:tblGrid>
      <w:tr w:rsidR="00000000">
        <w:trPr>
          <w:gridAfter w:val="12"/>
          <w:divId w:val="2097819166"/>
        </w:trPr>
        <w:tc>
          <w:tcPr>
            <w:tcW w:w="50" w:type="pct"/>
            <w:vAlign w:val="center"/>
            <w:hideMark/>
          </w:tcPr>
          <w:p w:rsidR="00000000" w:rsidRDefault="000A7020">
            <w:pPr>
              <w:jc w:val="both"/>
              <w:rPr>
                <w:rFonts w:eastAsia="Times New Roman"/>
              </w:rPr>
            </w:pPr>
          </w:p>
        </w:tc>
        <w:tc>
          <w:tcPr>
            <w:tcW w:w="261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2097819166"/>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millions, except per share amount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2097819166"/>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Numerator</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FFFFFF"/>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Income from continuing operation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CCEEFF"/>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Dividends on Series A Convertible Preferred Stoc</w:t>
            </w:r>
            <w:r>
              <w:rPr>
                <w:rFonts w:eastAsia="Times New Roman"/>
                <w:color w:val="000000"/>
                <w:sz w:val="20"/>
                <w:szCs w:val="20"/>
              </w:rPr>
              <w:t>k</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FFFFFF"/>
            <w:tcMar>
              <w:top w:w="30" w:type="dxa"/>
              <w:left w:w="20" w:type="dxa"/>
              <w:bottom w:w="30" w:type="dxa"/>
              <w:right w:w="20" w:type="dxa"/>
            </w:tcMar>
            <w:vAlign w:val="center"/>
            <w:hideMark/>
          </w:tcPr>
          <w:p w:rsidR="00000000" w:rsidRDefault="000A7020">
            <w:pPr>
              <w:rPr>
                <w:rFonts w:eastAsia="Times New Roman"/>
              </w:rPr>
            </w:pPr>
            <w:r>
              <w:rPr>
                <w:rFonts w:eastAsia="Times New Roman"/>
                <w:b/>
                <w:bCs/>
                <w:color w:val="000000"/>
                <w:sz w:val="20"/>
                <w:szCs w:val="20"/>
              </w:rPr>
              <w:t>Income from continuing operations attributable to NCR common stockholder</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CCEEFF"/>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Loss from discontinued operations, net of ta</w:t>
            </w:r>
            <w:r>
              <w:rPr>
                <w:rFonts w:eastAsia="Times New Roman"/>
                <w:color w:val="000000"/>
                <w:sz w:val="20"/>
                <w:szCs w:val="20"/>
              </w:rPr>
              <w:t>x</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FFFFFF"/>
            <w:tcMar>
              <w:top w:w="30" w:type="dxa"/>
              <w:left w:w="20" w:type="dxa"/>
              <w:bottom w:w="30" w:type="dxa"/>
              <w:right w:w="20" w:type="dxa"/>
            </w:tcMar>
            <w:vAlign w:val="center"/>
            <w:hideMark/>
          </w:tcPr>
          <w:p w:rsidR="00000000" w:rsidRDefault="000A7020">
            <w:pPr>
              <w:rPr>
                <w:rFonts w:eastAsia="Times New Roman"/>
              </w:rPr>
            </w:pPr>
            <w:r>
              <w:rPr>
                <w:rFonts w:eastAsia="Times New Roman"/>
                <w:b/>
                <w:bCs/>
                <w:color w:val="000000"/>
                <w:sz w:val="20"/>
                <w:szCs w:val="20"/>
              </w:rPr>
              <w:t>Net income attributable to NCR common stockholder</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Height w:val="300"/>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FFFFFF"/>
            <w:tcMar>
              <w:top w:w="30" w:type="dxa"/>
              <w:left w:w="20" w:type="dxa"/>
              <w:bottom w:w="30" w:type="dxa"/>
              <w:right w:w="20" w:type="dxa"/>
            </w:tcMar>
            <w:vAlign w:val="center"/>
            <w:hideMark/>
          </w:tcPr>
          <w:p w:rsidR="00000000" w:rsidRDefault="000A7020">
            <w:pPr>
              <w:rPr>
                <w:rFonts w:eastAsia="Times New Roman"/>
              </w:rPr>
            </w:pPr>
            <w:r>
              <w:rPr>
                <w:rFonts w:eastAsia="Times New Roman"/>
                <w:b/>
                <w:bCs/>
                <w:color w:val="000000"/>
                <w:sz w:val="20"/>
                <w:szCs w:val="20"/>
              </w:rPr>
              <w:t>Denominator</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CCEEFF"/>
            <w:tcMar>
              <w:top w:w="30" w:type="dxa"/>
              <w:left w:w="225" w:type="dxa"/>
              <w:bottom w:w="30" w:type="dxa"/>
              <w:right w:w="20" w:type="dxa"/>
            </w:tcMar>
            <w:vAlign w:val="center"/>
            <w:hideMark/>
          </w:tcPr>
          <w:p w:rsidR="00000000" w:rsidRDefault="000A7020">
            <w:pPr>
              <w:rPr>
                <w:rFonts w:eastAsia="Times New Roman"/>
              </w:rPr>
            </w:pPr>
            <w:r>
              <w:rPr>
                <w:rFonts w:eastAsia="Times New Roman"/>
                <w:color w:val="000000"/>
                <w:sz w:val="20"/>
                <w:szCs w:val="20"/>
              </w:rPr>
              <w:t>Basic weighted average number of shares outstandin</w:t>
            </w:r>
            <w:r>
              <w:rPr>
                <w:rFonts w:eastAsia="Times New Roman"/>
                <w:color w:val="000000"/>
                <w:sz w:val="20"/>
                <w:szCs w:val="20"/>
              </w:rPr>
              <w:t>g</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Height w:val="300"/>
        </w:trPr>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CCEEFF"/>
            <w:tcMar>
              <w:top w:w="30" w:type="dxa"/>
              <w:left w:w="20" w:type="dxa"/>
              <w:bottom w:w="30" w:type="dxa"/>
              <w:right w:w="20" w:type="dxa"/>
            </w:tcMar>
            <w:vAlign w:val="center"/>
            <w:hideMark/>
          </w:tcPr>
          <w:p w:rsidR="00000000" w:rsidRDefault="000A7020">
            <w:pPr>
              <w:rPr>
                <w:rFonts w:eastAsia="Times New Roman"/>
              </w:rPr>
            </w:pPr>
            <w:r>
              <w:rPr>
                <w:rFonts w:eastAsia="Times New Roman"/>
                <w:b/>
                <w:bCs/>
                <w:color w:val="000000"/>
                <w:sz w:val="20"/>
                <w:szCs w:val="20"/>
              </w:rPr>
              <w:t>Basic earnings per share</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FFFFFF"/>
            <w:tcMar>
              <w:top w:w="30" w:type="dxa"/>
              <w:left w:w="360" w:type="dxa"/>
              <w:bottom w:w="30" w:type="dxa"/>
              <w:right w:w="20" w:type="dxa"/>
            </w:tcMar>
            <w:vAlign w:val="center"/>
            <w:hideMark/>
          </w:tcPr>
          <w:p w:rsidR="00000000" w:rsidRDefault="000A7020">
            <w:pPr>
              <w:rPr>
                <w:rFonts w:eastAsia="Times New Roman"/>
              </w:rPr>
            </w:pPr>
            <w:r>
              <w:rPr>
                <w:rFonts w:eastAsia="Times New Roman"/>
                <w:color w:val="000000"/>
                <w:sz w:val="20"/>
                <w:szCs w:val="20"/>
              </w:rPr>
              <w:t>From continuing operation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0.58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CCEEFF"/>
            <w:tcMar>
              <w:top w:w="30" w:type="dxa"/>
              <w:left w:w="360" w:type="dxa"/>
              <w:bottom w:w="30" w:type="dxa"/>
              <w:right w:w="20" w:type="dxa"/>
            </w:tcMar>
            <w:vAlign w:val="center"/>
            <w:hideMark/>
          </w:tcPr>
          <w:p w:rsidR="00000000" w:rsidRDefault="000A7020">
            <w:pPr>
              <w:rPr>
                <w:rFonts w:eastAsia="Times New Roman"/>
              </w:rPr>
            </w:pPr>
            <w:r>
              <w:rPr>
                <w:rFonts w:eastAsia="Times New Roman"/>
                <w:color w:val="000000"/>
                <w:sz w:val="20"/>
                <w:szCs w:val="20"/>
              </w:rPr>
              <w:t>From discontinued operation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097819166"/>
        </w:trPr>
        <w:tc>
          <w:tcPr>
            <w:tcW w:w="0" w:type="auto"/>
            <w:gridSpan w:val="3"/>
            <w:shd w:val="clear" w:color="auto" w:fill="FFFFFF"/>
            <w:tcMar>
              <w:top w:w="30" w:type="dxa"/>
              <w:left w:w="360" w:type="dxa"/>
              <w:bottom w:w="30" w:type="dxa"/>
              <w:right w:w="20" w:type="dxa"/>
            </w:tcMar>
            <w:vAlign w:val="center"/>
            <w:hideMark/>
          </w:tcPr>
          <w:p w:rsidR="00000000" w:rsidRDefault="000A7020">
            <w:pPr>
              <w:rPr>
                <w:rFonts w:eastAsia="Times New Roman"/>
              </w:rPr>
            </w:pPr>
            <w:r>
              <w:rPr>
                <w:rFonts w:eastAsia="Times New Roman"/>
                <w:color w:val="000000"/>
                <w:sz w:val="20"/>
                <w:szCs w:val="20"/>
              </w:rPr>
              <w:t>Total basic earnings per shar</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0.45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0.63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0.58</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0.83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divId w:val="1284769653"/>
        <w:rPr>
          <w:rFonts w:eastAsia="Times New Roman"/>
        </w:rPr>
      </w:pPr>
      <w:r>
        <w:rPr>
          <w:rFonts w:eastAsia="Times New Roman"/>
          <w:color w:val="000000"/>
          <w:sz w:val="20"/>
          <w:szCs w:val="20"/>
        </w:rPr>
        <w:t>3</w:t>
      </w:r>
      <w:r>
        <w:rPr>
          <w:rFonts w:eastAsia="Times New Roman"/>
          <w:color w:val="000000"/>
          <w:sz w:val="20"/>
          <w:szCs w:val="20"/>
        </w:rPr>
        <w:t>2</w:t>
      </w:r>
    </w:p>
    <w:p w:rsidR="00000000" w:rsidRDefault="000A7020">
      <w:pPr>
        <w:rPr>
          <w:rFonts w:eastAsia="Times New Roman"/>
        </w:rPr>
      </w:pPr>
      <w:r>
        <w:rPr>
          <w:rFonts w:eastAsia="Times New Roman"/>
        </w:rPr>
        <w:pict>
          <v:rect id="_x0000_i1057" style="width:0;height:1.5pt" o:hralign="center" o:hrstd="t" o:hr="t" fillcolor="#a0a0a0" stroked="f"/>
        </w:pict>
      </w:r>
    </w:p>
    <w:p w:rsidR="00000000" w:rsidRDefault="000A7020">
      <w:pPr>
        <w:ind w:firstLine="720"/>
        <w:divId w:val="2101675632"/>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213926786"/>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213926786"/>
        <w:rPr>
          <w:rFonts w:eastAsia="Times New Roman"/>
        </w:rPr>
      </w:pPr>
      <w:r>
        <w:rPr>
          <w:rFonts w:eastAsia="Times New Roman"/>
          <w:b/>
          <w:bCs/>
          <w:color w:val="000000"/>
          <w:sz w:val="20"/>
          <w:szCs w:val="20"/>
        </w:rPr>
        <w:t>No</w:t>
      </w:r>
      <w:r>
        <w:rPr>
          <w:rFonts w:eastAsia="Times New Roman"/>
          <w:b/>
          <w:bCs/>
          <w:color w:val="000000"/>
          <w:sz w:val="20"/>
          <w:szCs w:val="20"/>
        </w:rPr>
        <w:t>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components of diluted earnings per share are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3719"/>
        <w:gridCol w:w="41"/>
        <w:gridCol w:w="36"/>
        <w:gridCol w:w="36"/>
        <w:gridCol w:w="36"/>
        <w:gridCol w:w="135"/>
        <w:gridCol w:w="415"/>
        <w:gridCol w:w="85"/>
        <w:gridCol w:w="50"/>
        <w:gridCol w:w="260"/>
        <w:gridCol w:w="50"/>
        <w:gridCol w:w="135"/>
        <w:gridCol w:w="415"/>
        <w:gridCol w:w="85"/>
        <w:gridCol w:w="50"/>
        <w:gridCol w:w="260"/>
        <w:gridCol w:w="50"/>
        <w:gridCol w:w="135"/>
        <w:gridCol w:w="416"/>
        <w:gridCol w:w="85"/>
        <w:gridCol w:w="50"/>
        <w:gridCol w:w="260"/>
        <w:gridCol w:w="50"/>
        <w:gridCol w:w="135"/>
        <w:gridCol w:w="506"/>
        <w:gridCol w:w="85"/>
        <w:gridCol w:w="120"/>
        <w:gridCol w:w="120"/>
        <w:gridCol w:w="120"/>
        <w:gridCol w:w="36"/>
        <w:gridCol w:w="36"/>
        <w:gridCol w:w="36"/>
        <w:gridCol w:w="36"/>
        <w:gridCol w:w="36"/>
        <w:gridCol w:w="36"/>
        <w:gridCol w:w="36"/>
        <w:gridCol w:w="36"/>
        <w:gridCol w:w="36"/>
      </w:tblGrid>
      <w:tr w:rsidR="00000000">
        <w:trPr>
          <w:gridAfter w:val="12"/>
          <w:divId w:val="841704492"/>
          <w:jc w:val="center"/>
        </w:trPr>
        <w:tc>
          <w:tcPr>
            <w:tcW w:w="50" w:type="pct"/>
            <w:vAlign w:val="center"/>
            <w:hideMark/>
          </w:tcPr>
          <w:p w:rsidR="00000000" w:rsidRDefault="000A7020">
            <w:pPr>
              <w:jc w:val="both"/>
              <w:rPr>
                <w:rFonts w:eastAsia="Times New Roman"/>
              </w:rPr>
            </w:pPr>
          </w:p>
        </w:tc>
        <w:tc>
          <w:tcPr>
            <w:tcW w:w="261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841704492"/>
          <w:jc w:val="center"/>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millions, except per share amount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841704492"/>
          <w:jc w:val="center"/>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Numerator</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Income from continuing operation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Dividends on Series A Convertible Preferred Stoc</w:t>
            </w:r>
            <w:r>
              <w:rPr>
                <w:rFonts w:eastAsia="Times New Roman"/>
                <w:color w:val="000000"/>
                <w:sz w:val="20"/>
                <w:szCs w:val="20"/>
              </w:rPr>
              <w:t>k</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Income from continuing operations attributable to NCR common stockholder</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Loss from discontinued operations, net of ta</w:t>
            </w:r>
            <w:r>
              <w:rPr>
                <w:rFonts w:eastAsia="Times New Roman"/>
                <w:color w:val="000000"/>
                <w:sz w:val="20"/>
                <w:szCs w:val="20"/>
              </w:rPr>
              <w:t>x</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Net income attributable to NCR common stockholder</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trHeight w:val="300"/>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FFFFFF"/>
            <w:tcMar>
              <w:top w:w="30" w:type="dxa"/>
              <w:left w:w="20" w:type="dxa"/>
              <w:bottom w:w="30" w:type="dxa"/>
              <w:right w:w="20" w:type="dxa"/>
            </w:tcMar>
            <w:hideMark/>
          </w:tcPr>
          <w:p w:rsidR="00000000" w:rsidRDefault="000A7020">
            <w:pPr>
              <w:ind w:hanging="270"/>
              <w:divId w:val="1773550208"/>
              <w:rPr>
                <w:rFonts w:eastAsia="Times New Roman"/>
              </w:rPr>
            </w:pPr>
            <w:r>
              <w:rPr>
                <w:rFonts w:eastAsia="Times New Roman"/>
                <w:b/>
                <w:bCs/>
                <w:color w:val="000000"/>
                <w:sz w:val="20"/>
                <w:szCs w:val="20"/>
              </w:rPr>
              <w:t>Denominator</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ind w:hanging="270"/>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Basic weighted average number of shares outstandin</w:t>
            </w:r>
            <w:r>
              <w:rPr>
                <w:rFonts w:eastAsia="Times New Roman"/>
                <w:color w:val="000000"/>
                <w:sz w:val="20"/>
                <w:szCs w:val="20"/>
              </w:rPr>
              <w:t>g</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FFFF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Dilutive effect of as-if converted Series A Convertible Preferred Stoc</w:t>
            </w:r>
            <w:r>
              <w:rPr>
                <w:rFonts w:eastAsia="Times New Roman"/>
                <w:color w:val="000000"/>
                <w:sz w:val="20"/>
                <w:szCs w:val="20"/>
              </w:rPr>
              <w:t>k</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CCEEFF"/>
            <w:tcMar>
              <w:top w:w="30" w:type="dxa"/>
              <w:left w:w="225" w:type="dxa"/>
              <w:bottom w:w="30" w:type="dxa"/>
              <w:right w:w="20" w:type="dxa"/>
            </w:tcMar>
            <w:hideMark/>
          </w:tcPr>
          <w:p w:rsidR="00000000" w:rsidRDefault="000A7020">
            <w:pPr>
              <w:rPr>
                <w:rFonts w:eastAsia="Times New Roman"/>
              </w:rPr>
            </w:pPr>
            <w:r>
              <w:rPr>
                <w:rFonts w:eastAsia="Times New Roman"/>
                <w:color w:val="000000"/>
                <w:sz w:val="20"/>
                <w:szCs w:val="20"/>
              </w:rPr>
              <w:t>Dilutive effect of restricted stock units and stock option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Weighted average diluted share</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128.9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152.7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129.7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trHeight w:val="300"/>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Diluted earnings per share</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From continuing operation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0.44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0.57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From discontinued operation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41704492"/>
          <w:jc w:val="center"/>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Total diluted earnings per shar</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0.44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0.57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0.81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For the three months ended June 30, 2020, shares related to the as-if converted Series A Convertible Preferred Stock of 13.4 million w</w:t>
      </w:r>
      <w:r>
        <w:rPr>
          <w:rFonts w:eastAsia="Times New Roman"/>
          <w:color w:val="000000"/>
          <w:sz w:val="20"/>
          <w:szCs w:val="20"/>
        </w:rPr>
        <w:t>ere excluded from the diluted share count because their effect would have been anti-dilutive. For the three months ended June 30, 2020, weighted average restricted stock units and stock options of 11.4 million were excluded from the diluted share count bec</w:t>
      </w:r>
      <w:r>
        <w:rPr>
          <w:rFonts w:eastAsia="Times New Roman"/>
          <w:color w:val="000000"/>
          <w:sz w:val="20"/>
          <w:szCs w:val="20"/>
        </w:rPr>
        <w:t>ause their effect would have been anti-dilutive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For the three months ended June 30, 2019, it was more dilutive to assume the Series A Convertible Preferred Stock was converted to common stock and therefore the weighted average outstanding shares of comm</w:t>
      </w:r>
      <w:r>
        <w:rPr>
          <w:rFonts w:eastAsia="Times New Roman"/>
          <w:color w:val="000000"/>
          <w:sz w:val="20"/>
          <w:szCs w:val="20"/>
        </w:rPr>
        <w:t xml:space="preserve">on stock were adjusted by the as-if converted Series A Convertible Preferred Stock. For the three months ended June 30, 2019, weighted average restricted stock units and stock options of 4.7 million were excluded from the diluted share count because their </w:t>
      </w:r>
      <w:r>
        <w:rPr>
          <w:rFonts w:eastAsia="Times New Roman"/>
          <w:color w:val="000000"/>
          <w:sz w:val="20"/>
          <w:szCs w:val="20"/>
        </w:rPr>
        <w:t>effect would have been anti-dilutive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For the six months ended June 30, 2020, shares related to the as-if converted Series A Convertible Preferred Stock of 13.3 million were excluded from the diluted share count because their effect would have been anti-</w:t>
      </w:r>
      <w:r>
        <w:rPr>
          <w:rFonts w:eastAsia="Times New Roman"/>
          <w:color w:val="000000"/>
          <w:sz w:val="20"/>
          <w:szCs w:val="20"/>
        </w:rPr>
        <w:t>dilutive. For the six months ended June 30, 2020, weighted average restricted stock units and stock options of 9.9 million were excluded from the diluted share count because their effect would have been anti-dilutive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For the six months ended June 30, 2019, shares related to the as-if converted Series A Convertible Preferred Stock of 29.4 million were excluded from the diluted share count because their effect would have been anti-dilutive. For the six months ended June </w:t>
      </w:r>
      <w:r>
        <w:rPr>
          <w:rFonts w:eastAsia="Times New Roman"/>
          <w:color w:val="000000"/>
          <w:sz w:val="20"/>
          <w:szCs w:val="20"/>
        </w:rPr>
        <w:t>30, 2019, weighted average restricted stock units and stock options of 5.1 million were excluded from the diluted share count because their effect would have been anti-dilutive.</w:t>
      </w:r>
      <w:r>
        <w:rPr>
          <w:rFonts w:eastAsia="Times New Roman"/>
          <w:color w:val="000000"/>
          <w:sz w:val="20"/>
          <w:szCs w:val="20"/>
        </w:rPr>
        <w:t xml:space="preserve"> </w:t>
      </w:r>
    </w:p>
    <w:p w:rsidR="00000000" w:rsidRDefault="000A7020">
      <w:pPr>
        <w:jc w:val="both"/>
        <w:rPr>
          <w:rFonts w:eastAsia="Times New Roman"/>
        </w:rPr>
      </w:pPr>
    </w:p>
    <w:p w:rsidR="00000000" w:rsidRDefault="000A7020">
      <w:pPr>
        <w:divId w:val="254364188"/>
        <w:rPr>
          <w:rFonts w:eastAsia="Times New Roman"/>
        </w:rPr>
      </w:pPr>
    </w:p>
    <w:p w:rsidR="00000000" w:rsidRDefault="000A7020">
      <w:pPr>
        <w:jc w:val="both"/>
        <w:rPr>
          <w:rFonts w:eastAsia="Times New Roman"/>
        </w:rPr>
      </w:pPr>
      <w:r>
        <w:rPr>
          <w:rFonts w:eastAsia="Times New Roman"/>
          <w:b/>
          <w:bCs/>
          <w:color w:val="54B948"/>
          <w:sz w:val="20"/>
          <w:szCs w:val="20"/>
        </w:rPr>
        <w:t>13. DERIVATIVES AND HEDGING INSTRUMENT</w:t>
      </w:r>
      <w:r>
        <w:rPr>
          <w:rFonts w:eastAsia="Times New Roman"/>
          <w:b/>
          <w:bCs/>
          <w:color w:val="54B948"/>
          <w:sz w:val="20"/>
          <w:szCs w:val="20"/>
        </w:rPr>
        <w:t>S</w:t>
      </w:r>
      <w:r>
        <w:rPr>
          <w:rFonts w:eastAsia="Times New Roman"/>
          <w:b/>
          <w:bCs/>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NCR is exposed to risks associ</w:t>
      </w:r>
      <w:r>
        <w:rPr>
          <w:rFonts w:eastAsia="Times New Roman"/>
          <w:color w:val="000000"/>
          <w:sz w:val="20"/>
          <w:szCs w:val="20"/>
        </w:rPr>
        <w:t>ated with changes in foreign currency exchange rates and interest rates. NCR utilizes a variety of measures to monitor and manage these risks, including the use of derivative financial instruments. NCR has exposure to approximately 50 functional currencies</w:t>
      </w:r>
      <w:r>
        <w:rPr>
          <w:rFonts w:eastAsia="Times New Roman"/>
          <w:color w:val="000000"/>
          <w:sz w:val="20"/>
          <w:szCs w:val="20"/>
        </w:rPr>
        <w:t>. Since a substantial portion of our operations and revenue occur outside the U.S., and in currencies other than the U.S. Dollar, our results can be significantly impacted, both positively and negatively, by changes in foreign currency exchange rates</w:t>
      </w:r>
      <w:r>
        <w:rPr>
          <w:rFonts w:eastAsia="Times New Roman"/>
          <w:color w:val="000000"/>
          <w:sz w:val="20"/>
          <w:szCs w:val="20"/>
        </w:rPr>
        <w:t>.</w:t>
      </w:r>
    </w:p>
    <w:p w:rsidR="00000000" w:rsidRDefault="000A7020">
      <w:pPr>
        <w:jc w:val="center"/>
        <w:divId w:val="712079667"/>
        <w:rPr>
          <w:rFonts w:eastAsia="Times New Roman"/>
        </w:rPr>
      </w:pPr>
      <w:r>
        <w:rPr>
          <w:rFonts w:eastAsia="Times New Roman"/>
          <w:color w:val="000000"/>
          <w:sz w:val="20"/>
          <w:szCs w:val="20"/>
        </w:rPr>
        <w:t>3</w:t>
      </w:r>
      <w:r>
        <w:rPr>
          <w:rFonts w:eastAsia="Times New Roman"/>
          <w:color w:val="000000"/>
          <w:sz w:val="20"/>
          <w:szCs w:val="20"/>
        </w:rPr>
        <w:t>3</w:t>
      </w:r>
    </w:p>
    <w:p w:rsidR="00000000" w:rsidRDefault="000A7020">
      <w:pPr>
        <w:rPr>
          <w:rFonts w:eastAsia="Times New Roman"/>
        </w:rPr>
      </w:pPr>
      <w:r>
        <w:rPr>
          <w:rFonts w:eastAsia="Times New Roman"/>
        </w:rPr>
        <w:pict>
          <v:rect id="_x0000_i1058" style="width:0;height:1.5pt" o:hralign="center" o:hrstd="t" o:hr="t" fillcolor="#a0a0a0" stroked="f"/>
        </w:pict>
      </w:r>
    </w:p>
    <w:p w:rsidR="00000000" w:rsidRDefault="000A7020">
      <w:pPr>
        <w:ind w:firstLine="720"/>
        <w:divId w:val="1595432276"/>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2146391231"/>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2146391231"/>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i/>
          <w:iCs/>
          <w:color w:val="000000"/>
          <w:sz w:val="20"/>
          <w:szCs w:val="20"/>
        </w:rPr>
        <w:t>Foreign Currency Exchange Ris</w:t>
      </w:r>
      <w:r>
        <w:rPr>
          <w:rFonts w:eastAsia="Times New Roman"/>
          <w:b/>
          <w:bCs/>
          <w:i/>
          <w:iCs/>
          <w:color w:val="000000"/>
          <w:sz w:val="20"/>
          <w:szCs w:val="20"/>
        </w:rPr>
        <w:t>k</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accounting g</w:t>
      </w:r>
      <w:r>
        <w:rPr>
          <w:rFonts w:eastAsia="Times New Roman"/>
          <w:color w:val="000000"/>
          <w:sz w:val="20"/>
          <w:szCs w:val="20"/>
        </w:rPr>
        <w:t>uidance for derivatives and hedging requires companies to recognize all derivative instruments as either assets or liabilities at fair value in the Condensed Consolidated Balance Sheets. The Company designates foreign exchange contracts as cash flow hedges</w:t>
      </w:r>
      <w:r>
        <w:rPr>
          <w:rFonts w:eastAsia="Times New Roman"/>
          <w:color w:val="000000"/>
          <w:sz w:val="20"/>
          <w:szCs w:val="20"/>
        </w:rPr>
        <w:t xml:space="preserve"> of forecasted transactions when they are determined to be highly effective at inception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Our risk management strategy includes hedging, on behalf of certain subsidiaries, a portion of our forecasted, non-functional currency denominated cash flows for a </w:t>
      </w:r>
      <w:r>
        <w:rPr>
          <w:rFonts w:eastAsia="Times New Roman"/>
          <w:color w:val="000000"/>
          <w:sz w:val="20"/>
          <w:szCs w:val="20"/>
        </w:rPr>
        <w:t>period of up to 15 months. As a result, some of the impact of currency fluctuations on non-functional currency denominated transactions (and hence on subsidiary operating income, as stated in the functional currency), is mitigated in the near term. The amo</w:t>
      </w:r>
      <w:r>
        <w:rPr>
          <w:rFonts w:eastAsia="Times New Roman"/>
          <w:color w:val="000000"/>
          <w:sz w:val="20"/>
          <w:szCs w:val="20"/>
        </w:rPr>
        <w:t>unt we hedge and the duration of hedge contracts may vary significantly. In the longer term (greater than 15 months), the subsidiaries are still subject to the effect of translating the functional currency results to U.S. Dollars. To manage our exposures a</w:t>
      </w:r>
      <w:r>
        <w:rPr>
          <w:rFonts w:eastAsia="Times New Roman"/>
          <w:color w:val="000000"/>
          <w:sz w:val="20"/>
          <w:szCs w:val="20"/>
        </w:rPr>
        <w:t>nd mitigate the impact of currency fluctuations on the operations of our foreign subsidiaries, we hedge our main transactional exposures through the use of foreign exchange forward and option contracts. This is primarily done through the hedging of foreign</w:t>
      </w:r>
      <w:r>
        <w:rPr>
          <w:rFonts w:eastAsia="Times New Roman"/>
          <w:color w:val="000000"/>
          <w:sz w:val="20"/>
          <w:szCs w:val="20"/>
        </w:rPr>
        <w:t xml:space="preserve"> currency denominated inter-company inventory purchases by NCR’s marketing units and the foreign currency denominated inputs to our manufacturing units. The related foreign exchange contracts are designated as highly effective cash flow hedges. The gains o</w:t>
      </w:r>
      <w:r>
        <w:rPr>
          <w:rFonts w:eastAsia="Times New Roman"/>
          <w:color w:val="000000"/>
          <w:sz w:val="20"/>
          <w:szCs w:val="20"/>
        </w:rPr>
        <w:t>r losses on these hedges are deferred in accumulated other comprehensive income (AOCI) and reclassified to income when the underlying hedged transaction is recorded in earnings. As of June 30, 2020, the balance in AOCI related to foreign exchange derivativ</w:t>
      </w:r>
      <w:r>
        <w:rPr>
          <w:rFonts w:eastAsia="Times New Roman"/>
          <w:color w:val="000000"/>
          <w:sz w:val="20"/>
          <w:szCs w:val="20"/>
        </w:rPr>
        <w:t>e transactions was zero, net of tax. The gains or losses from derivative contracts related to inventory purchases are recorded in cost of products when the inventory is sold to an unrelated third party</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We also utilize foreign exchange contracts to hedge</w:t>
      </w:r>
      <w:r>
        <w:rPr>
          <w:rFonts w:eastAsia="Times New Roman"/>
          <w:color w:val="000000"/>
          <w:sz w:val="20"/>
          <w:szCs w:val="20"/>
        </w:rPr>
        <w:t xml:space="preserve"> our exposure of assets and liabilities denominated in non-functional currencies. We recognize the gains and losses on these types of hedges in earnings as exchange rates change. We do not enter into hedges for speculative purposes</w:t>
      </w:r>
      <w:r>
        <w:rPr>
          <w:rFonts w:eastAsia="Times New Roman"/>
          <w:color w:val="000000"/>
          <w:sz w:val="20"/>
          <w:szCs w:val="20"/>
        </w:rPr>
        <w:t>.</w:t>
      </w:r>
    </w:p>
    <w:p w:rsidR="00000000" w:rsidRDefault="000A7020">
      <w:pPr>
        <w:jc w:val="both"/>
        <w:divId w:val="1257783523"/>
        <w:rPr>
          <w:rFonts w:eastAsia="Times New Roman"/>
        </w:rPr>
      </w:pPr>
      <w:r>
        <w:rPr>
          <w:rFonts w:eastAsia="Times New Roman"/>
          <w:color w:val="000000"/>
          <w:sz w:val="20"/>
          <w:szCs w:val="20"/>
        </w:rPr>
        <w:t>The following tables pr</w:t>
      </w:r>
      <w:r>
        <w:rPr>
          <w:rFonts w:eastAsia="Times New Roman"/>
          <w:color w:val="000000"/>
          <w:sz w:val="20"/>
          <w:szCs w:val="20"/>
        </w:rPr>
        <w:t>ovide information on the location and amounts of derivative fair values in the Condensed Consolidated Balance Sheets</w:t>
      </w:r>
      <w:r>
        <w:rPr>
          <w:rFonts w:eastAsia="Times New Roman"/>
          <w:color w:val="000000"/>
          <w:sz w:val="20"/>
          <w:szCs w:val="20"/>
        </w:rPr>
        <w:t>:</w:t>
      </w:r>
    </w:p>
    <w:p w:rsidR="00000000" w:rsidRDefault="000A7020">
      <w:pPr>
        <w:jc w:val="center"/>
        <w:divId w:val="1899585070"/>
        <w:rPr>
          <w:rFonts w:eastAsia="Times New Roman"/>
        </w:rPr>
      </w:pPr>
      <w:r>
        <w:rPr>
          <w:rFonts w:eastAsia="Times New Roman"/>
          <w:color w:val="000000"/>
          <w:sz w:val="20"/>
          <w:szCs w:val="20"/>
        </w:rPr>
        <w:t>3</w:t>
      </w:r>
      <w:r>
        <w:rPr>
          <w:rFonts w:eastAsia="Times New Roman"/>
          <w:color w:val="000000"/>
          <w:sz w:val="20"/>
          <w:szCs w:val="20"/>
        </w:rPr>
        <w:t>4</w:t>
      </w:r>
    </w:p>
    <w:p w:rsidR="00000000" w:rsidRDefault="000A7020">
      <w:pPr>
        <w:rPr>
          <w:rFonts w:eastAsia="Times New Roman"/>
        </w:rPr>
      </w:pPr>
      <w:r>
        <w:rPr>
          <w:rFonts w:eastAsia="Times New Roman"/>
        </w:rPr>
        <w:pict>
          <v:rect id="_x0000_i1059" style="width:0;height:1.5pt" o:hralign="center" o:hrstd="t" o:hr="t" fillcolor="#a0a0a0" stroked="f"/>
        </w:pict>
      </w:r>
    </w:p>
    <w:p w:rsidR="00000000" w:rsidRDefault="000A7020">
      <w:pPr>
        <w:ind w:firstLine="720"/>
        <w:divId w:val="1469057469"/>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285546841"/>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285546841"/>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8"/>
        <w:gridCol w:w="2358"/>
        <w:gridCol w:w="36"/>
        <w:gridCol w:w="62"/>
        <w:gridCol w:w="873"/>
        <w:gridCol w:w="61"/>
        <w:gridCol w:w="36"/>
        <w:gridCol w:w="36"/>
        <w:gridCol w:w="36"/>
        <w:gridCol w:w="136"/>
        <w:gridCol w:w="452"/>
        <w:gridCol w:w="87"/>
        <w:gridCol w:w="36"/>
        <w:gridCol w:w="36"/>
        <w:gridCol w:w="36"/>
        <w:gridCol w:w="136"/>
        <w:gridCol w:w="289"/>
        <w:gridCol w:w="85"/>
        <w:gridCol w:w="36"/>
        <w:gridCol w:w="36"/>
        <w:gridCol w:w="36"/>
        <w:gridCol w:w="62"/>
        <w:gridCol w:w="873"/>
        <w:gridCol w:w="61"/>
        <w:gridCol w:w="36"/>
        <w:gridCol w:w="36"/>
        <w:gridCol w:w="36"/>
        <w:gridCol w:w="136"/>
        <w:gridCol w:w="452"/>
        <w:gridCol w:w="87"/>
        <w:gridCol w:w="36"/>
        <w:gridCol w:w="36"/>
        <w:gridCol w:w="36"/>
        <w:gridCol w:w="135"/>
        <w:gridCol w:w="26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7"/>
          <w:divId w:val="1365253839"/>
        </w:trPr>
        <w:tc>
          <w:tcPr>
            <w:tcW w:w="50" w:type="pct"/>
            <w:vAlign w:val="center"/>
            <w:hideMark/>
          </w:tcPr>
          <w:p w:rsidR="00000000" w:rsidRDefault="000A7020">
            <w:pPr>
              <w:jc w:val="center"/>
              <w:rPr>
                <w:rFonts w:eastAsia="Times New Roman"/>
              </w:rPr>
            </w:pPr>
          </w:p>
        </w:tc>
        <w:tc>
          <w:tcPr>
            <w:tcW w:w="178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71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5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9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71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5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9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365253839"/>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Fair Values of Derivative Instrument</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2"/>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2"/>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divId w:val="1955938709"/>
              <w:rPr>
                <w:rFonts w:eastAsia="Times New Roman"/>
              </w:rPr>
            </w:pPr>
            <w:r>
              <w:rPr>
                <w:rFonts w:eastAsia="Times New Roman"/>
                <w:b/>
                <w:bCs/>
                <w:color w:val="000000"/>
                <w:sz w:val="16"/>
                <w:szCs w:val="16"/>
              </w:rPr>
              <w:t>Balance Shee</w:t>
            </w:r>
            <w:r>
              <w:rPr>
                <w:rFonts w:eastAsia="Times New Roman"/>
                <w:b/>
                <w:bCs/>
                <w:color w:val="000000"/>
                <w:sz w:val="16"/>
                <w:szCs w:val="16"/>
              </w:rPr>
              <w:t>t</w:t>
            </w:r>
          </w:p>
          <w:p w:rsidR="00000000" w:rsidRDefault="000A7020">
            <w:pPr>
              <w:jc w:val="center"/>
              <w:divId w:val="2117405834"/>
              <w:rPr>
                <w:rFonts w:eastAsia="Times New Roman"/>
              </w:rPr>
            </w:pPr>
            <w:r>
              <w:rPr>
                <w:rFonts w:eastAsia="Times New Roman"/>
                <w:b/>
                <w:bCs/>
                <w:color w:val="000000"/>
                <w:sz w:val="16"/>
                <w:szCs w:val="16"/>
              </w:rPr>
              <w:t>Locatio</w:t>
            </w:r>
            <w:r>
              <w:rPr>
                <w:rFonts w:eastAsia="Times New Roman"/>
                <w:b/>
                <w:bCs/>
                <w:color w:val="000000"/>
                <w:sz w:val="16"/>
                <w:szCs w:val="16"/>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divId w:val="223609960"/>
              <w:rPr>
                <w:rFonts w:eastAsia="Times New Roman"/>
              </w:rPr>
            </w:pPr>
            <w:r>
              <w:rPr>
                <w:rFonts w:eastAsia="Times New Roman"/>
                <w:b/>
                <w:bCs/>
                <w:color w:val="000000"/>
                <w:sz w:val="16"/>
                <w:szCs w:val="16"/>
              </w:rPr>
              <w:t>Balance Shee</w:t>
            </w:r>
            <w:r>
              <w:rPr>
                <w:rFonts w:eastAsia="Times New Roman"/>
                <w:b/>
                <w:bCs/>
                <w:color w:val="000000"/>
                <w:sz w:val="16"/>
                <w:szCs w:val="16"/>
              </w:rPr>
              <w:t>t</w:t>
            </w:r>
          </w:p>
          <w:p w:rsidR="00000000" w:rsidRDefault="000A7020">
            <w:pPr>
              <w:jc w:val="center"/>
              <w:divId w:val="41173934"/>
              <w:rPr>
                <w:rFonts w:eastAsia="Times New Roman"/>
              </w:rPr>
            </w:pPr>
            <w:r>
              <w:rPr>
                <w:rFonts w:eastAsia="Times New Roman"/>
                <w:b/>
                <w:bCs/>
                <w:color w:val="000000"/>
                <w:sz w:val="16"/>
                <w:szCs w:val="16"/>
              </w:rPr>
              <w:t>Locatio</w:t>
            </w:r>
            <w:r>
              <w:rPr>
                <w:rFonts w:eastAsia="Times New Roman"/>
                <w:b/>
                <w:bCs/>
                <w:color w:val="000000"/>
                <w:sz w:val="16"/>
                <w:szCs w:val="16"/>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w:t>
            </w:r>
            <w:r>
              <w:rPr>
                <w:rFonts w:eastAsia="Times New Roman"/>
                <w:b/>
                <w:bCs/>
                <w:color w:val="000000"/>
                <w:sz w:val="16"/>
                <w:szCs w:val="16"/>
              </w:rPr>
              <w:t>e</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Derivatives designated as hedging instrument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Foreign exchange contract</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155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derivatives designated as hedging instrument</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Derivatives not designated as hedging instrument</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Foreign exchange contract</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319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derivatives not designated as hedging instrument</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derivative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Height w:val="280"/>
        </w:trPr>
        <w:tc>
          <w:tcPr>
            <w:tcW w:w="0" w:type="auto"/>
            <w:gridSpan w:val="3"/>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Height w:val="24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Fair Values of Derivative Instrument</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2"/>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2"/>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divId w:val="272173176"/>
              <w:rPr>
                <w:rFonts w:eastAsia="Times New Roman"/>
              </w:rPr>
            </w:pPr>
            <w:r>
              <w:rPr>
                <w:rFonts w:eastAsia="Times New Roman"/>
                <w:b/>
                <w:bCs/>
                <w:color w:val="000000"/>
                <w:sz w:val="16"/>
                <w:szCs w:val="16"/>
              </w:rPr>
              <w:t>Balance Shee</w:t>
            </w:r>
            <w:r>
              <w:rPr>
                <w:rFonts w:eastAsia="Times New Roman"/>
                <w:b/>
                <w:bCs/>
                <w:color w:val="000000"/>
                <w:sz w:val="16"/>
                <w:szCs w:val="16"/>
              </w:rPr>
              <w:t>t</w:t>
            </w:r>
          </w:p>
          <w:p w:rsidR="00000000" w:rsidRDefault="000A7020">
            <w:pPr>
              <w:jc w:val="center"/>
              <w:divId w:val="1621494064"/>
              <w:rPr>
                <w:rFonts w:eastAsia="Times New Roman"/>
              </w:rPr>
            </w:pPr>
            <w:r>
              <w:rPr>
                <w:rFonts w:eastAsia="Times New Roman"/>
                <w:b/>
                <w:bCs/>
                <w:color w:val="000000"/>
                <w:sz w:val="16"/>
                <w:szCs w:val="16"/>
              </w:rPr>
              <w:t>Locatio</w:t>
            </w:r>
            <w:r>
              <w:rPr>
                <w:rFonts w:eastAsia="Times New Roman"/>
                <w:b/>
                <w:bCs/>
                <w:color w:val="000000"/>
                <w:sz w:val="16"/>
                <w:szCs w:val="16"/>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divId w:val="192959299"/>
              <w:rPr>
                <w:rFonts w:eastAsia="Times New Roman"/>
              </w:rPr>
            </w:pPr>
            <w:r>
              <w:rPr>
                <w:rFonts w:eastAsia="Times New Roman"/>
                <w:b/>
                <w:bCs/>
                <w:color w:val="000000"/>
                <w:sz w:val="16"/>
                <w:szCs w:val="16"/>
              </w:rPr>
              <w:t>Balance Shee</w:t>
            </w:r>
            <w:r>
              <w:rPr>
                <w:rFonts w:eastAsia="Times New Roman"/>
                <w:b/>
                <w:bCs/>
                <w:color w:val="000000"/>
                <w:sz w:val="16"/>
                <w:szCs w:val="16"/>
              </w:rPr>
              <w:t>t</w:t>
            </w:r>
          </w:p>
          <w:p w:rsidR="00000000" w:rsidRDefault="000A7020">
            <w:pPr>
              <w:jc w:val="center"/>
              <w:divId w:val="1414662288"/>
              <w:rPr>
                <w:rFonts w:eastAsia="Times New Roman"/>
              </w:rPr>
            </w:pPr>
            <w:r>
              <w:rPr>
                <w:rFonts w:eastAsia="Times New Roman"/>
                <w:b/>
                <w:bCs/>
                <w:color w:val="000000"/>
                <w:sz w:val="16"/>
                <w:szCs w:val="16"/>
              </w:rPr>
              <w:t>Locatio</w:t>
            </w:r>
            <w:r>
              <w:rPr>
                <w:rFonts w:eastAsia="Times New Roman"/>
                <w:b/>
                <w:bCs/>
                <w:color w:val="000000"/>
                <w:sz w:val="16"/>
                <w:szCs w:val="16"/>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w:t>
            </w:r>
            <w:r>
              <w:rPr>
                <w:rFonts w:eastAsia="Times New Roman"/>
                <w:b/>
                <w:bCs/>
                <w:color w:val="000000"/>
                <w:sz w:val="16"/>
                <w:szCs w:val="16"/>
              </w:rPr>
              <w:t>e</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Derivatives designated as hedging instrument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Foreign exchange contract</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derivatives designated as hedging instrument</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Derivatives not designated as hedging instrument</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Foreign exchange contract</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derivatives not designated as hedging instrument</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365253839"/>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derivative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divId w:val="1895845717"/>
        <w:rPr>
          <w:rFonts w:eastAsia="Times New Roman"/>
        </w:rPr>
      </w:pPr>
      <w:r>
        <w:rPr>
          <w:rFonts w:eastAsia="Times New Roman"/>
          <w:color w:val="000000"/>
          <w:sz w:val="20"/>
          <w:szCs w:val="20"/>
        </w:rPr>
        <w:t>3</w:t>
      </w:r>
      <w:r>
        <w:rPr>
          <w:rFonts w:eastAsia="Times New Roman"/>
          <w:color w:val="000000"/>
          <w:sz w:val="20"/>
          <w:szCs w:val="20"/>
        </w:rPr>
        <w:t>5</w:t>
      </w:r>
    </w:p>
    <w:p w:rsidR="00000000" w:rsidRDefault="000A7020">
      <w:pPr>
        <w:rPr>
          <w:rFonts w:eastAsia="Times New Roman"/>
        </w:rPr>
      </w:pPr>
      <w:r>
        <w:rPr>
          <w:rFonts w:eastAsia="Times New Roman"/>
        </w:rPr>
        <w:pict>
          <v:rect id="_x0000_i1060" style="width:0;height:1.5pt" o:hralign="center" o:hrstd="t" o:hr="t" fillcolor="#a0a0a0" stroked="f"/>
        </w:pict>
      </w:r>
    </w:p>
    <w:p w:rsidR="00000000" w:rsidRDefault="000A7020">
      <w:pPr>
        <w:ind w:firstLine="720"/>
        <w:divId w:val="583490136"/>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2040012846"/>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2040012846"/>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The effects of derivative instruments on the Condensed Consolidated Statements of Operations and Condensed Consolidated Statements of Comprehensive Income for the three and six mo</w:t>
      </w:r>
      <w:r>
        <w:rPr>
          <w:rFonts w:eastAsia="Times New Roman"/>
          <w:color w:val="000000"/>
          <w:sz w:val="20"/>
          <w:szCs w:val="20"/>
        </w:rPr>
        <w:t>nths ended June 30, 2020 and 2019 were as follows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73"/>
        <w:gridCol w:w="1606"/>
        <w:gridCol w:w="73"/>
        <w:gridCol w:w="136"/>
        <w:gridCol w:w="622"/>
        <w:gridCol w:w="86"/>
        <w:gridCol w:w="37"/>
        <w:gridCol w:w="37"/>
        <w:gridCol w:w="36"/>
        <w:gridCol w:w="135"/>
        <w:gridCol w:w="623"/>
        <w:gridCol w:w="85"/>
        <w:gridCol w:w="36"/>
        <w:gridCol w:w="36"/>
        <w:gridCol w:w="36"/>
        <w:gridCol w:w="37"/>
        <w:gridCol w:w="1594"/>
        <w:gridCol w:w="36"/>
        <w:gridCol w:w="36"/>
        <w:gridCol w:w="36"/>
        <w:gridCol w:w="36"/>
        <w:gridCol w:w="136"/>
        <w:gridCol w:w="454"/>
        <w:gridCol w:w="85"/>
        <w:gridCol w:w="36"/>
        <w:gridCol w:w="36"/>
        <w:gridCol w:w="36"/>
        <w:gridCol w:w="136"/>
        <w:gridCol w:w="512"/>
        <w:gridCol w:w="86"/>
        <w:gridCol w:w="420"/>
        <w:gridCol w:w="420"/>
        <w:gridCol w:w="36"/>
        <w:gridCol w:w="36"/>
        <w:gridCol w:w="36"/>
        <w:gridCol w:w="36"/>
        <w:gridCol w:w="36"/>
        <w:gridCol w:w="36"/>
        <w:gridCol w:w="36"/>
        <w:gridCol w:w="36"/>
        <w:gridCol w:w="36"/>
        <w:gridCol w:w="36"/>
        <w:gridCol w:w="36"/>
        <w:gridCol w:w="36"/>
        <w:gridCol w:w="36"/>
        <w:gridCol w:w="36"/>
      </w:tblGrid>
      <w:tr w:rsidR="00000000">
        <w:trPr>
          <w:gridAfter w:val="12"/>
          <w:divId w:val="1722165577"/>
        </w:trPr>
        <w:tc>
          <w:tcPr>
            <w:tcW w:w="50" w:type="pct"/>
            <w:vAlign w:val="center"/>
            <w:hideMark/>
          </w:tcPr>
          <w:p w:rsidR="00000000" w:rsidRDefault="000A7020">
            <w:pPr>
              <w:jc w:val="both"/>
              <w:rPr>
                <w:rFonts w:eastAsia="Times New Roman"/>
              </w:rPr>
            </w:pPr>
          </w:p>
        </w:tc>
        <w:tc>
          <w:tcPr>
            <w:tcW w:w="110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1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1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25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2165577"/>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Amount of Gain (Loss) Recognized in Other Comprehensive Income (OCI) on Derivative</w:t>
            </w:r>
            <w:r>
              <w:rPr>
                <w:rFonts w:eastAsia="Times New Roman"/>
                <w:b/>
                <w:bCs/>
                <w:color w:val="000000"/>
                <w:sz w:val="16"/>
                <w:szCs w:val="16"/>
              </w:rPr>
              <w:t xml:space="preserve"> </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5"/>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Amount of (Gain) Loss Reclassified from AOCI into the Condensed Consolidated Statement of Operations</w:t>
            </w:r>
            <w:r>
              <w:rPr>
                <w:rFonts w:eastAsia="Times New Roman"/>
                <w:b/>
                <w:bCs/>
                <w:color w:val="000000"/>
                <w:sz w:val="16"/>
                <w:szCs w:val="16"/>
              </w:rPr>
              <w:t xml:space="preserve"> </w:t>
            </w:r>
          </w:p>
        </w:tc>
        <w:tc>
          <w:tcPr>
            <w:tcW w:w="0" w:type="auto"/>
            <w:vAlign w:val="center"/>
            <w:hideMark/>
          </w:tcPr>
          <w:p w:rsidR="00000000" w:rsidRDefault="000A7020">
            <w:pPr>
              <w:jc w:val="center"/>
              <w:rPr>
                <w:rFonts w:eastAsia="Times New Roman"/>
              </w:rPr>
            </w:pPr>
          </w:p>
        </w:tc>
        <w:tc>
          <w:tcPr>
            <w:tcW w:w="0" w:type="auto"/>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1722165577"/>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Derivatives in Cash Flow Hedging Relationship</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three months ended 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three months ended June 30,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Location of (Gain) Loss Reclassified from AOCI into the Condensed Consolidated Statement of Operation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three months ended 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three months ended June 30, 201</w:t>
            </w:r>
            <w:r>
              <w:rPr>
                <w:rFonts w:eastAsia="Times New Roman"/>
                <w:b/>
                <w:bCs/>
                <w:color w:val="000000"/>
                <w:sz w:val="16"/>
                <w:szCs w:val="16"/>
              </w:rPr>
              <w:t>9</w:t>
            </w:r>
          </w:p>
        </w:tc>
        <w:tc>
          <w:tcPr>
            <w:tcW w:w="0" w:type="auto"/>
            <w:vAlign w:val="center"/>
            <w:hideMark/>
          </w:tcPr>
          <w:p w:rsidR="00000000" w:rsidRDefault="000A7020">
            <w:pPr>
              <w:jc w:val="center"/>
              <w:rPr>
                <w:rFonts w:eastAsia="Times New Roman"/>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2165577"/>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2165577"/>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Foreign exchange contract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Cost of product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jc w:val="right"/>
              <w:rPr>
                <w:rFonts w:eastAsia="Times New Roman"/>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2165577"/>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2165577"/>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2165577"/>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22165577"/>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1813"/>
        <w:gridCol w:w="144"/>
        <w:gridCol w:w="144"/>
        <w:gridCol w:w="852"/>
        <w:gridCol w:w="144"/>
        <w:gridCol w:w="144"/>
        <w:gridCol w:w="144"/>
        <w:gridCol w:w="144"/>
        <w:gridCol w:w="144"/>
        <w:gridCol w:w="852"/>
        <w:gridCol w:w="144"/>
        <w:gridCol w:w="144"/>
        <w:gridCol w:w="144"/>
        <w:gridCol w:w="144"/>
        <w:gridCol w:w="144"/>
        <w:gridCol w:w="2080"/>
        <w:gridCol w:w="144"/>
        <w:gridCol w:w="144"/>
        <w:gridCol w:w="144"/>
        <w:gridCol w:w="144"/>
        <w:gridCol w:w="144"/>
        <w:gridCol w:w="720"/>
        <w:gridCol w:w="144"/>
        <w:gridCol w:w="144"/>
        <w:gridCol w:w="144"/>
        <w:gridCol w:w="144"/>
        <w:gridCol w:w="144"/>
        <w:gridCol w:w="720"/>
        <w:gridCol w:w="144"/>
        <w:gridCol w:w="480"/>
        <w:gridCol w:w="1440"/>
        <w:gridCol w:w="1440"/>
        <w:gridCol w:w="1440"/>
        <w:gridCol w:w="160"/>
        <w:gridCol w:w="160"/>
        <w:gridCol w:w="160"/>
        <w:gridCol w:w="480"/>
        <w:gridCol w:w="480"/>
        <w:gridCol w:w="480"/>
        <w:gridCol w:w="480"/>
        <w:gridCol w:w="480"/>
        <w:gridCol w:w="480"/>
        <w:gridCol w:w="480"/>
        <w:gridCol w:w="480"/>
        <w:gridCol w:w="480"/>
      </w:tblGrid>
      <w:tr w:rsidR="00000000">
        <w:trPr>
          <w:gridAfter w:val="12"/>
        </w:trPr>
        <w:tc>
          <w:tcPr>
            <w:tcW w:w="50" w:type="pct"/>
            <w:vAlign w:val="center"/>
            <w:hideMark/>
          </w:tcPr>
          <w:p w:rsidR="00000000" w:rsidRDefault="000A7020">
            <w:pPr>
              <w:rPr>
                <w:rFonts w:eastAsia="Times New Roman"/>
              </w:rPr>
            </w:pPr>
          </w:p>
        </w:tc>
        <w:tc>
          <w:tcPr>
            <w:tcW w:w="109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1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1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25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Amount of Gain (Loss) Recognized in Other Comprehensive Income (OCI) on Derivative</w:t>
            </w:r>
            <w:r>
              <w:rPr>
                <w:rFonts w:eastAsia="Times New Roman"/>
                <w:b/>
                <w:bCs/>
                <w:color w:val="000000"/>
                <w:sz w:val="16"/>
                <w:szCs w:val="16"/>
              </w:rPr>
              <w:t xml:space="preserve"> </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5"/>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Amount of (Gain) Loss Reclassified from AOCI into the Condensed Consolidated Statement of Operations</w:t>
            </w:r>
            <w:r>
              <w:rPr>
                <w:rFonts w:eastAsia="Times New Roman"/>
                <w:b/>
                <w:bCs/>
                <w:color w:val="000000"/>
                <w:sz w:val="16"/>
                <w:szCs w:val="16"/>
              </w:rPr>
              <w:t xml:space="preserve"> </w:t>
            </w:r>
          </w:p>
        </w:tc>
        <w:tc>
          <w:tcPr>
            <w:tcW w:w="0" w:type="auto"/>
            <w:vAlign w:val="center"/>
            <w:hideMark/>
          </w:tcPr>
          <w:p w:rsidR="00000000" w:rsidRDefault="000A7020">
            <w:pPr>
              <w:jc w:val="center"/>
              <w:rPr>
                <w:rFonts w:eastAsia="Times New Roman"/>
              </w:rPr>
            </w:pPr>
          </w:p>
        </w:tc>
        <w:tc>
          <w:tcPr>
            <w:tcW w:w="0" w:type="auto"/>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Derivatives in Cash Flow Hedging Relationship</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six months ended 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six months ended June 30,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Location of (Gain) Loss Reclassified from AOCI into the Condensed Consolidated Statement of Operation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six months ended 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six months ended June 30, 201</w:t>
            </w:r>
            <w:r>
              <w:rPr>
                <w:rFonts w:eastAsia="Times New Roman"/>
                <w:b/>
                <w:bCs/>
                <w:color w:val="000000"/>
                <w:sz w:val="16"/>
                <w:szCs w:val="16"/>
              </w:rPr>
              <w:t>9</w:t>
            </w:r>
          </w:p>
        </w:tc>
        <w:tc>
          <w:tcPr>
            <w:tcW w:w="0" w:type="auto"/>
            <w:vAlign w:val="center"/>
            <w:hideMark/>
          </w:tcPr>
          <w:p w:rsidR="00000000" w:rsidRDefault="000A7020">
            <w:pPr>
              <w:jc w:val="center"/>
              <w:rPr>
                <w:rFonts w:eastAsia="Times New Roman"/>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Foreign exchange contract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Cost of product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jc w:val="right"/>
              <w:rPr>
                <w:rFonts w:eastAsia="Times New Roman"/>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divId w:val="1944341368"/>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45"/>
        <w:gridCol w:w="1674"/>
        <w:gridCol w:w="45"/>
        <w:gridCol w:w="48"/>
        <w:gridCol w:w="1352"/>
        <w:gridCol w:w="47"/>
        <w:gridCol w:w="36"/>
        <w:gridCol w:w="36"/>
        <w:gridCol w:w="36"/>
        <w:gridCol w:w="135"/>
        <w:gridCol w:w="815"/>
        <w:gridCol w:w="85"/>
        <w:gridCol w:w="36"/>
        <w:gridCol w:w="42"/>
        <w:gridCol w:w="36"/>
        <w:gridCol w:w="135"/>
        <w:gridCol w:w="856"/>
        <w:gridCol w:w="85"/>
        <w:gridCol w:w="135"/>
        <w:gridCol w:w="821"/>
        <w:gridCol w:w="85"/>
        <w:gridCol w:w="36"/>
        <w:gridCol w:w="36"/>
        <w:gridCol w:w="36"/>
        <w:gridCol w:w="135"/>
        <w:gridCol w:w="840"/>
        <w:gridCol w:w="85"/>
        <w:gridCol w:w="36"/>
        <w:gridCol w:w="36"/>
        <w:gridCol w:w="36"/>
        <w:gridCol w:w="36"/>
        <w:gridCol w:w="36"/>
        <w:gridCol w:w="36"/>
        <w:gridCol w:w="36"/>
        <w:gridCol w:w="36"/>
        <w:gridCol w:w="36"/>
        <w:gridCol w:w="36"/>
        <w:gridCol w:w="36"/>
        <w:gridCol w:w="36"/>
        <w:gridCol w:w="36"/>
        <w:gridCol w:w="36"/>
        <w:gridCol w:w="36"/>
      </w:tblGrid>
      <w:tr w:rsidR="00000000">
        <w:trPr>
          <w:gridAfter w:val="15"/>
          <w:divId w:val="1944341368"/>
        </w:trPr>
        <w:tc>
          <w:tcPr>
            <w:tcW w:w="50" w:type="pct"/>
            <w:vAlign w:val="center"/>
            <w:hideMark/>
          </w:tcPr>
          <w:p w:rsidR="00000000" w:rsidRDefault="000A7020">
            <w:pPr>
              <w:rPr>
                <w:rFonts w:eastAsia="Times New Roman"/>
              </w:rPr>
            </w:pPr>
          </w:p>
        </w:tc>
        <w:tc>
          <w:tcPr>
            <w:tcW w:w="110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89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6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8"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7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5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8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944341368"/>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0A7020">
            <w:pPr>
              <w:rPr>
                <w:rFonts w:eastAsia="Times New Roman"/>
              </w:rPr>
            </w:pPr>
          </w:p>
        </w:tc>
        <w:tc>
          <w:tcPr>
            <w:tcW w:w="0" w:type="auto"/>
            <w:gridSpan w:val="18"/>
            <w:tcBorders>
              <w:bottom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Amount of Gain (Loss) Recognized in the Condensed Consolidated Statement of Operations</w:t>
            </w:r>
            <w:r>
              <w:rPr>
                <w:rFonts w:eastAsia="Times New Roman"/>
                <w:b/>
                <w:bCs/>
                <w:color w:val="000000"/>
                <w:sz w:val="16"/>
                <w:szCs w:val="16"/>
              </w:rPr>
              <w:br/>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1944341368"/>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944341368"/>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Derivatives not Designated as Hedging Instrument</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Location of Gain (Loss) Recognized in the Condensed Consolidated Statement of Operation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944341368"/>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Foreign exchange contract</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(expense),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divId w:val="1741832685"/>
        <w:rPr>
          <w:rFonts w:eastAsia="Times New Roman"/>
        </w:rPr>
      </w:pPr>
    </w:p>
    <w:p w:rsidR="00000000" w:rsidRDefault="000A7020">
      <w:pPr>
        <w:divId w:val="1180200222"/>
        <w:rPr>
          <w:rFonts w:eastAsia="Times New Roman"/>
        </w:rPr>
      </w:pPr>
      <w:r>
        <w:rPr>
          <w:rFonts w:eastAsia="Times New Roman"/>
          <w:color w:val="000000"/>
          <w:sz w:val="20"/>
          <w:szCs w:val="20"/>
        </w:rPr>
        <w:t>Refer to Note 13. Derivatives and Hedging Instruments, for further information on derivative assets and liabil</w:t>
      </w:r>
      <w:r>
        <w:rPr>
          <w:rFonts w:eastAsia="Times New Roman"/>
          <w:color w:val="000000"/>
          <w:sz w:val="20"/>
          <w:szCs w:val="20"/>
        </w:rPr>
        <w:t>ities recorded at fair value on a recurring basis.</w:t>
      </w:r>
      <w:r>
        <w:rPr>
          <w:rFonts w:eastAsia="Times New Roman"/>
          <w:color w:val="000000"/>
          <w:sz w:val="20"/>
          <w:szCs w:val="20"/>
        </w:rPr>
        <w:t xml:space="preserve"> </w:t>
      </w:r>
    </w:p>
    <w:p w:rsidR="00000000" w:rsidRDefault="000A7020">
      <w:pPr>
        <w:jc w:val="both"/>
        <w:divId w:val="804011180"/>
        <w:rPr>
          <w:rFonts w:eastAsia="Times New Roman"/>
        </w:rPr>
      </w:pPr>
      <w:r>
        <w:rPr>
          <w:rFonts w:eastAsia="Times New Roman"/>
          <w:b/>
          <w:bCs/>
          <w:i/>
          <w:iCs/>
          <w:color w:val="000000"/>
          <w:sz w:val="20"/>
          <w:szCs w:val="20"/>
        </w:rPr>
        <w:t>Concentration of Credit Ris</w:t>
      </w:r>
      <w:r>
        <w:rPr>
          <w:rFonts w:eastAsia="Times New Roman"/>
          <w:b/>
          <w:bCs/>
          <w:i/>
          <w:iCs/>
          <w:color w:val="000000"/>
          <w:sz w:val="20"/>
          <w:szCs w:val="20"/>
        </w:rPr>
        <w:t>k</w:t>
      </w:r>
    </w:p>
    <w:p w:rsidR="00000000" w:rsidRDefault="000A7020">
      <w:pPr>
        <w:jc w:val="both"/>
        <w:divId w:val="963464159"/>
        <w:rPr>
          <w:rFonts w:eastAsia="Times New Roman"/>
        </w:rPr>
      </w:pPr>
      <w:r>
        <w:rPr>
          <w:rFonts w:eastAsia="Times New Roman"/>
          <w:color w:val="000000"/>
          <w:sz w:val="20"/>
          <w:szCs w:val="20"/>
        </w:rPr>
        <w:t xml:space="preserve">NCR is potentially subject to concentrations of credit risk on accounts receivable and financial instruments such as hedging instruments and cash and cash equivalents. Credit </w:t>
      </w:r>
      <w:r>
        <w:rPr>
          <w:rFonts w:eastAsia="Times New Roman"/>
          <w:color w:val="000000"/>
          <w:sz w:val="20"/>
          <w:szCs w:val="20"/>
        </w:rPr>
        <w:t>risk includes the risk of nonperformance by counterparties. The maximum potential loss may exceed the amount recognized on the Condensed Consolidated Balance Sheets. Exposure to credit risk is managed through credit approvals, credit limits, selecting majo</w:t>
      </w:r>
      <w:r>
        <w:rPr>
          <w:rFonts w:eastAsia="Times New Roman"/>
          <w:color w:val="000000"/>
          <w:sz w:val="20"/>
          <w:szCs w:val="20"/>
        </w:rPr>
        <w:t>r international financial institutions (as counterparties to hedging transactions) and monitoring procedures. NCR’s business often involves large transactions with customers, and if one or more of those customers were to default on its obligations under ap</w:t>
      </w:r>
      <w:r>
        <w:rPr>
          <w:rFonts w:eastAsia="Times New Roman"/>
          <w:color w:val="000000"/>
          <w:sz w:val="20"/>
          <w:szCs w:val="20"/>
        </w:rPr>
        <w:t>plicable contractual arrangements, the Company could be exposed to potentially significant losses. However, management believes that the reserves for expected losses are adequate. As of June 30, 2020, we did not have any significant concentration of credit</w:t>
      </w:r>
      <w:r>
        <w:rPr>
          <w:rFonts w:eastAsia="Times New Roman"/>
          <w:color w:val="000000"/>
          <w:sz w:val="20"/>
          <w:szCs w:val="20"/>
        </w:rPr>
        <w:t xml:space="preserve"> risk related to financial instruments</w:t>
      </w:r>
      <w:r>
        <w:rPr>
          <w:rFonts w:eastAsia="Times New Roman"/>
          <w:color w:val="000000"/>
          <w:sz w:val="20"/>
          <w:szCs w:val="20"/>
        </w:rPr>
        <w:t>.</w:t>
      </w:r>
    </w:p>
    <w:p w:rsidR="00000000" w:rsidRDefault="000A7020">
      <w:pPr>
        <w:jc w:val="both"/>
        <w:divId w:val="1376461963"/>
        <w:rPr>
          <w:rFonts w:eastAsia="Times New Roman"/>
        </w:rPr>
      </w:pPr>
    </w:p>
    <w:p w:rsidR="00000000" w:rsidRDefault="000A7020">
      <w:pPr>
        <w:divId w:val="129246067"/>
        <w:rPr>
          <w:rFonts w:eastAsia="Times New Roman"/>
        </w:rPr>
      </w:pPr>
      <w:r>
        <w:rPr>
          <w:rFonts w:eastAsia="Times New Roman"/>
          <w:b/>
          <w:bCs/>
          <w:color w:val="54B948"/>
          <w:sz w:val="20"/>
          <w:szCs w:val="20"/>
        </w:rPr>
        <w:t>14. FAIR VALUE OF ASSETS AND LIABILITIE</w:t>
      </w:r>
      <w:r>
        <w:rPr>
          <w:rFonts w:eastAsia="Times New Roman"/>
          <w:b/>
          <w:bCs/>
          <w:color w:val="54B948"/>
          <w:sz w:val="20"/>
          <w:szCs w:val="20"/>
        </w:rPr>
        <w:t>S</w:t>
      </w:r>
      <w:r>
        <w:rPr>
          <w:rFonts w:eastAsia="Times New Roman"/>
          <w:b/>
          <w:bCs/>
          <w:color w:val="000000"/>
          <w:sz w:val="20"/>
          <w:szCs w:val="20"/>
        </w:rPr>
        <w:t xml:space="preserve"> </w:t>
      </w:r>
    </w:p>
    <w:p w:rsidR="00000000" w:rsidRDefault="000A7020">
      <w:pPr>
        <w:jc w:val="both"/>
        <w:divId w:val="134497020"/>
        <w:rPr>
          <w:rFonts w:eastAsia="Times New Roman"/>
        </w:rPr>
      </w:pPr>
      <w:r>
        <w:rPr>
          <w:rFonts w:eastAsia="Times New Roman"/>
          <w:b/>
          <w:bCs/>
          <w:i/>
          <w:iCs/>
          <w:color w:val="000000"/>
          <w:sz w:val="20"/>
          <w:szCs w:val="20"/>
        </w:rPr>
        <w:t>Assets and Liabilities Measured at Fair Value on a Recurring Basi</w:t>
      </w:r>
      <w:r>
        <w:rPr>
          <w:rFonts w:eastAsia="Times New Roman"/>
          <w:b/>
          <w:bCs/>
          <w:i/>
          <w:iCs/>
          <w:color w:val="000000"/>
          <w:sz w:val="20"/>
          <w:szCs w:val="20"/>
        </w:rPr>
        <w:t>s</w:t>
      </w:r>
    </w:p>
    <w:p w:rsidR="00000000" w:rsidRDefault="000A7020">
      <w:pPr>
        <w:jc w:val="both"/>
        <w:divId w:val="1349716801"/>
        <w:rPr>
          <w:rFonts w:eastAsia="Times New Roman"/>
        </w:rPr>
      </w:pPr>
      <w:r>
        <w:rPr>
          <w:rFonts w:eastAsia="Times New Roman"/>
          <w:color w:val="000000"/>
          <w:sz w:val="20"/>
          <w:szCs w:val="20"/>
        </w:rPr>
        <w:t>Assets and liabilities recorded at fair value on a recurring basis as of June 30, 2020 and December 31, 2</w:t>
      </w:r>
      <w:r>
        <w:rPr>
          <w:rFonts w:eastAsia="Times New Roman"/>
          <w:color w:val="000000"/>
          <w:sz w:val="20"/>
          <w:szCs w:val="20"/>
        </w:rPr>
        <w:t>019 are set forth as follows</w:t>
      </w:r>
      <w:r>
        <w:rPr>
          <w:rFonts w:eastAsia="Times New Roman"/>
          <w:color w:val="000000"/>
          <w:sz w:val="20"/>
          <w:szCs w:val="20"/>
        </w:rPr>
        <w:t>:</w:t>
      </w:r>
    </w:p>
    <w:p w:rsidR="00000000" w:rsidRDefault="000A7020">
      <w:pPr>
        <w:jc w:val="center"/>
        <w:divId w:val="1326058201"/>
        <w:rPr>
          <w:rFonts w:eastAsia="Times New Roman"/>
        </w:rPr>
      </w:pPr>
      <w:r>
        <w:rPr>
          <w:rFonts w:eastAsia="Times New Roman"/>
          <w:color w:val="000000"/>
          <w:sz w:val="20"/>
          <w:szCs w:val="20"/>
        </w:rPr>
        <w:t>3</w:t>
      </w:r>
      <w:r>
        <w:rPr>
          <w:rFonts w:eastAsia="Times New Roman"/>
          <w:color w:val="000000"/>
          <w:sz w:val="20"/>
          <w:szCs w:val="20"/>
        </w:rPr>
        <w:t>6</w:t>
      </w:r>
    </w:p>
    <w:p w:rsidR="00000000" w:rsidRDefault="000A7020">
      <w:pPr>
        <w:rPr>
          <w:rFonts w:eastAsia="Times New Roman"/>
        </w:rPr>
      </w:pPr>
      <w:r>
        <w:rPr>
          <w:rFonts w:eastAsia="Times New Roman"/>
        </w:rPr>
        <w:pict>
          <v:rect id="_x0000_i1061" style="width:0;height:1.5pt" o:hralign="center" o:hrstd="t" o:hr="t" fillcolor="#a0a0a0" stroked="f"/>
        </w:pict>
      </w:r>
    </w:p>
    <w:p w:rsidR="00000000" w:rsidRDefault="000A7020">
      <w:pPr>
        <w:ind w:firstLine="720"/>
        <w:divId w:val="198401114"/>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309596537"/>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309596537"/>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2233"/>
        <w:gridCol w:w="39"/>
        <w:gridCol w:w="135"/>
        <w:gridCol w:w="515"/>
        <w:gridCol w:w="85"/>
        <w:gridCol w:w="36"/>
        <w:gridCol w:w="36"/>
        <w:gridCol w:w="36"/>
        <w:gridCol w:w="136"/>
        <w:gridCol w:w="1167"/>
        <w:gridCol w:w="85"/>
        <w:gridCol w:w="36"/>
        <w:gridCol w:w="36"/>
        <w:gridCol w:w="36"/>
        <w:gridCol w:w="136"/>
        <w:gridCol w:w="1154"/>
        <w:gridCol w:w="85"/>
        <w:gridCol w:w="36"/>
        <w:gridCol w:w="36"/>
        <w:gridCol w:w="36"/>
        <w:gridCol w:w="136"/>
        <w:gridCol w:w="1281"/>
        <w:gridCol w:w="93"/>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816727718"/>
          <w:jc w:val="center"/>
        </w:trPr>
        <w:tc>
          <w:tcPr>
            <w:tcW w:w="50" w:type="pct"/>
            <w:vAlign w:val="center"/>
            <w:hideMark/>
          </w:tcPr>
          <w:p w:rsidR="00000000" w:rsidRDefault="000A7020">
            <w:pPr>
              <w:jc w:val="center"/>
              <w:rPr>
                <w:rFonts w:eastAsia="Times New Roman"/>
              </w:rPr>
            </w:pPr>
          </w:p>
        </w:tc>
        <w:tc>
          <w:tcPr>
            <w:tcW w:w="183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8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74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8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816727718"/>
          <w:jc w:val="center"/>
        </w:trPr>
        <w:tc>
          <w:tcPr>
            <w:tcW w:w="0" w:type="auto"/>
            <w:gridSpan w:val="3"/>
            <w:tcMar>
              <w:top w:w="30" w:type="dxa"/>
              <w:left w:w="20" w:type="dxa"/>
              <w:bottom w:w="30" w:type="dxa"/>
              <w:right w:w="20" w:type="dxa"/>
            </w:tcMar>
            <w:vAlign w:val="bottom"/>
            <w:hideMark/>
          </w:tcPr>
          <w:p w:rsidR="00000000" w:rsidRDefault="000A7020">
            <w:pPr>
              <w:divId w:val="1233388792"/>
              <w:rPr>
                <w:rFonts w:eastAsia="Times New Roman"/>
              </w:rPr>
            </w:pPr>
            <w:r>
              <w:rPr>
                <w:rFonts w:eastAsia="Times New Roman"/>
                <w:color w:val="000000"/>
                <w:sz w:val="20"/>
                <w:szCs w:val="20"/>
              </w:rPr>
              <w:t> </w:t>
            </w: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816727718"/>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Quoted Prices in</w:t>
            </w:r>
            <w:r>
              <w:rPr>
                <w:rFonts w:eastAsia="Times New Roman"/>
                <w:b/>
                <w:bCs/>
                <w:color w:val="000000"/>
                <w:sz w:val="16"/>
                <w:szCs w:val="16"/>
              </w:rPr>
              <w:br/>
              <w:t>Active Markets for</w:t>
            </w:r>
            <w:r>
              <w:rPr>
                <w:rFonts w:eastAsia="Times New Roman"/>
                <w:b/>
                <w:bCs/>
                <w:color w:val="000000"/>
                <w:sz w:val="16"/>
                <w:szCs w:val="16"/>
              </w:rPr>
              <w:br/>
              <w:t>Identical Assets</w:t>
            </w:r>
            <w:r>
              <w:rPr>
                <w:rFonts w:eastAsia="Times New Roman"/>
                <w:b/>
                <w:bCs/>
                <w:color w:val="000000"/>
                <w:sz w:val="16"/>
                <w:szCs w:val="16"/>
              </w:rPr>
              <w:br/>
              <w:t>(Level 1</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r>
              <w:rPr>
                <w:rFonts w:eastAsia="Times New Roman"/>
                <w:b/>
                <w:bCs/>
                <w:color w:val="000000"/>
                <w:sz w:val="16"/>
                <w:szCs w:val="16"/>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672771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Assets</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6727718"/>
          <w:jc w:val="center"/>
        </w:trPr>
        <w:tc>
          <w:tcPr>
            <w:tcW w:w="0" w:type="auto"/>
            <w:gridSpan w:val="3"/>
            <w:shd w:val="clear" w:color="auto" w:fill="FFFFFF"/>
            <w:tcMar>
              <w:top w:w="30" w:type="dxa"/>
              <w:left w:w="20" w:type="dxa"/>
              <w:bottom w:w="30" w:type="dxa"/>
              <w:right w:w="20" w:type="dxa"/>
            </w:tcMar>
            <w:hideMark/>
          </w:tcPr>
          <w:p w:rsidR="00000000" w:rsidRDefault="000A7020">
            <w:pPr>
              <w:divId w:val="484902568"/>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1,365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1,365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6727718"/>
          <w:jc w:val="center"/>
        </w:trPr>
        <w:tc>
          <w:tcPr>
            <w:tcW w:w="0" w:type="auto"/>
            <w:gridSpan w:val="3"/>
            <w:shd w:val="clear" w:color="auto" w:fill="CCEEFF"/>
            <w:tcMar>
              <w:top w:w="30" w:type="dxa"/>
              <w:left w:w="20" w:type="dxa"/>
              <w:bottom w:w="30" w:type="dxa"/>
              <w:right w:w="20" w:type="dxa"/>
            </w:tcMar>
            <w:hideMark/>
          </w:tcPr>
          <w:p w:rsidR="00000000" w:rsidRDefault="000A7020">
            <w:pPr>
              <w:divId w:val="1928465632"/>
              <w:rPr>
                <w:rFonts w:eastAsia="Times New Roman"/>
              </w:rPr>
            </w:pPr>
            <w:r>
              <w:rPr>
                <w:rFonts w:eastAsia="Times New Roman"/>
                <w:color w:val="000000"/>
                <w:sz w:val="20"/>
                <w:szCs w:val="20"/>
              </w:rPr>
              <w:t>Foreign investment</w:t>
            </w:r>
            <w:r>
              <w:rPr>
                <w:rFonts w:eastAsia="Times New Roman"/>
                <w:color w:val="000000"/>
                <w:sz w:val="20"/>
                <w:szCs w:val="20"/>
              </w:rPr>
              <w:t>s</w:t>
            </w:r>
            <w:r>
              <w:rPr>
                <w:rFonts w:eastAsia="Times New Roman"/>
                <w:color w:val="000000"/>
                <w:sz w:val="13"/>
                <w:szCs w:val="13"/>
                <w:vertAlign w:val="superscript"/>
              </w:rPr>
              <w:t>(2)</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6727718"/>
          <w:jc w:val="center"/>
        </w:trPr>
        <w:tc>
          <w:tcPr>
            <w:tcW w:w="0" w:type="auto"/>
            <w:gridSpan w:val="3"/>
            <w:shd w:val="clear" w:color="auto" w:fill="FFFFFF"/>
            <w:tcMar>
              <w:top w:w="30" w:type="dxa"/>
              <w:left w:w="20" w:type="dxa"/>
              <w:bottom w:w="30" w:type="dxa"/>
              <w:right w:w="20" w:type="dxa"/>
            </w:tcMar>
            <w:hideMark/>
          </w:tcPr>
          <w:p w:rsidR="00000000" w:rsidRDefault="000A7020">
            <w:pPr>
              <w:divId w:val="1746147234"/>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vertAlign w:val="superscript"/>
              </w:rPr>
              <w:t>(2)</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6727718"/>
          <w:jc w:val="center"/>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1,371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1,365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672771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Liabilities</w:t>
            </w:r>
            <w:r>
              <w:rPr>
                <w:rFonts w:eastAsia="Times New Roman"/>
                <w:b/>
                <w:bCs/>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6727718"/>
          <w:jc w:val="center"/>
        </w:trPr>
        <w:tc>
          <w:tcPr>
            <w:tcW w:w="0" w:type="auto"/>
            <w:gridSpan w:val="3"/>
            <w:shd w:val="clear" w:color="auto" w:fill="CCEEFF"/>
            <w:tcMar>
              <w:top w:w="30" w:type="dxa"/>
              <w:left w:w="20" w:type="dxa"/>
              <w:bottom w:w="30" w:type="dxa"/>
              <w:right w:w="20" w:type="dxa"/>
            </w:tcMar>
            <w:hideMark/>
          </w:tcPr>
          <w:p w:rsidR="00000000" w:rsidRDefault="000A7020">
            <w:pPr>
              <w:divId w:val="655836719"/>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vertAlign w:val="superscript"/>
              </w:rPr>
              <w:t>(3)</w:t>
            </w: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6727718"/>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3049"/>
        <w:gridCol w:w="144"/>
        <w:gridCol w:w="144"/>
        <w:gridCol w:w="719"/>
        <w:gridCol w:w="144"/>
        <w:gridCol w:w="144"/>
        <w:gridCol w:w="144"/>
        <w:gridCol w:w="144"/>
        <w:gridCol w:w="144"/>
        <w:gridCol w:w="1132"/>
        <w:gridCol w:w="144"/>
        <w:gridCol w:w="144"/>
        <w:gridCol w:w="144"/>
        <w:gridCol w:w="144"/>
        <w:gridCol w:w="144"/>
        <w:gridCol w:w="1242"/>
        <w:gridCol w:w="144"/>
        <w:gridCol w:w="144"/>
        <w:gridCol w:w="144"/>
        <w:gridCol w:w="144"/>
        <w:gridCol w:w="144"/>
        <w:gridCol w:w="1132"/>
        <w:gridCol w:w="144"/>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18"/>
          <w:jc w:val="center"/>
        </w:trPr>
        <w:tc>
          <w:tcPr>
            <w:tcW w:w="50" w:type="pct"/>
            <w:vAlign w:val="center"/>
            <w:hideMark/>
          </w:tcPr>
          <w:p w:rsidR="00000000" w:rsidRDefault="000A7020">
            <w:pPr>
              <w:jc w:val="center"/>
              <w:rPr>
                <w:rFonts w:eastAsia="Times New Roman"/>
              </w:rPr>
            </w:pPr>
          </w:p>
        </w:tc>
        <w:tc>
          <w:tcPr>
            <w:tcW w:w="183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8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749"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8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Quoted Prices in</w:t>
            </w:r>
            <w:r>
              <w:rPr>
                <w:rFonts w:eastAsia="Times New Roman"/>
                <w:b/>
                <w:bCs/>
                <w:color w:val="000000"/>
                <w:sz w:val="16"/>
                <w:szCs w:val="16"/>
              </w:rPr>
              <w:br/>
              <w:t>Active Markets for</w:t>
            </w:r>
            <w:r>
              <w:rPr>
                <w:rFonts w:eastAsia="Times New Roman"/>
                <w:b/>
                <w:bCs/>
                <w:color w:val="000000"/>
                <w:sz w:val="16"/>
                <w:szCs w:val="16"/>
              </w:rPr>
              <w:br/>
              <w:t>Identical Assets</w:t>
            </w:r>
            <w:r>
              <w:rPr>
                <w:rFonts w:eastAsia="Times New Roman"/>
                <w:b/>
                <w:bCs/>
                <w:color w:val="000000"/>
                <w:sz w:val="16"/>
                <w:szCs w:val="16"/>
              </w:rPr>
              <w:br/>
              <w:t>(Level 1</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r>
            <w:r>
              <w:rPr>
                <w:rFonts w:eastAsia="Times New Roman"/>
                <w:b/>
                <w:bCs/>
                <w:color w:val="000000"/>
                <w:sz w:val="16"/>
                <w:szCs w:val="16"/>
              </w:rPr>
              <w:t>Observable Inputs</w:t>
            </w:r>
            <w:r>
              <w:rPr>
                <w:rFonts w:eastAsia="Times New Roman"/>
                <w:b/>
                <w:bCs/>
                <w:color w:val="000000"/>
                <w:sz w:val="16"/>
                <w:szCs w:val="16"/>
              </w:rPr>
              <w:br/>
              <w:t>(Level 2</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r>
              <w:rPr>
                <w:rFonts w:eastAsia="Times New Roman"/>
                <w:b/>
                <w:bCs/>
                <w:color w:val="000000"/>
                <w:sz w:val="16"/>
                <w:szCs w:val="16"/>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Assets</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0A7020">
            <w:pPr>
              <w:divId w:val="1879125933"/>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0A7020">
            <w:pPr>
              <w:divId w:val="237403305"/>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vertAlign w:val="superscript"/>
              </w:rPr>
              <w:t>(2)</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Liabilities</w:t>
            </w:r>
            <w:r>
              <w:rPr>
                <w:rFonts w:eastAsia="Times New Roman"/>
                <w:b/>
                <w:bCs/>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0A7020">
            <w:pPr>
              <w:divId w:val="2118981306"/>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vertAlign w:val="superscript"/>
              </w:rPr>
              <w:t>(3)</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divId w:val="1453206601"/>
        <w:rPr>
          <w:rFonts w:eastAsia="Times New Roman"/>
        </w:rPr>
      </w:pPr>
    </w:p>
    <w:p w:rsidR="00000000" w:rsidRDefault="000A7020">
      <w:pPr>
        <w:divId w:val="172692035"/>
        <w:rPr>
          <w:rFonts w:eastAsia="Times New Roman"/>
        </w:rPr>
      </w:pPr>
      <w:r>
        <w:rPr>
          <w:rFonts w:eastAsia="Times New Roman"/>
          <w:color w:val="000000"/>
          <w:sz w:val="13"/>
          <w:szCs w:val="13"/>
          <w:vertAlign w:val="superscript"/>
        </w:rPr>
        <w:t>(1</w:t>
      </w:r>
      <w:r>
        <w:rPr>
          <w:rFonts w:eastAsia="Times New Roman"/>
          <w:color w:val="000000"/>
          <w:sz w:val="13"/>
          <w:szCs w:val="13"/>
          <w:vertAlign w:val="superscript"/>
        </w:rPr>
        <w:t>)</w:t>
      </w:r>
      <w:r>
        <w:rPr>
          <w:rFonts w:eastAsia="Times New Roman"/>
          <w:color w:val="000000"/>
          <w:sz w:val="20"/>
          <w:szCs w:val="20"/>
        </w:rPr>
        <w:t> Included in Cash and cash equivalents in the Condensed Consolidated Ba</w:t>
      </w:r>
      <w:r>
        <w:rPr>
          <w:rFonts w:eastAsia="Times New Roman"/>
          <w:color w:val="000000"/>
          <w:sz w:val="20"/>
          <w:szCs w:val="20"/>
        </w:rPr>
        <w:t>lance Sheets</w:t>
      </w:r>
      <w:r>
        <w:rPr>
          <w:rFonts w:eastAsia="Times New Roman"/>
          <w:color w:val="000000"/>
          <w:sz w:val="20"/>
          <w:szCs w:val="20"/>
        </w:rPr>
        <w:t>.</w:t>
      </w:r>
    </w:p>
    <w:p w:rsidR="00000000" w:rsidRDefault="000A7020">
      <w:pPr>
        <w:divId w:val="644433952"/>
        <w:rPr>
          <w:rFonts w:eastAsia="Times New Roman"/>
        </w:rPr>
      </w:pPr>
      <w:r>
        <w:rPr>
          <w:rFonts w:eastAsia="Times New Roman"/>
          <w:color w:val="000000"/>
          <w:sz w:val="13"/>
          <w:szCs w:val="13"/>
          <w:vertAlign w:val="superscript"/>
        </w:rPr>
        <w:t>(2</w:t>
      </w:r>
      <w:r>
        <w:rPr>
          <w:rFonts w:eastAsia="Times New Roman"/>
          <w:color w:val="000000"/>
          <w:sz w:val="13"/>
          <w:szCs w:val="13"/>
          <w:vertAlign w:val="superscript"/>
        </w:rPr>
        <w:t>)</w:t>
      </w:r>
      <w:r>
        <w:rPr>
          <w:rFonts w:eastAsia="Times New Roman"/>
          <w:color w:val="000000"/>
          <w:sz w:val="20"/>
          <w:szCs w:val="20"/>
        </w:rPr>
        <w:t> Included in Other current assets in the Condensed Consolidated Balance Sheets</w:t>
      </w:r>
      <w:r>
        <w:rPr>
          <w:rFonts w:eastAsia="Times New Roman"/>
          <w:color w:val="000000"/>
          <w:sz w:val="20"/>
          <w:szCs w:val="20"/>
        </w:rPr>
        <w:t>.</w:t>
      </w:r>
    </w:p>
    <w:p w:rsidR="00000000" w:rsidRDefault="000A7020">
      <w:pPr>
        <w:divId w:val="313527537"/>
        <w:rPr>
          <w:rFonts w:eastAsia="Times New Roman"/>
        </w:rPr>
      </w:pPr>
      <w:r>
        <w:rPr>
          <w:rFonts w:eastAsia="Times New Roman"/>
          <w:color w:val="000000"/>
          <w:sz w:val="13"/>
          <w:szCs w:val="13"/>
          <w:vertAlign w:val="superscript"/>
        </w:rPr>
        <w:t>(3</w:t>
      </w:r>
      <w:r>
        <w:rPr>
          <w:rFonts w:eastAsia="Times New Roman"/>
          <w:color w:val="000000"/>
          <w:sz w:val="13"/>
          <w:szCs w:val="13"/>
          <w:vertAlign w:val="superscript"/>
        </w:rPr>
        <w:t>)</w:t>
      </w:r>
      <w:r>
        <w:rPr>
          <w:rFonts w:eastAsia="Times New Roman"/>
          <w:color w:val="000000"/>
          <w:sz w:val="20"/>
          <w:szCs w:val="20"/>
        </w:rPr>
        <w:t> Included in Other current liabilities in the Condensed Consolidated Balance Sheets.</w:t>
      </w:r>
      <w:r>
        <w:rPr>
          <w:rFonts w:eastAsia="Times New Roman"/>
          <w:color w:val="000000"/>
          <w:sz w:val="20"/>
          <w:szCs w:val="20"/>
        </w:rPr>
        <w:t xml:space="preserve"> </w:t>
      </w:r>
    </w:p>
    <w:p w:rsidR="00000000" w:rsidRDefault="000A7020">
      <w:pPr>
        <w:jc w:val="both"/>
        <w:divId w:val="2111973990"/>
        <w:rPr>
          <w:rFonts w:eastAsia="Times New Roman"/>
        </w:rPr>
      </w:pPr>
      <w:r>
        <w:rPr>
          <w:rFonts w:eastAsia="Times New Roman"/>
          <w:i/>
          <w:iCs/>
          <w:color w:val="000000"/>
          <w:sz w:val="20"/>
          <w:szCs w:val="20"/>
        </w:rPr>
        <w:t>Deposits Held in Money Market Mutual Funds</w:t>
      </w:r>
      <w:r>
        <w:rPr>
          <w:rFonts w:eastAsia="Times New Roman"/>
          <w:i/>
          <w:iCs/>
          <w:color w:val="000000"/>
          <w:sz w:val="20"/>
          <w:szCs w:val="20"/>
        </w:rPr>
        <w:t xml:space="preserve"> </w:t>
      </w:r>
      <w:r>
        <w:rPr>
          <w:rFonts w:eastAsia="Times New Roman"/>
          <w:color w:val="000000"/>
          <w:sz w:val="20"/>
          <w:szCs w:val="20"/>
        </w:rPr>
        <w:t xml:space="preserve">A portion of the Company’s </w:t>
      </w:r>
      <w:r>
        <w:rPr>
          <w:rFonts w:eastAsia="Times New Roman"/>
          <w:color w:val="000000"/>
          <w:sz w:val="20"/>
          <w:szCs w:val="20"/>
        </w:rPr>
        <w:t>excess cash is held in money market mutual funds that generate interest income based on prevailing market rates. Money market mutual fund holdings are measured at fair value using quoted market prices and are classified within Level 1 of the valuation hier</w:t>
      </w:r>
      <w:r>
        <w:rPr>
          <w:rFonts w:eastAsia="Times New Roman"/>
          <w:color w:val="000000"/>
          <w:sz w:val="20"/>
          <w:szCs w:val="20"/>
        </w:rPr>
        <w:t>archy</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Foreign Investments</w:t>
      </w:r>
      <w:r>
        <w:rPr>
          <w:rFonts w:eastAsia="Times New Roman"/>
          <w:i/>
          <w:iCs/>
          <w:color w:val="000000"/>
          <w:sz w:val="20"/>
          <w:szCs w:val="20"/>
        </w:rPr>
        <w:t xml:space="preserve"> </w:t>
      </w:r>
      <w:r>
        <w:rPr>
          <w:rFonts w:eastAsia="Times New Roman"/>
          <w:color w:val="000000"/>
          <w:sz w:val="20"/>
          <w:szCs w:val="20"/>
        </w:rPr>
        <w:t>As a result of our acquisition of Origami, as noted within Note 3, Business Combinations, we acquired investments held in Brazil. The investments include an investment fund similar to a mutual fund as well as certificates of de</w:t>
      </w:r>
      <w:r>
        <w:rPr>
          <w:rFonts w:eastAsia="Times New Roman"/>
          <w:color w:val="000000"/>
          <w:sz w:val="20"/>
          <w:szCs w:val="20"/>
        </w:rPr>
        <w:t>posit. The investments are valued using observable, either directly or indirectly, inputs for substantially the full term of the assets and are classified within Level 2 of the valuation hierarchy</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Foreign Exchange Contracts</w:t>
      </w:r>
      <w:r>
        <w:rPr>
          <w:rFonts w:eastAsia="Times New Roman"/>
          <w:i/>
          <w:iCs/>
          <w:color w:val="000000"/>
          <w:sz w:val="20"/>
          <w:szCs w:val="20"/>
        </w:rPr>
        <w:t xml:space="preserve"> </w:t>
      </w:r>
      <w:r>
        <w:rPr>
          <w:rFonts w:eastAsia="Times New Roman"/>
          <w:color w:val="000000"/>
          <w:sz w:val="20"/>
          <w:szCs w:val="20"/>
        </w:rPr>
        <w:t>As a result of our global ope</w:t>
      </w:r>
      <w:r>
        <w:rPr>
          <w:rFonts w:eastAsia="Times New Roman"/>
          <w:color w:val="000000"/>
          <w:sz w:val="20"/>
          <w:szCs w:val="20"/>
        </w:rPr>
        <w:t xml:space="preserve">rating activities, we are exposed to risks from changes in foreign currency exchange rates, which may adversely affect our financial condition. To manage our exposures and mitigate the impact of currency fluctuations on our financial results, we hedge our </w:t>
      </w:r>
      <w:r>
        <w:rPr>
          <w:rFonts w:eastAsia="Times New Roman"/>
          <w:color w:val="000000"/>
          <w:sz w:val="20"/>
          <w:szCs w:val="20"/>
        </w:rPr>
        <w:t xml:space="preserve">primary transactional exposures through the use of foreign exchange forward and option contracts. The foreign exchange contracts are valued using the market approach based on observable market transactions of forward rates and are classified with in Level </w:t>
      </w:r>
      <w:r>
        <w:rPr>
          <w:rFonts w:eastAsia="Times New Roman"/>
          <w:color w:val="000000"/>
          <w:sz w:val="20"/>
          <w:szCs w:val="20"/>
        </w:rPr>
        <w:t>2 of the valuation hierarchy</w:t>
      </w:r>
      <w:r>
        <w:rPr>
          <w:rFonts w:eastAsia="Times New Roman"/>
          <w:color w:val="000000"/>
          <w:sz w:val="20"/>
          <w:szCs w:val="20"/>
        </w:rPr>
        <w:t>.</w:t>
      </w:r>
    </w:p>
    <w:p w:rsidR="00000000" w:rsidRDefault="000A7020">
      <w:pPr>
        <w:jc w:val="both"/>
        <w:rPr>
          <w:rFonts w:eastAsia="Times New Roman"/>
        </w:rPr>
      </w:pPr>
    </w:p>
    <w:p w:rsidR="00000000" w:rsidRDefault="000A7020">
      <w:pPr>
        <w:divId w:val="800925671"/>
        <w:rPr>
          <w:rFonts w:eastAsia="Times New Roman"/>
        </w:rPr>
      </w:pPr>
      <w:r>
        <w:rPr>
          <w:rFonts w:eastAsia="Times New Roman"/>
          <w:b/>
          <w:bCs/>
          <w:i/>
          <w:iCs/>
          <w:color w:val="000000"/>
          <w:sz w:val="20"/>
          <w:szCs w:val="20"/>
        </w:rPr>
        <w:t>Assets Measured at Fair Value on a Non-recurring Basi</w:t>
      </w:r>
      <w:r>
        <w:rPr>
          <w:rFonts w:eastAsia="Times New Roman"/>
          <w:b/>
          <w:bCs/>
          <w:i/>
          <w:iCs/>
          <w:color w:val="000000"/>
          <w:sz w:val="20"/>
          <w:szCs w:val="20"/>
        </w:rPr>
        <w:t>s</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From time to time, certain assets are measured at fair value on a nonrecurring basis using significant unobservable inputs (Level 3). NCR reviews the carrying values o</w:t>
      </w:r>
      <w:r>
        <w:rPr>
          <w:rFonts w:eastAsia="Times New Roman"/>
          <w:color w:val="000000"/>
          <w:sz w:val="20"/>
          <w:szCs w:val="20"/>
        </w:rPr>
        <w:t>f investments when events and circumstances warrant and considers all available evidence in evaluating when declines in fair value are other-than-temporary declines. There were no material impairment charges or non-recurring fair value adjustments recorded</w:t>
      </w:r>
      <w:r>
        <w:rPr>
          <w:rFonts w:eastAsia="Times New Roman"/>
          <w:color w:val="000000"/>
          <w:sz w:val="20"/>
          <w:szCs w:val="20"/>
        </w:rPr>
        <w:t xml:space="preserve"> during the three months ended June 30, 2020 and 2019</w:t>
      </w:r>
      <w:r>
        <w:rPr>
          <w:rFonts w:eastAsia="Times New Roman"/>
          <w:color w:val="000000"/>
          <w:sz w:val="20"/>
          <w:szCs w:val="20"/>
        </w:rPr>
        <w:t>.</w:t>
      </w:r>
    </w:p>
    <w:p w:rsidR="00000000" w:rsidRDefault="000A7020">
      <w:pPr>
        <w:jc w:val="center"/>
        <w:divId w:val="1384480260"/>
        <w:rPr>
          <w:rFonts w:eastAsia="Times New Roman"/>
        </w:rPr>
      </w:pPr>
      <w:r>
        <w:rPr>
          <w:rFonts w:eastAsia="Times New Roman"/>
          <w:color w:val="000000"/>
          <w:sz w:val="20"/>
          <w:szCs w:val="20"/>
        </w:rPr>
        <w:t>3</w:t>
      </w:r>
      <w:r>
        <w:rPr>
          <w:rFonts w:eastAsia="Times New Roman"/>
          <w:color w:val="000000"/>
          <w:sz w:val="20"/>
          <w:szCs w:val="20"/>
        </w:rPr>
        <w:t>7</w:t>
      </w:r>
    </w:p>
    <w:p w:rsidR="00000000" w:rsidRDefault="000A7020">
      <w:pPr>
        <w:rPr>
          <w:rFonts w:eastAsia="Times New Roman"/>
        </w:rPr>
      </w:pPr>
      <w:r>
        <w:rPr>
          <w:rFonts w:eastAsia="Times New Roman"/>
        </w:rPr>
        <w:pict>
          <v:rect id="_x0000_i1062" style="width:0;height:1.5pt" o:hralign="center" o:hrstd="t" o:hr="t" fillcolor="#a0a0a0" stroked="f"/>
        </w:pict>
      </w:r>
    </w:p>
    <w:p w:rsidR="00000000" w:rsidRDefault="000A7020">
      <w:pPr>
        <w:ind w:firstLine="720"/>
        <w:divId w:val="926304299"/>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911506213"/>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911506213"/>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divId w:val="1566337312"/>
        <w:rPr>
          <w:rFonts w:eastAsia="Times New Roman"/>
        </w:rPr>
      </w:pPr>
    </w:p>
    <w:p w:rsidR="00000000" w:rsidRDefault="000A7020">
      <w:pPr>
        <w:divId w:val="131598534"/>
        <w:rPr>
          <w:rFonts w:eastAsia="Times New Roman"/>
        </w:rPr>
      </w:pPr>
      <w:r>
        <w:rPr>
          <w:rFonts w:eastAsia="Times New Roman"/>
          <w:b/>
          <w:bCs/>
          <w:color w:val="54B948"/>
          <w:sz w:val="20"/>
          <w:szCs w:val="20"/>
        </w:rPr>
        <w:t>15. ACCUMULATED OTHER COMPREHENSIVE INCOME (LOSS) (AOCI</w:t>
      </w:r>
      <w:r>
        <w:rPr>
          <w:rFonts w:eastAsia="Times New Roman"/>
          <w:b/>
          <w:bCs/>
          <w:color w:val="54B948"/>
          <w:sz w:val="20"/>
          <w:szCs w:val="20"/>
        </w:rPr>
        <w:t>)</w:t>
      </w:r>
    </w:p>
    <w:p w:rsidR="00000000" w:rsidRDefault="000A7020">
      <w:pPr>
        <w:divId w:val="304168804"/>
        <w:rPr>
          <w:rFonts w:eastAsia="Times New Roman"/>
        </w:rPr>
      </w:pPr>
    </w:p>
    <w:p w:rsidR="00000000" w:rsidRDefault="000A7020">
      <w:pPr>
        <w:divId w:val="146215794"/>
        <w:rPr>
          <w:rFonts w:eastAsia="Times New Roman"/>
        </w:rPr>
      </w:pPr>
    </w:p>
    <w:p w:rsidR="00000000" w:rsidRDefault="000A7020">
      <w:pPr>
        <w:divId w:val="213006509"/>
        <w:rPr>
          <w:rFonts w:eastAsia="Times New Roman"/>
        </w:rPr>
      </w:pPr>
      <w:r>
        <w:rPr>
          <w:rFonts w:eastAsia="Times New Roman"/>
          <w:b/>
          <w:bCs/>
          <w:color w:val="000000"/>
          <w:sz w:val="20"/>
          <w:szCs w:val="20"/>
        </w:rPr>
        <w:t>Changes in AOCI by Componen</w:t>
      </w:r>
      <w:r>
        <w:rPr>
          <w:rFonts w:eastAsia="Times New Roman"/>
          <w:b/>
          <w:bCs/>
          <w:color w:val="000000"/>
          <w:sz w:val="20"/>
          <w:szCs w:val="20"/>
        </w:rPr>
        <w:t>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3574"/>
        <w:gridCol w:w="52"/>
        <w:gridCol w:w="136"/>
        <w:gridCol w:w="1100"/>
        <w:gridCol w:w="85"/>
        <w:gridCol w:w="136"/>
        <w:gridCol w:w="771"/>
        <w:gridCol w:w="85"/>
        <w:gridCol w:w="136"/>
        <w:gridCol w:w="1100"/>
        <w:gridCol w:w="85"/>
        <w:gridCol w:w="135"/>
        <w:gridCol w:w="774"/>
        <w:gridCol w:w="85"/>
      </w:tblGrid>
      <w:tr w:rsidR="00000000">
        <w:trPr>
          <w:divId w:val="1311784785"/>
          <w:jc w:val="center"/>
        </w:trPr>
        <w:tc>
          <w:tcPr>
            <w:tcW w:w="50" w:type="pct"/>
            <w:vAlign w:val="center"/>
            <w:hideMark/>
          </w:tcPr>
          <w:p w:rsidR="00000000" w:rsidRDefault="000A7020">
            <w:pPr>
              <w:rPr>
                <w:rFonts w:eastAsia="Times New Roman"/>
              </w:rPr>
            </w:pPr>
          </w:p>
        </w:tc>
        <w:tc>
          <w:tcPr>
            <w:tcW w:w="217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8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8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8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8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311784785"/>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Currency Translation Adjustment</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Changes in Employee Benefit Plan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Changes in Fair Value of Effective Cash Flow Hedge</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trPr>
          <w:divId w:val="131178478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Balance as of December 31, 2019</w:t>
            </w:r>
            <w:r>
              <w:rPr>
                <w:rFonts w:eastAsia="Times New Roman"/>
                <w:color w:val="000000"/>
                <w:sz w:val="20"/>
                <w:szCs w:val="20"/>
              </w:rPr>
              <w:t xml:space="preserve">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(260</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(10</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(269</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r w:rsidR="00000000">
        <w:trPr>
          <w:divId w:val="1311784785"/>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1311784785"/>
          <w:jc w:val="center"/>
        </w:trPr>
        <w:tc>
          <w:tcPr>
            <w:tcW w:w="0" w:type="auto"/>
            <w:gridSpan w:val="3"/>
            <w:shd w:val="clear" w:color="auto" w:fill="FFFFFF"/>
            <w:tcMar>
              <w:top w:w="30" w:type="dxa"/>
              <w:left w:w="36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comprehensive income (loss) before reclassification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311784785"/>
          <w:jc w:val="center"/>
        </w:trPr>
        <w:tc>
          <w:tcPr>
            <w:tcW w:w="0" w:type="auto"/>
            <w:gridSpan w:val="3"/>
            <w:shd w:val="clear" w:color="auto" w:fill="CCEEFF"/>
            <w:tcMar>
              <w:top w:w="30" w:type="dxa"/>
              <w:left w:w="36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Amounts reclassified from AOC</w:t>
            </w:r>
            <w:r>
              <w:rPr>
                <w:rFonts w:eastAsia="Times New Roman"/>
                <w:color w:val="000000"/>
                <w:sz w:val="20"/>
                <w:szCs w:val="20"/>
              </w:rPr>
              <w:t>I</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311784785"/>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Net current period other comprehensive (loss) income</w:t>
            </w:r>
            <w:r>
              <w:rPr>
                <w:rFonts w:eastAsia="Times New Roman"/>
                <w:color w:val="000000"/>
                <w:sz w:val="20"/>
                <w:szCs w:val="20"/>
              </w:rPr>
              <w:t xml:space="preserve">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1311784785"/>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Balance as of June 30, 2020</w:t>
            </w:r>
            <w:r>
              <w:rPr>
                <w:rFonts w:eastAsia="Times New Roman"/>
                <w:color w:val="000000"/>
                <w:sz w:val="20"/>
                <w:szCs w:val="20"/>
              </w:rPr>
              <w:t xml:space="preserve">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(303</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(315</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r>
    </w:tbl>
    <w:p w:rsidR="00000000" w:rsidRDefault="000A7020">
      <w:pPr>
        <w:jc w:val="center"/>
        <w:rPr>
          <w:rFonts w:eastAsia="Times New Roman"/>
        </w:rPr>
      </w:pPr>
    </w:p>
    <w:p w:rsidR="00000000" w:rsidRDefault="000A7020">
      <w:pPr>
        <w:divId w:val="308218543"/>
        <w:rPr>
          <w:rFonts w:eastAsia="Times New Roman"/>
        </w:rPr>
      </w:pPr>
      <w:r>
        <w:rPr>
          <w:rFonts w:eastAsia="Times New Roman"/>
          <w:b/>
          <w:bCs/>
          <w:color w:val="000000"/>
          <w:sz w:val="20"/>
          <w:szCs w:val="20"/>
        </w:rPr>
        <w:t>Reclassifications Out of AOC</w:t>
      </w:r>
      <w:r>
        <w:rPr>
          <w:rFonts w:eastAsia="Times New Roman"/>
          <w:b/>
          <w:bCs/>
          <w:color w:val="000000"/>
          <w:sz w:val="20"/>
          <w:szCs w:val="20"/>
        </w:rPr>
        <w:t>I</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8"/>
        <w:gridCol w:w="38"/>
        <w:gridCol w:w="38"/>
        <w:gridCol w:w="3328"/>
        <w:gridCol w:w="38"/>
        <w:gridCol w:w="135"/>
        <w:gridCol w:w="405"/>
        <w:gridCol w:w="85"/>
        <w:gridCol w:w="136"/>
        <w:gridCol w:w="791"/>
        <w:gridCol w:w="85"/>
        <w:gridCol w:w="136"/>
        <w:gridCol w:w="791"/>
        <w:gridCol w:w="85"/>
        <w:gridCol w:w="90"/>
        <w:gridCol w:w="466"/>
        <w:gridCol w:w="89"/>
        <w:gridCol w:w="135"/>
        <w:gridCol w:w="545"/>
        <w:gridCol w:w="85"/>
        <w:gridCol w:w="135"/>
        <w:gridCol w:w="135"/>
        <w:gridCol w:w="135"/>
        <w:gridCol w:w="36"/>
        <w:gridCol w:w="36"/>
        <w:gridCol w:w="36"/>
        <w:gridCol w:w="36"/>
        <w:gridCol w:w="36"/>
        <w:gridCol w:w="36"/>
        <w:gridCol w:w="36"/>
        <w:gridCol w:w="36"/>
        <w:gridCol w:w="36"/>
      </w:tblGrid>
      <w:tr w:rsidR="00000000">
        <w:trPr>
          <w:gridAfter w:val="12"/>
          <w:divId w:val="1569804620"/>
          <w:jc w:val="center"/>
        </w:trPr>
        <w:tc>
          <w:tcPr>
            <w:tcW w:w="5" w:type="pct"/>
            <w:vAlign w:val="center"/>
            <w:hideMark/>
          </w:tcPr>
          <w:p w:rsidR="00000000" w:rsidRDefault="000A7020">
            <w:pPr>
              <w:rPr>
                <w:rFonts w:eastAsia="Times New Roman"/>
              </w:rPr>
            </w:pPr>
          </w:p>
        </w:tc>
        <w:tc>
          <w:tcPr>
            <w:tcW w:w="84"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46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569804620"/>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three months ended June 30, 202</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1569804620"/>
          <w:jc w:val="center"/>
        </w:trPr>
        <w:tc>
          <w:tcPr>
            <w:tcW w:w="0" w:type="auto"/>
            <w:gridSpan w:val="6"/>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Employee Benefit Plan</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569804620"/>
          <w:jc w:val="center"/>
        </w:trPr>
        <w:tc>
          <w:tcPr>
            <w:tcW w:w="0" w:type="auto"/>
            <w:gridSpan w:val="6"/>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vAlign w:val="center"/>
            <w:hideMark/>
          </w:tcPr>
          <w:p w:rsidR="00000000" w:rsidRDefault="000A70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Amortization of Actuarial Loss (Gain</w:t>
            </w:r>
            <w:r>
              <w:rPr>
                <w:rFonts w:eastAsia="Times New Roman"/>
                <w:b/>
                <w:b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Amortization of Prior Service Benefi</w:t>
            </w:r>
            <w:r>
              <w:rPr>
                <w:rFonts w:eastAsia="Times New Roman"/>
                <w:b/>
                <w:bCs/>
                <w:color w:val="000000"/>
                <w:sz w:val="16"/>
                <w:szCs w:val="16"/>
              </w:rPr>
              <w:t>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Effective Cash Flow Hedge Loss (Gain</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569804620"/>
          <w:jc w:val="center"/>
        </w:trPr>
        <w:tc>
          <w:tcPr>
            <w:tcW w:w="0" w:type="auto"/>
            <w:gridSpan w:val="6"/>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Affected line in Condensed Consolidated Statement of Operations</w:t>
            </w:r>
            <w:r>
              <w:rPr>
                <w:rFonts w:eastAsia="Times New Roman"/>
                <w:color w:val="000000"/>
                <w:sz w:val="20"/>
                <w:szCs w:val="20"/>
              </w:rPr>
              <w:t>:</w:t>
            </w:r>
          </w:p>
        </w:tc>
        <w:tc>
          <w:tcPr>
            <w:tcW w:w="0" w:type="auto"/>
            <w:gridSpan w:val="3"/>
            <w:vAlign w:val="center"/>
            <w:hideMark/>
          </w:tcPr>
          <w:p w:rsidR="00000000" w:rsidRDefault="000A702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569804620"/>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Cost of product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569804620"/>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Cost of service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569804620"/>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569804620"/>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before ta</w:t>
            </w:r>
            <w:r>
              <w:rPr>
                <w:rFonts w:eastAsia="Times New Roman"/>
                <w:color w:val="000000"/>
                <w:sz w:val="20"/>
                <w:szCs w:val="20"/>
              </w:rPr>
              <w:t>x</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569804620"/>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Tax expens</w:t>
            </w:r>
            <w:r>
              <w:rPr>
                <w:rFonts w:eastAsia="Times New Roman"/>
                <w:color w:val="000000"/>
                <w:sz w:val="20"/>
                <w:szCs w:val="20"/>
              </w:rPr>
              <w:t>e</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569804620"/>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reclassifications, net of ta</w:t>
            </w:r>
            <w:r>
              <w:rPr>
                <w:rFonts w:eastAsia="Times New Roman"/>
                <w:color w:val="000000"/>
                <w:sz w:val="20"/>
                <w:szCs w:val="20"/>
              </w:rPr>
              <w:t>x</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144"/>
        <w:gridCol w:w="144"/>
        <w:gridCol w:w="144"/>
        <w:gridCol w:w="4089"/>
        <w:gridCol w:w="144"/>
        <w:gridCol w:w="144"/>
        <w:gridCol w:w="790"/>
        <w:gridCol w:w="144"/>
        <w:gridCol w:w="144"/>
        <w:gridCol w:w="790"/>
        <w:gridCol w:w="144"/>
        <w:gridCol w:w="144"/>
        <w:gridCol w:w="790"/>
        <w:gridCol w:w="144"/>
        <w:gridCol w:w="144"/>
        <w:gridCol w:w="144"/>
        <w:gridCol w:w="144"/>
        <w:gridCol w:w="144"/>
        <w:gridCol w:w="790"/>
        <w:gridCol w:w="144"/>
        <w:gridCol w:w="480"/>
        <w:gridCol w:w="480"/>
        <w:gridCol w:w="480"/>
        <w:gridCol w:w="480"/>
        <w:gridCol w:w="480"/>
        <w:gridCol w:w="480"/>
        <w:gridCol w:w="480"/>
        <w:gridCol w:w="480"/>
        <w:gridCol w:w="480"/>
        <w:gridCol w:w="480"/>
        <w:gridCol w:w="480"/>
        <w:gridCol w:w="480"/>
      </w:tblGrid>
      <w:tr w:rsidR="00000000">
        <w:trPr>
          <w:gridAfter w:val="12"/>
          <w:jc w:val="center"/>
        </w:trPr>
        <w:tc>
          <w:tcPr>
            <w:tcW w:w="5" w:type="pct"/>
            <w:vAlign w:val="center"/>
            <w:hideMark/>
          </w:tcPr>
          <w:p w:rsidR="00000000" w:rsidRDefault="000A7020">
            <w:pPr>
              <w:jc w:val="center"/>
              <w:rPr>
                <w:rFonts w:eastAsia="Times New Roman"/>
              </w:rPr>
            </w:pPr>
          </w:p>
        </w:tc>
        <w:tc>
          <w:tcPr>
            <w:tcW w:w="84"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46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three months ended June 30, 201</w:t>
            </w:r>
            <w:r>
              <w:rPr>
                <w:rFonts w:eastAsia="Times New Roman"/>
                <w:b/>
                <w:bCs/>
                <w:color w:val="000000"/>
                <w:sz w:val="16"/>
                <w:szCs w:val="16"/>
              </w:rPr>
              <w:t>9</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jc w:val="center"/>
        </w:trPr>
        <w:tc>
          <w:tcPr>
            <w:tcW w:w="0" w:type="auto"/>
            <w:gridSpan w:val="6"/>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Employee Benefit Plan</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vAlign w:val="center"/>
            <w:hideMark/>
          </w:tcPr>
          <w:p w:rsidR="00000000" w:rsidRDefault="000A70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Amortization of Actuarial Loss (Gain</w:t>
            </w:r>
            <w:r>
              <w:rPr>
                <w:rFonts w:eastAsia="Times New Roman"/>
                <w:b/>
                <w:b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Amortization of Prior Service Benefi</w:t>
            </w:r>
            <w:r>
              <w:rPr>
                <w:rFonts w:eastAsia="Times New Roman"/>
                <w:b/>
                <w:bCs/>
                <w:color w:val="000000"/>
                <w:sz w:val="16"/>
                <w:szCs w:val="16"/>
              </w:rPr>
              <w:t>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Effective Cash Flow Hedge Loss (Gain</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Affected line in Condensed Consolidated Statement of Operations</w:t>
            </w:r>
            <w:r>
              <w:rPr>
                <w:rFonts w:eastAsia="Times New Roman"/>
                <w:color w:val="000000"/>
                <w:sz w:val="20"/>
                <w:szCs w:val="20"/>
              </w:rPr>
              <w:t>:</w:t>
            </w:r>
          </w:p>
        </w:tc>
        <w:tc>
          <w:tcPr>
            <w:tcW w:w="0" w:type="auto"/>
            <w:gridSpan w:val="3"/>
            <w:vAlign w:val="center"/>
            <w:hideMark/>
          </w:tcPr>
          <w:p w:rsidR="00000000" w:rsidRDefault="000A702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Cost of product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Cost of service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before ta</w:t>
            </w:r>
            <w:r>
              <w:rPr>
                <w:rFonts w:eastAsia="Times New Roman"/>
                <w:color w:val="000000"/>
                <w:sz w:val="20"/>
                <w:szCs w:val="20"/>
              </w:rPr>
              <w:t>x</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Tax expens</w:t>
            </w:r>
            <w:r>
              <w:rPr>
                <w:rFonts w:eastAsia="Times New Roman"/>
                <w:color w:val="000000"/>
                <w:sz w:val="20"/>
                <w:szCs w:val="20"/>
              </w:rPr>
              <w:t>e</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reclassifications, net of ta</w:t>
            </w:r>
            <w:r>
              <w:rPr>
                <w:rFonts w:eastAsia="Times New Roman"/>
                <w:color w:val="000000"/>
                <w:sz w:val="20"/>
                <w:szCs w:val="20"/>
              </w:rPr>
              <w:t>x</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divId w:val="1771118174"/>
        <w:rPr>
          <w:rFonts w:eastAsia="Times New Roman"/>
        </w:rPr>
      </w:pPr>
      <w:r>
        <w:rPr>
          <w:rFonts w:eastAsia="Times New Roman"/>
          <w:color w:val="000000"/>
          <w:sz w:val="20"/>
          <w:szCs w:val="20"/>
        </w:rPr>
        <w:t>3</w:t>
      </w:r>
      <w:r>
        <w:rPr>
          <w:rFonts w:eastAsia="Times New Roman"/>
          <w:color w:val="000000"/>
          <w:sz w:val="20"/>
          <w:szCs w:val="20"/>
        </w:rPr>
        <w:t>8</w:t>
      </w:r>
    </w:p>
    <w:p w:rsidR="00000000" w:rsidRDefault="000A7020">
      <w:pPr>
        <w:rPr>
          <w:rFonts w:eastAsia="Times New Roman"/>
        </w:rPr>
      </w:pPr>
      <w:r>
        <w:rPr>
          <w:rFonts w:eastAsia="Times New Roman"/>
        </w:rPr>
        <w:pict>
          <v:rect id="_x0000_i1063" style="width:0;height:1.5pt" o:hralign="center" o:hrstd="t" o:hr="t" fillcolor="#a0a0a0" stroked="f"/>
        </w:pict>
      </w:r>
    </w:p>
    <w:p w:rsidR="00000000" w:rsidRDefault="000A7020">
      <w:pPr>
        <w:ind w:firstLine="720"/>
        <w:divId w:val="1145850737"/>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600138471"/>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600138471"/>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8"/>
        <w:gridCol w:w="38"/>
        <w:gridCol w:w="38"/>
        <w:gridCol w:w="3328"/>
        <w:gridCol w:w="38"/>
        <w:gridCol w:w="135"/>
        <w:gridCol w:w="405"/>
        <w:gridCol w:w="85"/>
        <w:gridCol w:w="136"/>
        <w:gridCol w:w="791"/>
        <w:gridCol w:w="85"/>
        <w:gridCol w:w="136"/>
        <w:gridCol w:w="791"/>
        <w:gridCol w:w="85"/>
        <w:gridCol w:w="90"/>
        <w:gridCol w:w="466"/>
        <w:gridCol w:w="89"/>
        <w:gridCol w:w="135"/>
        <w:gridCol w:w="545"/>
        <w:gridCol w:w="85"/>
        <w:gridCol w:w="135"/>
        <w:gridCol w:w="135"/>
        <w:gridCol w:w="135"/>
        <w:gridCol w:w="36"/>
        <w:gridCol w:w="36"/>
        <w:gridCol w:w="36"/>
        <w:gridCol w:w="36"/>
        <w:gridCol w:w="36"/>
        <w:gridCol w:w="36"/>
        <w:gridCol w:w="36"/>
        <w:gridCol w:w="36"/>
        <w:gridCol w:w="36"/>
      </w:tblGrid>
      <w:tr w:rsidR="00000000">
        <w:trPr>
          <w:gridAfter w:val="12"/>
          <w:divId w:val="128941299"/>
          <w:jc w:val="center"/>
        </w:trPr>
        <w:tc>
          <w:tcPr>
            <w:tcW w:w="5" w:type="pct"/>
            <w:vAlign w:val="center"/>
            <w:hideMark/>
          </w:tcPr>
          <w:p w:rsidR="00000000" w:rsidRDefault="000A7020">
            <w:pPr>
              <w:jc w:val="center"/>
              <w:rPr>
                <w:rFonts w:eastAsia="Times New Roman"/>
              </w:rPr>
            </w:pPr>
          </w:p>
        </w:tc>
        <w:tc>
          <w:tcPr>
            <w:tcW w:w="84"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46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28941299"/>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six months ended June 30, 202</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128941299"/>
          <w:jc w:val="center"/>
        </w:trPr>
        <w:tc>
          <w:tcPr>
            <w:tcW w:w="0" w:type="auto"/>
            <w:gridSpan w:val="6"/>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Employee Benefit Plan</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8941299"/>
          <w:jc w:val="center"/>
        </w:trPr>
        <w:tc>
          <w:tcPr>
            <w:tcW w:w="0" w:type="auto"/>
            <w:gridSpan w:val="6"/>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vAlign w:val="center"/>
            <w:hideMark/>
          </w:tcPr>
          <w:p w:rsidR="00000000" w:rsidRDefault="000A70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Amortization of Actuarial Loss (Gain</w:t>
            </w:r>
            <w:r>
              <w:rPr>
                <w:rFonts w:eastAsia="Times New Roman"/>
                <w:b/>
                <w:b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Amortization of Prior Service Benefi</w:t>
            </w:r>
            <w:r>
              <w:rPr>
                <w:rFonts w:eastAsia="Times New Roman"/>
                <w:b/>
                <w:bCs/>
                <w:color w:val="000000"/>
                <w:sz w:val="16"/>
                <w:szCs w:val="16"/>
              </w:rPr>
              <w:t>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Effective Cash Flow Hedge Loss (Gain</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8941299"/>
          <w:jc w:val="center"/>
        </w:trPr>
        <w:tc>
          <w:tcPr>
            <w:tcW w:w="0" w:type="auto"/>
            <w:gridSpan w:val="6"/>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Affected line in Condensed Consolidated Statement of Operations</w:t>
            </w:r>
            <w:r>
              <w:rPr>
                <w:rFonts w:eastAsia="Times New Roman"/>
                <w:color w:val="000000"/>
                <w:sz w:val="20"/>
                <w:szCs w:val="20"/>
              </w:rPr>
              <w:t>:</w:t>
            </w:r>
          </w:p>
        </w:tc>
        <w:tc>
          <w:tcPr>
            <w:tcW w:w="0" w:type="auto"/>
            <w:gridSpan w:val="3"/>
            <w:vAlign w:val="center"/>
            <w:hideMark/>
          </w:tcPr>
          <w:p w:rsidR="00000000" w:rsidRDefault="000A702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8941299"/>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Cost of product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8941299"/>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Cost of service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8941299"/>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8941299"/>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8941299"/>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8941299"/>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before ta</w:t>
            </w:r>
            <w:r>
              <w:rPr>
                <w:rFonts w:eastAsia="Times New Roman"/>
                <w:color w:val="000000"/>
                <w:sz w:val="20"/>
                <w:szCs w:val="20"/>
              </w:rPr>
              <w:t>x</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8941299"/>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Tax expens</w:t>
            </w:r>
            <w:r>
              <w:rPr>
                <w:rFonts w:eastAsia="Times New Roman"/>
                <w:color w:val="000000"/>
                <w:sz w:val="20"/>
                <w:szCs w:val="20"/>
              </w:rPr>
              <w:t>e</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28941299"/>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reclassifications, net of ta</w:t>
            </w:r>
            <w:r>
              <w:rPr>
                <w:rFonts w:eastAsia="Times New Roman"/>
                <w:color w:val="000000"/>
                <w:sz w:val="20"/>
                <w:szCs w:val="20"/>
              </w:rPr>
              <w:t>x</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144"/>
        <w:gridCol w:w="144"/>
        <w:gridCol w:w="144"/>
        <w:gridCol w:w="4089"/>
        <w:gridCol w:w="144"/>
        <w:gridCol w:w="144"/>
        <w:gridCol w:w="790"/>
        <w:gridCol w:w="144"/>
        <w:gridCol w:w="144"/>
        <w:gridCol w:w="790"/>
        <w:gridCol w:w="144"/>
        <w:gridCol w:w="144"/>
        <w:gridCol w:w="790"/>
        <w:gridCol w:w="144"/>
        <w:gridCol w:w="144"/>
        <w:gridCol w:w="144"/>
        <w:gridCol w:w="144"/>
        <w:gridCol w:w="144"/>
        <w:gridCol w:w="790"/>
        <w:gridCol w:w="144"/>
        <w:gridCol w:w="480"/>
        <w:gridCol w:w="480"/>
        <w:gridCol w:w="480"/>
        <w:gridCol w:w="480"/>
        <w:gridCol w:w="480"/>
        <w:gridCol w:w="480"/>
        <w:gridCol w:w="480"/>
        <w:gridCol w:w="480"/>
        <w:gridCol w:w="480"/>
        <w:gridCol w:w="480"/>
        <w:gridCol w:w="480"/>
        <w:gridCol w:w="480"/>
      </w:tblGrid>
      <w:tr w:rsidR="00000000">
        <w:trPr>
          <w:gridAfter w:val="12"/>
          <w:jc w:val="center"/>
        </w:trPr>
        <w:tc>
          <w:tcPr>
            <w:tcW w:w="5" w:type="pct"/>
            <w:vAlign w:val="center"/>
            <w:hideMark/>
          </w:tcPr>
          <w:p w:rsidR="00000000" w:rsidRDefault="000A7020">
            <w:pPr>
              <w:jc w:val="center"/>
              <w:rPr>
                <w:rFonts w:eastAsia="Times New Roman"/>
              </w:rPr>
            </w:pPr>
          </w:p>
        </w:tc>
        <w:tc>
          <w:tcPr>
            <w:tcW w:w="84"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46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For the six months ended June 30, 201</w:t>
            </w:r>
            <w:r>
              <w:rPr>
                <w:rFonts w:eastAsia="Times New Roman"/>
                <w:b/>
                <w:bCs/>
                <w:color w:val="000000"/>
                <w:sz w:val="16"/>
                <w:szCs w:val="16"/>
              </w:rPr>
              <w:t>9</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jc w:val="center"/>
        </w:trPr>
        <w:tc>
          <w:tcPr>
            <w:tcW w:w="0" w:type="auto"/>
            <w:gridSpan w:val="6"/>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Employee Benefit Plan</w:t>
            </w:r>
            <w:r>
              <w:rPr>
                <w:rFonts w:eastAsia="Times New Roman"/>
                <w:b/>
                <w:bCs/>
                <w:color w:val="000000"/>
                <w:sz w:val="16"/>
                <w:szCs w:val="16"/>
              </w:rPr>
              <w:t>s</w:t>
            </w:r>
          </w:p>
        </w:tc>
        <w:tc>
          <w:tcPr>
            <w:tcW w:w="0" w:type="auto"/>
            <w:gridSpan w:val="3"/>
            <w:vAlign w:val="center"/>
            <w:hideMark/>
          </w:tcPr>
          <w:p w:rsidR="00000000" w:rsidRDefault="000A7020">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vAlign w:val="center"/>
            <w:hideMark/>
          </w:tcPr>
          <w:p w:rsidR="00000000" w:rsidRDefault="000A70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Amortization of Actuarial Loss (Gain</w:t>
            </w:r>
            <w:r>
              <w:rPr>
                <w:rFonts w:eastAsia="Times New Roman"/>
                <w:b/>
                <w:b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Amortization of Prior Service Benefi</w:t>
            </w:r>
            <w:r>
              <w:rPr>
                <w:rFonts w:eastAsia="Times New Roman"/>
                <w:b/>
                <w:bCs/>
                <w:color w:val="000000"/>
                <w:sz w:val="16"/>
                <w:szCs w:val="16"/>
              </w:rPr>
              <w:t>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Effective Cash Flow Hedge Loss (Gain</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Affected line in Condensed Consolidated Statement of Operations</w:t>
            </w:r>
            <w:r>
              <w:rPr>
                <w:rFonts w:eastAsia="Times New Roman"/>
                <w:color w:val="000000"/>
                <w:sz w:val="20"/>
                <w:szCs w:val="20"/>
              </w:rPr>
              <w:t>:</w:t>
            </w:r>
          </w:p>
        </w:tc>
        <w:tc>
          <w:tcPr>
            <w:tcW w:w="0" w:type="auto"/>
            <w:gridSpan w:val="3"/>
            <w:vAlign w:val="center"/>
            <w:hideMark/>
          </w:tcPr>
          <w:p w:rsidR="00000000" w:rsidRDefault="000A702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Cost of product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Cost of service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before ta</w:t>
            </w:r>
            <w:r>
              <w:rPr>
                <w:rFonts w:eastAsia="Times New Roman"/>
                <w:color w:val="000000"/>
                <w:sz w:val="20"/>
                <w:szCs w:val="20"/>
              </w:rPr>
              <w:t>x</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Tax expens</w:t>
            </w:r>
            <w:r>
              <w:rPr>
                <w:rFonts w:eastAsia="Times New Roman"/>
                <w:color w:val="000000"/>
                <w:sz w:val="20"/>
                <w:szCs w:val="20"/>
              </w:rPr>
              <w:t>e</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Total reclassifications, net of ta</w:t>
            </w:r>
            <w:r>
              <w:rPr>
                <w:rFonts w:eastAsia="Times New Roman"/>
                <w:color w:val="000000"/>
                <w:sz w:val="20"/>
                <w:szCs w:val="20"/>
              </w:rPr>
              <w:t>x</w:t>
            </w: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divId w:val="1412266339"/>
        <w:rPr>
          <w:rFonts w:eastAsia="Times New Roman"/>
        </w:rPr>
      </w:pPr>
    </w:p>
    <w:p w:rsidR="00000000" w:rsidRDefault="000A7020">
      <w:pPr>
        <w:divId w:val="1807549760"/>
        <w:rPr>
          <w:rFonts w:eastAsia="Times New Roman"/>
        </w:rPr>
      </w:pPr>
    </w:p>
    <w:p w:rsidR="00000000" w:rsidRDefault="000A7020">
      <w:pPr>
        <w:divId w:val="1872255350"/>
        <w:rPr>
          <w:rFonts w:eastAsia="Times New Roman"/>
        </w:rPr>
      </w:pPr>
      <w:r>
        <w:rPr>
          <w:rFonts w:eastAsia="Times New Roman"/>
          <w:b/>
          <w:bCs/>
          <w:color w:val="54B948"/>
          <w:sz w:val="20"/>
          <w:szCs w:val="20"/>
        </w:rPr>
        <w:t>16. SEGMENT INFORMATION AND CONCENTRATION</w:t>
      </w:r>
      <w:r>
        <w:rPr>
          <w:rFonts w:eastAsia="Times New Roman"/>
          <w:b/>
          <w:bCs/>
          <w:color w:val="54B948"/>
          <w:sz w:val="20"/>
          <w:szCs w:val="20"/>
        </w:rPr>
        <w:t>S</w:t>
      </w:r>
    </w:p>
    <w:p w:rsidR="00000000" w:rsidRDefault="000A7020">
      <w:pPr>
        <w:divId w:val="924726209"/>
        <w:rPr>
          <w:rFonts w:eastAsia="Times New Roman"/>
        </w:rPr>
      </w:pPr>
    </w:p>
    <w:p w:rsidR="00000000" w:rsidRDefault="000A7020">
      <w:pPr>
        <w:jc w:val="both"/>
        <w:rPr>
          <w:rFonts w:eastAsia="Times New Roman"/>
        </w:rPr>
      </w:pPr>
      <w:r>
        <w:rPr>
          <w:rFonts w:eastAsia="Times New Roman"/>
          <w:color w:val="000000"/>
          <w:sz w:val="20"/>
          <w:szCs w:val="20"/>
        </w:rPr>
        <w:t>The Company manages and reports the following segments</w:t>
      </w:r>
      <w:r>
        <w:rPr>
          <w:rFonts w:eastAsia="Times New Roman"/>
          <w:color w:val="000000"/>
          <w:sz w:val="20"/>
          <w:szCs w:val="20"/>
        </w:rPr>
        <w:t>:</w:t>
      </w:r>
    </w:p>
    <w:p w:rsidR="00000000" w:rsidRDefault="000A7020">
      <w:pPr>
        <w:jc w:val="both"/>
        <w:rPr>
          <w:rFonts w:eastAsia="Times New Roman"/>
        </w:rPr>
      </w:pPr>
    </w:p>
    <w:p w:rsidR="00000000" w:rsidRDefault="000A7020">
      <w:pPr>
        <w:ind w:hanging="360"/>
        <w:jc w:val="both"/>
        <w:divId w:val="357312517"/>
        <w:rPr>
          <w:rFonts w:eastAsia="Times New Roman"/>
        </w:rPr>
      </w:pPr>
      <w:r>
        <w:rPr>
          <w:rFonts w:eastAsia="Times New Roman"/>
          <w:b/>
          <w:bCs/>
          <w:color w:val="000000"/>
          <w:sz w:val="20"/>
          <w:szCs w:val="20"/>
        </w:rPr>
        <w:t>•</w:t>
      </w:r>
      <w:r>
        <w:rPr>
          <w:rFonts w:eastAsia="Times New Roman"/>
          <w:b/>
          <w:bCs/>
          <w:color w:val="000000"/>
          <w:sz w:val="20"/>
          <w:szCs w:val="20"/>
        </w:rPr>
        <w:t>Bankin</w:t>
      </w:r>
      <w:r>
        <w:rPr>
          <w:rFonts w:eastAsia="Times New Roman"/>
          <w:b/>
          <w:bCs/>
          <w:color w:val="000000"/>
          <w:sz w:val="20"/>
          <w:szCs w:val="20"/>
        </w:rPr>
        <w:t>g</w:t>
      </w:r>
      <w:r>
        <w:rPr>
          <w:rFonts w:eastAsia="Times New Roman"/>
          <w:color w:val="000000"/>
          <w:sz w:val="20"/>
          <w:szCs w:val="20"/>
        </w:rPr>
        <w:t xml:space="preserve"> </w:t>
      </w:r>
      <w:r>
        <w:rPr>
          <w:rFonts w:eastAsia="Times New Roman"/>
          <w:color w:val="000000"/>
          <w:sz w:val="20"/>
          <w:szCs w:val="20"/>
        </w:rPr>
        <w:t>- We offer solutions to enable customers in the financial services industry to reduce costs, generate new revenue streams and enhance customer loyalty. These solutions include a comprehensive line of ATM and payment processing hardware and software; cash m</w:t>
      </w:r>
      <w:r>
        <w:rPr>
          <w:rFonts w:eastAsia="Times New Roman"/>
          <w:color w:val="000000"/>
          <w:sz w:val="20"/>
          <w:szCs w:val="20"/>
        </w:rPr>
        <w:t>anagement and video banking software and customer-facing digital banking services; and related installation, maintenance, and managed and professional services.</w:t>
      </w:r>
      <w:r>
        <w:rPr>
          <w:rFonts w:eastAsia="Times New Roman"/>
          <w:color w:val="000000"/>
          <w:sz w:val="20"/>
          <w:szCs w:val="20"/>
        </w:rPr>
        <w:t> </w:t>
      </w:r>
    </w:p>
    <w:p w:rsidR="00000000" w:rsidRDefault="000A7020">
      <w:pPr>
        <w:ind w:hanging="360"/>
        <w:jc w:val="both"/>
        <w:divId w:val="1542399935"/>
        <w:rPr>
          <w:rFonts w:eastAsia="Times New Roman"/>
        </w:rPr>
      </w:pPr>
      <w:r>
        <w:rPr>
          <w:rFonts w:eastAsia="Times New Roman"/>
          <w:color w:val="000000"/>
          <w:sz w:val="20"/>
          <w:szCs w:val="20"/>
        </w:rPr>
        <w:t>•</w:t>
      </w:r>
      <w:r>
        <w:rPr>
          <w:rFonts w:eastAsia="Times New Roman"/>
          <w:b/>
          <w:bCs/>
          <w:color w:val="000000"/>
          <w:sz w:val="20"/>
          <w:szCs w:val="20"/>
        </w:rPr>
        <w:t>Retail</w:t>
      </w:r>
      <w:r>
        <w:rPr>
          <w:rFonts w:eastAsia="Times New Roman"/>
          <w:b/>
          <w:bCs/>
          <w:color w:val="000000"/>
          <w:sz w:val="20"/>
          <w:szCs w:val="20"/>
        </w:rPr>
        <w:t xml:space="preserve"> </w:t>
      </w:r>
      <w:r>
        <w:rPr>
          <w:rFonts w:eastAsia="Times New Roman"/>
          <w:color w:val="000000"/>
          <w:sz w:val="20"/>
          <w:szCs w:val="20"/>
        </w:rPr>
        <w:t>- We offer solutions to customers in the retail industry designed to improve selling p</w:t>
      </w:r>
      <w:r>
        <w:rPr>
          <w:rFonts w:eastAsia="Times New Roman"/>
          <w:color w:val="000000"/>
          <w:sz w:val="20"/>
          <w:szCs w:val="20"/>
        </w:rPr>
        <w:t>roductivity and checkout processes as well as increase service levels. The solutions offered serve the following customer markets in the retail industry: food, drug and mass merchandisers; department and specialty retailers; convenience and fuel retailers,</w:t>
      </w:r>
      <w:r>
        <w:rPr>
          <w:rFonts w:eastAsia="Times New Roman"/>
          <w:color w:val="000000"/>
          <w:sz w:val="20"/>
          <w:szCs w:val="20"/>
        </w:rPr>
        <w:t xml:space="preserve"> and small and medium retailers. These solutions primarily include retail-oriented technologies, such as point of sale terminals and point of sale software; a retail software platform with a comprehensive suite of retail software applications; innovative s</w:t>
      </w:r>
      <w:r>
        <w:rPr>
          <w:rFonts w:eastAsia="Times New Roman"/>
          <w:color w:val="000000"/>
          <w:sz w:val="20"/>
          <w:szCs w:val="20"/>
        </w:rPr>
        <w:t>elf-service kiosks, such as self-checkout; as well as bar-code scanners. We also offer installation, maintenance, managed and professional services as well as payment processing solutions</w:t>
      </w:r>
      <w:r>
        <w:rPr>
          <w:rFonts w:eastAsia="Times New Roman"/>
          <w:color w:val="000000"/>
          <w:sz w:val="20"/>
          <w:szCs w:val="20"/>
        </w:rPr>
        <w:t>.</w:t>
      </w:r>
    </w:p>
    <w:p w:rsidR="00000000" w:rsidRDefault="000A7020">
      <w:pPr>
        <w:ind w:hanging="360"/>
        <w:jc w:val="both"/>
        <w:divId w:val="1853492255"/>
        <w:rPr>
          <w:rFonts w:eastAsia="Times New Roman"/>
        </w:rPr>
      </w:pPr>
      <w:r>
        <w:rPr>
          <w:rFonts w:eastAsia="Times New Roman"/>
          <w:color w:val="000000"/>
          <w:sz w:val="20"/>
          <w:szCs w:val="20"/>
        </w:rPr>
        <w:t>•</w:t>
      </w:r>
      <w:r>
        <w:rPr>
          <w:rFonts w:eastAsia="Times New Roman"/>
          <w:b/>
          <w:bCs/>
          <w:color w:val="000000"/>
          <w:sz w:val="20"/>
          <w:szCs w:val="20"/>
        </w:rPr>
        <w:t>Hospitality</w:t>
      </w:r>
      <w:r>
        <w:rPr>
          <w:rFonts w:eastAsia="Times New Roman"/>
          <w:b/>
          <w:bCs/>
          <w:color w:val="000000"/>
          <w:sz w:val="20"/>
          <w:szCs w:val="20"/>
        </w:rPr>
        <w:t xml:space="preserve"> </w:t>
      </w:r>
      <w:r>
        <w:rPr>
          <w:rFonts w:eastAsia="Times New Roman"/>
          <w:color w:val="000000"/>
          <w:sz w:val="20"/>
          <w:szCs w:val="20"/>
        </w:rPr>
        <w:t>- We offer solutions to customers in the hospitality i</w:t>
      </w:r>
      <w:r>
        <w:rPr>
          <w:rFonts w:eastAsia="Times New Roman"/>
          <w:color w:val="000000"/>
          <w:sz w:val="20"/>
          <w:szCs w:val="20"/>
        </w:rPr>
        <w:t>ndustry, serving businesses in the following markets: quick service restaurants, table service restaurants, small and medium restaurants and travel and entertainment venues. Our solutions include point of sale hardware and software solutions, installation,</w:t>
      </w:r>
      <w:r>
        <w:rPr>
          <w:rFonts w:eastAsia="Times New Roman"/>
          <w:color w:val="000000"/>
          <w:sz w:val="20"/>
          <w:szCs w:val="20"/>
        </w:rPr>
        <w:t xml:space="preserve"> maintenance, managed and professional services as well as payment processing solutions.</w:t>
      </w:r>
      <w:r>
        <w:rPr>
          <w:rFonts w:eastAsia="Times New Roman"/>
          <w:color w:val="000000"/>
          <w:sz w:val="20"/>
          <w:szCs w:val="20"/>
        </w:rPr>
        <w:t xml:space="preserve"> </w:t>
      </w:r>
    </w:p>
    <w:p w:rsidR="00000000" w:rsidRDefault="000A7020">
      <w:pPr>
        <w:ind w:hanging="360"/>
        <w:jc w:val="both"/>
        <w:divId w:val="2060278236"/>
        <w:rPr>
          <w:rFonts w:eastAsia="Times New Roman"/>
        </w:rPr>
      </w:pPr>
      <w:r>
        <w:rPr>
          <w:rFonts w:eastAsia="Times New Roman"/>
          <w:color w:val="000000"/>
          <w:sz w:val="20"/>
          <w:szCs w:val="20"/>
        </w:rPr>
        <w:t>•</w:t>
      </w:r>
      <w:r>
        <w:rPr>
          <w:rFonts w:eastAsia="Times New Roman"/>
          <w:b/>
          <w:bCs/>
          <w:color w:val="000000"/>
          <w:sz w:val="20"/>
          <w:szCs w:val="20"/>
        </w:rPr>
        <w:t>Other -</w:t>
      </w:r>
      <w:r>
        <w:rPr>
          <w:rFonts w:eastAsia="Times New Roman"/>
          <w:b/>
          <w:bCs/>
          <w:color w:val="000000"/>
          <w:sz w:val="20"/>
          <w:szCs w:val="20"/>
        </w:rPr>
        <w:t xml:space="preserve"> </w:t>
      </w:r>
      <w:r>
        <w:rPr>
          <w:rFonts w:eastAsia="Times New Roman"/>
          <w:color w:val="000000"/>
          <w:sz w:val="20"/>
          <w:szCs w:val="20"/>
        </w:rPr>
        <w:t>This category includes telecommunications and technology solutions where we offer maintenance as well as managed and professional services for third-party ha</w:t>
      </w:r>
      <w:r>
        <w:rPr>
          <w:rFonts w:eastAsia="Times New Roman"/>
          <w:color w:val="000000"/>
          <w:sz w:val="20"/>
          <w:szCs w:val="20"/>
        </w:rPr>
        <w:t>rdware provided to select manufacturers who value and leverage our global service capability</w:t>
      </w:r>
      <w:r>
        <w:rPr>
          <w:rFonts w:eastAsia="Times New Roman"/>
          <w:color w:val="000000"/>
          <w:sz w:val="20"/>
          <w:szCs w:val="20"/>
        </w:rPr>
        <w:t>.</w:t>
      </w:r>
    </w:p>
    <w:p w:rsidR="00000000" w:rsidRDefault="000A7020">
      <w:pPr>
        <w:jc w:val="both"/>
        <w:rPr>
          <w:rFonts w:eastAsia="Times New Roman"/>
        </w:rPr>
      </w:pPr>
    </w:p>
    <w:p w:rsidR="00000000" w:rsidRDefault="000A7020">
      <w:pPr>
        <w:jc w:val="center"/>
        <w:divId w:val="1790666063"/>
        <w:rPr>
          <w:rFonts w:eastAsia="Times New Roman"/>
        </w:rPr>
      </w:pPr>
      <w:r>
        <w:rPr>
          <w:rFonts w:eastAsia="Times New Roman"/>
          <w:color w:val="000000"/>
          <w:sz w:val="20"/>
          <w:szCs w:val="20"/>
        </w:rPr>
        <w:t>3</w:t>
      </w:r>
      <w:r>
        <w:rPr>
          <w:rFonts w:eastAsia="Times New Roman"/>
          <w:color w:val="000000"/>
          <w:sz w:val="20"/>
          <w:szCs w:val="20"/>
        </w:rPr>
        <w:t>9</w:t>
      </w:r>
    </w:p>
    <w:p w:rsidR="00000000" w:rsidRDefault="000A7020">
      <w:pPr>
        <w:rPr>
          <w:rFonts w:eastAsia="Times New Roman"/>
        </w:rPr>
      </w:pPr>
      <w:r>
        <w:rPr>
          <w:rFonts w:eastAsia="Times New Roman"/>
        </w:rPr>
        <w:pict>
          <v:rect id="_x0000_i1064" style="width:0;height:1.5pt" o:hralign="center" o:hrstd="t" o:hr="t" fillcolor="#a0a0a0" stroked="f"/>
        </w:pict>
      </w:r>
    </w:p>
    <w:p w:rsidR="00000000" w:rsidRDefault="000A7020">
      <w:pPr>
        <w:ind w:firstLine="720"/>
        <w:divId w:val="226041446"/>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144159158"/>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144159158"/>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p w:rsidR="00000000" w:rsidRDefault="000A7020">
      <w:pPr>
        <w:jc w:val="both"/>
        <w:rPr>
          <w:rFonts w:eastAsia="Times New Roman"/>
        </w:rPr>
      </w:pPr>
      <w:r>
        <w:rPr>
          <w:rFonts w:eastAsia="Times New Roman"/>
          <w:color w:val="000000"/>
          <w:sz w:val="20"/>
          <w:szCs w:val="20"/>
        </w:rPr>
        <w:t xml:space="preserve">These segments represent components of the Company for which separate financial information is available that is utilized on a regular basis by the chief operating decision maker </w:t>
      </w:r>
      <w:r>
        <w:rPr>
          <w:rFonts w:eastAsia="Times New Roman"/>
          <w:color w:val="000000"/>
          <w:sz w:val="20"/>
          <w:szCs w:val="20"/>
        </w:rPr>
        <w:t>in assessing segment performance and in allocating the Company's resources. Management evaluates the performance of the segments based on revenue and segment operating income. Assets are not allocated to segments, and thus are not included in the assessmen</w:t>
      </w:r>
      <w:r>
        <w:rPr>
          <w:rFonts w:eastAsia="Times New Roman"/>
          <w:color w:val="000000"/>
          <w:sz w:val="20"/>
          <w:szCs w:val="20"/>
        </w:rPr>
        <w:t>t of segment performance. Consequently, we do not disclose total assets by reportable segment.</w:t>
      </w:r>
      <w:r>
        <w:rPr>
          <w:rFonts w:eastAsia="Times New Roman"/>
          <w:color w:val="000000"/>
          <w:sz w:val="20"/>
          <w:szCs w:val="20"/>
        </w:rPr>
        <w:t xml:space="preserve"> </w:t>
      </w:r>
    </w:p>
    <w:p w:rsidR="00000000" w:rsidRDefault="000A7020">
      <w:pPr>
        <w:jc w:val="both"/>
        <w:divId w:val="401176671"/>
        <w:rPr>
          <w:rFonts w:eastAsia="Times New Roman"/>
        </w:rPr>
      </w:pPr>
      <w:r>
        <w:rPr>
          <w:rFonts w:eastAsia="Times New Roman"/>
          <w:color w:val="000000"/>
          <w:sz w:val="20"/>
          <w:szCs w:val="20"/>
        </w:rPr>
        <w:t>The accounting policies used to determine the results of the operating segments are the same as those utilized for the consolidated financial statements as a wh</w:t>
      </w:r>
      <w:r>
        <w:rPr>
          <w:rFonts w:eastAsia="Times New Roman"/>
          <w:color w:val="000000"/>
          <w:sz w:val="20"/>
          <w:szCs w:val="20"/>
        </w:rPr>
        <w:t>ole. Intersegment sales and transfers are not material</w:t>
      </w:r>
      <w:r>
        <w:rPr>
          <w:rFonts w:eastAsia="Times New Roman"/>
          <w:color w:val="000000"/>
          <w:sz w:val="20"/>
          <w:szCs w:val="20"/>
        </w:rPr>
        <w:t>.</w:t>
      </w:r>
    </w:p>
    <w:p w:rsidR="00000000" w:rsidRDefault="000A7020">
      <w:pPr>
        <w:jc w:val="both"/>
        <w:divId w:val="126556244"/>
        <w:rPr>
          <w:rFonts w:eastAsia="Times New Roman"/>
        </w:rPr>
      </w:pPr>
      <w:r>
        <w:rPr>
          <w:rFonts w:eastAsia="Times New Roman"/>
          <w:color w:val="000000"/>
          <w:sz w:val="20"/>
          <w:szCs w:val="20"/>
        </w:rPr>
        <w:t>To maintain operating focus on business performance, non-operational items are excluded from the segment operating results utilized by our chief operating decision maker in evaluating segment performa</w:t>
      </w:r>
      <w:r>
        <w:rPr>
          <w:rFonts w:eastAsia="Times New Roman"/>
          <w:color w:val="000000"/>
          <w:sz w:val="20"/>
          <w:szCs w:val="20"/>
        </w:rPr>
        <w:t>nce and are separately delineated to reconcile back to total reported income from operations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following table presents revenue and operating income by segment</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413"/>
        <w:gridCol w:w="39"/>
        <w:gridCol w:w="135"/>
        <w:gridCol w:w="515"/>
        <w:gridCol w:w="85"/>
        <w:gridCol w:w="37"/>
        <w:gridCol w:w="289"/>
        <w:gridCol w:w="36"/>
        <w:gridCol w:w="135"/>
        <w:gridCol w:w="532"/>
        <w:gridCol w:w="85"/>
        <w:gridCol w:w="50"/>
        <w:gridCol w:w="260"/>
        <w:gridCol w:w="50"/>
        <w:gridCol w:w="135"/>
        <w:gridCol w:w="560"/>
        <w:gridCol w:w="85"/>
        <w:gridCol w:w="50"/>
        <w:gridCol w:w="260"/>
        <w:gridCol w:w="50"/>
        <w:gridCol w:w="135"/>
        <w:gridCol w:w="561"/>
        <w:gridCol w:w="85"/>
        <w:gridCol w:w="120"/>
        <w:gridCol w:w="120"/>
        <w:gridCol w:w="120"/>
        <w:gridCol w:w="36"/>
        <w:gridCol w:w="36"/>
        <w:gridCol w:w="36"/>
        <w:gridCol w:w="36"/>
        <w:gridCol w:w="36"/>
        <w:gridCol w:w="36"/>
        <w:gridCol w:w="36"/>
        <w:gridCol w:w="36"/>
        <w:gridCol w:w="36"/>
      </w:tblGrid>
      <w:tr w:rsidR="00000000">
        <w:trPr>
          <w:gridAfter w:val="12"/>
          <w:divId w:val="1677998194"/>
          <w:jc w:val="center"/>
        </w:trPr>
        <w:tc>
          <w:tcPr>
            <w:tcW w:w="50" w:type="pct"/>
            <w:vAlign w:val="center"/>
            <w:hideMark/>
          </w:tcPr>
          <w:p w:rsidR="00000000" w:rsidRDefault="000A7020">
            <w:pPr>
              <w:jc w:val="both"/>
              <w:rPr>
                <w:rFonts w:eastAsia="Times New Roman"/>
              </w:rPr>
            </w:pPr>
          </w:p>
        </w:tc>
        <w:tc>
          <w:tcPr>
            <w:tcW w:w="243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1"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1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677998194"/>
          <w:jc w:val="center"/>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677998194"/>
          <w:jc w:val="center"/>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Revenue by segmen</w:t>
            </w:r>
            <w:r>
              <w:rPr>
                <w:rFonts w:eastAsia="Times New Roman"/>
                <w:b/>
                <w:bCs/>
                <w:color w:val="000000"/>
                <w:sz w:val="20"/>
                <w:szCs w:val="20"/>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Bankin</w:t>
            </w:r>
            <w:r>
              <w:rPr>
                <w:rFonts w:eastAsia="Times New Roman"/>
                <w:color w:val="000000"/>
                <w:sz w:val="20"/>
                <w:szCs w:val="20"/>
              </w:rPr>
              <w:t>g</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763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1,526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1,626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Retai</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483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955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Hospitalit</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329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Consolidated revenu</w:t>
            </w:r>
            <w:r>
              <w:rPr>
                <w:rFonts w:eastAsia="Times New Roman"/>
                <w:b/>
                <w:bCs/>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1,484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1,710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2,987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3,246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Operating income by segmen</w:t>
            </w:r>
            <w:r>
              <w:rPr>
                <w:rFonts w:eastAsia="Times New Roman"/>
                <w:b/>
                <w:bCs/>
                <w:color w:val="000000"/>
                <w:sz w:val="20"/>
                <w:szCs w:val="20"/>
              </w:rPr>
              <w:t>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Bankin</w:t>
            </w:r>
            <w:r>
              <w:rPr>
                <w:rFonts w:eastAsia="Times New Roman"/>
                <w:color w:val="000000"/>
                <w:sz w:val="20"/>
                <w:szCs w:val="20"/>
              </w:rPr>
              <w:t>g</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195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Retai</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Hospitalit</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Subtotal - segment operating incom</w:t>
            </w:r>
            <w:r>
              <w:rPr>
                <w:rFonts w:eastAsia="Times New Roman"/>
                <w:b/>
                <w:bCs/>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0A7020">
            <w:pPr>
              <w:jc w:val="right"/>
              <w:rPr>
                <w:rFonts w:eastAsia="Times New Roman"/>
              </w:rPr>
            </w:pPr>
            <w:r>
              <w:rPr>
                <w:rFonts w:eastAsia="Times New Roman"/>
                <w:b/>
                <w:bCs/>
                <w:color w:val="000000"/>
                <w:sz w:val="20"/>
                <w:szCs w:val="20"/>
              </w:rPr>
              <w:t>116</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192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22</w:t>
            </w:r>
            <w:r>
              <w:rPr>
                <w:rFonts w:eastAsia="Times New Roman"/>
                <w:b/>
                <w:bCs/>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33</w:t>
            </w:r>
            <w:r>
              <w:rPr>
                <w:rFonts w:eastAsia="Times New Roman"/>
                <w:color w:val="000000"/>
                <w:sz w:val="20"/>
                <w:szCs w:val="20"/>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divId w:val="1457873516"/>
              <w:rPr>
                <w:rFonts w:eastAsia="Times New Roman"/>
              </w:rPr>
            </w:pPr>
            <w:r>
              <w:rPr>
                <w:rFonts w:eastAsia="Times New Roman"/>
                <w:color w:val="000000"/>
                <w:sz w:val="20"/>
                <w:szCs w:val="20"/>
              </w:rPr>
              <w:t>Other adjustments</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677998194"/>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Income from operation</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166</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ind w:hanging="270"/>
        <w:jc w:val="both"/>
        <w:rPr>
          <w:rFonts w:eastAsia="Times New Roman"/>
        </w:rPr>
      </w:pPr>
      <w:r>
        <w:rPr>
          <w:rFonts w:eastAsia="Times New Roman"/>
          <w:color w:val="000000"/>
          <w:sz w:val="13"/>
          <w:szCs w:val="13"/>
          <w:vertAlign w:val="superscript"/>
        </w:rPr>
        <w:t>(1</w:t>
      </w:r>
      <w:r>
        <w:rPr>
          <w:rFonts w:eastAsia="Times New Roman"/>
          <w:color w:val="000000"/>
          <w:sz w:val="13"/>
          <w:szCs w:val="13"/>
          <w:vertAlign w:val="superscript"/>
        </w:rPr>
        <w:t>)</w:t>
      </w:r>
      <w:r>
        <w:rPr>
          <w:rFonts w:eastAsia="Times New Roman"/>
          <w:color w:val="000000"/>
          <w:sz w:val="20"/>
          <w:szCs w:val="20"/>
        </w:rPr>
        <w:t>The following table presents the other adjustments for NCR</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3481"/>
        <w:gridCol w:w="36"/>
        <w:gridCol w:w="135"/>
        <w:gridCol w:w="430"/>
        <w:gridCol w:w="85"/>
        <w:gridCol w:w="50"/>
        <w:gridCol w:w="260"/>
        <w:gridCol w:w="50"/>
        <w:gridCol w:w="135"/>
        <w:gridCol w:w="559"/>
        <w:gridCol w:w="85"/>
        <w:gridCol w:w="50"/>
        <w:gridCol w:w="260"/>
        <w:gridCol w:w="50"/>
        <w:gridCol w:w="135"/>
        <w:gridCol w:w="559"/>
        <w:gridCol w:w="85"/>
        <w:gridCol w:w="50"/>
        <w:gridCol w:w="260"/>
        <w:gridCol w:w="50"/>
        <w:gridCol w:w="135"/>
        <w:gridCol w:w="559"/>
        <w:gridCol w:w="85"/>
        <w:gridCol w:w="120"/>
        <w:gridCol w:w="120"/>
        <w:gridCol w:w="120"/>
        <w:gridCol w:w="36"/>
        <w:gridCol w:w="36"/>
        <w:gridCol w:w="36"/>
        <w:gridCol w:w="36"/>
        <w:gridCol w:w="36"/>
        <w:gridCol w:w="36"/>
        <w:gridCol w:w="36"/>
        <w:gridCol w:w="36"/>
        <w:gridCol w:w="36"/>
      </w:tblGrid>
      <w:tr w:rsidR="00000000">
        <w:trPr>
          <w:gridAfter w:val="12"/>
          <w:divId w:val="813302576"/>
        </w:trPr>
        <w:tc>
          <w:tcPr>
            <w:tcW w:w="50" w:type="pct"/>
            <w:vAlign w:val="center"/>
            <w:hideMark/>
          </w:tcPr>
          <w:p w:rsidR="00000000" w:rsidRDefault="000A7020">
            <w:pPr>
              <w:ind w:hanging="270"/>
              <w:jc w:val="both"/>
              <w:rPr>
                <w:rFonts w:eastAsia="Times New Roman"/>
              </w:rPr>
            </w:pPr>
          </w:p>
        </w:tc>
        <w:tc>
          <w:tcPr>
            <w:tcW w:w="248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813302576"/>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813302576"/>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3302576"/>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Transformation and restructuring cost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3302576"/>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Acquisition-related amortization of intangible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3302576"/>
        </w:trPr>
        <w:tc>
          <w:tcPr>
            <w:tcW w:w="0" w:type="auto"/>
            <w:gridSpan w:val="3"/>
            <w:vAlign w:val="center"/>
            <w:hideMark/>
          </w:tcPr>
          <w:p w:rsidR="00000000" w:rsidRDefault="000A7020">
            <w:pPr>
              <w:jc w:val="right"/>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813302576"/>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other adjustment</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following table presents revenue by geography for NCR</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415"/>
        <w:gridCol w:w="36"/>
        <w:gridCol w:w="135"/>
        <w:gridCol w:w="515"/>
        <w:gridCol w:w="85"/>
        <w:gridCol w:w="50"/>
        <w:gridCol w:w="260"/>
        <w:gridCol w:w="50"/>
        <w:gridCol w:w="135"/>
        <w:gridCol w:w="540"/>
        <w:gridCol w:w="85"/>
        <w:gridCol w:w="50"/>
        <w:gridCol w:w="260"/>
        <w:gridCol w:w="50"/>
        <w:gridCol w:w="135"/>
        <w:gridCol w:w="559"/>
        <w:gridCol w:w="85"/>
        <w:gridCol w:w="50"/>
        <w:gridCol w:w="260"/>
        <w:gridCol w:w="50"/>
        <w:gridCol w:w="135"/>
        <w:gridCol w:w="559"/>
        <w:gridCol w:w="85"/>
        <w:gridCol w:w="120"/>
        <w:gridCol w:w="120"/>
        <w:gridCol w:w="120"/>
        <w:gridCol w:w="36"/>
        <w:gridCol w:w="36"/>
        <w:gridCol w:w="36"/>
        <w:gridCol w:w="36"/>
        <w:gridCol w:w="36"/>
        <w:gridCol w:w="36"/>
        <w:gridCol w:w="36"/>
        <w:gridCol w:w="36"/>
        <w:gridCol w:w="36"/>
      </w:tblGrid>
      <w:tr w:rsidR="00000000">
        <w:trPr>
          <w:gridAfter w:val="12"/>
          <w:divId w:val="617025234"/>
          <w:jc w:val="center"/>
        </w:trPr>
        <w:tc>
          <w:tcPr>
            <w:tcW w:w="50" w:type="pct"/>
            <w:vAlign w:val="center"/>
            <w:hideMark/>
          </w:tcPr>
          <w:p w:rsidR="00000000" w:rsidRDefault="000A7020">
            <w:pPr>
              <w:jc w:val="both"/>
              <w:rPr>
                <w:rFonts w:eastAsia="Times New Roman"/>
              </w:rPr>
            </w:pPr>
          </w:p>
        </w:tc>
        <w:tc>
          <w:tcPr>
            <w:tcW w:w="243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2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617025234"/>
          <w:jc w:val="center"/>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617025234"/>
          <w:jc w:val="center"/>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617025234"/>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America</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886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1,778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1,949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617025234"/>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Europe, Middle East and Africa (EMEA</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407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617025234"/>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Asia Pacific (APJ</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191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399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617025234"/>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revenu</w:t>
            </w:r>
            <w:r>
              <w:rPr>
                <w:rFonts w:eastAsia="Times New Roman"/>
                <w:b/>
                <w:bCs/>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1,484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2,987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following tables present revenue from products and services for NCR</w:t>
      </w:r>
      <w:r>
        <w:rPr>
          <w:rFonts w:eastAsia="Times New Roman"/>
          <w:color w:val="000000"/>
          <w:sz w:val="20"/>
          <w:szCs w:val="20"/>
        </w:rPr>
        <w:t>:</w:t>
      </w:r>
    </w:p>
    <w:p w:rsidR="00000000" w:rsidRDefault="000A7020">
      <w:pPr>
        <w:jc w:val="center"/>
        <w:divId w:val="322665764"/>
        <w:rPr>
          <w:rFonts w:eastAsia="Times New Roman"/>
        </w:rPr>
      </w:pPr>
      <w:r>
        <w:rPr>
          <w:rFonts w:eastAsia="Times New Roman"/>
          <w:color w:val="000000"/>
          <w:sz w:val="20"/>
          <w:szCs w:val="20"/>
        </w:rPr>
        <w:t>4</w:t>
      </w:r>
      <w:r>
        <w:rPr>
          <w:rFonts w:eastAsia="Times New Roman"/>
          <w:color w:val="000000"/>
          <w:sz w:val="20"/>
          <w:szCs w:val="20"/>
        </w:rPr>
        <w:t>0</w:t>
      </w:r>
    </w:p>
    <w:p w:rsidR="00000000" w:rsidRDefault="000A7020">
      <w:pPr>
        <w:rPr>
          <w:rFonts w:eastAsia="Times New Roman"/>
        </w:rPr>
      </w:pPr>
      <w:r>
        <w:rPr>
          <w:rFonts w:eastAsia="Times New Roman"/>
        </w:rPr>
        <w:pict>
          <v:rect id="_x0000_i1065" style="width:0;height:1.5pt" o:hralign="center" o:hrstd="t" o:hr="t" fillcolor="#a0a0a0" stroked="f"/>
        </w:pict>
      </w:r>
    </w:p>
    <w:p w:rsidR="00000000" w:rsidRDefault="000A7020">
      <w:pPr>
        <w:ind w:firstLine="720"/>
        <w:divId w:val="402416616"/>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divId w:val="1866404651"/>
        <w:rPr>
          <w:rFonts w:eastAsia="Times New Roman"/>
        </w:rPr>
      </w:pPr>
      <w:r>
        <w:rPr>
          <w:rFonts w:eastAsia="Times New Roman"/>
          <w:b/>
          <w:bCs/>
          <w:color w:val="000000"/>
          <w:sz w:val="20"/>
          <w:szCs w:val="20"/>
        </w:rPr>
        <w:t>NCR Corporatio</w:t>
      </w:r>
      <w:r>
        <w:rPr>
          <w:rFonts w:eastAsia="Times New Roman"/>
          <w:b/>
          <w:bCs/>
          <w:color w:val="000000"/>
          <w:sz w:val="20"/>
          <w:szCs w:val="20"/>
        </w:rPr>
        <w:t>n</w:t>
      </w:r>
    </w:p>
    <w:p w:rsidR="00000000" w:rsidRDefault="000A7020">
      <w:pPr>
        <w:jc w:val="center"/>
        <w:divId w:val="1866404651"/>
        <w:rPr>
          <w:rFonts w:eastAsia="Times New Roman"/>
        </w:rPr>
      </w:pPr>
      <w:r>
        <w:rPr>
          <w:rFonts w:eastAsia="Times New Roman"/>
          <w:b/>
          <w:bCs/>
          <w:color w:val="000000"/>
          <w:sz w:val="20"/>
          <w:szCs w:val="20"/>
        </w:rPr>
        <w:t>Notes to Condensed Consolidated Financial Statements (Unaudited)—(Continued</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413"/>
        <w:gridCol w:w="39"/>
        <w:gridCol w:w="135"/>
        <w:gridCol w:w="515"/>
        <w:gridCol w:w="85"/>
        <w:gridCol w:w="50"/>
        <w:gridCol w:w="260"/>
        <w:gridCol w:w="50"/>
        <w:gridCol w:w="135"/>
        <w:gridCol w:w="537"/>
        <w:gridCol w:w="85"/>
        <w:gridCol w:w="50"/>
        <w:gridCol w:w="260"/>
        <w:gridCol w:w="50"/>
        <w:gridCol w:w="135"/>
        <w:gridCol w:w="559"/>
        <w:gridCol w:w="85"/>
        <w:gridCol w:w="50"/>
        <w:gridCol w:w="260"/>
        <w:gridCol w:w="50"/>
        <w:gridCol w:w="135"/>
        <w:gridCol w:w="559"/>
        <w:gridCol w:w="85"/>
        <w:gridCol w:w="120"/>
        <w:gridCol w:w="120"/>
        <w:gridCol w:w="120"/>
        <w:gridCol w:w="36"/>
        <w:gridCol w:w="36"/>
        <w:gridCol w:w="36"/>
        <w:gridCol w:w="36"/>
        <w:gridCol w:w="36"/>
        <w:gridCol w:w="36"/>
        <w:gridCol w:w="36"/>
        <w:gridCol w:w="36"/>
        <w:gridCol w:w="36"/>
      </w:tblGrid>
      <w:tr w:rsidR="00000000">
        <w:trPr>
          <w:gridAfter w:val="12"/>
          <w:divId w:val="796877805"/>
          <w:jc w:val="center"/>
        </w:trPr>
        <w:tc>
          <w:tcPr>
            <w:tcW w:w="50" w:type="pct"/>
            <w:vAlign w:val="center"/>
            <w:hideMark/>
          </w:tcPr>
          <w:p w:rsidR="00000000" w:rsidRDefault="000A7020">
            <w:pPr>
              <w:jc w:val="center"/>
              <w:rPr>
                <w:rFonts w:eastAsia="Times New Roman"/>
              </w:rPr>
            </w:pPr>
          </w:p>
        </w:tc>
        <w:tc>
          <w:tcPr>
            <w:tcW w:w="243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2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796877805"/>
          <w:jc w:val="center"/>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796877805"/>
          <w:jc w:val="center"/>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96877805"/>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Product revenu</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481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955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96877805"/>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Professional services and installation services revenu</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189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416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96877805"/>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Recurring revenue, including maintenance, cloud revenue and payment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1,616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96877805"/>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revenu</w:t>
            </w:r>
            <w:r>
              <w:rPr>
                <w:rFonts w:eastAsia="Times New Roman"/>
                <w:b/>
                <w:bCs/>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1,484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2,987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tbl>
      <w:tblPr>
        <w:tblW w:w="4985" w:type="pct"/>
        <w:jc w:val="center"/>
        <w:tblCellMar>
          <w:top w:w="15" w:type="dxa"/>
          <w:left w:w="15" w:type="dxa"/>
          <w:bottom w:w="15" w:type="dxa"/>
          <w:right w:w="15" w:type="dxa"/>
        </w:tblCellMar>
        <w:tblLook w:val="04A0" w:firstRow="1" w:lastRow="0" w:firstColumn="1" w:lastColumn="0" w:noHBand="0" w:noVBand="1"/>
      </w:tblPr>
      <w:tblGrid>
        <w:gridCol w:w="144"/>
        <w:gridCol w:w="3998"/>
        <w:gridCol w:w="144"/>
        <w:gridCol w:w="144"/>
        <w:gridCol w:w="816"/>
        <w:gridCol w:w="144"/>
        <w:gridCol w:w="144"/>
        <w:gridCol w:w="144"/>
        <w:gridCol w:w="144"/>
        <w:gridCol w:w="144"/>
        <w:gridCol w:w="816"/>
        <w:gridCol w:w="144"/>
        <w:gridCol w:w="144"/>
        <w:gridCol w:w="144"/>
        <w:gridCol w:w="144"/>
        <w:gridCol w:w="144"/>
        <w:gridCol w:w="816"/>
        <w:gridCol w:w="144"/>
        <w:gridCol w:w="144"/>
        <w:gridCol w:w="144"/>
        <w:gridCol w:w="144"/>
        <w:gridCol w:w="144"/>
        <w:gridCol w:w="818"/>
        <w:gridCol w:w="144"/>
        <w:gridCol w:w="16"/>
        <w:gridCol w:w="16"/>
        <w:gridCol w:w="16"/>
        <w:gridCol w:w="16"/>
        <w:gridCol w:w="16"/>
        <w:gridCol w:w="16"/>
        <w:gridCol w:w="480"/>
        <w:gridCol w:w="480"/>
        <w:gridCol w:w="480"/>
        <w:gridCol w:w="480"/>
        <w:gridCol w:w="480"/>
        <w:gridCol w:w="480"/>
      </w:tblGrid>
      <w:tr w:rsidR="00000000">
        <w:trPr>
          <w:gridAfter w:val="12"/>
          <w:jc w:val="center"/>
        </w:trPr>
        <w:tc>
          <w:tcPr>
            <w:tcW w:w="50" w:type="pct"/>
            <w:vAlign w:val="center"/>
            <w:hideMark/>
          </w:tcPr>
          <w:p w:rsidR="00000000" w:rsidRDefault="000A7020">
            <w:pPr>
              <w:jc w:val="center"/>
              <w:rPr>
                <w:rFonts w:eastAsia="Times New Roman"/>
              </w:rPr>
            </w:pPr>
          </w:p>
        </w:tc>
        <w:tc>
          <w:tcPr>
            <w:tcW w:w="241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9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9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9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9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jc w:val="center"/>
        </w:trPr>
        <w:tc>
          <w:tcPr>
            <w:tcW w:w="0" w:type="auto"/>
            <w:gridSpan w:val="3"/>
            <w:vMerge w:val="restart"/>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jc w:val="center"/>
        </w:trPr>
        <w:tc>
          <w:tcPr>
            <w:tcW w:w="0" w:type="auto"/>
            <w:gridSpan w:val="3"/>
            <w:vMerge/>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Softwar</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460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496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934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Service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605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1,241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Hardwar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419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revenu</w:t>
            </w:r>
            <w:r>
              <w:rPr>
                <w:rFonts w:eastAsia="Times New Roman"/>
                <w:b/>
                <w:bCs/>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1,484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2,987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rPr>
          <w:rFonts w:eastAsia="Times New Roman"/>
        </w:rPr>
      </w:pPr>
    </w:p>
    <w:p w:rsidR="00000000" w:rsidRDefault="000A7020">
      <w:pPr>
        <w:divId w:val="576868300"/>
        <w:rPr>
          <w:rFonts w:eastAsia="Times New Roman"/>
        </w:rPr>
      </w:pPr>
      <w:r>
        <w:rPr>
          <w:rFonts w:eastAsia="Times New Roman"/>
          <w:b/>
          <w:bCs/>
          <w:color w:val="54B948"/>
          <w:sz w:val="20"/>
          <w:szCs w:val="20"/>
        </w:rPr>
        <w:t>i</w:t>
      </w:r>
    </w:p>
    <w:p w:rsidR="00000000" w:rsidRDefault="000A7020">
      <w:pPr>
        <w:divId w:val="1395398298"/>
        <w:rPr>
          <w:rFonts w:eastAsia="Times New Roman"/>
        </w:rPr>
      </w:pPr>
      <w:r>
        <w:rPr>
          <w:rFonts w:eastAsia="Times New Roman"/>
          <w:b/>
          <w:bCs/>
          <w:color w:val="54B948"/>
          <w:sz w:val="20"/>
          <w:szCs w:val="20"/>
        </w:rPr>
        <w:t>17. SUPPLEMENTAL FINANCIAL INFORMATIO</w:t>
      </w:r>
      <w:r>
        <w:rPr>
          <w:rFonts w:eastAsia="Times New Roman"/>
          <w:b/>
          <w:bCs/>
          <w:color w:val="54B948"/>
          <w:sz w:val="20"/>
          <w:szCs w:val="20"/>
        </w:rPr>
        <w:t>N</w:t>
      </w:r>
      <w:r>
        <w:rPr>
          <w:rFonts w:eastAsia="Times New Roman"/>
          <w:b/>
          <w:bCs/>
          <w:color w:val="000000"/>
          <w:sz w:val="20"/>
          <w:szCs w:val="20"/>
        </w:rPr>
        <w:t xml:space="preserve"> </w:t>
      </w:r>
    </w:p>
    <w:p w:rsidR="00000000" w:rsidRDefault="000A7020">
      <w:pPr>
        <w:jc w:val="both"/>
        <w:divId w:val="399254857"/>
        <w:rPr>
          <w:rFonts w:eastAsia="Times New Roman"/>
        </w:rPr>
      </w:pPr>
      <w:r>
        <w:rPr>
          <w:rFonts w:eastAsia="Times New Roman"/>
          <w:color w:val="000000"/>
          <w:sz w:val="20"/>
          <w:szCs w:val="20"/>
        </w:rPr>
        <w:t>The components of accounts receivable are summarized as follows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5"/>
        <w:gridCol w:w="5551"/>
        <w:gridCol w:w="56"/>
        <w:gridCol w:w="135"/>
        <w:gridCol w:w="1033"/>
        <w:gridCol w:w="85"/>
        <w:gridCol w:w="36"/>
        <w:gridCol w:w="36"/>
        <w:gridCol w:w="36"/>
        <w:gridCol w:w="135"/>
        <w:gridCol w:w="1038"/>
        <w:gridCol w:w="85"/>
      </w:tblGrid>
      <w:tr w:rsidR="00000000">
        <w:trPr>
          <w:divId w:val="385184049"/>
          <w:jc w:val="center"/>
        </w:trPr>
        <w:tc>
          <w:tcPr>
            <w:tcW w:w="50" w:type="pct"/>
            <w:vAlign w:val="center"/>
            <w:hideMark/>
          </w:tcPr>
          <w:p w:rsidR="00000000" w:rsidRDefault="000A7020">
            <w:pPr>
              <w:jc w:val="both"/>
              <w:rPr>
                <w:rFonts w:eastAsia="Times New Roman"/>
              </w:rPr>
            </w:pPr>
          </w:p>
        </w:tc>
        <w:tc>
          <w:tcPr>
            <w:tcW w:w="336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4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5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385184049"/>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r>
      <w:tr w:rsidR="00000000">
        <w:trPr>
          <w:divId w:val="385184049"/>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Accounts receivabl</w:t>
            </w:r>
            <w:r>
              <w:rPr>
                <w:rFonts w:eastAsia="Times New Roman"/>
                <w:b/>
                <w:bCs/>
                <w:color w:val="000000"/>
                <w:sz w:val="20"/>
                <w:szCs w:val="20"/>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385184049"/>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Trad</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1,266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1,482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85184049"/>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85184049"/>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Accounts receivable, gros</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1,303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1,534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85184049"/>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Less: allowance for credit losse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385184049"/>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accounts receivable, ne</w:t>
            </w:r>
            <w:r>
              <w:rPr>
                <w:rFonts w:eastAsia="Times New Roman"/>
                <w:b/>
                <w:bCs/>
                <w:color w:val="000000"/>
                <w:sz w:val="20"/>
                <w:szCs w:val="20"/>
              </w:rPr>
              <w:t>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1,249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1,490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bl>
    <w:p w:rsidR="00000000" w:rsidRDefault="000A7020">
      <w:pPr>
        <w:jc w:val="both"/>
        <w:divId w:val="221257271"/>
        <w:rPr>
          <w:rFonts w:eastAsia="Times New Roman"/>
        </w:rPr>
      </w:pPr>
      <w:r>
        <w:rPr>
          <w:rFonts w:eastAsia="Times New Roman"/>
          <w:color w:val="000000"/>
          <w:sz w:val="20"/>
          <w:szCs w:val="20"/>
        </w:rPr>
        <w:t xml:space="preserve">Accounts receivable, net includes amounts billed and currently due from customers, as well as amounts unbilled that typically result from sales under contracts where revenue recognized exceeds the amount billed to the customer and where the Company has an </w:t>
      </w:r>
      <w:r>
        <w:rPr>
          <w:rFonts w:eastAsia="Times New Roman"/>
          <w:color w:val="000000"/>
          <w:sz w:val="20"/>
          <w:szCs w:val="20"/>
        </w:rPr>
        <w:t>unconditional right to consideration. The amounts due are stated at their net estimated realizable value</w:t>
      </w:r>
      <w:r>
        <w:rPr>
          <w:rFonts w:eastAsia="Times New Roman"/>
          <w:color w:val="000000"/>
          <w:sz w:val="20"/>
          <w:szCs w:val="20"/>
        </w:rPr>
        <w:t>.</w:t>
      </w:r>
    </w:p>
    <w:p w:rsidR="00000000" w:rsidRDefault="000A7020">
      <w:pPr>
        <w:jc w:val="both"/>
        <w:divId w:val="946355461"/>
        <w:rPr>
          <w:rFonts w:eastAsia="Times New Roman"/>
        </w:rPr>
      </w:pPr>
      <w:r>
        <w:rPr>
          <w:rFonts w:eastAsia="Times New Roman"/>
          <w:color w:val="000000"/>
          <w:sz w:val="20"/>
          <w:szCs w:val="20"/>
        </w:rPr>
        <w:t>Allowances for credit losses on accounts receivable are recognized when reasonable and supportable forecasts affect the expected collectability. This requires us to make our best estimate of the current expected losses inherent in our accounts receivable a</w:t>
      </w:r>
      <w:r>
        <w:rPr>
          <w:rFonts w:eastAsia="Times New Roman"/>
          <w:color w:val="000000"/>
          <w:sz w:val="20"/>
          <w:szCs w:val="20"/>
        </w:rPr>
        <w:t>t each balance sheet date. These estimates require consideration of historical loss experience, adjusted for current conditions, forward looking indicators, trends in customer payment frequency and judgments about the probable effects of relevant observabl</w:t>
      </w:r>
      <w:r>
        <w:rPr>
          <w:rFonts w:eastAsia="Times New Roman"/>
          <w:color w:val="000000"/>
          <w:sz w:val="20"/>
          <w:szCs w:val="20"/>
        </w:rPr>
        <w:t>e data, including present and future economic conditions and the financial health of specific customers and market sectors. This policy is applied consistently among all of our operating segments</w:t>
      </w:r>
      <w:r>
        <w:rPr>
          <w:rFonts w:eastAsia="Times New Roman"/>
          <w:color w:val="000000"/>
          <w:sz w:val="20"/>
          <w:szCs w:val="20"/>
        </w:rPr>
        <w:t>.</w:t>
      </w:r>
    </w:p>
    <w:p w:rsidR="00000000" w:rsidRDefault="000A7020">
      <w:pPr>
        <w:jc w:val="both"/>
        <w:divId w:val="179396721"/>
        <w:rPr>
          <w:rFonts w:eastAsia="Times New Roman"/>
        </w:rPr>
      </w:pPr>
      <w:r>
        <w:rPr>
          <w:rFonts w:eastAsia="Times New Roman"/>
          <w:color w:val="000000"/>
          <w:sz w:val="20"/>
          <w:szCs w:val="20"/>
        </w:rPr>
        <w:t>Our allowance for credit losses as of June 30, 2020 and Dec</w:t>
      </w:r>
      <w:r>
        <w:rPr>
          <w:rFonts w:eastAsia="Times New Roman"/>
          <w:color w:val="000000"/>
          <w:sz w:val="20"/>
          <w:szCs w:val="20"/>
        </w:rPr>
        <w:t>ember 31, 2019 was $54 million and $44 million, respectively. Our allowance for credit losses charged to expense for the three and six months ended June 30, 2020 was $9 million and $19 million, respectively. We increased our allowance for credit losses for</w:t>
      </w:r>
      <w:r>
        <w:rPr>
          <w:rFonts w:eastAsia="Times New Roman"/>
          <w:color w:val="000000"/>
          <w:sz w:val="20"/>
          <w:szCs w:val="20"/>
        </w:rPr>
        <w:t xml:space="preserve"> the three and six months ended June 30, 2020 by $3 million and $6 million, respectively, based upon current forecasts that reflect increased economic uncertainty resulting from the COVID-19 pandemic. The Company recorded write-offs against the reserve for</w:t>
      </w:r>
      <w:r>
        <w:rPr>
          <w:rFonts w:eastAsia="Times New Roman"/>
          <w:color w:val="000000"/>
          <w:sz w:val="20"/>
          <w:szCs w:val="20"/>
        </w:rPr>
        <w:t xml:space="preserve"> the three and six months ended June 30, 2020 of $4 million and $6 million, respectively.</w:t>
      </w:r>
      <w:r>
        <w:rPr>
          <w:rFonts w:eastAsia="Times New Roman"/>
          <w:color w:val="000000"/>
          <w:sz w:val="20"/>
          <w:szCs w:val="20"/>
        </w:rPr>
        <w:t xml:space="preserve"> </w:t>
      </w:r>
    </w:p>
    <w:p w:rsidR="00000000" w:rsidRDefault="000A7020">
      <w:pPr>
        <w:jc w:val="both"/>
        <w:divId w:val="2015103849"/>
        <w:rPr>
          <w:rFonts w:eastAsia="Times New Roman"/>
        </w:rPr>
      </w:pPr>
      <w:r>
        <w:rPr>
          <w:rFonts w:eastAsia="Times New Roman"/>
          <w:color w:val="000000"/>
          <w:sz w:val="20"/>
          <w:szCs w:val="20"/>
        </w:rPr>
        <w:t>The components of inventory are summarized as follows: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5"/>
        <w:gridCol w:w="5550"/>
        <w:gridCol w:w="56"/>
        <w:gridCol w:w="135"/>
        <w:gridCol w:w="1033"/>
        <w:gridCol w:w="85"/>
        <w:gridCol w:w="36"/>
        <w:gridCol w:w="36"/>
        <w:gridCol w:w="36"/>
        <w:gridCol w:w="136"/>
        <w:gridCol w:w="1038"/>
        <w:gridCol w:w="85"/>
      </w:tblGrid>
      <w:tr w:rsidR="00000000">
        <w:trPr>
          <w:divId w:val="679234799"/>
          <w:jc w:val="center"/>
        </w:trPr>
        <w:tc>
          <w:tcPr>
            <w:tcW w:w="50" w:type="pct"/>
            <w:vAlign w:val="center"/>
            <w:hideMark/>
          </w:tcPr>
          <w:p w:rsidR="00000000" w:rsidRDefault="000A7020">
            <w:pPr>
              <w:jc w:val="both"/>
              <w:rPr>
                <w:rFonts w:eastAsia="Times New Roman"/>
              </w:rPr>
            </w:pPr>
          </w:p>
        </w:tc>
        <w:tc>
          <w:tcPr>
            <w:tcW w:w="336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4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65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679234799"/>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r>
      <w:tr w:rsidR="00000000">
        <w:trPr>
          <w:divId w:val="679234799"/>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Inventorie</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679234799"/>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Work in process and raw material</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198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r>
      <w:tr w:rsidR="00000000">
        <w:trPr>
          <w:divId w:val="679234799"/>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Finished good</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20</w:t>
            </w:r>
            <w:r>
              <w:rPr>
                <w:rFonts w:eastAsia="Times New Roman"/>
                <w:b/>
                <w:bCs/>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18</w:t>
            </w:r>
            <w:r>
              <w:rPr>
                <w:rFonts w:eastAsia="Times New Roman"/>
                <w:color w:val="000000"/>
                <w:sz w:val="20"/>
                <w:szCs w:val="20"/>
              </w:rPr>
              <w:t>4</w:t>
            </w:r>
          </w:p>
        </w:tc>
      </w:tr>
      <w:tr w:rsidR="00000000">
        <w:trPr>
          <w:divId w:val="679234799"/>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Service part</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38</w:t>
            </w:r>
            <w:r>
              <w:rPr>
                <w:rFonts w:eastAsia="Times New Roman"/>
                <w:b/>
                <w:bCs/>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39</w:t>
            </w:r>
            <w:r>
              <w:rPr>
                <w:rFonts w:eastAsia="Times New Roman"/>
                <w:color w:val="000000"/>
                <w:sz w:val="20"/>
                <w:szCs w:val="20"/>
              </w:rPr>
              <w:t>6</w:t>
            </w:r>
          </w:p>
        </w:tc>
      </w:tr>
      <w:tr w:rsidR="00000000">
        <w:trPr>
          <w:divId w:val="679234799"/>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b/>
                <w:bCs/>
                <w:color w:val="000000"/>
                <w:sz w:val="20"/>
                <w:szCs w:val="20"/>
              </w:rPr>
              <w:t>Total inventorie</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782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0A7020">
            <w:pPr>
              <w:jc w:val="right"/>
              <w:rPr>
                <w:rFonts w:eastAsia="Times New Roman"/>
              </w:rPr>
            </w:pPr>
            <w:r>
              <w:rPr>
                <w:rFonts w:eastAsia="Times New Roman"/>
                <w:color w:val="000000"/>
                <w:sz w:val="20"/>
                <w:szCs w:val="20"/>
              </w:rPr>
              <w:t>784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0A7020">
            <w:pPr>
              <w:jc w:val="right"/>
              <w:rPr>
                <w:rFonts w:eastAsia="Times New Roman"/>
              </w:rPr>
            </w:pPr>
            <w:r>
              <w:rPr>
                <w:rFonts w:eastAsia="Times New Roman"/>
                <w:color w:val="000000"/>
                <w:sz w:val="20"/>
                <w:szCs w:val="20"/>
              </w:rPr>
              <w:t> </w:t>
            </w:r>
          </w:p>
        </w:tc>
      </w:tr>
    </w:tbl>
    <w:p w:rsidR="00000000" w:rsidRDefault="000A7020">
      <w:pPr>
        <w:jc w:val="center"/>
        <w:divId w:val="385181460"/>
        <w:rPr>
          <w:rFonts w:eastAsia="Times New Roman"/>
        </w:rPr>
      </w:pPr>
      <w:r>
        <w:rPr>
          <w:rFonts w:eastAsia="Times New Roman"/>
          <w:color w:val="000000"/>
          <w:sz w:val="20"/>
          <w:szCs w:val="20"/>
        </w:rPr>
        <w:t>4</w:t>
      </w:r>
      <w:r>
        <w:rPr>
          <w:rFonts w:eastAsia="Times New Roman"/>
          <w:color w:val="000000"/>
          <w:sz w:val="20"/>
          <w:szCs w:val="20"/>
        </w:rPr>
        <w:t>1</w:t>
      </w:r>
    </w:p>
    <w:p w:rsidR="00000000" w:rsidRDefault="000A7020">
      <w:pPr>
        <w:rPr>
          <w:rFonts w:eastAsia="Times New Roman"/>
        </w:rPr>
      </w:pPr>
      <w:r>
        <w:rPr>
          <w:rFonts w:eastAsia="Times New Roman"/>
        </w:rPr>
        <w:pict>
          <v:rect id="_x0000_i1066" style="width:0;height:1.5pt" o:hralign="center" o:hrstd="t" o:hr="t" fillcolor="#a0a0a0" stroked="f"/>
        </w:pict>
      </w:r>
    </w:p>
    <w:p w:rsidR="00000000" w:rsidRDefault="000A7020">
      <w:pPr>
        <w:divId w:val="2081631886"/>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ind w:hanging="1170"/>
        <w:divId w:val="1000548661"/>
        <w:rPr>
          <w:rFonts w:eastAsia="Times New Roman"/>
        </w:rPr>
      </w:pPr>
      <w:r>
        <w:rPr>
          <w:rFonts w:eastAsia="Times New Roman"/>
          <w:b/>
          <w:bCs/>
          <w:color w:val="000000"/>
          <w:sz w:val="20"/>
          <w:szCs w:val="20"/>
        </w:rPr>
        <w:t>Item 2. MANAGEMENT'S DISCUSSION AND ANALYSIS OF FINANCIAL CONDITION AND RESULTS OF OPERATIONS (MD&amp;A</w:t>
      </w:r>
      <w:r>
        <w:rPr>
          <w:rFonts w:eastAsia="Times New Roman"/>
          <w:b/>
          <w:bCs/>
          <w:color w:val="000000"/>
          <w:sz w:val="20"/>
          <w:szCs w:val="20"/>
        </w:rPr>
        <w:t>)</w:t>
      </w:r>
    </w:p>
    <w:p w:rsidR="00000000" w:rsidRDefault="000A7020">
      <w:pPr>
        <w:jc w:val="both"/>
        <w:divId w:val="1543714649"/>
        <w:rPr>
          <w:rFonts w:eastAsia="Times New Roman"/>
        </w:rPr>
      </w:pPr>
      <w:r>
        <w:rPr>
          <w:rFonts w:eastAsia="Times New Roman"/>
          <w:b/>
          <w:bCs/>
          <w:i/>
          <w:iCs/>
          <w:color w:val="000000"/>
          <w:sz w:val="20"/>
          <w:szCs w:val="20"/>
        </w:rPr>
        <w:t>Second Quarter Overvie</w:t>
      </w:r>
      <w:r>
        <w:rPr>
          <w:rFonts w:eastAsia="Times New Roman"/>
          <w:b/>
          <w:bCs/>
          <w:i/>
          <w:iCs/>
          <w:color w:val="000000"/>
          <w:sz w:val="20"/>
          <w:szCs w:val="20"/>
        </w:rPr>
        <w:t>w</w:t>
      </w:r>
    </w:p>
    <w:p w:rsidR="00000000" w:rsidRDefault="000A7020">
      <w:pPr>
        <w:jc w:val="both"/>
        <w:divId w:val="1985349927"/>
        <w:rPr>
          <w:rFonts w:eastAsia="Times New Roman"/>
        </w:rPr>
      </w:pPr>
      <w:r>
        <w:rPr>
          <w:rFonts w:eastAsia="Times New Roman"/>
          <w:color w:val="000000"/>
          <w:sz w:val="20"/>
          <w:szCs w:val="20"/>
        </w:rPr>
        <w:t xml:space="preserve">The following were </w:t>
      </w:r>
      <w:r>
        <w:rPr>
          <w:rFonts w:eastAsia="Times New Roman"/>
          <w:color w:val="000000"/>
          <w:sz w:val="20"/>
          <w:szCs w:val="20"/>
        </w:rPr>
        <w:t>the significant events for the second quarter of 2020, each of which is discussed more fully in later sections of this MD&amp;A</w:t>
      </w:r>
      <w:r>
        <w:rPr>
          <w:rFonts w:eastAsia="Times New Roman"/>
          <w:color w:val="000000"/>
          <w:sz w:val="20"/>
          <w:szCs w:val="20"/>
        </w:rPr>
        <w:t>:</w:t>
      </w:r>
    </w:p>
    <w:p w:rsidR="00000000" w:rsidRDefault="000A7020">
      <w:pPr>
        <w:ind w:hanging="360"/>
        <w:jc w:val="both"/>
        <w:rPr>
          <w:rFonts w:eastAsia="Times New Roman"/>
        </w:rPr>
      </w:pPr>
      <w:r>
        <w:rPr>
          <w:rFonts w:eastAsia="Times New Roman"/>
          <w:color w:val="000000"/>
          <w:sz w:val="20"/>
          <w:szCs w:val="20"/>
        </w:rPr>
        <w:t>•</w:t>
      </w:r>
      <w:r>
        <w:rPr>
          <w:rFonts w:eastAsia="Times New Roman"/>
          <w:color w:val="000000"/>
          <w:sz w:val="20"/>
          <w:szCs w:val="20"/>
        </w:rPr>
        <w:t>Revenue decreased approximately 13% from the prior year period and 12% excluding unfavorable foreign currency impacts</w:t>
      </w:r>
      <w:r>
        <w:rPr>
          <w:rFonts w:eastAsia="Times New Roman"/>
          <w:color w:val="000000"/>
          <w:sz w:val="20"/>
          <w:szCs w:val="20"/>
        </w:rPr>
        <w:t>;</w:t>
      </w:r>
    </w:p>
    <w:p w:rsidR="00000000" w:rsidRDefault="000A7020">
      <w:pPr>
        <w:ind w:hanging="360"/>
        <w:jc w:val="both"/>
        <w:rPr>
          <w:rFonts w:eastAsia="Times New Roman"/>
        </w:rPr>
      </w:pPr>
      <w:r>
        <w:rPr>
          <w:rFonts w:eastAsia="Times New Roman"/>
          <w:color w:val="000000"/>
          <w:sz w:val="20"/>
          <w:szCs w:val="20"/>
        </w:rPr>
        <w:t>•</w:t>
      </w:r>
      <w:r>
        <w:rPr>
          <w:rFonts w:eastAsia="Times New Roman"/>
          <w:color w:val="000000"/>
          <w:sz w:val="20"/>
          <w:szCs w:val="20"/>
        </w:rPr>
        <w:t>Segment results continue to be negatively impacted by the COVID-19 pandemic</w:t>
      </w:r>
      <w:r>
        <w:rPr>
          <w:rFonts w:eastAsia="Times New Roman"/>
          <w:color w:val="000000"/>
          <w:sz w:val="20"/>
          <w:szCs w:val="20"/>
        </w:rPr>
        <w:t>;</w:t>
      </w:r>
    </w:p>
    <w:p w:rsidR="00000000" w:rsidRDefault="000A7020">
      <w:pPr>
        <w:ind w:hanging="360"/>
        <w:jc w:val="both"/>
        <w:rPr>
          <w:rFonts w:eastAsia="Times New Roman"/>
        </w:rPr>
      </w:pPr>
      <w:r>
        <w:rPr>
          <w:rFonts w:eastAsia="Times New Roman"/>
          <w:color w:val="000000"/>
          <w:sz w:val="20"/>
          <w:szCs w:val="20"/>
        </w:rPr>
        <w:t>•</w:t>
      </w:r>
      <w:r>
        <w:rPr>
          <w:rFonts w:eastAsia="Times New Roman"/>
          <w:color w:val="000000"/>
          <w:sz w:val="20"/>
          <w:szCs w:val="20"/>
        </w:rPr>
        <w:t>Cash and cash equivalents as of June 30, 2020 of $1.68 billion, improved liquidity to help manage through the COVID-19 pandemic; an</w:t>
      </w:r>
      <w:r>
        <w:rPr>
          <w:rFonts w:eastAsia="Times New Roman"/>
          <w:color w:val="000000"/>
          <w:sz w:val="20"/>
          <w:szCs w:val="20"/>
        </w:rPr>
        <w:t>d</w:t>
      </w:r>
    </w:p>
    <w:p w:rsidR="00000000" w:rsidRDefault="000A7020">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Task force continues to pro-actively manage </w:t>
      </w:r>
      <w:r>
        <w:rPr>
          <w:rFonts w:eastAsia="Times New Roman"/>
          <w:color w:val="000000"/>
          <w:sz w:val="20"/>
          <w:szCs w:val="20"/>
        </w:rPr>
        <w:t>the global impact of the COVID-19 pandemic on our employees, customers and business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i/>
          <w:iCs/>
          <w:color w:val="000000"/>
          <w:sz w:val="20"/>
          <w:szCs w:val="20"/>
        </w:rPr>
        <w:t>Strategic Overvie</w:t>
      </w:r>
      <w:r>
        <w:rPr>
          <w:rFonts w:eastAsia="Times New Roman"/>
          <w:b/>
          <w:bCs/>
          <w:i/>
          <w:iCs/>
          <w:color w:val="000000"/>
          <w:sz w:val="20"/>
          <w:szCs w:val="20"/>
        </w:rPr>
        <w:t>w</w:t>
      </w:r>
    </w:p>
    <w:p w:rsidR="00000000" w:rsidRDefault="000A7020">
      <w:pPr>
        <w:jc w:val="both"/>
        <w:rPr>
          <w:rFonts w:eastAsia="Times New Roman"/>
        </w:rPr>
      </w:pPr>
    </w:p>
    <w:p w:rsidR="00000000" w:rsidRDefault="000A7020">
      <w:pPr>
        <w:jc w:val="both"/>
        <w:rPr>
          <w:rFonts w:eastAsia="Times New Roman"/>
        </w:rPr>
      </w:pPr>
      <w:r>
        <w:rPr>
          <w:rFonts w:eastAsia="Times New Roman"/>
          <w:color w:val="191C1F"/>
          <w:sz w:val="20"/>
          <w:szCs w:val="20"/>
        </w:rPr>
        <w:t>Today's consumers expect,</w:t>
      </w:r>
      <w:r>
        <w:rPr>
          <w:rFonts w:eastAsia="Times New Roman"/>
          <w:color w:val="191C1F"/>
          <w:sz w:val="20"/>
          <w:szCs w:val="20"/>
        </w:rPr>
        <w:t xml:space="preserve"> </w:t>
      </w:r>
      <w:r>
        <w:rPr>
          <w:rFonts w:eastAsia="Times New Roman"/>
          <w:color w:val="000000"/>
          <w:sz w:val="20"/>
          <w:szCs w:val="20"/>
        </w:rPr>
        <w:t>including as the world navigates in a COVID-19 pandemic environment</w:t>
      </w:r>
      <w:r>
        <w:rPr>
          <w:rFonts w:eastAsia="Times New Roman"/>
          <w:color w:val="000000"/>
          <w:sz w:val="20"/>
          <w:szCs w:val="20"/>
        </w:rPr>
        <w:t>,</w:t>
      </w:r>
      <w:r>
        <w:rPr>
          <w:rFonts w:eastAsia="Times New Roman"/>
          <w:color w:val="191C1F"/>
          <w:sz w:val="20"/>
          <w:szCs w:val="20"/>
        </w:rPr>
        <w:t xml:space="preserve"> businesses to provide a rich, integrated and personal</w:t>
      </w:r>
      <w:r>
        <w:rPr>
          <w:rFonts w:eastAsia="Times New Roman"/>
          <w:color w:val="191C1F"/>
          <w:sz w:val="20"/>
          <w:szCs w:val="20"/>
        </w:rPr>
        <w:t>ized experience across all commerce channels, including online, mobile and,</w:t>
      </w:r>
      <w:r>
        <w:rPr>
          <w:rFonts w:eastAsia="Times New Roman"/>
          <w:color w:val="191C1F"/>
          <w:sz w:val="20"/>
          <w:szCs w:val="20"/>
        </w:rPr>
        <w:t xml:space="preserve"> </w:t>
      </w:r>
      <w:r>
        <w:rPr>
          <w:rFonts w:eastAsia="Times New Roman"/>
          <w:color w:val="000000"/>
          <w:sz w:val="20"/>
          <w:szCs w:val="20"/>
        </w:rPr>
        <w:t>as consumers are able to return to a more normal operating environment,</w:t>
      </w:r>
      <w:r>
        <w:rPr>
          <w:rFonts w:eastAsia="Times New Roman"/>
          <w:color w:val="000000"/>
          <w:sz w:val="20"/>
          <w:szCs w:val="20"/>
        </w:rPr>
        <w:t xml:space="preserve"> </w:t>
      </w:r>
      <w:r>
        <w:rPr>
          <w:rFonts w:eastAsia="Times New Roman"/>
          <w:color w:val="191C1F"/>
          <w:sz w:val="20"/>
          <w:szCs w:val="20"/>
        </w:rPr>
        <w:t>in-store. NCR is at the forefront of this shift, assisting businesses of every size in their digital transfo</w:t>
      </w:r>
      <w:r>
        <w:rPr>
          <w:rFonts w:eastAsia="Times New Roman"/>
          <w:color w:val="191C1F"/>
          <w:sz w:val="20"/>
          <w:szCs w:val="20"/>
        </w:rPr>
        <w:t>rmation journeys including a shift to contactless commerce. Our mission is to be the leading software- and services-led enterprise provider in the financial, retail and hospitality industries.</w:t>
      </w:r>
      <w:r>
        <w:rPr>
          <w:rFonts w:eastAsia="Times New Roman"/>
          <w:color w:val="191C1F"/>
          <w:sz w:val="20"/>
          <w:szCs w:val="20"/>
        </w:rPr>
        <w:t xml:space="preserve"> </w:t>
      </w:r>
      <w:r>
        <w:rPr>
          <w:rFonts w:eastAsia="Times New Roman"/>
          <w:color w:val="000000"/>
          <w:sz w:val="20"/>
          <w:szCs w:val="20"/>
        </w:rPr>
        <w:t>W</w:t>
      </w:r>
      <w:r>
        <w:rPr>
          <w:rFonts w:eastAsia="Times New Roman"/>
          <w:color w:val="191C1F"/>
          <w:sz w:val="20"/>
          <w:szCs w:val="20"/>
        </w:rPr>
        <w:t>e have developed a long-term growth strategy built on taking c</w:t>
      </w:r>
      <w:r>
        <w:rPr>
          <w:rFonts w:eastAsia="Times New Roman"/>
          <w:color w:val="191C1F"/>
          <w:sz w:val="20"/>
          <w:szCs w:val="20"/>
        </w:rPr>
        <w:t>are of our customers, improving execution of new product introductions, accelerating software and services revenue growth and executing spend optimization programs. This long-term mission and our strategy to execute it are designed to position NCR to conti</w:t>
      </w:r>
      <w:r>
        <w:rPr>
          <w:rFonts w:eastAsia="Times New Roman"/>
          <w:color w:val="191C1F"/>
          <w:sz w:val="20"/>
          <w:szCs w:val="20"/>
        </w:rPr>
        <w:t>nue to drive -- in the long-term -- growth, sustainable revenue, profit and cash flow, and to improve value for all of our stakeholders. As we manage our business through the COVID-19 pandemic with a focus on prioritizing the health and safety of our emplo</w:t>
      </w:r>
      <w:r>
        <w:rPr>
          <w:rFonts w:eastAsia="Times New Roman"/>
          <w:color w:val="191C1F"/>
          <w:sz w:val="20"/>
          <w:szCs w:val="20"/>
        </w:rPr>
        <w:t>yees and customers, and being positioned to capitalize on market opportunities when we return to a more normal operating environment, we have also remained focused on our long-term mission and executed at a high level to advance our strategy</w:t>
      </w:r>
      <w:r>
        <w:rPr>
          <w:rFonts w:eastAsia="Times New Roman"/>
          <w:color w:val="191C1F"/>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191C1F"/>
          <w:sz w:val="20"/>
          <w:szCs w:val="20"/>
        </w:rPr>
        <w:t xml:space="preserve">To deliver </w:t>
      </w:r>
      <w:r>
        <w:rPr>
          <w:rFonts w:eastAsia="Times New Roman"/>
          <w:color w:val="191C1F"/>
          <w:sz w:val="20"/>
          <w:szCs w:val="20"/>
        </w:rPr>
        <w:t>on our short-term and long-term mission and strategy, we are focused on the following main initiatives in 2020</w:t>
      </w:r>
      <w:r>
        <w:rPr>
          <w:rFonts w:eastAsia="Times New Roman"/>
          <w:color w:val="191C1F"/>
          <w:sz w:val="20"/>
          <w:szCs w:val="20"/>
        </w:rPr>
        <w:t>:</w:t>
      </w:r>
    </w:p>
    <w:p w:rsidR="00000000" w:rsidRDefault="000A7020">
      <w:pPr>
        <w:jc w:val="both"/>
        <w:rPr>
          <w:rFonts w:eastAsia="Times New Roman"/>
        </w:rPr>
      </w:pPr>
    </w:p>
    <w:p w:rsidR="00000000" w:rsidRDefault="000A7020">
      <w:pPr>
        <w:ind w:hanging="360"/>
        <w:jc w:val="both"/>
        <w:rPr>
          <w:rFonts w:eastAsia="Times New Roman"/>
        </w:rPr>
      </w:pPr>
      <w:r>
        <w:rPr>
          <w:rFonts w:eastAsia="Times New Roman"/>
          <w:color w:val="000000"/>
          <w:sz w:val="20"/>
          <w:szCs w:val="20"/>
        </w:rPr>
        <w:t>•</w:t>
      </w:r>
      <w:r>
        <w:rPr>
          <w:rFonts w:eastAsia="Times New Roman"/>
          <w:i/>
          <w:iCs/>
          <w:color w:val="191C1F"/>
          <w:sz w:val="20"/>
          <w:szCs w:val="20"/>
        </w:rPr>
        <w:t>Customer Car</w:t>
      </w:r>
      <w:r>
        <w:rPr>
          <w:rFonts w:eastAsia="Times New Roman"/>
          <w:i/>
          <w:iCs/>
          <w:color w:val="191C1F"/>
          <w:sz w:val="20"/>
          <w:szCs w:val="20"/>
        </w:rPr>
        <w:t>e</w:t>
      </w:r>
      <w:r>
        <w:rPr>
          <w:rFonts w:eastAsia="Times New Roman"/>
          <w:color w:val="191C1F"/>
          <w:sz w:val="20"/>
          <w:szCs w:val="20"/>
        </w:rPr>
        <w:t xml:space="preserve"> - Support our customers to continue operations in a safe manner and enable them to transform their operations rapidly to meet c</w:t>
      </w:r>
      <w:r>
        <w:rPr>
          <w:rFonts w:eastAsia="Times New Roman"/>
          <w:color w:val="191C1F"/>
          <w:sz w:val="20"/>
          <w:szCs w:val="20"/>
        </w:rPr>
        <w:t>onsumer needs and emerging industry or government programs in the COVID-19 environment; improve the customer experience and execution of new product introductions</w:t>
      </w:r>
      <w:r>
        <w:rPr>
          <w:rFonts w:eastAsia="Times New Roman"/>
          <w:color w:val="191C1F"/>
          <w:sz w:val="20"/>
          <w:szCs w:val="20"/>
        </w:rPr>
        <w:t>;</w:t>
      </w:r>
    </w:p>
    <w:p w:rsidR="00000000" w:rsidRDefault="000A7020">
      <w:pPr>
        <w:jc w:val="both"/>
        <w:rPr>
          <w:rFonts w:eastAsia="Times New Roman"/>
        </w:rPr>
      </w:pPr>
    </w:p>
    <w:p w:rsidR="00000000" w:rsidRDefault="000A7020">
      <w:pPr>
        <w:ind w:hanging="360"/>
        <w:jc w:val="both"/>
        <w:rPr>
          <w:rFonts w:eastAsia="Times New Roman"/>
        </w:rPr>
      </w:pPr>
      <w:r>
        <w:rPr>
          <w:rFonts w:eastAsia="Times New Roman"/>
          <w:color w:val="000000"/>
          <w:sz w:val="20"/>
          <w:szCs w:val="20"/>
        </w:rPr>
        <w:t>•</w:t>
      </w:r>
      <w:r>
        <w:rPr>
          <w:rFonts w:eastAsia="Times New Roman"/>
          <w:i/>
          <w:iCs/>
          <w:color w:val="191C1F"/>
          <w:sz w:val="20"/>
          <w:szCs w:val="20"/>
        </w:rPr>
        <w:t>Business Continuity Plan</w:t>
      </w:r>
      <w:r>
        <w:rPr>
          <w:rFonts w:eastAsia="Times New Roman"/>
          <w:i/>
          <w:iCs/>
          <w:color w:val="191C1F"/>
          <w:sz w:val="20"/>
          <w:szCs w:val="20"/>
        </w:rPr>
        <w:t>s</w:t>
      </w:r>
      <w:r>
        <w:rPr>
          <w:rFonts w:eastAsia="Times New Roman"/>
          <w:color w:val="191C1F"/>
          <w:sz w:val="20"/>
          <w:szCs w:val="20"/>
        </w:rPr>
        <w:t xml:space="preserve"> -</w:t>
      </w:r>
      <w:r>
        <w:rPr>
          <w:rFonts w:eastAsia="Times New Roman"/>
          <w:color w:val="191C1F"/>
          <w:sz w:val="20"/>
          <w:szCs w:val="20"/>
        </w:rPr>
        <w:t xml:space="preserve"> </w:t>
      </w:r>
      <w:r>
        <w:rPr>
          <w:rFonts w:eastAsia="Times New Roman"/>
          <w:color w:val="000000"/>
          <w:sz w:val="20"/>
          <w:szCs w:val="20"/>
        </w:rPr>
        <w:t>Manage our business through the COVID-19</w:t>
      </w:r>
      <w:r>
        <w:rPr>
          <w:rFonts w:eastAsia="Times New Roman"/>
          <w:color w:val="000000"/>
          <w:sz w:val="20"/>
          <w:szCs w:val="20"/>
        </w:rPr>
        <w:t xml:space="preserve"> </w:t>
      </w:r>
      <w:r>
        <w:rPr>
          <w:rFonts w:eastAsia="Times New Roman"/>
          <w:color w:val="191C1F"/>
          <w:sz w:val="20"/>
          <w:szCs w:val="20"/>
        </w:rPr>
        <w:t>pandemic by focusing</w:t>
      </w:r>
      <w:r>
        <w:rPr>
          <w:rFonts w:eastAsia="Times New Roman"/>
          <w:color w:val="191C1F"/>
          <w:sz w:val="20"/>
          <w:szCs w:val="20"/>
        </w:rPr>
        <w:t xml:space="preserve"> on business continuity plans,</w:t>
      </w:r>
      <w:r>
        <w:rPr>
          <w:rFonts w:eastAsia="Times New Roman"/>
          <w:color w:val="191C1F"/>
          <w:sz w:val="20"/>
          <w:szCs w:val="20"/>
        </w:rPr>
        <w:t xml:space="preserve"> </w:t>
      </w:r>
      <w:r>
        <w:rPr>
          <w:rFonts w:eastAsia="Times New Roman"/>
          <w:color w:val="000000"/>
          <w:sz w:val="20"/>
          <w:szCs w:val="20"/>
        </w:rPr>
        <w:t>reducing our planned capital expenditures,</w:t>
      </w:r>
      <w:r>
        <w:rPr>
          <w:rFonts w:eastAsia="Times New Roman"/>
          <w:color w:val="000000"/>
          <w:sz w:val="20"/>
          <w:szCs w:val="20"/>
        </w:rPr>
        <w:t xml:space="preserve"> </w:t>
      </w:r>
      <w:r>
        <w:rPr>
          <w:rFonts w:eastAsia="Times New Roman"/>
          <w:color w:val="191C1F"/>
          <w:sz w:val="20"/>
          <w:szCs w:val="20"/>
        </w:rPr>
        <w:t>improving our liquidity and increasing our financial flexibility to position our business, in the long-term, to accelerate profitable top-line revenue growth by investing in and shif</w:t>
      </w:r>
      <w:r>
        <w:rPr>
          <w:rFonts w:eastAsia="Times New Roman"/>
          <w:color w:val="191C1F"/>
          <w:sz w:val="20"/>
          <w:szCs w:val="20"/>
        </w:rPr>
        <w:t>ting our revenue mix to recurring software and services revenue streams we identify as strategic growth platforms, while improving the Company’s cost structure</w:t>
      </w:r>
      <w:r>
        <w:rPr>
          <w:rFonts w:eastAsia="Times New Roman"/>
          <w:color w:val="191C1F"/>
          <w:sz w:val="20"/>
          <w:szCs w:val="20"/>
        </w:rPr>
        <w:t>;</w:t>
      </w:r>
    </w:p>
    <w:p w:rsidR="00000000" w:rsidRDefault="000A7020">
      <w:pPr>
        <w:jc w:val="both"/>
        <w:rPr>
          <w:rFonts w:eastAsia="Times New Roman"/>
        </w:rPr>
      </w:pPr>
    </w:p>
    <w:p w:rsidR="00000000" w:rsidRDefault="000A7020">
      <w:pPr>
        <w:ind w:hanging="360"/>
        <w:jc w:val="both"/>
        <w:rPr>
          <w:rFonts w:eastAsia="Times New Roman"/>
        </w:rPr>
      </w:pPr>
      <w:r>
        <w:rPr>
          <w:rFonts w:eastAsia="Times New Roman"/>
          <w:color w:val="000000"/>
          <w:sz w:val="20"/>
          <w:szCs w:val="20"/>
        </w:rPr>
        <w:t>•</w:t>
      </w:r>
      <w:r>
        <w:rPr>
          <w:rFonts w:eastAsia="Times New Roman"/>
          <w:i/>
          <w:iCs/>
          <w:color w:val="191C1F"/>
          <w:sz w:val="20"/>
          <w:szCs w:val="20"/>
        </w:rPr>
        <w:t>Strategic Growth Platforms and Targeted Acquisitions</w:t>
      </w:r>
      <w:r>
        <w:rPr>
          <w:rFonts w:eastAsia="Times New Roman"/>
          <w:i/>
          <w:iCs/>
          <w:color w:val="191C1F"/>
          <w:sz w:val="20"/>
          <w:szCs w:val="20"/>
        </w:rPr>
        <w:t xml:space="preserve"> </w:t>
      </w:r>
      <w:r>
        <w:rPr>
          <w:rFonts w:eastAsia="Times New Roman"/>
          <w:color w:val="191C1F"/>
          <w:sz w:val="20"/>
          <w:szCs w:val="20"/>
        </w:rPr>
        <w:t>- Increase capital expenditures in stra</w:t>
      </w:r>
      <w:r>
        <w:rPr>
          <w:rFonts w:eastAsia="Times New Roman"/>
          <w:color w:val="191C1F"/>
          <w:sz w:val="20"/>
          <w:szCs w:val="20"/>
        </w:rPr>
        <w:t>tegic growth platforms and targeted acquisitions to gain solutions that drive the highest growth and return on investment and accelerate our NCR-as-a-Service vision</w:t>
      </w:r>
      <w:r>
        <w:rPr>
          <w:rFonts w:eastAsia="Times New Roman"/>
          <w:color w:val="191C1F"/>
          <w:sz w:val="20"/>
          <w:szCs w:val="20"/>
        </w:rPr>
        <w:t>;</w:t>
      </w:r>
    </w:p>
    <w:p w:rsidR="00000000" w:rsidRDefault="000A7020">
      <w:pPr>
        <w:jc w:val="both"/>
        <w:rPr>
          <w:rFonts w:eastAsia="Times New Roman"/>
        </w:rPr>
      </w:pPr>
    </w:p>
    <w:p w:rsidR="00000000" w:rsidRDefault="000A7020">
      <w:pPr>
        <w:ind w:hanging="360"/>
        <w:jc w:val="both"/>
        <w:rPr>
          <w:rFonts w:eastAsia="Times New Roman"/>
        </w:rPr>
      </w:pPr>
      <w:r>
        <w:rPr>
          <w:rFonts w:eastAsia="Times New Roman"/>
          <w:color w:val="000000"/>
          <w:sz w:val="20"/>
          <w:szCs w:val="20"/>
        </w:rPr>
        <w:t>•</w:t>
      </w:r>
      <w:r>
        <w:rPr>
          <w:rFonts w:eastAsia="Times New Roman"/>
          <w:i/>
          <w:iCs/>
          <w:color w:val="191C1F"/>
          <w:sz w:val="20"/>
          <w:szCs w:val="20"/>
        </w:rPr>
        <w:t>Talen</w:t>
      </w:r>
      <w:r>
        <w:rPr>
          <w:rFonts w:eastAsia="Times New Roman"/>
          <w:i/>
          <w:iCs/>
          <w:color w:val="191C1F"/>
          <w:sz w:val="20"/>
          <w:szCs w:val="20"/>
        </w:rPr>
        <w:t>t</w:t>
      </w:r>
      <w:r>
        <w:rPr>
          <w:rFonts w:eastAsia="Times New Roman"/>
          <w:color w:val="191C1F"/>
          <w:sz w:val="20"/>
          <w:szCs w:val="20"/>
        </w:rPr>
        <w:t xml:space="preserve"> </w:t>
      </w:r>
      <w:r>
        <w:rPr>
          <w:rFonts w:eastAsia="Times New Roman"/>
          <w:i/>
          <w:iCs/>
          <w:color w:val="191C1F"/>
          <w:sz w:val="20"/>
          <w:szCs w:val="20"/>
        </w:rPr>
        <w:t>and Employee Care</w:t>
      </w:r>
      <w:r>
        <w:rPr>
          <w:rFonts w:eastAsia="Times New Roman"/>
          <w:i/>
          <w:iCs/>
          <w:color w:val="191C1F"/>
          <w:sz w:val="20"/>
          <w:szCs w:val="20"/>
        </w:rPr>
        <w:t xml:space="preserve"> </w:t>
      </w:r>
      <w:r>
        <w:rPr>
          <w:rFonts w:eastAsia="Times New Roman"/>
          <w:color w:val="191C1F"/>
          <w:sz w:val="20"/>
          <w:szCs w:val="20"/>
        </w:rPr>
        <w:t>- Implement actions to protect the health and safety of our em</w:t>
      </w:r>
      <w:r>
        <w:rPr>
          <w:rFonts w:eastAsia="Times New Roman"/>
          <w:color w:val="191C1F"/>
          <w:sz w:val="20"/>
          <w:szCs w:val="20"/>
        </w:rPr>
        <w:t>ployees and protect as many jobs as possible to enable us to retain talent, and, in the long term, to continue to develop, reward and retain talent with competitive recruiting, training and effective incentive-based compensation programs; an</w:t>
      </w:r>
      <w:r>
        <w:rPr>
          <w:rFonts w:eastAsia="Times New Roman"/>
          <w:color w:val="191C1F"/>
          <w:sz w:val="20"/>
          <w:szCs w:val="20"/>
        </w:rPr>
        <w:t>d</w:t>
      </w:r>
    </w:p>
    <w:p w:rsidR="00000000" w:rsidRDefault="000A7020">
      <w:pPr>
        <w:jc w:val="both"/>
        <w:rPr>
          <w:rFonts w:eastAsia="Times New Roman"/>
        </w:rPr>
      </w:pPr>
    </w:p>
    <w:p w:rsidR="00000000" w:rsidRDefault="000A7020">
      <w:pPr>
        <w:ind w:hanging="360"/>
        <w:jc w:val="both"/>
        <w:rPr>
          <w:rFonts w:eastAsia="Times New Roman"/>
        </w:rPr>
      </w:pPr>
      <w:r>
        <w:rPr>
          <w:rFonts w:eastAsia="Times New Roman"/>
          <w:color w:val="000000"/>
          <w:sz w:val="20"/>
          <w:szCs w:val="20"/>
        </w:rPr>
        <w:t>•</w:t>
      </w:r>
      <w:r>
        <w:rPr>
          <w:rFonts w:eastAsia="Times New Roman"/>
          <w:i/>
          <w:iCs/>
          <w:color w:val="191C1F"/>
          <w:sz w:val="20"/>
          <w:szCs w:val="20"/>
        </w:rPr>
        <w:t>Sales Enab</w:t>
      </w:r>
      <w:r>
        <w:rPr>
          <w:rFonts w:eastAsia="Times New Roman"/>
          <w:i/>
          <w:iCs/>
          <w:color w:val="191C1F"/>
          <w:sz w:val="20"/>
          <w:szCs w:val="20"/>
        </w:rPr>
        <w:t>lemen</w:t>
      </w:r>
      <w:r>
        <w:rPr>
          <w:rFonts w:eastAsia="Times New Roman"/>
          <w:i/>
          <w:iCs/>
          <w:color w:val="191C1F"/>
          <w:sz w:val="20"/>
          <w:szCs w:val="20"/>
        </w:rPr>
        <w:t>t</w:t>
      </w:r>
      <w:r>
        <w:rPr>
          <w:rFonts w:eastAsia="Times New Roman"/>
          <w:color w:val="191C1F"/>
          <w:sz w:val="20"/>
          <w:szCs w:val="20"/>
        </w:rPr>
        <w:t xml:space="preserve"> - Provide our sales force with flexibility in services and operations to meet customer needs through the COVID-19 pandemic; and provide top-performing and secure products packaged to target our desired revenue mix and drive customer delight, as well</w:t>
      </w:r>
      <w:r>
        <w:rPr>
          <w:rFonts w:eastAsia="Times New Roman"/>
          <w:color w:val="191C1F"/>
          <w:sz w:val="20"/>
          <w:szCs w:val="20"/>
        </w:rPr>
        <w:t xml:space="preserve"> as invest in appropriate training programs to enable success</w:t>
      </w:r>
      <w:r>
        <w:rPr>
          <w:rFonts w:eastAsia="Times New Roman"/>
          <w:color w:val="191C1F"/>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191C1F"/>
          <w:sz w:val="20"/>
          <w:szCs w:val="20"/>
        </w:rPr>
        <w:t>Potentially significant risks to the execution of our initiatives and achievement of our strategy include</w:t>
      </w:r>
      <w:r>
        <w:rPr>
          <w:rFonts w:eastAsia="Times New Roman"/>
          <w:color w:val="191C1F"/>
          <w:sz w:val="20"/>
          <w:szCs w:val="20"/>
        </w:rPr>
        <w:t xml:space="preserve"> </w:t>
      </w:r>
      <w:r>
        <w:rPr>
          <w:rFonts w:eastAsia="Times New Roman"/>
          <w:color w:val="000000"/>
          <w:sz w:val="20"/>
          <w:szCs w:val="20"/>
        </w:rPr>
        <w:t>the impact of the COVID-19 pandemic on our workforce, operations and financial results, including the impact on our customer’s businesses and their ab</w:t>
      </w:r>
      <w:r>
        <w:rPr>
          <w:rFonts w:eastAsia="Times New Roman"/>
          <w:color w:val="000000"/>
          <w:sz w:val="20"/>
          <w:szCs w:val="20"/>
        </w:rPr>
        <w:t>ility to pay; manufacturing disruptions, including those caused by or related to outsourced manufacturing or disruptions in our supply chain due to the COVID-19 pandemi</w:t>
      </w:r>
      <w:r>
        <w:rPr>
          <w:rFonts w:eastAsia="Times New Roman"/>
          <w:color w:val="000000"/>
          <w:sz w:val="20"/>
          <w:szCs w:val="20"/>
        </w:rPr>
        <w:t>c</w:t>
      </w:r>
      <w:r>
        <w:rPr>
          <w:rFonts w:eastAsia="Times New Roman"/>
          <w:color w:val="191C1F"/>
          <w:sz w:val="20"/>
          <w:szCs w:val="20"/>
        </w:rPr>
        <w:t>;</w:t>
      </w:r>
      <w:r>
        <w:rPr>
          <w:rFonts w:eastAsia="Times New Roman"/>
          <w:color w:val="191C1F"/>
          <w:sz w:val="20"/>
          <w:szCs w:val="20"/>
        </w:rPr>
        <w:t xml:space="preserve"> </w:t>
      </w:r>
      <w:r>
        <w:rPr>
          <w:rFonts w:eastAsia="Times New Roman"/>
          <w:color w:val="000000"/>
          <w:sz w:val="20"/>
          <w:szCs w:val="20"/>
        </w:rPr>
        <w:t>strength of demand for the products we offer or will offer in the future consistent w</w:t>
      </w:r>
      <w:r>
        <w:rPr>
          <w:rFonts w:eastAsia="Times New Roman"/>
          <w:color w:val="000000"/>
          <w:sz w:val="20"/>
          <w:szCs w:val="20"/>
        </w:rPr>
        <w:t>ith our strategy and its effect on our businesses;</w:t>
      </w:r>
      <w:r>
        <w:rPr>
          <w:rFonts w:eastAsia="Times New Roman"/>
          <w:color w:val="000000"/>
          <w:sz w:val="20"/>
          <w:szCs w:val="20"/>
        </w:rPr>
        <w:t xml:space="preserve"> </w:t>
      </w:r>
      <w:r>
        <w:rPr>
          <w:rFonts w:eastAsia="Times New Roman"/>
          <w:color w:val="191C1F"/>
          <w:sz w:val="20"/>
          <w:szCs w:val="20"/>
        </w:rPr>
        <w:t>domestic and global economic and credit conditions including, in</w:t>
      </w:r>
      <w:r>
        <w:rPr>
          <w:rFonts w:eastAsia="Times New Roman"/>
          <w:color w:val="191C1F"/>
          <w:sz w:val="20"/>
          <w:szCs w:val="20"/>
        </w:rPr>
        <w:t xml:space="preserve"> </w:t>
      </w:r>
    </w:p>
    <w:p w:rsidR="00000000" w:rsidRDefault="000A7020">
      <w:pPr>
        <w:jc w:val="center"/>
        <w:divId w:val="626931098"/>
        <w:rPr>
          <w:rFonts w:eastAsia="Times New Roman"/>
        </w:rPr>
      </w:pPr>
      <w:r>
        <w:rPr>
          <w:rFonts w:eastAsia="Times New Roman"/>
          <w:color w:val="000000"/>
          <w:sz w:val="20"/>
          <w:szCs w:val="20"/>
        </w:rPr>
        <w:t>4</w:t>
      </w:r>
      <w:r>
        <w:rPr>
          <w:rFonts w:eastAsia="Times New Roman"/>
          <w:color w:val="000000"/>
          <w:sz w:val="20"/>
          <w:szCs w:val="20"/>
        </w:rPr>
        <w:t>2</w:t>
      </w:r>
    </w:p>
    <w:p w:rsidR="00000000" w:rsidRDefault="000A7020">
      <w:pPr>
        <w:rPr>
          <w:rFonts w:eastAsia="Times New Roman"/>
        </w:rPr>
      </w:pPr>
      <w:r>
        <w:rPr>
          <w:rFonts w:eastAsia="Times New Roman"/>
        </w:rPr>
        <w:pict>
          <v:rect id="_x0000_i1067" style="width:0;height:1.5pt" o:hralign="center" o:hrstd="t" o:hr="t" fillcolor="#a0a0a0" stroked="f"/>
        </w:pict>
      </w:r>
    </w:p>
    <w:p w:rsidR="00000000" w:rsidRDefault="000A7020">
      <w:pPr>
        <w:divId w:val="1612056207"/>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rPr>
          <w:rFonts w:eastAsia="Times New Roman"/>
        </w:rPr>
      </w:pPr>
      <w:r>
        <w:rPr>
          <w:rFonts w:eastAsia="Times New Roman"/>
          <w:color w:val="191C1F"/>
          <w:sz w:val="20"/>
          <w:szCs w:val="20"/>
        </w:rPr>
        <w:t>particular, those resulting from the imposition or threat of protectionist trade policies or import or export tariffs, global and regional market conditions and spending trends in the financial services and retail industries, new tax legislation across mul</w:t>
      </w:r>
      <w:r>
        <w:rPr>
          <w:rFonts w:eastAsia="Times New Roman"/>
          <w:color w:val="191C1F"/>
          <w:sz w:val="20"/>
          <w:szCs w:val="20"/>
        </w:rPr>
        <w:t>tiple jurisdictions, modified or new global or regional trade agreements, execution of the United Kingdom's exit from the European Union, uncertainty over further potential changes in Eurozone participation and fluctuations in oil and commodity prices; the</w:t>
      </w:r>
      <w:r>
        <w:rPr>
          <w:rFonts w:eastAsia="Times New Roman"/>
          <w:color w:val="191C1F"/>
          <w:sz w:val="20"/>
          <w:szCs w:val="20"/>
        </w:rPr>
        <w:t xml:space="preserve"> transformation of our business and shift to increased software and services revenue, as well as recurring revenue; our ability to improve execution in our sales and services organizations; our ability to successfully introduce new solutions and compete in</w:t>
      </w:r>
      <w:r>
        <w:rPr>
          <w:rFonts w:eastAsia="Times New Roman"/>
          <w:color w:val="191C1F"/>
          <w:sz w:val="20"/>
          <w:szCs w:val="20"/>
        </w:rPr>
        <w:t xml:space="preserve"> the technology industry; cybersecurity risks and compliance with data privacy and protection requirements; the possibility of disruptions in or problems with our data center hosting facilities;</w:t>
      </w:r>
      <w:r>
        <w:rPr>
          <w:rFonts w:eastAsia="Times New Roman"/>
          <w:color w:val="191C1F"/>
          <w:sz w:val="20"/>
          <w:szCs w:val="20"/>
        </w:rPr>
        <w:t xml:space="preserve"> </w:t>
      </w:r>
      <w:r>
        <w:rPr>
          <w:rFonts w:eastAsia="Times New Roman"/>
          <w:color w:val="000000"/>
          <w:sz w:val="20"/>
          <w:szCs w:val="20"/>
        </w:rPr>
        <w:t>the impact of the March 2020 tornadoes in the greater Nashvil</w:t>
      </w:r>
      <w:r>
        <w:rPr>
          <w:rFonts w:eastAsia="Times New Roman"/>
          <w:color w:val="000000"/>
          <w:sz w:val="20"/>
          <w:szCs w:val="20"/>
        </w:rPr>
        <w:t>le area on an NCR Global Fulfillment Center in Mt. Juliet, Tennessee operated by a third party, including the sufficiency and effectiveness of our or our third-party logistics partner’s business continuity plans, the adequacy of our property damage and bus</w:t>
      </w:r>
      <w:r>
        <w:rPr>
          <w:rFonts w:eastAsia="Times New Roman"/>
          <w:color w:val="000000"/>
          <w:sz w:val="20"/>
          <w:szCs w:val="20"/>
        </w:rPr>
        <w:t>iness interruption insurance coverage and our ability to recover under the applicable policies;</w:t>
      </w:r>
      <w:r>
        <w:rPr>
          <w:rFonts w:eastAsia="Times New Roman"/>
          <w:color w:val="000000"/>
          <w:sz w:val="20"/>
          <w:szCs w:val="20"/>
        </w:rPr>
        <w:t xml:space="preserve"> </w:t>
      </w:r>
      <w:r>
        <w:rPr>
          <w:rFonts w:eastAsia="Times New Roman"/>
          <w:color w:val="191C1F"/>
          <w:sz w:val="20"/>
          <w:szCs w:val="20"/>
        </w:rPr>
        <w:t>defects or errors in our products; the impact of our indebtedness and its terms on our financial and operating activities; the historical seasonality of our sal</w:t>
      </w:r>
      <w:r>
        <w:rPr>
          <w:rFonts w:eastAsia="Times New Roman"/>
          <w:color w:val="191C1F"/>
          <w:sz w:val="20"/>
          <w:szCs w:val="20"/>
        </w:rPr>
        <w:t xml:space="preserve">es; tax rates and tax legislation; foreign currency fluctuations; the success of our restructuring plans and cost reduction savings initiatives; the availability and success of acquisitions, divestitures and alliances; our pension strategy and underfunded </w:t>
      </w:r>
      <w:r>
        <w:rPr>
          <w:rFonts w:eastAsia="Times New Roman"/>
          <w:color w:val="191C1F"/>
          <w:sz w:val="20"/>
          <w:szCs w:val="20"/>
        </w:rPr>
        <w:t>pension obligations; reliance on third party suppliers; the impact of the terms of our Series A Convertible Preferred Stock; our multinational operations, including in new and emerging markets; collectability difficulties in subcontracting relationships in</w:t>
      </w:r>
      <w:r>
        <w:rPr>
          <w:rFonts w:eastAsia="Times New Roman"/>
          <w:color w:val="191C1F"/>
          <w:sz w:val="20"/>
          <w:szCs w:val="20"/>
        </w:rPr>
        <w:t xml:space="preserve"> certain geographical markets; development and protection of intellectual property; workforce turnover and the ability to attract and retain skilled employees; uncertainties or delays associated with the transition of key business leaders; environmental ex</w:t>
      </w:r>
      <w:r>
        <w:rPr>
          <w:rFonts w:eastAsia="Times New Roman"/>
          <w:color w:val="191C1F"/>
          <w:sz w:val="20"/>
          <w:szCs w:val="20"/>
        </w:rPr>
        <w:t>posures from our historical and ongoing manufacturing activities; and uncertainties with regard to regulations, lawsuits, claims, and other matters across various jurisdictions</w:t>
      </w:r>
      <w:r>
        <w:rPr>
          <w:rFonts w:eastAsia="Times New Roman"/>
          <w:color w:val="191C1F"/>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i/>
          <w:iCs/>
          <w:color w:val="000000"/>
          <w:sz w:val="20"/>
          <w:szCs w:val="20"/>
        </w:rPr>
        <w:t>Impacts from the COVID-19 pandemi</w:t>
      </w:r>
      <w:r>
        <w:rPr>
          <w:rFonts w:eastAsia="Times New Roman"/>
          <w:b/>
          <w:bCs/>
          <w:i/>
          <w:iCs/>
          <w:color w:val="000000"/>
          <w:sz w:val="20"/>
          <w:szCs w:val="20"/>
        </w:rPr>
        <w:t>c</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impact of COVID-19 has grown throug</w:t>
      </w:r>
      <w:r>
        <w:rPr>
          <w:rFonts w:eastAsia="Times New Roman"/>
          <w:color w:val="000000"/>
          <w:sz w:val="20"/>
          <w:szCs w:val="20"/>
        </w:rPr>
        <w:t>hout the world, including in the United States. Governmental authorities have implemented numerous measures attempting to contain and mitigate the effects of COVID-19, including travel bans and restrictions, quarantines, shelter in place orders and shutdow</w:t>
      </w:r>
      <w:r>
        <w:rPr>
          <w:rFonts w:eastAsia="Times New Roman"/>
          <w:color w:val="000000"/>
          <w:sz w:val="20"/>
          <w:szCs w:val="20"/>
        </w:rPr>
        <w:t>ns</w:t>
      </w:r>
      <w:r>
        <w:rPr>
          <w:rFonts w:eastAsia="Times New Roman"/>
          <w:color w:val="000000"/>
          <w:sz w:val="20"/>
          <w:szCs w:val="20"/>
        </w:rPr>
        <w:t>.</w:t>
      </w:r>
    </w:p>
    <w:p w:rsidR="00000000" w:rsidRDefault="000A7020">
      <w:pPr>
        <w:jc w:val="both"/>
        <w:rPr>
          <w:rFonts w:eastAsia="Times New Roman"/>
        </w:rPr>
      </w:pPr>
      <w:r>
        <w:rPr>
          <w:rFonts w:eastAsia="Times New Roman"/>
          <w:color w:val="000000"/>
          <w:sz w:val="20"/>
          <w:szCs w:val="20"/>
        </w:rPr>
        <w:t> </w:t>
      </w:r>
    </w:p>
    <w:p w:rsidR="00000000" w:rsidRDefault="000A7020">
      <w:pPr>
        <w:jc w:val="both"/>
        <w:rPr>
          <w:rFonts w:eastAsia="Times New Roman"/>
        </w:rPr>
      </w:pPr>
      <w:r>
        <w:rPr>
          <w:rFonts w:eastAsia="Times New Roman"/>
          <w:color w:val="000000"/>
          <w:sz w:val="20"/>
          <w:szCs w:val="20"/>
        </w:rPr>
        <w:t>We continue to actively monitor the global outbreak and spread of COVID-19 and take steps to mitigate the potential risks to us posed by its spread and related circumstances and impacts. We continue to assess and update our business continuity plan i</w:t>
      </w:r>
      <w:r>
        <w:rPr>
          <w:rFonts w:eastAsia="Times New Roman"/>
          <w:color w:val="000000"/>
          <w:sz w:val="20"/>
          <w:szCs w:val="20"/>
        </w:rPr>
        <w:t>n the context of this pandemic. We have taken precautions to help keep our workforce healthy and safe, including establishing a coronavirus task force in January 2020, thermal screening procedures at our manufacturing plants and call centers and remote wor</w:t>
      </w:r>
      <w:r>
        <w:rPr>
          <w:rFonts w:eastAsia="Times New Roman"/>
          <w:color w:val="000000"/>
          <w:sz w:val="20"/>
          <w:szCs w:val="20"/>
        </w:rPr>
        <w:t>king arrangements for the vast majority of our back-office employees. We expect the pandemic to create headwinds to our customers and our business until COVID-19 is contained, consumer confidence improves and the economic conditions rebound. Although it is</w:t>
      </w:r>
      <w:r>
        <w:rPr>
          <w:rFonts w:eastAsia="Times New Roman"/>
          <w:color w:val="000000"/>
          <w:sz w:val="20"/>
          <w:szCs w:val="20"/>
        </w:rPr>
        <w:t xml:space="preserve"> difficult to project how deep and how long the COVID-19 pandemic will last, we do expect it will negatively impact our business for the remainder of 2020 and into 2021</w:t>
      </w:r>
      <w:r>
        <w:rPr>
          <w:rFonts w:eastAsia="Times New Roman"/>
          <w:color w:val="000000"/>
          <w:sz w:val="20"/>
          <w:szCs w:val="20"/>
        </w:rPr>
        <w:t>.</w:t>
      </w:r>
    </w:p>
    <w:p w:rsidR="00000000" w:rsidRDefault="000A7020">
      <w:pPr>
        <w:jc w:val="both"/>
        <w:rPr>
          <w:rFonts w:eastAsia="Times New Roman"/>
        </w:rPr>
      </w:pPr>
      <w:r>
        <w:rPr>
          <w:rFonts w:eastAsia="Times New Roman"/>
          <w:color w:val="000000"/>
          <w:sz w:val="20"/>
          <w:szCs w:val="20"/>
        </w:rPr>
        <w:t> </w:t>
      </w:r>
    </w:p>
    <w:p w:rsidR="00000000" w:rsidRDefault="000A7020">
      <w:pPr>
        <w:jc w:val="both"/>
        <w:rPr>
          <w:rFonts w:eastAsia="Times New Roman"/>
        </w:rPr>
      </w:pPr>
      <w:r>
        <w:rPr>
          <w:rFonts w:eastAsia="Times New Roman"/>
          <w:color w:val="000000"/>
          <w:sz w:val="20"/>
          <w:szCs w:val="20"/>
        </w:rPr>
        <w:t>With respect to our Banking segment, we are working with local governments to make s</w:t>
      </w:r>
      <w:r>
        <w:rPr>
          <w:rFonts w:eastAsia="Times New Roman"/>
          <w:color w:val="000000"/>
          <w:sz w:val="20"/>
          <w:szCs w:val="20"/>
        </w:rPr>
        <w:t>ure that these businesses are designated as essential critical infrastructure businesses. Although we experienced installation delays, we have not experienced any significant impact to our recurring services revenue stream. We believe our ATM break-fix ser</w:t>
      </w:r>
      <w:r>
        <w:rPr>
          <w:rFonts w:eastAsia="Times New Roman"/>
          <w:color w:val="000000"/>
          <w:sz w:val="20"/>
          <w:szCs w:val="20"/>
        </w:rPr>
        <w:t>vices, which represented the largest percentage of Banking segment revenue, has remained strong, although there can be no assurance that such operations will not be impacted in the future with higher costs or labor availability. </w:t>
      </w:r>
      <w:r>
        <w:rPr>
          <w:rFonts w:eastAsia="Times New Roman"/>
          <w:color w:val="000000"/>
          <w:sz w:val="20"/>
          <w:szCs w:val="20"/>
        </w:rPr>
        <w:t> </w:t>
      </w:r>
    </w:p>
    <w:p w:rsidR="00000000" w:rsidRDefault="000A7020">
      <w:pPr>
        <w:jc w:val="both"/>
        <w:rPr>
          <w:rFonts w:eastAsia="Times New Roman"/>
        </w:rPr>
      </w:pPr>
      <w:r>
        <w:rPr>
          <w:rFonts w:eastAsia="Times New Roman"/>
          <w:color w:val="000000"/>
          <w:sz w:val="20"/>
          <w:szCs w:val="20"/>
        </w:rPr>
        <w:t> </w:t>
      </w:r>
    </w:p>
    <w:p w:rsidR="00000000" w:rsidRDefault="000A7020">
      <w:pPr>
        <w:jc w:val="both"/>
        <w:rPr>
          <w:rFonts w:eastAsia="Times New Roman"/>
        </w:rPr>
      </w:pPr>
      <w:r>
        <w:rPr>
          <w:rFonts w:eastAsia="Times New Roman"/>
          <w:color w:val="000000"/>
          <w:sz w:val="20"/>
          <w:szCs w:val="20"/>
        </w:rPr>
        <w:t>With respect to our Ret</w:t>
      </w:r>
      <w:r>
        <w:rPr>
          <w:rFonts w:eastAsia="Times New Roman"/>
          <w:color w:val="000000"/>
          <w:sz w:val="20"/>
          <w:szCs w:val="20"/>
        </w:rPr>
        <w:t>ail segment, the food, drug and mass merchandising market, which includes grocery stores, drug stores and big box retailers, and which represented the majority of our Retail segment revenue, is currently designated as an essential critical infrastructure b</w:t>
      </w:r>
      <w:r>
        <w:rPr>
          <w:rFonts w:eastAsia="Times New Roman"/>
          <w:color w:val="000000"/>
          <w:sz w:val="20"/>
          <w:szCs w:val="20"/>
        </w:rPr>
        <w:t>usiness in many jurisdictions. We have realigned our resources to support our customers as they respond to changing consumer demand, particularly with regard to self-checkout and contactless checkout. However, customers in our department and specialty reta</w:t>
      </w:r>
      <w:r>
        <w:rPr>
          <w:rFonts w:eastAsia="Times New Roman"/>
          <w:color w:val="000000"/>
          <w:sz w:val="20"/>
          <w:szCs w:val="20"/>
        </w:rPr>
        <w:t>il market and in our small and medium business market, which is approximately 20% of our Retail segment revenue, have encountered significant adverse impacts in connection with COVID-19 as a result of temporary closures of physical stores and reduced consu</w:t>
      </w:r>
      <w:r>
        <w:rPr>
          <w:rFonts w:eastAsia="Times New Roman"/>
          <w:color w:val="000000"/>
          <w:sz w:val="20"/>
          <w:szCs w:val="20"/>
        </w:rPr>
        <w:t>mer spending</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With respect to our Hospitality segment, the quick service restaurants, which are large chains and represent the majority of the Hospitality segment revenue, have remained busy with respect to drive-through and pick up services being in dem</w:t>
      </w:r>
      <w:r>
        <w:rPr>
          <w:rFonts w:eastAsia="Times New Roman"/>
          <w:color w:val="000000"/>
          <w:sz w:val="20"/>
          <w:szCs w:val="20"/>
        </w:rPr>
        <w:t>and as many in-restaurant dining options are limited by social distancing and governmental orders. However, we do expect this market to be negatively impacted from lower new stores and less remodeling activity. For table service restaurants, which are sit-</w:t>
      </w:r>
      <w:r>
        <w:rPr>
          <w:rFonts w:eastAsia="Times New Roman"/>
          <w:color w:val="000000"/>
          <w:sz w:val="20"/>
          <w:szCs w:val="20"/>
        </w:rPr>
        <w:t xml:space="preserve">down restaurants with more than 50 locations, we expect negative impacts as a result of shelter-in-place orders. Although many of these businesses have experienced an increase in online and takeout ordering, we expect this market to be negatively impacted </w:t>
      </w:r>
      <w:r>
        <w:rPr>
          <w:rFonts w:eastAsia="Times New Roman"/>
          <w:color w:val="000000"/>
          <w:sz w:val="20"/>
          <w:szCs w:val="20"/>
        </w:rPr>
        <w:t>until consumer confidence improves once COVID-19 is contained. Customers in our small and medium business market have experienced significant working capital and adverse cash flow impacts as a result of the COVID-19 pandemic, which, similar to table servic</w:t>
      </w:r>
      <w:r>
        <w:rPr>
          <w:rFonts w:eastAsia="Times New Roman"/>
          <w:color w:val="000000"/>
          <w:sz w:val="20"/>
          <w:szCs w:val="20"/>
        </w:rPr>
        <w:t>e restaurants, is expected to continue until COVID-19 is contained and the economy begins to rebound</w:t>
      </w:r>
      <w:r>
        <w:rPr>
          <w:rFonts w:eastAsia="Times New Roman"/>
          <w:color w:val="000000"/>
          <w:sz w:val="20"/>
          <w:szCs w:val="20"/>
        </w:rPr>
        <w:t>.</w:t>
      </w:r>
    </w:p>
    <w:p w:rsidR="00000000" w:rsidRDefault="000A7020">
      <w:pPr>
        <w:jc w:val="center"/>
        <w:divId w:val="1781606231"/>
        <w:rPr>
          <w:rFonts w:eastAsia="Times New Roman"/>
        </w:rPr>
      </w:pPr>
      <w:r>
        <w:rPr>
          <w:rFonts w:eastAsia="Times New Roman"/>
          <w:color w:val="000000"/>
          <w:sz w:val="20"/>
          <w:szCs w:val="20"/>
        </w:rPr>
        <w:t>4</w:t>
      </w:r>
      <w:r>
        <w:rPr>
          <w:rFonts w:eastAsia="Times New Roman"/>
          <w:color w:val="000000"/>
          <w:sz w:val="20"/>
          <w:szCs w:val="20"/>
        </w:rPr>
        <w:t>3</w:t>
      </w:r>
    </w:p>
    <w:p w:rsidR="00000000" w:rsidRDefault="000A7020">
      <w:pPr>
        <w:rPr>
          <w:rFonts w:eastAsia="Times New Roman"/>
        </w:rPr>
      </w:pPr>
      <w:r>
        <w:rPr>
          <w:rFonts w:eastAsia="Times New Roman"/>
        </w:rPr>
        <w:pict>
          <v:rect id="_x0000_i1068" style="width:0;height:1.5pt" o:hralign="center" o:hrstd="t" o:hr="t" fillcolor="#a0a0a0" stroked="f"/>
        </w:pict>
      </w:r>
    </w:p>
    <w:p w:rsidR="00000000" w:rsidRDefault="000A7020">
      <w:pPr>
        <w:divId w:val="1068917524"/>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rPr>
          <w:rFonts w:eastAsia="Times New Roman"/>
        </w:rPr>
      </w:pPr>
      <w:r>
        <w:rPr>
          <w:rFonts w:eastAsia="Times New Roman"/>
          <w:color w:val="000000"/>
          <w:sz w:val="20"/>
          <w:szCs w:val="20"/>
        </w:rPr>
        <w:t> </w:t>
      </w:r>
    </w:p>
    <w:p w:rsidR="00000000" w:rsidRDefault="000A7020">
      <w:pPr>
        <w:jc w:val="both"/>
        <w:rPr>
          <w:rFonts w:eastAsia="Times New Roman"/>
        </w:rPr>
      </w:pPr>
      <w:r>
        <w:rPr>
          <w:rFonts w:eastAsia="Times New Roman"/>
          <w:color w:val="000000"/>
          <w:sz w:val="20"/>
          <w:szCs w:val="20"/>
        </w:rPr>
        <w:t>In order to build a stronger liquidi</w:t>
      </w:r>
      <w:r>
        <w:rPr>
          <w:rFonts w:eastAsia="Times New Roman"/>
          <w:color w:val="000000"/>
          <w:sz w:val="20"/>
          <w:szCs w:val="20"/>
        </w:rPr>
        <w:t>ty position, we have taken steps to improve working capital and are addressing certain business impacts with spending cuts. We have taken several steps to build our cash reserve to improve our financial liquidity and flexibility and provide a cushion to he</w:t>
      </w:r>
      <w:r>
        <w:rPr>
          <w:rFonts w:eastAsia="Times New Roman"/>
          <w:color w:val="000000"/>
          <w:sz w:val="20"/>
          <w:szCs w:val="20"/>
        </w:rPr>
        <w:t>lp weather the impacts of the pandemic. These steps include suspending our share repurchase programs, limiting our mergers and acquisition activity, reducing salary for members of our leadership team and certain salaried employees, reducing our planned cap</w:t>
      </w:r>
      <w:r>
        <w:rPr>
          <w:rFonts w:eastAsia="Times New Roman"/>
          <w:color w:val="000000"/>
          <w:sz w:val="20"/>
          <w:szCs w:val="20"/>
        </w:rPr>
        <w:t xml:space="preserve">ital expenditures, eliminating most contractors, curtailing travel, freezing merit increases and hiring. Additionally, on March 24, 2020, we drew the remaining available funds of $630 million on our five-year, $1.1 billion revolving credit facility and on </w:t>
      </w:r>
      <w:r>
        <w:rPr>
          <w:rFonts w:eastAsia="Times New Roman"/>
          <w:color w:val="000000"/>
          <w:sz w:val="20"/>
          <w:szCs w:val="20"/>
        </w:rPr>
        <w:t>April 13, 2020, we issued $400 million senior unsecured notes.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degree to which COVID-19 affects our financial results and operations will depend on future developments, which are highly uncertain and cannot be predicted with certainty, including, bu</w:t>
      </w:r>
      <w:r>
        <w:rPr>
          <w:rFonts w:eastAsia="Times New Roman"/>
          <w:color w:val="000000"/>
          <w:sz w:val="20"/>
          <w:szCs w:val="20"/>
        </w:rPr>
        <w:t>t not limited to, the duration and spread of the outbreak, its severity, the actions to contain the virus or treat its impact, and how quickly and to what extent normal economic and operating conditions can resume.</w:t>
      </w:r>
      <w:r>
        <w:rPr>
          <w:rFonts w:eastAsia="Times New Roman"/>
          <w:color w:val="000000"/>
          <w:sz w:val="20"/>
          <w:szCs w:val="20"/>
        </w:rPr>
        <w:t xml:space="preserve"> </w:t>
      </w:r>
    </w:p>
    <w:p w:rsidR="00000000" w:rsidRDefault="000A7020">
      <w:pPr>
        <w:jc w:val="both"/>
        <w:rPr>
          <w:rFonts w:eastAsia="Times New Roman"/>
        </w:rPr>
      </w:pPr>
    </w:p>
    <w:p w:rsidR="00000000" w:rsidRDefault="000A7020">
      <w:pPr>
        <w:divId w:val="1652367144"/>
        <w:rPr>
          <w:rFonts w:eastAsia="Times New Roman"/>
        </w:rPr>
      </w:pPr>
      <w:r>
        <w:rPr>
          <w:rFonts w:eastAsia="Times New Roman"/>
          <w:b/>
          <w:bCs/>
          <w:i/>
          <w:iCs/>
          <w:color w:val="000000"/>
          <w:sz w:val="20"/>
          <w:szCs w:val="20"/>
        </w:rPr>
        <w:t>Results from Operation</w:t>
      </w:r>
      <w:r>
        <w:rPr>
          <w:rFonts w:eastAsia="Times New Roman"/>
          <w:b/>
          <w:bCs/>
          <w:i/>
          <w:iCs/>
          <w:color w:val="000000"/>
          <w:sz w:val="20"/>
          <w:szCs w:val="20"/>
        </w:rPr>
        <w:t>s</w:t>
      </w:r>
    </w:p>
    <w:p w:rsidR="00000000" w:rsidRDefault="000A7020">
      <w:pPr>
        <w:ind w:firstLine="225"/>
        <w:divId w:val="1202283733"/>
        <w:rPr>
          <w:rFonts w:eastAsia="Times New Roman"/>
        </w:rPr>
      </w:pPr>
    </w:p>
    <w:p w:rsidR="00000000" w:rsidRDefault="000A7020">
      <w:pPr>
        <w:divId w:val="1737047672"/>
        <w:rPr>
          <w:rFonts w:eastAsia="Times New Roman"/>
        </w:rPr>
      </w:pPr>
      <w:r>
        <w:rPr>
          <w:rFonts w:eastAsia="Times New Roman"/>
          <w:b/>
          <w:bCs/>
          <w:i/>
          <w:iCs/>
          <w:color w:val="000000"/>
          <w:sz w:val="20"/>
          <w:szCs w:val="20"/>
        </w:rPr>
        <w:t>For the three and six months ended June 30, 2020 compared to the three and six months ended June 30, 2019</w:t>
      </w:r>
      <w:r>
        <w:rPr>
          <w:rFonts w:eastAsia="Times New Roman"/>
          <w:b/>
          <w:bCs/>
          <w:i/>
          <w:iCs/>
          <w:color w:val="000000"/>
          <w:sz w:val="20"/>
          <w:szCs w:val="20"/>
        </w:rPr>
        <w:t xml:space="preserve"> </w:t>
      </w:r>
    </w:p>
    <w:p w:rsidR="00000000" w:rsidRDefault="000A7020">
      <w:pPr>
        <w:divId w:val="293869416"/>
        <w:rPr>
          <w:rFonts w:eastAsia="Times New Roman"/>
        </w:rPr>
      </w:pPr>
    </w:p>
    <w:p w:rsidR="00000000" w:rsidRDefault="000A7020">
      <w:pPr>
        <w:divId w:val="1953704929"/>
        <w:rPr>
          <w:rFonts w:eastAsia="Times New Roman"/>
        </w:rPr>
      </w:pPr>
    </w:p>
    <w:p w:rsidR="00000000" w:rsidRDefault="000A7020">
      <w:pPr>
        <w:divId w:val="1724980696"/>
        <w:rPr>
          <w:rFonts w:eastAsia="Times New Roman"/>
        </w:rPr>
      </w:pPr>
      <w:r>
        <w:rPr>
          <w:rFonts w:eastAsia="Times New Roman"/>
          <w:color w:val="000000"/>
          <w:sz w:val="20"/>
          <w:szCs w:val="20"/>
        </w:rPr>
        <w:t>The following table shows our results for the three and six months ended June 30</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468"/>
        <w:gridCol w:w="39"/>
        <w:gridCol w:w="135"/>
        <w:gridCol w:w="643"/>
        <w:gridCol w:w="235"/>
        <w:gridCol w:w="36"/>
        <w:gridCol w:w="36"/>
        <w:gridCol w:w="36"/>
        <w:gridCol w:w="135"/>
        <w:gridCol w:w="633"/>
        <w:gridCol w:w="202"/>
        <w:gridCol w:w="36"/>
        <w:gridCol w:w="36"/>
        <w:gridCol w:w="36"/>
        <w:gridCol w:w="135"/>
        <w:gridCol w:w="678"/>
        <w:gridCol w:w="235"/>
        <w:gridCol w:w="36"/>
        <w:gridCol w:w="36"/>
        <w:gridCol w:w="36"/>
        <w:gridCol w:w="135"/>
        <w:gridCol w:w="635"/>
        <w:gridCol w:w="202"/>
        <w:gridCol w:w="36"/>
        <w:gridCol w:w="36"/>
        <w:gridCol w:w="36"/>
        <w:gridCol w:w="36"/>
        <w:gridCol w:w="36"/>
        <w:gridCol w:w="36"/>
        <w:gridCol w:w="36"/>
        <w:gridCol w:w="36"/>
        <w:gridCol w:w="36"/>
        <w:gridCol w:w="36"/>
        <w:gridCol w:w="36"/>
        <w:gridCol w:w="36"/>
      </w:tblGrid>
      <w:tr w:rsidR="00000000">
        <w:trPr>
          <w:gridAfter w:val="12"/>
          <w:divId w:val="1403258919"/>
          <w:jc w:val="center"/>
        </w:trPr>
        <w:tc>
          <w:tcPr>
            <w:tcW w:w="50" w:type="pct"/>
            <w:vAlign w:val="center"/>
            <w:hideMark/>
          </w:tcPr>
          <w:p w:rsidR="00000000" w:rsidRDefault="000A7020">
            <w:pPr>
              <w:rPr>
                <w:rFonts w:eastAsia="Times New Roman"/>
              </w:rPr>
            </w:pPr>
          </w:p>
        </w:tc>
        <w:tc>
          <w:tcPr>
            <w:tcW w:w="229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1"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7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1"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403258919"/>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403258919"/>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03258919"/>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1,484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2,987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03258919"/>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Gross margi</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372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769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03258919"/>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Gross margin as a percentage of revenu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25.1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25.7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03258919"/>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Operating expense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03258919"/>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      </w:t>
            </w:r>
            <w:r>
              <w:rPr>
                <w:rFonts w:eastAsia="Times New Roman"/>
                <w:color w:val="000000"/>
                <w:sz w:val="20"/>
                <w:szCs w:val="20"/>
              </w:rPr>
              <w:t>Selling, general and administrative expense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234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489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03258919"/>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      Research and development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114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403258919"/>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Income from operation</w:t>
            </w:r>
            <w:r>
              <w:rPr>
                <w:rFonts w:eastAsia="Times New Roman"/>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166</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divId w:val="1442719529"/>
        <w:rPr>
          <w:rFonts w:eastAsia="Times New Roman"/>
        </w:rPr>
      </w:pPr>
    </w:p>
    <w:p w:rsidR="00000000" w:rsidRDefault="000A7020">
      <w:pPr>
        <w:divId w:val="1657296059"/>
        <w:rPr>
          <w:rFonts w:eastAsia="Times New Roman"/>
        </w:rPr>
      </w:pPr>
      <w:r>
        <w:rPr>
          <w:rFonts w:eastAsia="Times New Roman"/>
          <w:color w:val="000000"/>
          <w:sz w:val="20"/>
          <w:szCs w:val="20"/>
        </w:rPr>
        <w:t>The following table shows our revenue by geography for the three months ended June 30</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70"/>
        <w:gridCol w:w="2933"/>
        <w:gridCol w:w="71"/>
        <w:gridCol w:w="135"/>
        <w:gridCol w:w="660"/>
        <w:gridCol w:w="85"/>
        <w:gridCol w:w="71"/>
        <w:gridCol w:w="660"/>
        <w:gridCol w:w="71"/>
        <w:gridCol w:w="36"/>
        <w:gridCol w:w="36"/>
        <w:gridCol w:w="36"/>
        <w:gridCol w:w="135"/>
        <w:gridCol w:w="655"/>
        <w:gridCol w:w="85"/>
        <w:gridCol w:w="71"/>
        <w:gridCol w:w="660"/>
        <w:gridCol w:w="71"/>
        <w:gridCol w:w="36"/>
        <w:gridCol w:w="36"/>
        <w:gridCol w:w="36"/>
        <w:gridCol w:w="76"/>
        <w:gridCol w:w="653"/>
        <w:gridCol w:w="75"/>
        <w:gridCol w:w="74"/>
        <w:gridCol w:w="681"/>
        <w:gridCol w:w="73"/>
      </w:tblGrid>
      <w:tr w:rsidR="00000000">
        <w:trPr>
          <w:divId w:val="1442610344"/>
          <w:jc w:val="center"/>
        </w:trPr>
        <w:tc>
          <w:tcPr>
            <w:tcW w:w="50" w:type="pct"/>
            <w:vAlign w:val="center"/>
            <w:hideMark/>
          </w:tcPr>
          <w:p w:rsidR="00000000" w:rsidRDefault="000A7020">
            <w:pPr>
              <w:rPr>
                <w:rFonts w:eastAsia="Times New Roman"/>
              </w:rPr>
            </w:pPr>
          </w:p>
        </w:tc>
        <w:tc>
          <w:tcPr>
            <w:tcW w:w="17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2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442610344"/>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of 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of 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Increase (Decrease</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Increase (Decrease) Constant Currency</w:t>
            </w:r>
            <w:r>
              <w:rPr>
                <w:rFonts w:eastAsia="Times New Roman"/>
                <w:b/>
                <w:bCs/>
                <w:color w:val="000000"/>
                <w:sz w:val="16"/>
                <w:szCs w:val="16"/>
              </w:rPr>
              <w:t xml:space="preserve"> </w:t>
            </w:r>
            <w:r>
              <w:rPr>
                <w:rFonts w:eastAsia="Times New Roman"/>
                <w:b/>
                <w:bCs/>
                <w:color w:val="000000"/>
                <w:sz w:val="10"/>
                <w:szCs w:val="10"/>
                <w:vertAlign w:val="superscript"/>
              </w:rPr>
              <w:t>(1)</w:t>
            </w:r>
          </w:p>
        </w:tc>
      </w:tr>
      <w:tr w:rsidR="00000000">
        <w:trPr>
          <w:divId w:val="1442610344"/>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America</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886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60</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60</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r>
      <w:tr w:rsidR="00000000">
        <w:trPr>
          <w:divId w:val="1442610344"/>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Europe, Middle East and Africa (EMEA</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407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27</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27</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(8)</w:t>
            </w:r>
            <w:r>
              <w:rPr>
                <w:rFonts w:eastAsia="Times New Roman"/>
                <w:color w:val="000000"/>
                <w:sz w:val="20"/>
                <w:szCs w:val="20"/>
              </w:rPr>
              <w:t>%</w:t>
            </w:r>
          </w:p>
        </w:tc>
      </w:tr>
      <w:tr w:rsidR="00000000">
        <w:trPr>
          <w:divId w:val="1442610344"/>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Asia Pacific (APJ</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191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13</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(15)</w:t>
            </w:r>
            <w:r>
              <w:rPr>
                <w:rFonts w:eastAsia="Times New Roman"/>
                <w:color w:val="000000"/>
                <w:sz w:val="20"/>
                <w:szCs w:val="20"/>
              </w:rPr>
              <w:t>%</w:t>
            </w:r>
          </w:p>
        </w:tc>
      </w:tr>
      <w:tr w:rsidR="00000000">
        <w:trPr>
          <w:divId w:val="1442610344"/>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Consolidated revenu</w:t>
            </w:r>
            <w:r>
              <w:rPr>
                <w:rFonts w:eastAsia="Times New Roman"/>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1,484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100</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100</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(12)</w:t>
            </w:r>
            <w:r>
              <w:rPr>
                <w:rFonts w:eastAsia="Times New Roman"/>
                <w:color w:val="000000"/>
                <w:sz w:val="20"/>
                <w:szCs w:val="20"/>
              </w:rPr>
              <w:t>%</w:t>
            </w:r>
          </w:p>
        </w:tc>
      </w:tr>
    </w:tbl>
    <w:p w:rsidR="00000000" w:rsidRDefault="000A7020">
      <w:pPr>
        <w:jc w:val="center"/>
        <w:rPr>
          <w:rFonts w:eastAsia="Times New Roman"/>
        </w:rPr>
      </w:pPr>
    </w:p>
    <w:p w:rsidR="00000000" w:rsidRDefault="000A7020">
      <w:pPr>
        <w:divId w:val="1945532864"/>
        <w:rPr>
          <w:rFonts w:eastAsia="Times New Roman"/>
        </w:rPr>
      </w:pPr>
      <w:r>
        <w:rPr>
          <w:rFonts w:eastAsia="Times New Roman"/>
          <w:color w:val="000000"/>
          <w:sz w:val="20"/>
          <w:szCs w:val="20"/>
        </w:rPr>
        <w:t>The following table shows our revenue by geography for the six months ended June 30</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70"/>
        <w:gridCol w:w="2933"/>
        <w:gridCol w:w="71"/>
        <w:gridCol w:w="135"/>
        <w:gridCol w:w="660"/>
        <w:gridCol w:w="85"/>
        <w:gridCol w:w="71"/>
        <w:gridCol w:w="660"/>
        <w:gridCol w:w="71"/>
        <w:gridCol w:w="36"/>
        <w:gridCol w:w="36"/>
        <w:gridCol w:w="36"/>
        <w:gridCol w:w="135"/>
        <w:gridCol w:w="655"/>
        <w:gridCol w:w="85"/>
        <w:gridCol w:w="71"/>
        <w:gridCol w:w="660"/>
        <w:gridCol w:w="71"/>
        <w:gridCol w:w="36"/>
        <w:gridCol w:w="36"/>
        <w:gridCol w:w="36"/>
        <w:gridCol w:w="76"/>
        <w:gridCol w:w="653"/>
        <w:gridCol w:w="75"/>
        <w:gridCol w:w="74"/>
        <w:gridCol w:w="681"/>
        <w:gridCol w:w="73"/>
      </w:tblGrid>
      <w:tr w:rsidR="00000000">
        <w:trPr>
          <w:divId w:val="1267498408"/>
          <w:jc w:val="center"/>
        </w:trPr>
        <w:tc>
          <w:tcPr>
            <w:tcW w:w="50" w:type="pct"/>
            <w:vAlign w:val="center"/>
            <w:hideMark/>
          </w:tcPr>
          <w:p w:rsidR="00000000" w:rsidRDefault="000A7020">
            <w:pPr>
              <w:rPr>
                <w:rFonts w:eastAsia="Times New Roman"/>
              </w:rPr>
            </w:pPr>
          </w:p>
        </w:tc>
        <w:tc>
          <w:tcPr>
            <w:tcW w:w="17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2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267498408"/>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of 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of 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Increase (Decrease</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Increase (Decrease) Constant Currency</w:t>
            </w:r>
            <w:r>
              <w:rPr>
                <w:rFonts w:eastAsia="Times New Roman"/>
                <w:b/>
                <w:bCs/>
                <w:color w:val="000000"/>
                <w:sz w:val="16"/>
                <w:szCs w:val="16"/>
              </w:rPr>
              <w:t xml:space="preserve"> </w:t>
            </w:r>
            <w:r>
              <w:rPr>
                <w:rFonts w:eastAsia="Times New Roman"/>
                <w:b/>
                <w:bCs/>
                <w:color w:val="000000"/>
                <w:sz w:val="10"/>
                <w:szCs w:val="10"/>
                <w:vertAlign w:val="superscript"/>
              </w:rPr>
              <w:t>(1)</w:t>
            </w:r>
          </w:p>
        </w:tc>
      </w:tr>
      <w:tr w:rsidR="00000000">
        <w:trPr>
          <w:divId w:val="126749840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America</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1,778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60</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1,949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60</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(9)</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(8)</w:t>
            </w:r>
            <w:r>
              <w:rPr>
                <w:rFonts w:eastAsia="Times New Roman"/>
                <w:color w:val="000000"/>
                <w:sz w:val="20"/>
                <w:szCs w:val="20"/>
              </w:rPr>
              <w:t>%</w:t>
            </w:r>
          </w:p>
        </w:tc>
      </w:tr>
      <w:tr w:rsidR="00000000">
        <w:trPr>
          <w:divId w:val="126749840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Europe, Middle East and Africa (EMEA</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810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27</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27</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(7)</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(5)</w:t>
            </w:r>
            <w:r>
              <w:rPr>
                <w:rFonts w:eastAsia="Times New Roman"/>
                <w:color w:val="000000"/>
                <w:sz w:val="20"/>
                <w:szCs w:val="20"/>
              </w:rPr>
              <w:t>%</w:t>
            </w:r>
          </w:p>
        </w:tc>
      </w:tr>
      <w:tr w:rsidR="00000000">
        <w:trPr>
          <w:divId w:val="126749840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Asia Pacific (APJ</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399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13</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(6)</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(4)</w:t>
            </w:r>
            <w:r>
              <w:rPr>
                <w:rFonts w:eastAsia="Times New Roman"/>
                <w:color w:val="000000"/>
                <w:sz w:val="20"/>
                <w:szCs w:val="20"/>
              </w:rPr>
              <w:t>%</w:t>
            </w:r>
          </w:p>
        </w:tc>
      </w:tr>
      <w:tr w:rsidR="00000000">
        <w:trPr>
          <w:divId w:val="126749840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Consolidated revenu</w:t>
            </w:r>
            <w:r>
              <w:rPr>
                <w:rFonts w:eastAsia="Times New Roman"/>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2,987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100</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100</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(8)</w:t>
            </w: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(7)</w:t>
            </w:r>
            <w:r>
              <w:rPr>
                <w:rFonts w:eastAsia="Times New Roman"/>
                <w:color w:val="000000"/>
                <w:sz w:val="20"/>
                <w:szCs w:val="20"/>
              </w:rPr>
              <w:t>%</w:t>
            </w:r>
          </w:p>
        </w:tc>
      </w:tr>
    </w:tbl>
    <w:p w:rsidR="00000000" w:rsidRDefault="000A7020">
      <w:pPr>
        <w:jc w:val="center"/>
        <w:rPr>
          <w:rFonts w:eastAsia="Times New Roman"/>
        </w:rPr>
      </w:pPr>
    </w:p>
    <w:p w:rsidR="00000000" w:rsidRDefault="000A7020">
      <w:pPr>
        <w:divId w:val="869999561"/>
        <w:rPr>
          <w:rFonts w:eastAsia="Times New Roman"/>
        </w:rPr>
      </w:pPr>
      <w:r>
        <w:rPr>
          <w:rFonts w:eastAsia="Times New Roman"/>
          <w:color w:val="000000"/>
          <w:sz w:val="20"/>
          <w:szCs w:val="20"/>
        </w:rPr>
        <w:t>The following table shows our revenue by segment for the three months ended June 30</w:t>
      </w:r>
      <w:r>
        <w:rPr>
          <w:rFonts w:eastAsia="Times New Roman"/>
          <w:color w:val="000000"/>
          <w:sz w:val="20"/>
          <w:szCs w:val="20"/>
        </w:rPr>
        <w:t>:</w:t>
      </w:r>
    </w:p>
    <w:p w:rsidR="00000000" w:rsidRDefault="000A7020">
      <w:pPr>
        <w:jc w:val="center"/>
        <w:divId w:val="1728994564"/>
        <w:rPr>
          <w:rFonts w:eastAsia="Times New Roman"/>
        </w:rPr>
      </w:pPr>
      <w:r>
        <w:rPr>
          <w:rFonts w:eastAsia="Times New Roman"/>
          <w:color w:val="000000"/>
          <w:sz w:val="20"/>
          <w:szCs w:val="20"/>
        </w:rPr>
        <w:t>4</w:t>
      </w:r>
      <w:r>
        <w:rPr>
          <w:rFonts w:eastAsia="Times New Roman"/>
          <w:color w:val="000000"/>
          <w:sz w:val="20"/>
          <w:szCs w:val="20"/>
        </w:rPr>
        <w:t>4</w:t>
      </w:r>
    </w:p>
    <w:p w:rsidR="00000000" w:rsidRDefault="000A7020">
      <w:pPr>
        <w:rPr>
          <w:rFonts w:eastAsia="Times New Roman"/>
        </w:rPr>
      </w:pPr>
      <w:r>
        <w:rPr>
          <w:rFonts w:eastAsia="Times New Roman"/>
        </w:rPr>
        <w:pict>
          <v:rect id="_x0000_i1069" style="width:0;height:1.5pt" o:hralign="center" o:hrstd="t" o:hr="t" fillcolor="#a0a0a0" stroked="f"/>
        </w:pict>
      </w:r>
    </w:p>
    <w:p w:rsidR="00000000" w:rsidRDefault="000A7020">
      <w:pPr>
        <w:divId w:val="1729184240"/>
        <w:rPr>
          <w:rFonts w:eastAsia="Times New Roman"/>
        </w:rPr>
      </w:pPr>
      <w:hyperlink w:anchor="ic0df5956a4b14938a5c94b8fe25f3429_7" w:history="1">
        <w:r>
          <w:rPr>
            <w:rStyle w:val="a3"/>
            <w:rFonts w:eastAsia="Times New Roman"/>
            <w:sz w:val="16"/>
            <w:szCs w:val="16"/>
          </w:rPr>
          <w:t>Table of Contents</w:t>
        </w:r>
      </w:hyperlink>
    </w:p>
    <w:tbl>
      <w:tblPr>
        <w:tblW w:w="4970" w:type="pct"/>
        <w:jc w:val="center"/>
        <w:tblCellMar>
          <w:top w:w="15" w:type="dxa"/>
          <w:left w:w="15" w:type="dxa"/>
          <w:bottom w:w="15" w:type="dxa"/>
          <w:right w:w="15" w:type="dxa"/>
        </w:tblCellMar>
        <w:tblLook w:val="04A0" w:firstRow="1" w:lastRow="0" w:firstColumn="1" w:lastColumn="0" w:noHBand="0" w:noVBand="1"/>
      </w:tblPr>
      <w:tblGrid>
        <w:gridCol w:w="70"/>
        <w:gridCol w:w="2931"/>
        <w:gridCol w:w="71"/>
        <w:gridCol w:w="135"/>
        <w:gridCol w:w="660"/>
        <w:gridCol w:w="85"/>
        <w:gridCol w:w="71"/>
        <w:gridCol w:w="660"/>
        <w:gridCol w:w="71"/>
        <w:gridCol w:w="36"/>
        <w:gridCol w:w="36"/>
        <w:gridCol w:w="36"/>
        <w:gridCol w:w="135"/>
        <w:gridCol w:w="655"/>
        <w:gridCol w:w="85"/>
        <w:gridCol w:w="71"/>
        <w:gridCol w:w="660"/>
        <w:gridCol w:w="72"/>
        <w:gridCol w:w="36"/>
        <w:gridCol w:w="36"/>
        <w:gridCol w:w="36"/>
        <w:gridCol w:w="75"/>
        <w:gridCol w:w="654"/>
        <w:gridCol w:w="74"/>
        <w:gridCol w:w="75"/>
        <w:gridCol w:w="656"/>
        <w:gridCol w:w="74"/>
      </w:tblGrid>
      <w:tr w:rsidR="00000000">
        <w:trPr>
          <w:divId w:val="33771165"/>
          <w:jc w:val="center"/>
        </w:trPr>
        <w:tc>
          <w:tcPr>
            <w:tcW w:w="50" w:type="pct"/>
            <w:vAlign w:val="center"/>
            <w:hideMark/>
          </w:tcPr>
          <w:p w:rsidR="00000000" w:rsidRDefault="000A7020">
            <w:pPr>
              <w:rPr>
                <w:rFonts w:eastAsia="Times New Roman"/>
              </w:rPr>
            </w:pPr>
          </w:p>
        </w:tc>
        <w:tc>
          <w:tcPr>
            <w:tcW w:w="178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33771165"/>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of 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of 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Increase (Decrease</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Increase (Decrease) Constant Currency</w:t>
            </w:r>
            <w:r>
              <w:rPr>
                <w:rFonts w:eastAsia="Times New Roman"/>
                <w:b/>
                <w:bCs/>
                <w:color w:val="000000"/>
                <w:sz w:val="16"/>
                <w:szCs w:val="16"/>
              </w:rPr>
              <w:t xml:space="preserve"> </w:t>
            </w:r>
            <w:r>
              <w:rPr>
                <w:rFonts w:eastAsia="Times New Roman"/>
                <w:b/>
                <w:bCs/>
                <w:color w:val="000000"/>
                <w:sz w:val="10"/>
                <w:szCs w:val="10"/>
                <w:vertAlign w:val="superscript"/>
              </w:rPr>
              <w:t>(1)</w:t>
            </w:r>
          </w:p>
        </w:tc>
      </w:tr>
      <w:tr w:rsidR="00000000">
        <w:trPr>
          <w:divId w:val="33771165"/>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Bankin</w:t>
            </w:r>
            <w:r>
              <w:rPr>
                <w:rFonts w:eastAsia="Times New Roman"/>
                <w:color w:val="000000"/>
                <w:sz w:val="20"/>
                <w:szCs w:val="20"/>
              </w:rPr>
              <w:t>g</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763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51</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51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(11)</w:t>
            </w:r>
            <w:r>
              <w:rPr>
                <w:rFonts w:eastAsia="Times New Roman"/>
                <w:color w:val="000000"/>
                <w:sz w:val="20"/>
                <w:szCs w:val="20"/>
              </w:rPr>
              <w:t>%</w:t>
            </w:r>
          </w:p>
        </w:tc>
      </w:tr>
      <w:tr w:rsidR="00000000">
        <w:trPr>
          <w:divId w:val="33771165"/>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Retai</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483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33</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r>
      <w:tr w:rsidR="00000000">
        <w:trPr>
          <w:divId w:val="33771165"/>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Hospitalit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11</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(21)</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(20)</w:t>
            </w:r>
            <w:r>
              <w:rPr>
                <w:rFonts w:eastAsia="Times New Roman"/>
                <w:color w:val="000000"/>
                <w:sz w:val="20"/>
                <w:szCs w:val="20"/>
              </w:rPr>
              <w:t>%</w:t>
            </w:r>
          </w:p>
        </w:tc>
      </w:tr>
      <w:tr w:rsidR="00000000">
        <w:trPr>
          <w:divId w:val="33771165"/>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5</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5</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(5)</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w:t>
            </w:r>
            <w:r>
              <w:rPr>
                <w:rFonts w:eastAsia="Times New Roman"/>
                <w:color w:val="000000"/>
                <w:sz w:val="20"/>
                <w:szCs w:val="20"/>
              </w:rPr>
              <w:t>%</w:t>
            </w:r>
          </w:p>
        </w:tc>
      </w:tr>
      <w:tr w:rsidR="00000000">
        <w:trPr>
          <w:divId w:val="33771165"/>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Consolidated revenu</w:t>
            </w:r>
            <w:r>
              <w:rPr>
                <w:rFonts w:eastAsia="Times New Roman"/>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1,484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100</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100</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(12)</w:t>
            </w:r>
            <w:r>
              <w:rPr>
                <w:rFonts w:eastAsia="Times New Roman"/>
                <w:color w:val="000000"/>
                <w:sz w:val="20"/>
                <w:szCs w:val="20"/>
              </w:rPr>
              <w:t>%</w:t>
            </w:r>
          </w:p>
        </w:tc>
      </w:tr>
    </w:tbl>
    <w:p w:rsidR="00000000" w:rsidRDefault="000A7020">
      <w:pPr>
        <w:jc w:val="center"/>
        <w:rPr>
          <w:rFonts w:eastAsia="Times New Roman"/>
        </w:rPr>
      </w:pPr>
    </w:p>
    <w:p w:rsidR="00000000" w:rsidRDefault="000A7020">
      <w:pPr>
        <w:divId w:val="53892035"/>
        <w:rPr>
          <w:rFonts w:eastAsia="Times New Roman"/>
        </w:rPr>
      </w:pPr>
      <w:r>
        <w:rPr>
          <w:rFonts w:eastAsia="Times New Roman"/>
          <w:color w:val="000000"/>
          <w:sz w:val="20"/>
          <w:szCs w:val="20"/>
        </w:rPr>
        <w:t>The following table shows our revenue by segment for the six months ended June 30</w:t>
      </w:r>
      <w:r>
        <w:rPr>
          <w:rFonts w:eastAsia="Times New Roman"/>
          <w:color w:val="000000"/>
          <w:sz w:val="20"/>
          <w:szCs w:val="20"/>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70"/>
        <w:gridCol w:w="2931"/>
        <w:gridCol w:w="71"/>
        <w:gridCol w:w="135"/>
        <w:gridCol w:w="660"/>
        <w:gridCol w:w="85"/>
        <w:gridCol w:w="71"/>
        <w:gridCol w:w="660"/>
        <w:gridCol w:w="71"/>
        <w:gridCol w:w="36"/>
        <w:gridCol w:w="36"/>
        <w:gridCol w:w="36"/>
        <w:gridCol w:w="135"/>
        <w:gridCol w:w="655"/>
        <w:gridCol w:w="85"/>
        <w:gridCol w:w="71"/>
        <w:gridCol w:w="660"/>
        <w:gridCol w:w="72"/>
        <w:gridCol w:w="36"/>
        <w:gridCol w:w="36"/>
        <w:gridCol w:w="36"/>
        <w:gridCol w:w="75"/>
        <w:gridCol w:w="654"/>
        <w:gridCol w:w="74"/>
        <w:gridCol w:w="75"/>
        <w:gridCol w:w="656"/>
        <w:gridCol w:w="74"/>
      </w:tblGrid>
      <w:tr w:rsidR="00000000">
        <w:trPr>
          <w:divId w:val="396781571"/>
          <w:jc w:val="center"/>
        </w:trPr>
        <w:tc>
          <w:tcPr>
            <w:tcW w:w="50" w:type="pct"/>
            <w:vAlign w:val="center"/>
            <w:hideMark/>
          </w:tcPr>
          <w:p w:rsidR="00000000" w:rsidRDefault="000A7020">
            <w:pPr>
              <w:rPr>
                <w:rFonts w:eastAsia="Times New Roman"/>
              </w:rPr>
            </w:pPr>
          </w:p>
        </w:tc>
        <w:tc>
          <w:tcPr>
            <w:tcW w:w="178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0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396781571"/>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of 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of 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Increase (Decrease</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 Increase (Decrease) Constant Currency</w:t>
            </w:r>
            <w:r>
              <w:rPr>
                <w:rFonts w:eastAsia="Times New Roman"/>
                <w:b/>
                <w:bCs/>
                <w:color w:val="000000"/>
                <w:sz w:val="16"/>
                <w:szCs w:val="16"/>
              </w:rPr>
              <w:t xml:space="preserve"> </w:t>
            </w:r>
            <w:r>
              <w:rPr>
                <w:rFonts w:eastAsia="Times New Roman"/>
                <w:b/>
                <w:bCs/>
                <w:color w:val="000000"/>
                <w:sz w:val="10"/>
                <w:szCs w:val="10"/>
                <w:vertAlign w:val="superscript"/>
              </w:rPr>
              <w:t>(1)</w:t>
            </w:r>
          </w:p>
        </w:tc>
      </w:tr>
      <w:tr w:rsidR="00000000">
        <w:trPr>
          <w:divId w:val="396781571"/>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Bankin</w:t>
            </w:r>
            <w:r>
              <w:rPr>
                <w:rFonts w:eastAsia="Times New Roman"/>
                <w:color w:val="000000"/>
                <w:sz w:val="20"/>
                <w:szCs w:val="20"/>
              </w:rPr>
              <w:t>g</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1,526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51</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1,626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50</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(6)</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(5)</w:t>
            </w:r>
            <w:r>
              <w:rPr>
                <w:rFonts w:eastAsia="Times New Roman"/>
                <w:color w:val="000000"/>
                <w:sz w:val="20"/>
                <w:szCs w:val="20"/>
              </w:rPr>
              <w:t>%</w:t>
            </w:r>
          </w:p>
        </w:tc>
      </w:tr>
      <w:tr w:rsidR="00000000">
        <w:trPr>
          <w:divId w:val="396781571"/>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Retai</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955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32</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33</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(10)</w:t>
            </w:r>
            <w:r>
              <w:rPr>
                <w:rFonts w:eastAsia="Times New Roman"/>
                <w:color w:val="000000"/>
                <w:sz w:val="20"/>
                <w:szCs w:val="20"/>
              </w:rPr>
              <w:t>%</w:t>
            </w:r>
          </w:p>
        </w:tc>
      </w:tr>
      <w:tr w:rsidR="00000000">
        <w:trPr>
          <w:divId w:val="396781571"/>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Hospitalit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329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11</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(16)</w:t>
            </w:r>
            <w:r>
              <w:rPr>
                <w:rFonts w:eastAsia="Times New Roman"/>
                <w:color w:val="000000"/>
                <w:sz w:val="20"/>
                <w:szCs w:val="20"/>
              </w:rPr>
              <w:t>%</w:t>
            </w:r>
          </w:p>
        </w:tc>
      </w:tr>
      <w:tr w:rsidR="00000000">
        <w:trPr>
          <w:divId w:val="396781571"/>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6</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5</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15</w:t>
            </w:r>
            <w:r>
              <w:rPr>
                <w:rFonts w:eastAsia="Times New Roman"/>
                <w:color w:val="000000"/>
                <w:sz w:val="20"/>
                <w:szCs w:val="20"/>
              </w:rPr>
              <w:t>%</w:t>
            </w:r>
          </w:p>
        </w:tc>
      </w:tr>
      <w:tr w:rsidR="00000000">
        <w:trPr>
          <w:divId w:val="396781571"/>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Consolidated revenu</w:t>
            </w:r>
            <w:r>
              <w:rPr>
                <w:rFonts w:eastAsia="Times New Roman"/>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2,987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20"/>
                <w:szCs w:val="20"/>
              </w:rPr>
              <w:t>100</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3,246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100</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(8)</w:t>
            </w: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(7)</w:t>
            </w:r>
            <w:r>
              <w:rPr>
                <w:rFonts w:eastAsia="Times New Roman"/>
                <w:color w:val="000000"/>
                <w:sz w:val="20"/>
                <w:szCs w:val="20"/>
              </w:rPr>
              <w:t>%</w:t>
            </w:r>
          </w:p>
        </w:tc>
      </w:tr>
    </w:tbl>
    <w:p w:rsidR="00000000" w:rsidRDefault="000A7020">
      <w:pPr>
        <w:jc w:val="center"/>
        <w:rPr>
          <w:rFonts w:eastAsia="Times New Roman"/>
        </w:rPr>
      </w:pPr>
    </w:p>
    <w:p w:rsidR="00000000" w:rsidRDefault="000A7020">
      <w:pPr>
        <w:jc w:val="both"/>
        <w:divId w:val="1529561734"/>
        <w:rPr>
          <w:rFonts w:eastAsia="Times New Roman"/>
        </w:rPr>
      </w:pPr>
      <w:r>
        <w:rPr>
          <w:rFonts w:eastAsia="Times New Roman"/>
          <w:color w:val="000000"/>
          <w:sz w:val="13"/>
          <w:szCs w:val="13"/>
          <w:vertAlign w:val="superscript"/>
        </w:rPr>
        <w:t>(1)</w:t>
      </w:r>
      <w:r>
        <w:rPr>
          <w:rFonts w:eastAsia="Times New Roman"/>
          <w:color w:val="000000"/>
          <w:sz w:val="13"/>
          <w:szCs w:val="13"/>
          <w:vertAlign w:val="superscript"/>
        </w:rPr>
        <w:t xml:space="preserve"> </w:t>
      </w:r>
      <w:r>
        <w:rPr>
          <w:rFonts w:eastAsia="Times New Roman"/>
          <w:color w:val="000000"/>
          <w:sz w:val="20"/>
          <w:szCs w:val="20"/>
        </w:rPr>
        <w:t>The tables above for the three and six months ended June 30 are presented with period-over-period revenue growth or declines on a constant currency basis. Constant currency is a non-GAAP measure that excludes the effects of foreign currency fluctuations. W</w:t>
      </w:r>
      <w:r>
        <w:rPr>
          <w:rFonts w:eastAsia="Times New Roman"/>
          <w:color w:val="000000"/>
          <w:sz w:val="20"/>
          <w:szCs w:val="20"/>
        </w:rPr>
        <w:t>e calculate this information by translating prior period revenue growth at current period monthly average exchange rates. We believe that examining period-over-period revenue growth or decline excluding foreign currency fluctuations is useful for assessing</w:t>
      </w:r>
      <w:r>
        <w:rPr>
          <w:rFonts w:eastAsia="Times New Roman"/>
          <w:color w:val="000000"/>
          <w:sz w:val="20"/>
          <w:szCs w:val="20"/>
        </w:rPr>
        <w:t xml:space="preserve"> the underlying performance of our business, and our management uses revenue growth adjusted for constant currency to evaluate period-over-period operating performance. This non-GAAP measure should not be considered a substitute for, or superior to, period</w:t>
      </w:r>
      <w:r>
        <w:rPr>
          <w:rFonts w:eastAsia="Times New Roman"/>
          <w:color w:val="000000"/>
          <w:sz w:val="20"/>
          <w:szCs w:val="20"/>
        </w:rPr>
        <w:t>-over-period revenue growth under GAAP</w:t>
      </w:r>
      <w:r>
        <w:rPr>
          <w:rFonts w:eastAsia="Times New Roman"/>
          <w:color w:val="000000"/>
          <w:sz w:val="20"/>
          <w:szCs w:val="20"/>
        </w:rPr>
        <w:t>.</w:t>
      </w:r>
    </w:p>
    <w:p w:rsidR="00000000" w:rsidRDefault="000A7020">
      <w:pPr>
        <w:jc w:val="both"/>
        <w:divId w:val="544953862"/>
        <w:rPr>
          <w:rFonts w:eastAsia="Times New Roman"/>
        </w:rPr>
      </w:pPr>
      <w:r>
        <w:rPr>
          <w:rFonts w:eastAsia="Times New Roman"/>
          <w:color w:val="000000"/>
          <w:sz w:val="20"/>
          <w:szCs w:val="20"/>
        </w:rPr>
        <w:t>The following table provides a reconciliation of geographic revenue percentage growth (GAAP) to revenue percentage growth constant currency (non-GAAP) for the three months ended June 30, 2020</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78"/>
        <w:gridCol w:w="5319"/>
        <w:gridCol w:w="78"/>
        <w:gridCol w:w="79"/>
        <w:gridCol w:w="764"/>
        <w:gridCol w:w="79"/>
        <w:gridCol w:w="87"/>
        <w:gridCol w:w="801"/>
        <w:gridCol w:w="86"/>
        <w:gridCol w:w="79"/>
        <w:gridCol w:w="764"/>
        <w:gridCol w:w="79"/>
      </w:tblGrid>
      <w:tr w:rsidR="00000000">
        <w:trPr>
          <w:divId w:val="1451362790"/>
        </w:trPr>
        <w:tc>
          <w:tcPr>
            <w:tcW w:w="50" w:type="pct"/>
            <w:vAlign w:val="center"/>
            <w:hideMark/>
          </w:tcPr>
          <w:p w:rsidR="00000000" w:rsidRDefault="000A7020">
            <w:pPr>
              <w:jc w:val="both"/>
              <w:rPr>
                <w:rFonts w:eastAsia="Times New Roman"/>
              </w:rPr>
            </w:pPr>
          </w:p>
        </w:tc>
        <w:tc>
          <w:tcPr>
            <w:tcW w:w="320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6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6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6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451362790"/>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145136279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Revenue % Growth (GAAP</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Favorable (unfavorable) FX impac</w:t>
            </w:r>
            <w:r>
              <w:rPr>
                <w:rFonts w:eastAsia="Times New Roman"/>
                <w:b/>
                <w:bCs/>
                <w:color w:val="000000"/>
                <w:sz w:val="16"/>
                <w:szCs w:val="16"/>
              </w:rPr>
              <w:t>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Revenue % Growth Constant Currency (non-GAAP</w:t>
            </w:r>
            <w:r>
              <w:rPr>
                <w:rFonts w:eastAsia="Times New Roman"/>
                <w:b/>
                <w:bCs/>
                <w:color w:val="000000"/>
                <w:sz w:val="16"/>
                <w:szCs w:val="16"/>
              </w:rPr>
              <w:t>)</w:t>
            </w:r>
          </w:p>
        </w:tc>
      </w:tr>
      <w:tr w:rsidR="00000000">
        <w:trPr>
          <w:divId w:val="1451362790"/>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America</w:t>
            </w:r>
            <w:r>
              <w:rPr>
                <w:rFonts w:eastAsia="Times New Roman"/>
                <w:color w:val="000000"/>
                <w:sz w:val="20"/>
                <w:szCs w:val="20"/>
              </w:rPr>
              <w: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r>
      <w:tr w:rsidR="00000000">
        <w:trPr>
          <w:divId w:val="1451362790"/>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EME</w:t>
            </w:r>
            <w:r>
              <w:rPr>
                <w:rFonts w:eastAsia="Times New Roman"/>
                <w:color w:val="000000"/>
                <w:sz w:val="20"/>
                <w:szCs w:val="20"/>
              </w:rPr>
              <w:t>A</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(8)</w:t>
            </w:r>
            <w:r>
              <w:rPr>
                <w:rFonts w:eastAsia="Times New Roman"/>
                <w:color w:val="000000"/>
                <w:sz w:val="20"/>
                <w:szCs w:val="20"/>
              </w:rPr>
              <w:t>%</w:t>
            </w:r>
          </w:p>
        </w:tc>
      </w:tr>
      <w:tr w:rsidR="00000000">
        <w:trPr>
          <w:divId w:val="1451362790"/>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AP</w:t>
            </w:r>
            <w:r>
              <w:rPr>
                <w:rFonts w:eastAsia="Times New Roman"/>
                <w:color w:val="000000"/>
                <w:sz w:val="20"/>
                <w:szCs w:val="20"/>
              </w:rPr>
              <w:t>J</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(15)</w:t>
            </w:r>
            <w:r>
              <w:rPr>
                <w:rFonts w:eastAsia="Times New Roman"/>
                <w:color w:val="000000"/>
                <w:sz w:val="20"/>
                <w:szCs w:val="20"/>
              </w:rPr>
              <w:t>%</w:t>
            </w:r>
          </w:p>
        </w:tc>
      </w:tr>
      <w:tr w:rsidR="00000000">
        <w:trPr>
          <w:divId w:val="1451362790"/>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Consolidated revenu</w:t>
            </w:r>
            <w:r>
              <w:rPr>
                <w:rFonts w:eastAsia="Times New Roman"/>
                <w:color w:val="000000"/>
                <w:sz w:val="20"/>
                <w:szCs w:val="20"/>
              </w:rPr>
              <w:t>e</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(12)</w:t>
            </w:r>
            <w:r>
              <w:rPr>
                <w:rFonts w:eastAsia="Times New Roman"/>
                <w:color w:val="000000"/>
                <w:sz w:val="20"/>
                <w:szCs w:val="20"/>
              </w:rPr>
              <w:t>%</w:t>
            </w:r>
          </w:p>
        </w:tc>
      </w:tr>
    </w:tbl>
    <w:p w:rsidR="00000000" w:rsidRDefault="000A7020">
      <w:pPr>
        <w:jc w:val="both"/>
        <w:divId w:val="1490975714"/>
        <w:rPr>
          <w:rFonts w:eastAsia="Times New Roman"/>
        </w:rPr>
      </w:pPr>
      <w:r>
        <w:rPr>
          <w:rFonts w:eastAsia="Times New Roman"/>
          <w:color w:val="000000"/>
          <w:sz w:val="20"/>
          <w:szCs w:val="20"/>
        </w:rPr>
        <w:t>The following table provides a reconciliation of geographic revenue percentage growth (GAAP) to revenue percentage growth constant currency (non-GAAP) for the six months ended June 30, 2020</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78"/>
        <w:gridCol w:w="5319"/>
        <w:gridCol w:w="78"/>
        <w:gridCol w:w="79"/>
        <w:gridCol w:w="764"/>
        <w:gridCol w:w="79"/>
        <w:gridCol w:w="87"/>
        <w:gridCol w:w="801"/>
        <w:gridCol w:w="86"/>
        <w:gridCol w:w="79"/>
        <w:gridCol w:w="764"/>
        <w:gridCol w:w="79"/>
      </w:tblGrid>
      <w:tr w:rsidR="00000000">
        <w:trPr>
          <w:divId w:val="240525117"/>
        </w:trPr>
        <w:tc>
          <w:tcPr>
            <w:tcW w:w="50" w:type="pct"/>
            <w:vAlign w:val="center"/>
            <w:hideMark/>
          </w:tcPr>
          <w:p w:rsidR="00000000" w:rsidRDefault="000A7020">
            <w:pPr>
              <w:jc w:val="both"/>
              <w:rPr>
                <w:rFonts w:eastAsia="Times New Roman"/>
              </w:rPr>
            </w:pPr>
          </w:p>
        </w:tc>
        <w:tc>
          <w:tcPr>
            <w:tcW w:w="320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6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6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6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240525117"/>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240525117"/>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Revenue % Growth (GAAP</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Favorable (unfavorable) FX impac</w:t>
            </w:r>
            <w:r>
              <w:rPr>
                <w:rFonts w:eastAsia="Times New Roman"/>
                <w:b/>
                <w:bCs/>
                <w:color w:val="000000"/>
                <w:sz w:val="16"/>
                <w:szCs w:val="16"/>
              </w:rPr>
              <w:t>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Revenue % Growth Constant Currency (non-GAAP</w:t>
            </w:r>
            <w:r>
              <w:rPr>
                <w:rFonts w:eastAsia="Times New Roman"/>
                <w:b/>
                <w:bCs/>
                <w:color w:val="000000"/>
                <w:sz w:val="16"/>
                <w:szCs w:val="16"/>
              </w:rPr>
              <w:t>)</w:t>
            </w:r>
          </w:p>
        </w:tc>
      </w:tr>
      <w:tr w:rsidR="00000000">
        <w:trPr>
          <w:divId w:val="240525117"/>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America</w:t>
            </w:r>
            <w:r>
              <w:rPr>
                <w:rFonts w:eastAsia="Times New Roman"/>
                <w:color w:val="000000"/>
                <w:sz w:val="20"/>
                <w:szCs w:val="20"/>
              </w:rPr>
              <w: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(9)</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(8)</w:t>
            </w:r>
            <w:r>
              <w:rPr>
                <w:rFonts w:eastAsia="Times New Roman"/>
                <w:color w:val="000000"/>
                <w:sz w:val="20"/>
                <w:szCs w:val="20"/>
              </w:rPr>
              <w:t>%</w:t>
            </w:r>
          </w:p>
        </w:tc>
      </w:tr>
      <w:tr w:rsidR="00000000">
        <w:trPr>
          <w:divId w:val="240525117"/>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EME</w:t>
            </w:r>
            <w:r>
              <w:rPr>
                <w:rFonts w:eastAsia="Times New Roman"/>
                <w:color w:val="000000"/>
                <w:sz w:val="20"/>
                <w:szCs w:val="20"/>
              </w:rPr>
              <w:t>A</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(7)</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(5)</w:t>
            </w:r>
            <w:r>
              <w:rPr>
                <w:rFonts w:eastAsia="Times New Roman"/>
                <w:color w:val="000000"/>
                <w:sz w:val="20"/>
                <w:szCs w:val="20"/>
              </w:rPr>
              <w:t>%</w:t>
            </w:r>
          </w:p>
        </w:tc>
      </w:tr>
      <w:tr w:rsidR="00000000">
        <w:trPr>
          <w:divId w:val="240525117"/>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AP</w:t>
            </w:r>
            <w:r>
              <w:rPr>
                <w:rFonts w:eastAsia="Times New Roman"/>
                <w:color w:val="000000"/>
                <w:sz w:val="20"/>
                <w:szCs w:val="20"/>
              </w:rPr>
              <w:t>J</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(6)</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(4)</w:t>
            </w:r>
            <w:r>
              <w:rPr>
                <w:rFonts w:eastAsia="Times New Roman"/>
                <w:color w:val="000000"/>
                <w:sz w:val="20"/>
                <w:szCs w:val="20"/>
              </w:rPr>
              <w:t>%</w:t>
            </w:r>
          </w:p>
        </w:tc>
      </w:tr>
      <w:tr w:rsidR="00000000">
        <w:trPr>
          <w:divId w:val="240525117"/>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Consolidated revenu</w:t>
            </w:r>
            <w:r>
              <w:rPr>
                <w:rFonts w:eastAsia="Times New Roman"/>
                <w:color w:val="000000"/>
                <w:sz w:val="20"/>
                <w:szCs w:val="20"/>
              </w:rPr>
              <w:t>e</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(8)</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(7)</w:t>
            </w:r>
            <w:r>
              <w:rPr>
                <w:rFonts w:eastAsia="Times New Roman"/>
                <w:color w:val="000000"/>
                <w:sz w:val="20"/>
                <w:szCs w:val="20"/>
              </w:rPr>
              <w:t>%</w:t>
            </w:r>
          </w:p>
        </w:tc>
      </w:tr>
    </w:tbl>
    <w:p w:rsidR="00000000" w:rsidRDefault="000A7020">
      <w:pPr>
        <w:divId w:val="1789355087"/>
        <w:rPr>
          <w:rFonts w:eastAsia="Times New Roman"/>
        </w:rPr>
      </w:pPr>
      <w:r>
        <w:rPr>
          <w:rFonts w:eastAsia="Times New Roman"/>
          <w:color w:val="000000"/>
          <w:sz w:val="20"/>
          <w:szCs w:val="20"/>
        </w:rPr>
        <w:t>The following table provides a reconciliation of segment revenue percentage growth (GAAP) to revenue percentage growth constant currency (non-GAAP) for the three months ended June 30, 2020</w:t>
      </w:r>
      <w:r>
        <w:rPr>
          <w:rFonts w:eastAsia="Times New Roman"/>
          <w:color w:val="000000"/>
          <w:sz w:val="20"/>
          <w:szCs w:val="20"/>
        </w:rPr>
        <w:t>:</w:t>
      </w:r>
    </w:p>
    <w:p w:rsidR="00000000" w:rsidRDefault="000A7020">
      <w:pPr>
        <w:jc w:val="center"/>
        <w:divId w:val="1208568188"/>
        <w:rPr>
          <w:rFonts w:eastAsia="Times New Roman"/>
        </w:rPr>
      </w:pPr>
      <w:r>
        <w:rPr>
          <w:rFonts w:eastAsia="Times New Roman"/>
          <w:color w:val="000000"/>
          <w:sz w:val="20"/>
          <w:szCs w:val="20"/>
        </w:rPr>
        <w:t>4</w:t>
      </w:r>
      <w:r>
        <w:rPr>
          <w:rFonts w:eastAsia="Times New Roman"/>
          <w:color w:val="000000"/>
          <w:sz w:val="20"/>
          <w:szCs w:val="20"/>
        </w:rPr>
        <w:t>5</w:t>
      </w:r>
    </w:p>
    <w:p w:rsidR="00000000" w:rsidRDefault="000A7020">
      <w:pPr>
        <w:rPr>
          <w:rFonts w:eastAsia="Times New Roman"/>
        </w:rPr>
      </w:pPr>
      <w:r>
        <w:rPr>
          <w:rFonts w:eastAsia="Times New Roman"/>
        </w:rPr>
        <w:pict>
          <v:rect id="_x0000_i1070" style="width:0;height:1.5pt" o:hralign="center" o:hrstd="t" o:hr="t" fillcolor="#a0a0a0" stroked="f"/>
        </w:pict>
      </w:r>
    </w:p>
    <w:p w:rsidR="00000000" w:rsidRDefault="000A7020">
      <w:pPr>
        <w:divId w:val="84764504"/>
        <w:rPr>
          <w:rFonts w:eastAsia="Times New Roman"/>
        </w:rPr>
      </w:pPr>
      <w:hyperlink w:anchor="ic0df5956a4b14938a5c94b8fe25f3429_7"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81"/>
        <w:gridCol w:w="5266"/>
        <w:gridCol w:w="81"/>
        <w:gridCol w:w="81"/>
        <w:gridCol w:w="789"/>
        <w:gridCol w:w="81"/>
        <w:gridCol w:w="85"/>
        <w:gridCol w:w="805"/>
        <w:gridCol w:w="84"/>
        <w:gridCol w:w="81"/>
        <w:gridCol w:w="790"/>
        <w:gridCol w:w="82"/>
      </w:tblGrid>
      <w:tr w:rsidR="00000000">
        <w:trPr>
          <w:divId w:val="913127809"/>
          <w:jc w:val="center"/>
        </w:trPr>
        <w:tc>
          <w:tcPr>
            <w:tcW w:w="50" w:type="pct"/>
            <w:vAlign w:val="center"/>
            <w:hideMark/>
          </w:tcPr>
          <w:p w:rsidR="00000000" w:rsidRDefault="000A7020">
            <w:pPr>
              <w:rPr>
                <w:rFonts w:eastAsia="Times New Roman"/>
              </w:rPr>
            </w:pPr>
          </w:p>
        </w:tc>
        <w:tc>
          <w:tcPr>
            <w:tcW w:w="317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913127809"/>
          <w:jc w:val="center"/>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913127809"/>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Revenue % Growth (GAAP</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Favorable (unfavorable) FX impac</w:t>
            </w:r>
            <w:r>
              <w:rPr>
                <w:rFonts w:eastAsia="Times New Roman"/>
                <w:b/>
                <w:bCs/>
                <w:color w:val="000000"/>
                <w:sz w:val="16"/>
                <w:szCs w:val="16"/>
              </w:rPr>
              <w:t>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Revenue % Growth Constant Currency (non-GAAP</w:t>
            </w:r>
            <w:r>
              <w:rPr>
                <w:rFonts w:eastAsia="Times New Roman"/>
                <w:b/>
                <w:bCs/>
                <w:color w:val="000000"/>
                <w:sz w:val="16"/>
                <w:szCs w:val="16"/>
              </w:rPr>
              <w:t>)</w:t>
            </w:r>
          </w:p>
        </w:tc>
      </w:tr>
      <w:tr w:rsidR="00000000">
        <w:trPr>
          <w:divId w:val="913127809"/>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Bankin</w:t>
            </w:r>
            <w:r>
              <w:rPr>
                <w:rFonts w:eastAsia="Times New Roman"/>
                <w:color w:val="000000"/>
                <w:sz w:val="20"/>
                <w:szCs w:val="20"/>
              </w:rPr>
              <w:t>g</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(11)</w:t>
            </w:r>
            <w:r>
              <w:rPr>
                <w:rFonts w:eastAsia="Times New Roman"/>
                <w:color w:val="000000"/>
                <w:sz w:val="20"/>
                <w:szCs w:val="20"/>
              </w:rPr>
              <w:t>%</w:t>
            </w:r>
          </w:p>
        </w:tc>
      </w:tr>
      <w:tr w:rsidR="00000000">
        <w:trPr>
          <w:divId w:val="913127809"/>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Retai</w:t>
            </w:r>
            <w:r>
              <w:rPr>
                <w:rFonts w:eastAsia="Times New Roman"/>
                <w:color w:val="000000"/>
                <w:sz w:val="20"/>
                <w:szCs w:val="20"/>
              </w:rPr>
              <w:t>l</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r>
      <w:tr w:rsidR="00000000">
        <w:trPr>
          <w:divId w:val="913127809"/>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Hospitalit</w:t>
            </w:r>
            <w:r>
              <w:rPr>
                <w:rFonts w:eastAsia="Times New Roman"/>
                <w:color w:val="000000"/>
                <w:sz w:val="20"/>
                <w:szCs w:val="20"/>
              </w:rPr>
              <w:t>y</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(21)</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(20)</w:t>
            </w:r>
            <w:r>
              <w:rPr>
                <w:rFonts w:eastAsia="Times New Roman"/>
                <w:color w:val="000000"/>
                <w:sz w:val="20"/>
                <w:szCs w:val="20"/>
              </w:rPr>
              <w:t>%</w:t>
            </w:r>
          </w:p>
        </w:tc>
      </w:tr>
      <w:tr w:rsidR="00000000">
        <w:trPr>
          <w:divId w:val="913127809"/>
          <w:jc w:val="center"/>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(5)</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(3)</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w:t>
            </w:r>
            <w:r>
              <w:rPr>
                <w:rFonts w:eastAsia="Times New Roman"/>
                <w:color w:val="000000"/>
                <w:sz w:val="20"/>
                <w:szCs w:val="20"/>
              </w:rPr>
              <w:t>%</w:t>
            </w:r>
          </w:p>
        </w:tc>
      </w:tr>
      <w:tr w:rsidR="00000000">
        <w:trPr>
          <w:divId w:val="913127809"/>
          <w:jc w:val="center"/>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Consolidated revenu</w:t>
            </w:r>
            <w:r>
              <w:rPr>
                <w:rFonts w:eastAsia="Times New Roman"/>
                <w:color w:val="000000"/>
                <w:sz w:val="20"/>
                <w:szCs w:val="20"/>
              </w:rPr>
              <w:t>e</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(12)</w:t>
            </w:r>
            <w:r>
              <w:rPr>
                <w:rFonts w:eastAsia="Times New Roman"/>
                <w:color w:val="000000"/>
                <w:sz w:val="20"/>
                <w:szCs w:val="20"/>
              </w:rPr>
              <w:t>%</w:t>
            </w:r>
          </w:p>
        </w:tc>
      </w:tr>
    </w:tbl>
    <w:p w:rsidR="00000000" w:rsidRDefault="000A7020">
      <w:pPr>
        <w:jc w:val="center"/>
        <w:rPr>
          <w:rFonts w:eastAsia="Times New Roman"/>
        </w:rPr>
      </w:pPr>
    </w:p>
    <w:p w:rsidR="00000000" w:rsidRDefault="000A7020">
      <w:pPr>
        <w:divId w:val="625963695"/>
        <w:rPr>
          <w:rFonts w:eastAsia="Times New Roman"/>
        </w:rPr>
      </w:pPr>
      <w:r>
        <w:rPr>
          <w:rFonts w:eastAsia="Times New Roman"/>
          <w:color w:val="000000"/>
          <w:sz w:val="20"/>
          <w:szCs w:val="20"/>
        </w:rPr>
        <w:t>The following table provides a reconciliation of segment revenue percentage growth (GAAP) to revenue percentage growth constant currency (non-GAAP) for the six months ended June 30, 2020</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1"/>
        <w:gridCol w:w="5266"/>
        <w:gridCol w:w="81"/>
        <w:gridCol w:w="81"/>
        <w:gridCol w:w="789"/>
        <w:gridCol w:w="81"/>
        <w:gridCol w:w="85"/>
        <w:gridCol w:w="805"/>
        <w:gridCol w:w="84"/>
        <w:gridCol w:w="81"/>
        <w:gridCol w:w="790"/>
        <w:gridCol w:w="82"/>
      </w:tblGrid>
      <w:tr w:rsidR="00000000">
        <w:trPr>
          <w:divId w:val="41177952"/>
        </w:trPr>
        <w:tc>
          <w:tcPr>
            <w:tcW w:w="50" w:type="pct"/>
            <w:vAlign w:val="center"/>
            <w:hideMark/>
          </w:tcPr>
          <w:p w:rsidR="00000000" w:rsidRDefault="000A7020">
            <w:pPr>
              <w:rPr>
                <w:rFonts w:eastAsia="Times New Roman"/>
              </w:rPr>
            </w:pPr>
          </w:p>
        </w:tc>
        <w:tc>
          <w:tcPr>
            <w:tcW w:w="317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76"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41177952"/>
        </w:trPr>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r>
      <w:tr w:rsidR="00000000">
        <w:trPr>
          <w:divId w:val="41177952"/>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Revenue % Growth (GAAP</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Favorable (unfavorable) FX impac</w:t>
            </w:r>
            <w:r>
              <w:rPr>
                <w:rFonts w:eastAsia="Times New Roman"/>
                <w:b/>
                <w:bCs/>
                <w:color w:val="000000"/>
                <w:sz w:val="16"/>
                <w:szCs w:val="16"/>
              </w:rPr>
              <w:t>t</w:t>
            </w:r>
          </w:p>
        </w:tc>
        <w:tc>
          <w:tcPr>
            <w:tcW w:w="0" w:type="auto"/>
            <w:gridSpan w:val="3"/>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Revenue % Growth Constant Currency (non-GAAP</w:t>
            </w:r>
            <w:r>
              <w:rPr>
                <w:rFonts w:eastAsia="Times New Roman"/>
                <w:b/>
                <w:bCs/>
                <w:color w:val="000000"/>
                <w:sz w:val="16"/>
                <w:szCs w:val="16"/>
              </w:rPr>
              <w:t>)</w:t>
            </w:r>
          </w:p>
        </w:tc>
      </w:tr>
      <w:tr w:rsidR="00000000">
        <w:trPr>
          <w:divId w:val="41177952"/>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Bankin</w:t>
            </w:r>
            <w:r>
              <w:rPr>
                <w:rFonts w:eastAsia="Times New Roman"/>
                <w:color w:val="000000"/>
                <w:sz w:val="20"/>
                <w:szCs w:val="20"/>
              </w:rPr>
              <w:t>g</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(6)</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(5)</w:t>
            </w:r>
            <w:r>
              <w:rPr>
                <w:rFonts w:eastAsia="Times New Roman"/>
                <w:color w:val="000000"/>
                <w:sz w:val="20"/>
                <w:szCs w:val="20"/>
              </w:rPr>
              <w:t>%</w:t>
            </w:r>
          </w:p>
        </w:tc>
      </w:tr>
      <w:tr w:rsidR="00000000">
        <w:trPr>
          <w:divId w:val="41177952"/>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Retai</w:t>
            </w:r>
            <w:r>
              <w:rPr>
                <w:rFonts w:eastAsia="Times New Roman"/>
                <w:color w:val="000000"/>
                <w:sz w:val="20"/>
                <w:szCs w:val="20"/>
              </w:rPr>
              <w:t>l</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(10)</w:t>
            </w:r>
            <w:r>
              <w:rPr>
                <w:rFonts w:eastAsia="Times New Roman"/>
                <w:color w:val="000000"/>
                <w:sz w:val="20"/>
                <w:szCs w:val="20"/>
              </w:rPr>
              <w:t>%</w:t>
            </w:r>
          </w:p>
        </w:tc>
      </w:tr>
      <w:tr w:rsidR="00000000">
        <w:trPr>
          <w:divId w:val="41177952"/>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Hospitalit</w:t>
            </w:r>
            <w:r>
              <w:rPr>
                <w:rFonts w:eastAsia="Times New Roman"/>
                <w:color w:val="000000"/>
                <w:sz w:val="20"/>
                <w:szCs w:val="20"/>
              </w:rPr>
              <w:t>y</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(16)</w:t>
            </w:r>
            <w:r>
              <w:rPr>
                <w:rFonts w:eastAsia="Times New Roman"/>
                <w:color w:val="000000"/>
                <w:sz w:val="20"/>
                <w:szCs w:val="20"/>
              </w:rPr>
              <w:t>%</w:t>
            </w:r>
          </w:p>
        </w:tc>
      </w:tr>
      <w:tr w:rsidR="00000000">
        <w:trPr>
          <w:divId w:val="41177952"/>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(2)</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15</w:t>
            </w:r>
            <w:r>
              <w:rPr>
                <w:rFonts w:eastAsia="Times New Roman"/>
                <w:color w:val="000000"/>
                <w:sz w:val="20"/>
                <w:szCs w:val="20"/>
              </w:rPr>
              <w:t>%</w:t>
            </w:r>
          </w:p>
        </w:tc>
      </w:tr>
      <w:tr w:rsidR="00000000">
        <w:trPr>
          <w:divId w:val="41177952"/>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Consolidated revenu</w:t>
            </w:r>
            <w:r>
              <w:rPr>
                <w:rFonts w:eastAsia="Times New Roman"/>
                <w:color w:val="000000"/>
                <w:sz w:val="20"/>
                <w:szCs w:val="20"/>
              </w:rPr>
              <w:t>e</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(8)</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color w:val="000000"/>
                <w:sz w:val="20"/>
                <w:szCs w:val="20"/>
              </w:rPr>
              <w:t>(7)</w:t>
            </w:r>
            <w:r>
              <w:rPr>
                <w:rFonts w:eastAsia="Times New Roman"/>
                <w:color w:val="000000"/>
                <w:sz w:val="20"/>
                <w:szCs w:val="20"/>
              </w:rPr>
              <w:t>%</w:t>
            </w:r>
          </w:p>
        </w:tc>
      </w:tr>
    </w:tbl>
    <w:p w:rsidR="00000000" w:rsidRDefault="000A7020">
      <w:pPr>
        <w:divId w:val="796601922"/>
        <w:rPr>
          <w:rFonts w:eastAsia="Times New Roman"/>
        </w:rPr>
      </w:pPr>
    </w:p>
    <w:p w:rsidR="00000000" w:rsidRDefault="000A7020">
      <w:pPr>
        <w:divId w:val="744840616"/>
        <w:rPr>
          <w:rFonts w:eastAsia="Times New Roman"/>
        </w:rPr>
      </w:pPr>
      <w:r>
        <w:rPr>
          <w:rFonts w:eastAsia="Times New Roman"/>
          <w:b/>
          <w:bCs/>
          <w:i/>
          <w:iCs/>
          <w:color w:val="000000"/>
          <w:sz w:val="20"/>
          <w:szCs w:val="20"/>
        </w:rPr>
        <w:t>Revenu</w:t>
      </w:r>
      <w:r>
        <w:rPr>
          <w:rFonts w:eastAsia="Times New Roman"/>
          <w:b/>
          <w:bCs/>
          <w:i/>
          <w:iCs/>
          <w:color w:val="000000"/>
          <w:sz w:val="20"/>
          <w:szCs w:val="20"/>
        </w:rPr>
        <w:t>e</w:t>
      </w:r>
    </w:p>
    <w:p w:rsidR="00000000" w:rsidRDefault="000A7020">
      <w:pPr>
        <w:ind w:firstLine="495"/>
        <w:jc w:val="both"/>
        <w:rPr>
          <w:rFonts w:eastAsia="Times New Roman"/>
        </w:rPr>
      </w:pPr>
    </w:p>
    <w:p w:rsidR="00000000" w:rsidRDefault="000A7020">
      <w:pPr>
        <w:jc w:val="both"/>
        <w:rPr>
          <w:rFonts w:eastAsia="Times New Roman"/>
        </w:rPr>
      </w:pPr>
      <w:r>
        <w:rPr>
          <w:rFonts w:eastAsia="Times New Roman"/>
          <w:color w:val="000000"/>
          <w:sz w:val="20"/>
          <w:szCs w:val="20"/>
        </w:rPr>
        <w:t>For the three months ended June 30, 2020 compared to the three months ended June 30, 2019, revenue decreased 13% year-over-year. The COVID-19 pandemic had a material impact to revenue while the shift from selling perpetual software licenses to recurring re</w:t>
      </w:r>
      <w:r>
        <w:rPr>
          <w:rFonts w:eastAsia="Times New Roman"/>
          <w:color w:val="000000"/>
          <w:sz w:val="20"/>
          <w:szCs w:val="20"/>
        </w:rPr>
        <w:t>venue lowered revenue by $22 million. Foreign currency fluctuations had an unfavorable impact of 1% on the revenue comparison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Banking revenue decreased 12% due to the continued impact of the COVID-19 pandemic driven by a 25% decline in ATM hardware reve</w:t>
      </w:r>
      <w:r>
        <w:rPr>
          <w:rFonts w:eastAsia="Times New Roman"/>
          <w:color w:val="000000"/>
          <w:sz w:val="20"/>
          <w:szCs w:val="20"/>
        </w:rPr>
        <w:t>nue. An accelerated shift from selling perpetual software licenses to recurring revenue also impacted the year-over-year revenue comparison. Foreign currency fluctuations had an unfavorable impact of 1% on the revenue comparison. Retail revenue decreased 1</w:t>
      </w:r>
      <w:r>
        <w:rPr>
          <w:rFonts w:eastAsia="Times New Roman"/>
          <w:color w:val="000000"/>
          <w:sz w:val="20"/>
          <w:szCs w:val="20"/>
        </w:rPr>
        <w:t>3% driven by a large customer hardware roll-out in the prior year as well as the continued impact from the COVID-19 pandemic. Foreign currency fluctuations had no impact on the revenue comparison. Hospitality revenue decreased 21% due to the continued impa</w:t>
      </w:r>
      <w:r>
        <w:rPr>
          <w:rFonts w:eastAsia="Times New Roman"/>
          <w:color w:val="000000"/>
          <w:sz w:val="20"/>
          <w:szCs w:val="20"/>
        </w:rPr>
        <w:t>ct from the COVID-19 pandemic. Foreign currency fluctuations had an unfavorable impact of 1% on the revenue comparison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For the six months ended June 30, 2020 compared to the six months ended June 30, 2019, revenue decreased 8% due to a combination of the impact of the COVID-19 pandemic and the accelerated shift from perpetual software licenses to recurring revenue. Foreign</w:t>
      </w:r>
      <w:r>
        <w:rPr>
          <w:rFonts w:eastAsia="Times New Roman"/>
          <w:color w:val="000000"/>
          <w:sz w:val="20"/>
          <w:szCs w:val="20"/>
        </w:rPr>
        <w:t xml:space="preserve"> currency fluctuations had an unfavorable impact of 1% on the revenue comparison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Banking revenue decreased 6% due to the impact of the COVID-19 pandemic, driven by an 18% decline in ATM hardware revenue. The decline in revenue was also driven by the shi</w:t>
      </w:r>
      <w:r>
        <w:rPr>
          <w:rFonts w:eastAsia="Times New Roman"/>
          <w:color w:val="000000"/>
          <w:sz w:val="20"/>
          <w:szCs w:val="20"/>
        </w:rPr>
        <w:t>ft from selling perpetual software licenses to recurring revenue. Foreign currency fluctuations had an unfavorable impact of 1% on the revenue comparison. Retail revenue decreased 11% driven by a large customer hardware roll-out in the prior year as well a</w:t>
      </w:r>
      <w:r>
        <w:rPr>
          <w:rFonts w:eastAsia="Times New Roman"/>
          <w:color w:val="000000"/>
          <w:sz w:val="20"/>
          <w:szCs w:val="20"/>
        </w:rPr>
        <w:t>s the impact from the COVID-19 pandemic. Foreign currency fluctuations had an unfavorable impact of 1% on the revenue comparison. Hospitality revenue decreased 17% mainly driven by the impact from the COVID-19 pandemic. Foreign currency fluctuations had an</w:t>
      </w:r>
      <w:r>
        <w:rPr>
          <w:rFonts w:eastAsia="Times New Roman"/>
          <w:color w:val="000000"/>
          <w:sz w:val="20"/>
          <w:szCs w:val="20"/>
        </w:rPr>
        <w:t xml:space="preserve"> unfavorable impact of 1% on the revenue comparison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changes to segment revenue and the drivers thereof are discussed in further detail under "Revenue and Operating Income by Segment" below.</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b/>
          <w:bCs/>
          <w:i/>
          <w:iCs/>
          <w:color w:val="000000"/>
          <w:sz w:val="20"/>
          <w:szCs w:val="20"/>
        </w:rPr>
        <w:t>Gross Margi</w:t>
      </w:r>
      <w:r>
        <w:rPr>
          <w:rFonts w:eastAsia="Times New Roman"/>
          <w:b/>
          <w:bCs/>
          <w:i/>
          <w:iCs/>
          <w:color w:val="000000"/>
          <w:sz w:val="20"/>
          <w:szCs w:val="20"/>
        </w:rPr>
        <w:t>n</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Gross margin as a percentage of revenue i</w:t>
      </w:r>
      <w:r>
        <w:rPr>
          <w:rFonts w:eastAsia="Times New Roman"/>
          <w:color w:val="000000"/>
          <w:sz w:val="20"/>
          <w:szCs w:val="20"/>
        </w:rPr>
        <w:t>n the three months ended June 30, 2020 was 25.1% compared to 27.5% in the three months ended June 30, 2019. Gross margin in the three months ended June 30, 2020 included $5 million of costs related to</w:t>
      </w:r>
      <w:r>
        <w:rPr>
          <w:rFonts w:eastAsia="Times New Roman"/>
          <w:color w:val="000000"/>
          <w:sz w:val="20"/>
          <w:szCs w:val="20"/>
        </w:rPr>
        <w:t xml:space="preserve"> </w:t>
      </w:r>
    </w:p>
    <w:p w:rsidR="00000000" w:rsidRDefault="000A7020">
      <w:pPr>
        <w:jc w:val="center"/>
        <w:divId w:val="171843416"/>
        <w:rPr>
          <w:rFonts w:eastAsia="Times New Roman"/>
        </w:rPr>
      </w:pPr>
      <w:r>
        <w:rPr>
          <w:rFonts w:eastAsia="Times New Roman"/>
          <w:color w:val="000000"/>
          <w:sz w:val="20"/>
          <w:szCs w:val="20"/>
        </w:rPr>
        <w:t>4</w:t>
      </w:r>
      <w:r>
        <w:rPr>
          <w:rFonts w:eastAsia="Times New Roman"/>
          <w:color w:val="000000"/>
          <w:sz w:val="20"/>
          <w:szCs w:val="20"/>
        </w:rPr>
        <w:t>6</w:t>
      </w:r>
    </w:p>
    <w:p w:rsidR="00000000" w:rsidRDefault="000A7020">
      <w:pPr>
        <w:rPr>
          <w:rFonts w:eastAsia="Times New Roman"/>
        </w:rPr>
      </w:pPr>
      <w:r>
        <w:rPr>
          <w:rFonts w:eastAsia="Times New Roman"/>
        </w:rPr>
        <w:pict>
          <v:rect id="_x0000_i1071" style="width:0;height:1.5pt" o:hralign="center" o:hrstd="t" o:hr="t" fillcolor="#a0a0a0" stroked="f"/>
        </w:pict>
      </w:r>
    </w:p>
    <w:p w:rsidR="00000000" w:rsidRDefault="000A7020">
      <w:pPr>
        <w:divId w:val="1113522941"/>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rPr>
          <w:rFonts w:eastAsia="Times New Roman"/>
        </w:rPr>
      </w:pPr>
      <w:r>
        <w:rPr>
          <w:rFonts w:eastAsia="Times New Roman"/>
          <w:color w:val="000000"/>
          <w:sz w:val="20"/>
          <w:szCs w:val="20"/>
        </w:rPr>
        <w:t>transformation initiatives and $4 million of acquisition-related amortization of intangibles. Gross margin in the three months ended June 30, 2019 included $10 million of costs related to restru</w:t>
      </w:r>
      <w:r>
        <w:rPr>
          <w:rFonts w:eastAsia="Times New Roman"/>
          <w:color w:val="000000"/>
          <w:sz w:val="20"/>
          <w:szCs w:val="20"/>
        </w:rPr>
        <w:t xml:space="preserve">cturing and transformation initiatives and $6 million related to acquisition-related amortization of intangibles. Excluding these items, gross margin as a percentage of revenue decreased from 28.5% to 25.7% due to the overall decline in revenue as well as </w:t>
      </w:r>
      <w:r>
        <w:rPr>
          <w:rFonts w:eastAsia="Times New Roman"/>
          <w:color w:val="000000"/>
          <w:sz w:val="20"/>
          <w:szCs w:val="20"/>
        </w:rPr>
        <w:t>from the shift to recurring revenue with lower software license revenue.</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Gross margin as a percentage of revenue in the six months ended June 30, 2020 was 25.7% compared to 27.2% in the six months ended June 30, 2019. Gross margin in the six months ende</w:t>
      </w:r>
      <w:r>
        <w:rPr>
          <w:rFonts w:eastAsia="Times New Roman"/>
          <w:color w:val="000000"/>
          <w:sz w:val="20"/>
          <w:szCs w:val="20"/>
        </w:rPr>
        <w:t>d June 30, 2020 included $5 million of costs related to transformation initiatives and $11 million of acquisition-related amortization of intangibles. Gross margin in the six months ended June 30, 2019 included $18 million of costs related to restructuring</w:t>
      </w:r>
      <w:r>
        <w:rPr>
          <w:rFonts w:eastAsia="Times New Roman"/>
          <w:color w:val="000000"/>
          <w:sz w:val="20"/>
          <w:szCs w:val="20"/>
        </w:rPr>
        <w:t xml:space="preserve"> and transformation initiatives and $12 million related to acquisition-related amortization of intangibles. Excluding these items, gross margin as a percentage of revenue decreased from 28.1% to 26.3% due to the overall decline in revenue as well as from t</w:t>
      </w:r>
      <w:r>
        <w:rPr>
          <w:rFonts w:eastAsia="Times New Roman"/>
          <w:color w:val="000000"/>
          <w:sz w:val="20"/>
          <w:szCs w:val="20"/>
        </w:rPr>
        <w:t>he shift to recurring revenue with lower software license revenue.</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p>
    <w:p w:rsidR="00000000" w:rsidRDefault="000A7020">
      <w:pPr>
        <w:jc w:val="both"/>
        <w:rPr>
          <w:rFonts w:eastAsia="Times New Roman"/>
        </w:rPr>
      </w:pPr>
      <w:r>
        <w:rPr>
          <w:rFonts w:eastAsia="Times New Roman"/>
          <w:b/>
          <w:bCs/>
          <w:i/>
          <w:iCs/>
          <w:color w:val="000000"/>
          <w:sz w:val="20"/>
          <w:szCs w:val="20"/>
        </w:rPr>
        <w:t>Operating Expense</w:t>
      </w:r>
      <w:r>
        <w:rPr>
          <w:rFonts w:eastAsia="Times New Roman"/>
          <w:b/>
          <w:bCs/>
          <w:i/>
          <w:iCs/>
          <w:color w:val="000000"/>
          <w:sz w:val="20"/>
          <w:szCs w:val="20"/>
        </w:rPr>
        <w:t>s</w:t>
      </w:r>
    </w:p>
    <w:p w:rsidR="00000000" w:rsidRDefault="000A7020">
      <w:pPr>
        <w:divId w:val="2070418198"/>
        <w:rPr>
          <w:rFonts w:eastAsia="Times New Roman"/>
        </w:rPr>
      </w:pPr>
    </w:p>
    <w:p w:rsidR="00000000" w:rsidRDefault="000A7020">
      <w:pPr>
        <w:jc w:val="both"/>
        <w:rPr>
          <w:rFonts w:eastAsia="Times New Roman"/>
        </w:rPr>
      </w:pPr>
      <w:r>
        <w:rPr>
          <w:rFonts w:eastAsia="Times New Roman"/>
          <w:color w:val="000000"/>
          <w:sz w:val="20"/>
          <w:szCs w:val="20"/>
        </w:rPr>
        <w:t>Selling, general and administrative expenses were $234 million, or 15.8% as a percentage of revenue, as compared to $252 million, or 14.7% as a percentage of reven</w:t>
      </w:r>
      <w:r>
        <w:rPr>
          <w:rFonts w:eastAsia="Times New Roman"/>
          <w:color w:val="000000"/>
          <w:sz w:val="20"/>
          <w:szCs w:val="20"/>
        </w:rPr>
        <w:t>ue, in the three months ended June 30, 2020 and 2019, respectively. Selling, general and administrative expenses in the three months ended June 30, 2020 included $15 million of acquisition-related amortization of intangibles and $3 million of costs related</w:t>
      </w:r>
      <w:r>
        <w:rPr>
          <w:rFonts w:eastAsia="Times New Roman"/>
          <w:color w:val="000000"/>
          <w:sz w:val="20"/>
          <w:szCs w:val="20"/>
        </w:rPr>
        <w:t xml:space="preserve"> to transformation initiatives. Selling, general, and administrative expenses in the three months ended June 30, 2019 included $15 million of acquisition-related amortization of intangibles and $4 million of costs related to restructuring and transformatio</w:t>
      </w:r>
      <w:r>
        <w:rPr>
          <w:rFonts w:eastAsia="Times New Roman"/>
          <w:color w:val="000000"/>
          <w:sz w:val="20"/>
          <w:szCs w:val="20"/>
        </w:rPr>
        <w:t>n initiatives. Excluding these items, selling, general and administrative expenses increased from 13.6% as a percentage of revenue in the three months ended June 30, 2019 to 14.6% as a percentage of revenue in the three months ended June 30, 2020. The decr</w:t>
      </w:r>
      <w:r>
        <w:rPr>
          <w:rFonts w:eastAsia="Times New Roman"/>
          <w:color w:val="000000"/>
          <w:sz w:val="20"/>
          <w:szCs w:val="20"/>
        </w:rPr>
        <w:t>ease in selling, general and administrative expenses was primarily due to the initiatives implemented in the first quarter to address the business impacts from the COVID-19 pandemic, including among others, salary reductions, elimination of certain contrac</w:t>
      </w:r>
      <w:r>
        <w:rPr>
          <w:rFonts w:eastAsia="Times New Roman"/>
          <w:color w:val="000000"/>
          <w:sz w:val="20"/>
          <w:szCs w:val="20"/>
        </w:rPr>
        <w:t>tors and curtailing travel, partially offset by an increase in account receivable reserves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Selling, general and administrative expenses were $489 million, or 16.4% as a percentage of revenue, as compared to $504 million, or 15.5% as a percentage of reve</w:t>
      </w:r>
      <w:r>
        <w:rPr>
          <w:rFonts w:eastAsia="Times New Roman"/>
          <w:color w:val="000000"/>
          <w:sz w:val="20"/>
          <w:szCs w:val="20"/>
        </w:rPr>
        <w:t>nue, in the six months ended June 30, 2020 and 2019, respectively. Selling, general and administrative expenses in the six months ended June 30, 2020 included $30 million of acquisition-related amortization of intangibles and $8 million of costs related to</w:t>
      </w:r>
      <w:r>
        <w:rPr>
          <w:rFonts w:eastAsia="Times New Roman"/>
          <w:color w:val="000000"/>
          <w:sz w:val="20"/>
          <w:szCs w:val="20"/>
        </w:rPr>
        <w:t xml:space="preserve"> transformation initiatives. Selling, general, and administrative expenses in the six months ended June 30, 2019 included $30 million of acquisition-related amortization of intangibles and $19 million of costs related to restructuring and transformation in</w:t>
      </w:r>
      <w:r>
        <w:rPr>
          <w:rFonts w:eastAsia="Times New Roman"/>
          <w:color w:val="000000"/>
          <w:sz w:val="20"/>
          <w:szCs w:val="20"/>
        </w:rPr>
        <w:t xml:space="preserve">itiatives. Excluding these items, selling, general and administrative expenses increased from 14.0% as a percentage of revenue in the six months ended June 30, 2019 to 15.1% as a percentage of revenue in the six months ended June 30, 2020. The decrease in </w:t>
      </w:r>
      <w:r>
        <w:rPr>
          <w:rFonts w:eastAsia="Times New Roman"/>
          <w:color w:val="000000"/>
          <w:sz w:val="20"/>
          <w:szCs w:val="20"/>
        </w:rPr>
        <w:t>selling, general and administrative expenses was primarily due to a the initiatives implemented in the first quarter to address the business impacts from the COVID-19 pandemic, including among others, salary reductions, elimination of certain contractors a</w:t>
      </w:r>
      <w:r>
        <w:rPr>
          <w:rFonts w:eastAsia="Times New Roman"/>
          <w:color w:val="000000"/>
          <w:sz w:val="20"/>
          <w:szCs w:val="20"/>
        </w:rPr>
        <w:t>nd curtailing travel, partially offset by an increase in account receivable reserves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Research and development expenses were $49 million, or 3.3% as a percentage of revenue, in the three months ended June 30, 2020 as compared to $62 million, or 3.6% as a</w:t>
      </w:r>
      <w:r>
        <w:rPr>
          <w:rFonts w:eastAsia="Times New Roman"/>
          <w:color w:val="000000"/>
          <w:sz w:val="20"/>
          <w:szCs w:val="20"/>
        </w:rPr>
        <w:t xml:space="preserve"> percentage of revenue, in the three months ended June 30, 2019. The decrease in research and development expenses was due to the initiatives implemented in the first quarter to address the business impacts from the COVID-19 pandemic, including among other</w:t>
      </w:r>
      <w:r>
        <w:rPr>
          <w:rFonts w:eastAsia="Times New Roman"/>
          <w:color w:val="000000"/>
          <w:sz w:val="20"/>
          <w:szCs w:val="20"/>
        </w:rPr>
        <w:t>s, salary reductions, elimination of certain contractors and curtailing travel as well as increased investment in our strategic growth platforms.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Research and development expenses were $114 million, or 3.8% as a percentage of revenue, in the six months ended June 30, 2020 as compared to $121 million, or 3.7% as a percentage of revenue, in the six months ended June 30, 2019. Research and development </w:t>
      </w:r>
      <w:r>
        <w:rPr>
          <w:rFonts w:eastAsia="Times New Roman"/>
          <w:color w:val="000000"/>
          <w:sz w:val="20"/>
          <w:szCs w:val="20"/>
        </w:rPr>
        <w:t>expenses in the six months ended June 30, 2019 included $3 million of costs related to our restructuring and transformation initiatives. Excluding these costs, research and development expenses as a percentage of revenue increased from 3.6% in the six mont</w:t>
      </w:r>
      <w:r>
        <w:rPr>
          <w:rFonts w:eastAsia="Times New Roman"/>
          <w:color w:val="000000"/>
          <w:sz w:val="20"/>
          <w:szCs w:val="20"/>
        </w:rPr>
        <w:t>hs ended June 30, 2019 to 3.8% in the six months ended June 30, 2020 due to the initiatives implemented in the first quarter to address the business impacts from the COVID-19 pandemic, including among others, salary reductions, elimination of certain contr</w:t>
      </w:r>
      <w:r>
        <w:rPr>
          <w:rFonts w:eastAsia="Times New Roman"/>
          <w:color w:val="000000"/>
          <w:sz w:val="20"/>
          <w:szCs w:val="20"/>
        </w:rPr>
        <w:t>actors and curtailing travel as well as increased investment in our strategic growth platforms.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p>
    <w:p w:rsidR="00000000" w:rsidRDefault="000A7020">
      <w:pPr>
        <w:jc w:val="both"/>
        <w:rPr>
          <w:rFonts w:eastAsia="Times New Roman"/>
        </w:rPr>
      </w:pPr>
      <w:r>
        <w:rPr>
          <w:rFonts w:eastAsia="Times New Roman"/>
          <w:b/>
          <w:bCs/>
          <w:i/>
          <w:iCs/>
          <w:color w:val="000000"/>
          <w:sz w:val="20"/>
          <w:szCs w:val="20"/>
        </w:rPr>
        <w:t>Interest Expense</w:t>
      </w:r>
      <w:r>
        <w:rPr>
          <w:rFonts w:eastAsia="Times New Roman"/>
          <w:b/>
          <w:bCs/>
          <w:i/>
          <w:iCs/>
          <w:color w:val="000000"/>
          <w:sz w:val="20"/>
          <w:szCs w:val="20"/>
        </w:rPr>
        <w:t xml:space="preserve"> </w:t>
      </w:r>
    </w:p>
    <w:p w:rsidR="00000000" w:rsidRDefault="000A7020">
      <w:pPr>
        <w:divId w:val="1329362930"/>
        <w:rPr>
          <w:rFonts w:eastAsia="Times New Roman"/>
        </w:rPr>
      </w:pPr>
    </w:p>
    <w:p w:rsidR="00000000" w:rsidRDefault="000A7020">
      <w:pPr>
        <w:jc w:val="center"/>
        <w:divId w:val="886258477"/>
        <w:rPr>
          <w:rFonts w:eastAsia="Times New Roman"/>
        </w:rPr>
      </w:pPr>
      <w:r>
        <w:rPr>
          <w:rFonts w:eastAsia="Times New Roman"/>
          <w:color w:val="000000"/>
          <w:sz w:val="20"/>
          <w:szCs w:val="20"/>
        </w:rPr>
        <w:t>4</w:t>
      </w:r>
      <w:r>
        <w:rPr>
          <w:rFonts w:eastAsia="Times New Roman"/>
          <w:color w:val="000000"/>
          <w:sz w:val="20"/>
          <w:szCs w:val="20"/>
        </w:rPr>
        <w:t>7</w:t>
      </w:r>
    </w:p>
    <w:p w:rsidR="00000000" w:rsidRDefault="000A7020">
      <w:pPr>
        <w:rPr>
          <w:rFonts w:eastAsia="Times New Roman"/>
        </w:rPr>
      </w:pPr>
      <w:r>
        <w:rPr>
          <w:rFonts w:eastAsia="Times New Roman"/>
        </w:rPr>
        <w:pict>
          <v:rect id="_x0000_i1072" style="width:0;height:1.5pt" o:hralign="center" o:hrstd="t" o:hr="t" fillcolor="#a0a0a0" stroked="f"/>
        </w:pict>
      </w:r>
    </w:p>
    <w:p w:rsidR="00000000" w:rsidRDefault="000A7020">
      <w:pPr>
        <w:divId w:val="101848789"/>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rPr>
          <w:rFonts w:eastAsia="Times New Roman"/>
        </w:rPr>
      </w:pPr>
      <w:r>
        <w:rPr>
          <w:rFonts w:eastAsia="Times New Roman"/>
          <w:color w:val="000000"/>
          <w:sz w:val="20"/>
          <w:szCs w:val="20"/>
        </w:rPr>
        <w:t>Interest expense was $57 million in the three months ended June 30, 2020 compared to $45 million in the three months ended June 30, 2019. The in</w:t>
      </w:r>
      <w:r>
        <w:rPr>
          <w:rFonts w:eastAsia="Times New Roman"/>
          <w:color w:val="000000"/>
          <w:sz w:val="20"/>
          <w:szCs w:val="20"/>
        </w:rPr>
        <w:t>crease was due to higher average outstanding principal debt balances as well as higher interest rates on the Company's senior unsecured notes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Interest expense was $107 million in the six months ended June 30, 2020 compared to $90 million in the six mont</w:t>
      </w:r>
      <w:r>
        <w:rPr>
          <w:rFonts w:eastAsia="Times New Roman"/>
          <w:color w:val="000000"/>
          <w:sz w:val="20"/>
          <w:szCs w:val="20"/>
        </w:rPr>
        <w:t>hs ended June 30, 2019. The increase was due to higher average outstanding principal debt balances as well as higher interest rates on the Company's senior unsecured notes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i/>
          <w:iCs/>
          <w:color w:val="000000"/>
          <w:sz w:val="20"/>
          <w:szCs w:val="20"/>
        </w:rPr>
        <w:t>Other Expense, ne</w:t>
      </w:r>
      <w:r>
        <w:rPr>
          <w:rFonts w:eastAsia="Times New Roman"/>
          <w:b/>
          <w:bCs/>
          <w:i/>
          <w:iCs/>
          <w:color w:val="000000"/>
          <w:sz w:val="20"/>
          <w:szCs w:val="20"/>
        </w:rPr>
        <w:t>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Other expense, net of $2 million in the three months ended J</w:t>
      </w:r>
      <w:r>
        <w:rPr>
          <w:rFonts w:eastAsia="Times New Roman"/>
          <w:color w:val="000000"/>
          <w:sz w:val="20"/>
          <w:szCs w:val="20"/>
        </w:rPr>
        <w:t xml:space="preserve">une 30, 2020 compared to $9 million in the three months ended June 30, 2019. Other expense, net of $4 million in the six months ended June 30, 2020 compared to $17 million in the six months ended June 30, 2019. The components of which are reflected in the </w:t>
      </w:r>
      <w:r>
        <w:rPr>
          <w:rFonts w:eastAsia="Times New Roman"/>
          <w:color w:val="000000"/>
          <w:sz w:val="20"/>
          <w:szCs w:val="20"/>
        </w:rPr>
        <w:t>table below</w:t>
      </w:r>
      <w:r>
        <w:rPr>
          <w:rFonts w:eastAsia="Times New Roman"/>
          <w:color w:val="000000"/>
          <w:sz w:val="20"/>
          <w:szCs w:val="20"/>
        </w:rPr>
        <w:t>:</w:t>
      </w:r>
    </w:p>
    <w:p w:rsidR="00000000" w:rsidRDefault="000A7020">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3575"/>
        <w:gridCol w:w="45"/>
        <w:gridCol w:w="135"/>
        <w:gridCol w:w="843"/>
        <w:gridCol w:w="85"/>
        <w:gridCol w:w="135"/>
        <w:gridCol w:w="843"/>
        <w:gridCol w:w="85"/>
        <w:gridCol w:w="36"/>
        <w:gridCol w:w="36"/>
        <w:gridCol w:w="36"/>
        <w:gridCol w:w="135"/>
        <w:gridCol w:w="883"/>
        <w:gridCol w:w="85"/>
        <w:gridCol w:w="135"/>
        <w:gridCol w:w="868"/>
        <w:gridCol w:w="85"/>
        <w:gridCol w:w="36"/>
        <w:gridCol w:w="36"/>
        <w:gridCol w:w="36"/>
        <w:gridCol w:w="36"/>
        <w:gridCol w:w="36"/>
        <w:gridCol w:w="36"/>
      </w:tblGrid>
      <w:tr w:rsidR="00000000">
        <w:trPr>
          <w:gridAfter w:val="6"/>
          <w:divId w:val="295180247"/>
        </w:trPr>
        <w:tc>
          <w:tcPr>
            <w:tcW w:w="50" w:type="pct"/>
            <w:vAlign w:val="center"/>
            <w:hideMark/>
          </w:tcPr>
          <w:p w:rsidR="00000000" w:rsidRDefault="000A7020">
            <w:pPr>
              <w:jc w:val="both"/>
              <w:rPr>
                <w:rFonts w:eastAsia="Times New Roman"/>
              </w:rPr>
            </w:pPr>
          </w:p>
        </w:tc>
        <w:tc>
          <w:tcPr>
            <w:tcW w:w="223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4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43"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1"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7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5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295180247"/>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r>
      <w:tr w:rsidR="00000000">
        <w:trPr>
          <w:divId w:val="295180247"/>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95180247"/>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Interest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95180247"/>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Foreign currency fluctuations and foreign exchange contract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95180247"/>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Bank-related fee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95180247"/>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Employee benefit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95180247"/>
        </w:trPr>
        <w:tc>
          <w:tcPr>
            <w:tcW w:w="0" w:type="auto"/>
            <w:gridSpan w:val="3"/>
            <w:shd w:val="clear" w:color="auto" w:fill="CCEE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95180247"/>
        </w:trPr>
        <w:tc>
          <w:tcPr>
            <w:tcW w:w="0" w:type="auto"/>
            <w:gridSpan w:val="3"/>
            <w:shd w:val="clear" w:color="auto" w:fill="FFFFFF"/>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Other expense, ne</w:t>
            </w:r>
            <w:r>
              <w:rPr>
                <w:rFonts w:eastAsia="Times New Roman"/>
                <w:color w:val="000000"/>
                <w:sz w:val="20"/>
                <w:szCs w:val="20"/>
              </w:rPr>
              <w:t>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(9</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p>
    <w:p w:rsidR="00000000" w:rsidRDefault="000A7020">
      <w:pPr>
        <w:jc w:val="both"/>
        <w:rPr>
          <w:rFonts w:eastAsia="Times New Roman"/>
        </w:rPr>
      </w:pPr>
      <w:r>
        <w:rPr>
          <w:rFonts w:eastAsia="Times New Roman"/>
          <w:b/>
          <w:bCs/>
          <w:i/>
          <w:iCs/>
          <w:color w:val="000000"/>
          <w:sz w:val="20"/>
          <w:szCs w:val="20"/>
        </w:rPr>
        <w:t>Provision for Income Taxe</w:t>
      </w:r>
      <w:r>
        <w:rPr>
          <w:rFonts w:eastAsia="Times New Roman"/>
          <w:b/>
          <w:bCs/>
          <w:i/>
          <w:iCs/>
          <w:color w:val="000000"/>
          <w:sz w:val="20"/>
          <w:szCs w:val="20"/>
        </w:rPr>
        <w:t>s</w:t>
      </w:r>
    </w:p>
    <w:p w:rsidR="00000000" w:rsidRDefault="000A7020">
      <w:pPr>
        <w:ind w:firstLine="495"/>
        <w:jc w:val="both"/>
        <w:rPr>
          <w:rFonts w:eastAsia="Times New Roman"/>
        </w:rPr>
      </w:pPr>
    </w:p>
    <w:p w:rsidR="00000000" w:rsidRDefault="000A7020">
      <w:pPr>
        <w:jc w:val="both"/>
        <w:rPr>
          <w:rFonts w:eastAsia="Times New Roman"/>
        </w:rPr>
      </w:pPr>
      <w:r>
        <w:rPr>
          <w:rFonts w:eastAsia="Times New Roman"/>
          <w:color w:val="000000"/>
          <w:sz w:val="20"/>
          <w:szCs w:val="20"/>
        </w:rPr>
        <w:t>Income tax</w:t>
      </w:r>
      <w:r>
        <w:rPr>
          <w:rFonts w:eastAsia="Times New Roman"/>
          <w:color w:val="000000"/>
          <w:sz w:val="20"/>
          <w:szCs w:val="20"/>
        </w:rPr>
        <w:t xml:space="preserve"> provisions for interim (quarterly) periods are based on an estimated annual effective income tax rate calculated separately from the effect of significant, infrequent or unusual items. Income tax benefit was $34 million for the three months ended June 30,</w:t>
      </w:r>
      <w:r>
        <w:rPr>
          <w:rFonts w:eastAsia="Times New Roman"/>
          <w:color w:val="000000"/>
          <w:sz w:val="20"/>
          <w:szCs w:val="20"/>
        </w:rPr>
        <w:t xml:space="preserve"> 2020 compared to income tax expense of $15 million for the three months ended June 30, 2019. The change was primarily driven by an increase in discrete tax benefits as well as lower income before taxes in the three months ended June 30, 2020. The increase</w:t>
      </w:r>
      <w:r>
        <w:rPr>
          <w:rFonts w:eastAsia="Times New Roman"/>
          <w:color w:val="000000"/>
          <w:sz w:val="20"/>
          <w:szCs w:val="20"/>
        </w:rPr>
        <w:t xml:space="preserve"> in discrete tax benefits primarily resulted from a $48 million benefit recorded for the release of a valuation allowance against U.S. foreign tax credits and the re-establishment of expected foreign tax credit offsets to unrecognized tax benefits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Income tax benefit was $33 million for the six months ended June 30, 2020 compared to income tax expense of $24 million for the six months ended June 30, 2019. The change was primarily driven by an increase in discrete tax benefits as well as lower income </w:t>
      </w:r>
      <w:r>
        <w:rPr>
          <w:rFonts w:eastAsia="Times New Roman"/>
          <w:color w:val="000000"/>
          <w:sz w:val="20"/>
          <w:szCs w:val="20"/>
        </w:rPr>
        <w:t xml:space="preserve">before taxes in the six months ended June 30, 2020. The increase in discrete tax benefits primarily resulted from a $48 million benefit recorded for the release of a valuation allowance against U.S. foreign tax credits and the re-establishment of expected </w:t>
      </w:r>
      <w:r>
        <w:rPr>
          <w:rFonts w:eastAsia="Times New Roman"/>
          <w:color w:val="000000"/>
          <w:sz w:val="20"/>
          <w:szCs w:val="20"/>
        </w:rPr>
        <w:t>foreign tax credit offsets to unrecognized tax benefits</w:t>
      </w:r>
      <w:r>
        <w:rPr>
          <w:rFonts w:eastAsia="Times New Roman"/>
          <w:color w:val="000000"/>
          <w:sz w:val="20"/>
          <w:szCs w:val="20"/>
        </w:rPr>
        <w:t>.</w:t>
      </w:r>
    </w:p>
    <w:p w:rsidR="00000000" w:rsidRDefault="000A7020">
      <w:pPr>
        <w:divId w:val="455106874"/>
        <w:rPr>
          <w:rFonts w:eastAsia="Times New Roman"/>
        </w:rPr>
      </w:pPr>
    </w:p>
    <w:p w:rsidR="00000000" w:rsidRDefault="000A7020">
      <w:pPr>
        <w:jc w:val="both"/>
        <w:divId w:val="42170397"/>
        <w:rPr>
          <w:rFonts w:eastAsia="Times New Roman"/>
        </w:rPr>
      </w:pPr>
      <w:r>
        <w:rPr>
          <w:rFonts w:eastAsia="Times New Roman"/>
          <w:color w:val="000000"/>
          <w:sz w:val="20"/>
          <w:szCs w:val="20"/>
        </w:rPr>
        <w:t>NCR is subject to numerous federal, state and foreign tax audits. While NCR believes that appropriate reserves exist for issues that might arise from these audits, should these audits be settled, t</w:t>
      </w:r>
      <w:r>
        <w:rPr>
          <w:rFonts w:eastAsia="Times New Roman"/>
          <w:color w:val="000000"/>
          <w:sz w:val="20"/>
          <w:szCs w:val="20"/>
        </w:rPr>
        <w:t>he resulting tax effect could impact the tax provision and cash flows in 2020 or future periods.</w:t>
      </w:r>
      <w:r>
        <w:rPr>
          <w:rFonts w:eastAsia="Times New Roman"/>
          <w:color w:val="000000"/>
          <w:sz w:val="20"/>
          <w:szCs w:val="20"/>
        </w:rPr>
        <w:t xml:space="preserve"> </w:t>
      </w:r>
    </w:p>
    <w:p w:rsidR="00000000" w:rsidRDefault="000A7020">
      <w:pPr>
        <w:jc w:val="both"/>
        <w:divId w:val="712846463"/>
        <w:rPr>
          <w:rFonts w:eastAsia="Times New Roman"/>
        </w:rPr>
      </w:pPr>
    </w:p>
    <w:p w:rsidR="00000000" w:rsidRDefault="000A7020">
      <w:pPr>
        <w:jc w:val="both"/>
        <w:rPr>
          <w:rFonts w:eastAsia="Times New Roman"/>
        </w:rPr>
      </w:pPr>
      <w:r>
        <w:rPr>
          <w:rFonts w:eastAsia="Times New Roman"/>
          <w:b/>
          <w:bCs/>
          <w:i/>
          <w:iCs/>
          <w:color w:val="000000"/>
          <w:sz w:val="20"/>
          <w:szCs w:val="20"/>
        </w:rPr>
        <w:t>Revenue and Operating Income by Segmen</w:t>
      </w:r>
      <w:r>
        <w:rPr>
          <w:rFonts w:eastAsia="Times New Roman"/>
          <w:b/>
          <w:bCs/>
          <w:i/>
          <w:iCs/>
          <w:color w:val="000000"/>
          <w:sz w:val="20"/>
          <w:szCs w:val="20"/>
        </w:rPr>
        <w:t>t</w:t>
      </w:r>
    </w:p>
    <w:p w:rsidR="00000000" w:rsidRDefault="000A7020">
      <w:pPr>
        <w:ind w:firstLine="495"/>
        <w:jc w:val="both"/>
        <w:rPr>
          <w:rFonts w:eastAsia="Times New Roman"/>
        </w:rPr>
      </w:pPr>
    </w:p>
    <w:p w:rsidR="00000000" w:rsidRDefault="000A7020">
      <w:pPr>
        <w:jc w:val="both"/>
        <w:divId w:val="573205110"/>
        <w:rPr>
          <w:rFonts w:eastAsia="Times New Roman"/>
        </w:rPr>
      </w:pPr>
      <w:r>
        <w:rPr>
          <w:rFonts w:eastAsia="Times New Roman"/>
          <w:color w:val="000000"/>
          <w:sz w:val="20"/>
          <w:szCs w:val="20"/>
        </w:rPr>
        <w:t>The Company manages and reports the following segments</w:t>
      </w:r>
      <w:r>
        <w:rPr>
          <w:rFonts w:eastAsia="Times New Roman"/>
          <w:color w:val="000000"/>
          <w:sz w:val="20"/>
          <w:szCs w:val="20"/>
        </w:rPr>
        <w:t>:</w:t>
      </w:r>
    </w:p>
    <w:p w:rsidR="00000000" w:rsidRDefault="000A7020">
      <w:pPr>
        <w:ind w:hanging="360"/>
        <w:jc w:val="both"/>
        <w:divId w:val="1520116637"/>
        <w:rPr>
          <w:rFonts w:eastAsia="Times New Roman"/>
        </w:rPr>
      </w:pPr>
      <w:r>
        <w:rPr>
          <w:rFonts w:eastAsia="Times New Roman"/>
          <w:color w:val="000000"/>
          <w:sz w:val="20"/>
          <w:szCs w:val="20"/>
        </w:rPr>
        <w:t>•</w:t>
      </w:r>
      <w:r>
        <w:rPr>
          <w:rFonts w:eastAsia="Times New Roman"/>
          <w:b/>
          <w:bCs/>
          <w:color w:val="000000"/>
          <w:sz w:val="20"/>
          <w:szCs w:val="20"/>
        </w:rPr>
        <w:t>Bankin</w:t>
      </w:r>
      <w:r>
        <w:rPr>
          <w:rFonts w:eastAsia="Times New Roman"/>
          <w:b/>
          <w:bCs/>
          <w:color w:val="000000"/>
          <w:sz w:val="20"/>
          <w:szCs w:val="20"/>
        </w:rPr>
        <w:t>g</w:t>
      </w:r>
      <w:r>
        <w:rPr>
          <w:rFonts w:eastAsia="Times New Roman"/>
          <w:color w:val="000000"/>
          <w:sz w:val="20"/>
          <w:szCs w:val="20"/>
        </w:rPr>
        <w:t xml:space="preserve"> - We offer solutions to enable customers in the f</w:t>
      </w:r>
      <w:r>
        <w:rPr>
          <w:rFonts w:eastAsia="Times New Roman"/>
          <w:color w:val="000000"/>
          <w:sz w:val="20"/>
          <w:szCs w:val="20"/>
        </w:rPr>
        <w:t>inancial services industry to reduce costs, generate new revenue streams and enhance customer loyalty. These solutions include a comprehensive line of ATM and payment processing hardware and software; cash management and video banking software and customer</w:t>
      </w:r>
      <w:r>
        <w:rPr>
          <w:rFonts w:eastAsia="Times New Roman"/>
          <w:color w:val="000000"/>
          <w:sz w:val="20"/>
          <w:szCs w:val="20"/>
        </w:rPr>
        <w:t>-facing digital banking services; and related installation, maintenance, and managed and professional services</w:t>
      </w:r>
      <w:r>
        <w:rPr>
          <w:rFonts w:eastAsia="Times New Roman"/>
          <w:color w:val="000000"/>
          <w:sz w:val="20"/>
          <w:szCs w:val="20"/>
        </w:rPr>
        <w:t>.</w:t>
      </w:r>
    </w:p>
    <w:p w:rsidR="00000000" w:rsidRDefault="000A7020">
      <w:pPr>
        <w:ind w:hanging="360"/>
        <w:jc w:val="both"/>
        <w:divId w:val="1638946985"/>
        <w:rPr>
          <w:rFonts w:eastAsia="Times New Roman"/>
        </w:rPr>
      </w:pPr>
      <w:r>
        <w:rPr>
          <w:rFonts w:eastAsia="Times New Roman"/>
          <w:color w:val="000000"/>
          <w:sz w:val="20"/>
          <w:szCs w:val="20"/>
        </w:rPr>
        <w:t>•</w:t>
      </w:r>
      <w:r>
        <w:rPr>
          <w:rFonts w:eastAsia="Times New Roman"/>
          <w:b/>
          <w:bCs/>
          <w:color w:val="000000"/>
          <w:sz w:val="20"/>
          <w:szCs w:val="20"/>
        </w:rPr>
        <w:t>Retai</w:t>
      </w:r>
      <w:r>
        <w:rPr>
          <w:rFonts w:eastAsia="Times New Roman"/>
          <w:b/>
          <w:bCs/>
          <w:color w:val="000000"/>
          <w:sz w:val="20"/>
          <w:szCs w:val="20"/>
        </w:rPr>
        <w:t>l</w:t>
      </w:r>
      <w:r>
        <w:rPr>
          <w:rFonts w:eastAsia="Times New Roman"/>
          <w:color w:val="000000"/>
          <w:sz w:val="20"/>
          <w:szCs w:val="20"/>
        </w:rPr>
        <w:t xml:space="preserve"> - We offer solutions to customers in the retail industry designed to improve selling productivity and checkout processes as well as incr</w:t>
      </w:r>
      <w:r>
        <w:rPr>
          <w:rFonts w:eastAsia="Times New Roman"/>
          <w:color w:val="000000"/>
          <w:sz w:val="20"/>
          <w:szCs w:val="20"/>
        </w:rPr>
        <w:t>ease service levels. The solutions offered serve the following customer markets in the retail industry: Food, Drug and Mass Merchandisers; Department and Specialty Retailers; Convenience and Fuel Retailers,</w:t>
      </w:r>
      <w:r>
        <w:rPr>
          <w:rFonts w:eastAsia="Times New Roman"/>
          <w:color w:val="000000"/>
          <w:sz w:val="20"/>
          <w:szCs w:val="20"/>
        </w:rPr>
        <w:t xml:space="preserve"> </w:t>
      </w:r>
    </w:p>
    <w:p w:rsidR="00000000" w:rsidRDefault="000A7020">
      <w:pPr>
        <w:jc w:val="center"/>
        <w:divId w:val="1639067386"/>
        <w:rPr>
          <w:rFonts w:eastAsia="Times New Roman"/>
        </w:rPr>
      </w:pPr>
      <w:r>
        <w:rPr>
          <w:rFonts w:eastAsia="Times New Roman"/>
          <w:color w:val="000000"/>
          <w:sz w:val="20"/>
          <w:szCs w:val="20"/>
        </w:rPr>
        <w:t>4</w:t>
      </w:r>
      <w:r>
        <w:rPr>
          <w:rFonts w:eastAsia="Times New Roman"/>
          <w:color w:val="000000"/>
          <w:sz w:val="20"/>
          <w:szCs w:val="20"/>
        </w:rPr>
        <w:t>8</w:t>
      </w:r>
    </w:p>
    <w:p w:rsidR="00000000" w:rsidRDefault="000A7020">
      <w:pPr>
        <w:rPr>
          <w:rFonts w:eastAsia="Times New Roman"/>
        </w:rPr>
      </w:pPr>
      <w:r>
        <w:rPr>
          <w:rFonts w:eastAsia="Times New Roman"/>
        </w:rPr>
        <w:pict>
          <v:rect id="_x0000_i1073" style="width:0;height:1.5pt" o:hralign="center" o:hrstd="t" o:hr="t" fillcolor="#a0a0a0" stroked="f"/>
        </w:pict>
      </w:r>
    </w:p>
    <w:p w:rsidR="00000000" w:rsidRDefault="000A7020">
      <w:pPr>
        <w:divId w:val="161438318"/>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divId w:val="1084570187"/>
        <w:rPr>
          <w:rFonts w:eastAsia="Times New Roman"/>
        </w:rPr>
      </w:pPr>
      <w:r>
        <w:rPr>
          <w:rFonts w:eastAsia="Times New Roman"/>
          <w:color w:val="000000"/>
          <w:sz w:val="20"/>
          <w:szCs w:val="20"/>
        </w:rPr>
        <w:t>and Small and Medium Retailers. These solutions primarily include retail-oriented technologies, such as point of sale terminals and point of sal</w:t>
      </w:r>
      <w:r>
        <w:rPr>
          <w:rFonts w:eastAsia="Times New Roman"/>
          <w:color w:val="000000"/>
          <w:sz w:val="20"/>
          <w:szCs w:val="20"/>
        </w:rPr>
        <w:t>e software; a retail software platform with a comprehensive suite of retail software applications; innovative self-service kiosks, such as self-checkout; as well as bar-code scanners. We also offer installation, maintenance, managed and professional servic</w:t>
      </w:r>
      <w:r>
        <w:rPr>
          <w:rFonts w:eastAsia="Times New Roman"/>
          <w:color w:val="000000"/>
          <w:sz w:val="20"/>
          <w:szCs w:val="20"/>
        </w:rPr>
        <w:t>es as well as payment processing solutions</w:t>
      </w:r>
      <w:r>
        <w:rPr>
          <w:rFonts w:eastAsia="Times New Roman"/>
          <w:color w:val="000000"/>
          <w:sz w:val="20"/>
          <w:szCs w:val="20"/>
        </w:rPr>
        <w:t>.</w:t>
      </w:r>
    </w:p>
    <w:p w:rsidR="00000000" w:rsidRDefault="000A7020">
      <w:pPr>
        <w:ind w:hanging="360"/>
        <w:jc w:val="both"/>
        <w:divId w:val="1945267923"/>
        <w:rPr>
          <w:rFonts w:eastAsia="Times New Roman"/>
        </w:rPr>
      </w:pPr>
      <w:r>
        <w:rPr>
          <w:rFonts w:eastAsia="Times New Roman"/>
          <w:color w:val="000000"/>
          <w:sz w:val="20"/>
          <w:szCs w:val="20"/>
        </w:rPr>
        <w:t>•</w:t>
      </w:r>
      <w:r>
        <w:rPr>
          <w:rFonts w:eastAsia="Times New Roman"/>
          <w:b/>
          <w:bCs/>
          <w:color w:val="000000"/>
          <w:sz w:val="20"/>
          <w:szCs w:val="20"/>
        </w:rPr>
        <w:t>Hospitality</w:t>
      </w:r>
      <w:r>
        <w:rPr>
          <w:rFonts w:eastAsia="Times New Roman"/>
          <w:b/>
          <w:bCs/>
          <w:color w:val="000000"/>
          <w:sz w:val="20"/>
          <w:szCs w:val="20"/>
        </w:rPr>
        <w:t xml:space="preserve"> </w:t>
      </w:r>
      <w:r>
        <w:rPr>
          <w:rFonts w:eastAsia="Times New Roman"/>
          <w:color w:val="000000"/>
          <w:sz w:val="20"/>
          <w:szCs w:val="20"/>
        </w:rPr>
        <w:t>- We offer solutions to customers in the hospitality industry, serving businesses in the following markets: Quick Service Restaurants, Table Service Restaurants, Small and Medium Restaurants and Trav</w:t>
      </w:r>
      <w:r>
        <w:rPr>
          <w:rFonts w:eastAsia="Times New Roman"/>
          <w:color w:val="000000"/>
          <w:sz w:val="20"/>
          <w:szCs w:val="20"/>
        </w:rPr>
        <w:t>el and Entertainment venues. Our solutions include point of sale hardware and software solutions, installation, maintenance, managed and professional services as well as payment processing solutions</w:t>
      </w:r>
      <w:r>
        <w:rPr>
          <w:rFonts w:eastAsia="Times New Roman"/>
          <w:color w:val="000000"/>
          <w:sz w:val="20"/>
          <w:szCs w:val="20"/>
        </w:rPr>
        <w:t>.</w:t>
      </w:r>
    </w:p>
    <w:p w:rsidR="00000000" w:rsidRDefault="000A7020">
      <w:pPr>
        <w:ind w:hanging="360"/>
        <w:jc w:val="both"/>
        <w:divId w:val="801197517"/>
        <w:rPr>
          <w:rFonts w:eastAsia="Times New Roman"/>
        </w:rPr>
      </w:pPr>
      <w:r>
        <w:rPr>
          <w:rFonts w:eastAsia="Times New Roman"/>
          <w:color w:val="000000"/>
          <w:sz w:val="20"/>
          <w:szCs w:val="20"/>
        </w:rPr>
        <w:t>•</w:t>
      </w:r>
      <w:r>
        <w:rPr>
          <w:rFonts w:eastAsia="Times New Roman"/>
          <w:b/>
          <w:bCs/>
          <w:color w:val="000000"/>
          <w:sz w:val="20"/>
          <w:szCs w:val="20"/>
        </w:rPr>
        <w:t>Other -</w:t>
      </w:r>
      <w:r>
        <w:rPr>
          <w:rFonts w:eastAsia="Times New Roman"/>
          <w:b/>
          <w:bCs/>
          <w:color w:val="000000"/>
          <w:sz w:val="20"/>
          <w:szCs w:val="20"/>
        </w:rPr>
        <w:t xml:space="preserve"> </w:t>
      </w:r>
      <w:r>
        <w:rPr>
          <w:rFonts w:eastAsia="Times New Roman"/>
          <w:color w:val="000000"/>
          <w:sz w:val="20"/>
          <w:szCs w:val="20"/>
        </w:rPr>
        <w:t>This category includes telecommunications and t</w:t>
      </w:r>
      <w:r>
        <w:rPr>
          <w:rFonts w:eastAsia="Times New Roman"/>
          <w:color w:val="000000"/>
          <w:sz w:val="20"/>
          <w:szCs w:val="20"/>
        </w:rPr>
        <w:t>echnology solutions where we offer maintenance as well as managed and professional services for third-party hardware provided to select manufacturers who value and leverage our global service capability</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Each of these segments derives its revenue by sell</w:t>
      </w:r>
      <w:r>
        <w:rPr>
          <w:rFonts w:eastAsia="Times New Roman"/>
          <w:color w:val="000000"/>
          <w:sz w:val="20"/>
          <w:szCs w:val="20"/>
        </w:rPr>
        <w:t>ing in the geographies in which NCR operates. Segments are measured for profitability by the Company’s chief operating decision maker based on revenue and segment operating income. For purposes of discussing our operating results by segment, we exclude the</w:t>
      </w:r>
      <w:r>
        <w:rPr>
          <w:rFonts w:eastAsia="Times New Roman"/>
          <w:color w:val="000000"/>
          <w:sz w:val="20"/>
          <w:szCs w:val="20"/>
        </w:rPr>
        <w:t xml:space="preserve"> impact of certain non-operational items from segment operating income, consistent with the manner by which management reviews each segment, evaluates performance, and reports our segment results under GAAP. This format is useful to investors because it al</w:t>
      </w:r>
      <w:r>
        <w:rPr>
          <w:rFonts w:eastAsia="Times New Roman"/>
          <w:color w:val="000000"/>
          <w:sz w:val="20"/>
          <w:szCs w:val="20"/>
        </w:rPr>
        <w:t xml:space="preserve">lows analysis and comparability of operating trends. It also includes the same information that is used by NCR management to make decisions regarding the segments and to assess our financial performance. Our segment results are reconciled to total Company </w:t>
      </w:r>
      <w:r>
        <w:rPr>
          <w:rFonts w:eastAsia="Times New Roman"/>
          <w:color w:val="000000"/>
          <w:sz w:val="20"/>
          <w:szCs w:val="20"/>
        </w:rPr>
        <w:t>results reported under GAAP in Note 16, Segment Information and Concentrations of the Notes to the Condensed Consolidated Financial Statements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In the segment discussions below, we have disclosed the impact of foreign currency fluctuations as it relates </w:t>
      </w:r>
      <w:r>
        <w:rPr>
          <w:rFonts w:eastAsia="Times New Roman"/>
          <w:color w:val="000000"/>
          <w:sz w:val="20"/>
          <w:szCs w:val="20"/>
        </w:rPr>
        <w:t>to our segment revenue</w:t>
      </w:r>
      <w:r>
        <w:rPr>
          <w:rFonts w:eastAsia="Times New Roman"/>
          <w:color w:val="000000"/>
          <w:sz w:val="20"/>
          <w:szCs w:val="20"/>
        </w:rPr>
        <w:t>.</w:t>
      </w:r>
    </w:p>
    <w:p w:rsidR="00000000" w:rsidRDefault="000A7020">
      <w:pPr>
        <w:divId w:val="1510366311"/>
        <w:rPr>
          <w:rFonts w:eastAsia="Times New Roman"/>
        </w:rPr>
      </w:pPr>
    </w:p>
    <w:p w:rsidR="00000000" w:rsidRDefault="000A7020">
      <w:pPr>
        <w:jc w:val="both"/>
        <w:rPr>
          <w:rFonts w:eastAsia="Times New Roman"/>
        </w:rPr>
      </w:pPr>
      <w:r>
        <w:rPr>
          <w:rFonts w:eastAsia="Times New Roman"/>
          <w:b/>
          <w:bCs/>
          <w:i/>
          <w:iCs/>
          <w:color w:val="000000"/>
          <w:sz w:val="20"/>
          <w:szCs w:val="20"/>
        </w:rPr>
        <w:t>Banking</w:t>
      </w:r>
      <w:r>
        <w:rPr>
          <w:rFonts w:eastAsia="Times New Roman"/>
          <w:b/>
          <w:bCs/>
          <w:i/>
          <w:iCs/>
          <w:color w:val="000000"/>
          <w:sz w:val="20"/>
          <w:szCs w:val="20"/>
        </w:rPr>
        <w:t xml:space="preserve"> </w:t>
      </w:r>
    </w:p>
    <w:p w:rsidR="00000000" w:rsidRDefault="000A7020">
      <w:pPr>
        <w:ind w:firstLine="495"/>
        <w:jc w:val="both"/>
        <w:rPr>
          <w:rFonts w:eastAsia="Times New Roman"/>
        </w:rPr>
      </w:pPr>
    </w:p>
    <w:p w:rsidR="00000000" w:rsidRDefault="000A7020">
      <w:pPr>
        <w:jc w:val="both"/>
        <w:rPr>
          <w:rFonts w:eastAsia="Times New Roman"/>
        </w:rPr>
      </w:pPr>
      <w:r>
        <w:rPr>
          <w:rFonts w:eastAsia="Times New Roman"/>
          <w:color w:val="000000"/>
          <w:sz w:val="20"/>
          <w:szCs w:val="20"/>
        </w:rPr>
        <w:t>The following table shows the Banking revenue and operating income for the three and six months ended June 30</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051"/>
        <w:gridCol w:w="38"/>
        <w:gridCol w:w="135"/>
        <w:gridCol w:w="488"/>
        <w:gridCol w:w="235"/>
        <w:gridCol w:w="36"/>
        <w:gridCol w:w="36"/>
        <w:gridCol w:w="36"/>
        <w:gridCol w:w="135"/>
        <w:gridCol w:w="489"/>
        <w:gridCol w:w="202"/>
        <w:gridCol w:w="36"/>
        <w:gridCol w:w="36"/>
        <w:gridCol w:w="36"/>
        <w:gridCol w:w="135"/>
        <w:gridCol w:w="515"/>
        <w:gridCol w:w="235"/>
        <w:gridCol w:w="36"/>
        <w:gridCol w:w="36"/>
        <w:gridCol w:w="36"/>
        <w:gridCol w:w="135"/>
        <w:gridCol w:w="515"/>
        <w:gridCol w:w="202"/>
        <w:gridCol w:w="36"/>
        <w:gridCol w:w="36"/>
        <w:gridCol w:w="36"/>
        <w:gridCol w:w="36"/>
        <w:gridCol w:w="36"/>
        <w:gridCol w:w="36"/>
        <w:gridCol w:w="36"/>
        <w:gridCol w:w="36"/>
        <w:gridCol w:w="36"/>
        <w:gridCol w:w="36"/>
        <w:gridCol w:w="36"/>
        <w:gridCol w:w="36"/>
      </w:tblGrid>
      <w:tr w:rsidR="00000000">
        <w:trPr>
          <w:gridAfter w:val="12"/>
          <w:divId w:val="2129935213"/>
          <w:jc w:val="center"/>
        </w:trPr>
        <w:tc>
          <w:tcPr>
            <w:tcW w:w="50" w:type="pct"/>
            <w:vAlign w:val="center"/>
            <w:hideMark/>
          </w:tcPr>
          <w:p w:rsidR="00000000" w:rsidRDefault="000A7020">
            <w:pPr>
              <w:jc w:val="both"/>
              <w:rPr>
                <w:rFonts w:eastAsia="Times New Roman"/>
              </w:rPr>
            </w:pPr>
          </w:p>
        </w:tc>
        <w:tc>
          <w:tcPr>
            <w:tcW w:w="268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1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8"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1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1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1"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1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2129935213"/>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2129935213"/>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129935213"/>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763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1,526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1,626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129935213"/>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195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2129935213"/>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Operating income as a percentage of revenu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the three months ended June 30, 2020 compared to the three months ended June 30, 2019, revenue decreased 12% due to the continued impact of the COVID-19 pandemic driven by a 25% decline in ATM hardware</w:t>
      </w:r>
      <w:r>
        <w:rPr>
          <w:rFonts w:eastAsia="Times New Roman"/>
          <w:color w:val="000000"/>
          <w:sz w:val="20"/>
          <w:szCs w:val="20"/>
        </w:rPr>
        <w:t xml:space="preserve"> revenue. An accelerated shift from selling perpetual software licenses to recurring revenue also impacted the revenue comparison. Additionally, the revenue decrease was mainly driven by declines in the Americas and Europe. Foreign currency fluctuations ha</w:t>
      </w:r>
      <w:r>
        <w:rPr>
          <w:rFonts w:eastAsia="Times New Roman"/>
          <w:color w:val="000000"/>
          <w:sz w:val="20"/>
          <w:szCs w:val="20"/>
        </w:rPr>
        <w:t>d an unfavorable impact of 1% on the revenue comparison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the six months ended June 30, 2020 compared to the six months ended June 30, 2019, revenue decreased 6% due to the impact of the COVID-19 pandemic driven by a 18% decline in ATM hardware revenue</w:t>
      </w:r>
      <w:r>
        <w:rPr>
          <w:rFonts w:eastAsia="Times New Roman"/>
          <w:color w:val="000000"/>
          <w:sz w:val="20"/>
          <w:szCs w:val="20"/>
        </w:rPr>
        <w:t>. An accelerated shift from selling perpetual software licenses to recurring revenue also impacted the revenue comparison. Additionally, the revenue decrease was mainly driven by declines in the Americas and Europe. Foreign currency fluctuations had an unf</w:t>
      </w:r>
      <w:r>
        <w:rPr>
          <w:rFonts w:eastAsia="Times New Roman"/>
          <w:color w:val="000000"/>
          <w:sz w:val="20"/>
          <w:szCs w:val="20"/>
        </w:rPr>
        <w:t>avorable impact of 1% on the revenue comparison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Operating income decreased in the three and six months ended June 30, 2020 compared to the three and six months ended June 30, 2019. The decrease in operating income was primarily due to a decline in reven</w:t>
      </w:r>
      <w:r>
        <w:rPr>
          <w:rFonts w:eastAsia="Times New Roman"/>
          <w:color w:val="000000"/>
          <w:sz w:val="20"/>
          <w:szCs w:val="20"/>
        </w:rPr>
        <w:t>ue partially offset by a reduction in operating expenses from the initiatives put in place to address business impacts expected from the COVID-19 pandemic</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p>
    <w:p w:rsidR="00000000" w:rsidRDefault="000A7020">
      <w:pPr>
        <w:jc w:val="center"/>
        <w:divId w:val="1903327468"/>
        <w:rPr>
          <w:rFonts w:eastAsia="Times New Roman"/>
        </w:rPr>
      </w:pPr>
      <w:r>
        <w:rPr>
          <w:rFonts w:eastAsia="Times New Roman"/>
          <w:color w:val="000000"/>
          <w:sz w:val="20"/>
          <w:szCs w:val="20"/>
        </w:rPr>
        <w:t>4</w:t>
      </w:r>
      <w:r>
        <w:rPr>
          <w:rFonts w:eastAsia="Times New Roman"/>
          <w:color w:val="000000"/>
          <w:sz w:val="20"/>
          <w:szCs w:val="20"/>
        </w:rPr>
        <w:t>9</w:t>
      </w:r>
    </w:p>
    <w:p w:rsidR="00000000" w:rsidRDefault="000A7020">
      <w:pPr>
        <w:rPr>
          <w:rFonts w:eastAsia="Times New Roman"/>
        </w:rPr>
      </w:pPr>
      <w:r>
        <w:rPr>
          <w:rFonts w:eastAsia="Times New Roman"/>
        </w:rPr>
        <w:pict>
          <v:rect id="_x0000_i1074" style="width:0;height:1.5pt" o:hralign="center" o:hrstd="t" o:hr="t" fillcolor="#a0a0a0" stroked="f"/>
        </w:pict>
      </w:r>
    </w:p>
    <w:p w:rsidR="00000000" w:rsidRDefault="000A7020">
      <w:pPr>
        <w:divId w:val="387071680"/>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rPr>
          <w:rFonts w:eastAsia="Times New Roman"/>
        </w:rPr>
      </w:pPr>
      <w:r>
        <w:rPr>
          <w:rFonts w:eastAsia="Times New Roman"/>
          <w:b/>
          <w:bCs/>
          <w:i/>
          <w:iCs/>
          <w:color w:val="000000"/>
          <w:sz w:val="20"/>
          <w:szCs w:val="20"/>
        </w:rPr>
        <w:t>Retai</w:t>
      </w:r>
      <w:r>
        <w:rPr>
          <w:rFonts w:eastAsia="Times New Roman"/>
          <w:b/>
          <w:bCs/>
          <w:i/>
          <w:iCs/>
          <w:color w:val="000000"/>
          <w:sz w:val="20"/>
          <w:szCs w:val="20"/>
        </w:rPr>
        <w:t>l</w:t>
      </w:r>
    </w:p>
    <w:p w:rsidR="00000000" w:rsidRDefault="000A7020">
      <w:pPr>
        <w:ind w:firstLine="495"/>
        <w:jc w:val="both"/>
        <w:rPr>
          <w:rFonts w:eastAsia="Times New Roman"/>
        </w:rPr>
      </w:pPr>
    </w:p>
    <w:p w:rsidR="00000000" w:rsidRDefault="000A7020">
      <w:pPr>
        <w:jc w:val="both"/>
        <w:rPr>
          <w:rFonts w:eastAsia="Times New Roman"/>
        </w:rPr>
      </w:pPr>
      <w:r>
        <w:rPr>
          <w:rFonts w:eastAsia="Times New Roman"/>
          <w:color w:val="000000"/>
          <w:sz w:val="20"/>
          <w:szCs w:val="20"/>
        </w:rPr>
        <w:t>The following table shows the Retail revenue and operating income for the three and six months ended June 30</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197"/>
        <w:gridCol w:w="38"/>
        <w:gridCol w:w="135"/>
        <w:gridCol w:w="455"/>
        <w:gridCol w:w="235"/>
        <w:gridCol w:w="36"/>
        <w:gridCol w:w="36"/>
        <w:gridCol w:w="36"/>
        <w:gridCol w:w="135"/>
        <w:gridCol w:w="421"/>
        <w:gridCol w:w="202"/>
        <w:gridCol w:w="36"/>
        <w:gridCol w:w="36"/>
        <w:gridCol w:w="36"/>
        <w:gridCol w:w="135"/>
        <w:gridCol w:w="457"/>
        <w:gridCol w:w="235"/>
        <w:gridCol w:w="36"/>
        <w:gridCol w:w="36"/>
        <w:gridCol w:w="36"/>
        <w:gridCol w:w="135"/>
        <w:gridCol w:w="515"/>
        <w:gridCol w:w="202"/>
        <w:gridCol w:w="36"/>
        <w:gridCol w:w="36"/>
        <w:gridCol w:w="36"/>
        <w:gridCol w:w="36"/>
        <w:gridCol w:w="36"/>
        <w:gridCol w:w="36"/>
        <w:gridCol w:w="36"/>
        <w:gridCol w:w="36"/>
        <w:gridCol w:w="36"/>
        <w:gridCol w:w="36"/>
        <w:gridCol w:w="36"/>
        <w:gridCol w:w="36"/>
      </w:tblGrid>
      <w:tr w:rsidR="00000000">
        <w:trPr>
          <w:gridAfter w:val="12"/>
          <w:divId w:val="111098673"/>
          <w:jc w:val="center"/>
        </w:trPr>
        <w:tc>
          <w:tcPr>
            <w:tcW w:w="50" w:type="pct"/>
            <w:vAlign w:val="center"/>
            <w:hideMark/>
          </w:tcPr>
          <w:p w:rsidR="00000000" w:rsidRDefault="000A7020">
            <w:pPr>
              <w:jc w:val="both"/>
              <w:rPr>
                <w:rFonts w:eastAsia="Times New Roman"/>
              </w:rPr>
            </w:pPr>
          </w:p>
        </w:tc>
        <w:tc>
          <w:tcPr>
            <w:tcW w:w="27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9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9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48"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9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9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11098673"/>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11098673"/>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1098673"/>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483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558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955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1,069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1098673"/>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1098673"/>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Operating income as a percentage of revenu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divId w:val="1920748524"/>
        <w:rPr>
          <w:rFonts w:eastAsia="Times New Roman"/>
        </w:rPr>
      </w:pPr>
    </w:p>
    <w:p w:rsidR="00000000" w:rsidRDefault="000A7020">
      <w:pPr>
        <w:jc w:val="both"/>
        <w:rPr>
          <w:rFonts w:eastAsia="Times New Roman"/>
        </w:rPr>
      </w:pPr>
      <w:r>
        <w:rPr>
          <w:rFonts w:eastAsia="Times New Roman"/>
          <w:color w:val="000000"/>
          <w:sz w:val="20"/>
          <w:szCs w:val="20"/>
        </w:rPr>
        <w:t xml:space="preserve">In the three months ended June 30, 2020 compared to the three months ended June 30, 2019, revenue decreased 13% due to a decline in hardware revenue driven by a large customer roll-out in the prior year as well </w:t>
      </w:r>
      <w:r>
        <w:rPr>
          <w:rFonts w:eastAsia="Times New Roman"/>
          <w:color w:val="000000"/>
          <w:sz w:val="20"/>
          <w:szCs w:val="20"/>
        </w:rPr>
        <w:t>as the continued impact from the COVID-19 pandemic. Additionally, the revenue decrease was mainly driven by declines in the Americas. Foreign currency fluctuations had no impact on the revenue comparison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the six months ended June 30, 2020 compared to</w:t>
      </w:r>
      <w:r>
        <w:rPr>
          <w:rFonts w:eastAsia="Times New Roman"/>
          <w:color w:val="000000"/>
          <w:sz w:val="20"/>
          <w:szCs w:val="20"/>
        </w:rPr>
        <w:t xml:space="preserve"> the six months ended June 30, 2019, revenue decreased 11% due to a decline in hardware revenue driven by a large customer roll-out in the prior year as well as the impact from the COVID-19 pandemic. Additionally, the revenue decrease was mainly driven by </w:t>
      </w:r>
      <w:r>
        <w:rPr>
          <w:rFonts w:eastAsia="Times New Roman"/>
          <w:color w:val="000000"/>
          <w:sz w:val="20"/>
          <w:szCs w:val="20"/>
        </w:rPr>
        <w:t>declines in the Americas. Foreign currency fluctuations had an unfavorable impact of 1% on the revenue comparison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Operating income decreased in the three months ended June 30, 2020 compared to the three months ended June 30, 2019 primarily due to the de</w:t>
      </w:r>
      <w:r>
        <w:rPr>
          <w:rFonts w:eastAsia="Times New Roman"/>
          <w:color w:val="000000"/>
          <w:sz w:val="20"/>
          <w:szCs w:val="20"/>
        </w:rPr>
        <w:t>cline in hardware volume partially offset by lower operating expenses from the initiatives put in place to address business impacts expected from the COVID-19 pandemic</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Operating income decreased in the six months ended June 30, 2020 compared to the six months ended June 30, 2019 primarily due to the decline in revenue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p>
    <w:p w:rsidR="00000000" w:rsidRDefault="000A7020">
      <w:pPr>
        <w:jc w:val="both"/>
        <w:rPr>
          <w:rFonts w:eastAsia="Times New Roman"/>
        </w:rPr>
      </w:pPr>
    </w:p>
    <w:p w:rsidR="00000000" w:rsidRDefault="000A7020">
      <w:pPr>
        <w:jc w:val="both"/>
        <w:rPr>
          <w:rFonts w:eastAsia="Times New Roman"/>
        </w:rPr>
      </w:pPr>
      <w:r>
        <w:rPr>
          <w:rFonts w:eastAsia="Times New Roman"/>
          <w:b/>
          <w:bCs/>
          <w:i/>
          <w:iCs/>
          <w:color w:val="000000"/>
          <w:sz w:val="20"/>
          <w:szCs w:val="20"/>
        </w:rPr>
        <w:t>Hospitalit</w:t>
      </w:r>
      <w:r>
        <w:rPr>
          <w:rFonts w:eastAsia="Times New Roman"/>
          <w:b/>
          <w:bCs/>
          <w:i/>
          <w:iCs/>
          <w:color w:val="000000"/>
          <w:sz w:val="20"/>
          <w:szCs w:val="20"/>
        </w:rPr>
        <w:t>y</w:t>
      </w:r>
    </w:p>
    <w:p w:rsidR="00000000" w:rsidRDefault="000A7020">
      <w:pPr>
        <w:ind w:firstLine="495"/>
        <w:jc w:val="both"/>
        <w:rPr>
          <w:rFonts w:eastAsia="Times New Roman"/>
        </w:rPr>
      </w:pPr>
    </w:p>
    <w:p w:rsidR="00000000" w:rsidRDefault="000A7020">
      <w:pPr>
        <w:jc w:val="both"/>
        <w:rPr>
          <w:rFonts w:eastAsia="Times New Roman"/>
        </w:rPr>
      </w:pPr>
      <w:r>
        <w:rPr>
          <w:rFonts w:eastAsia="Times New Roman"/>
          <w:color w:val="000000"/>
          <w:sz w:val="20"/>
          <w:szCs w:val="20"/>
        </w:rPr>
        <w:t xml:space="preserve">The following table shows the Hospitality revenue and operating loss for the three </w:t>
      </w:r>
      <w:r>
        <w:rPr>
          <w:rFonts w:eastAsia="Times New Roman"/>
          <w:color w:val="000000"/>
          <w:sz w:val="20"/>
          <w:szCs w:val="20"/>
        </w:rPr>
        <w:t>and six months ended June 30</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3938"/>
        <w:gridCol w:w="38"/>
        <w:gridCol w:w="135"/>
        <w:gridCol w:w="532"/>
        <w:gridCol w:w="235"/>
        <w:gridCol w:w="36"/>
        <w:gridCol w:w="36"/>
        <w:gridCol w:w="36"/>
        <w:gridCol w:w="135"/>
        <w:gridCol w:w="497"/>
        <w:gridCol w:w="202"/>
        <w:gridCol w:w="36"/>
        <w:gridCol w:w="36"/>
        <w:gridCol w:w="36"/>
        <w:gridCol w:w="135"/>
        <w:gridCol w:w="499"/>
        <w:gridCol w:w="235"/>
        <w:gridCol w:w="36"/>
        <w:gridCol w:w="36"/>
        <w:gridCol w:w="36"/>
        <w:gridCol w:w="135"/>
        <w:gridCol w:w="567"/>
        <w:gridCol w:w="202"/>
        <w:gridCol w:w="36"/>
        <w:gridCol w:w="36"/>
        <w:gridCol w:w="36"/>
        <w:gridCol w:w="36"/>
        <w:gridCol w:w="36"/>
        <w:gridCol w:w="36"/>
        <w:gridCol w:w="36"/>
        <w:gridCol w:w="36"/>
        <w:gridCol w:w="36"/>
        <w:gridCol w:w="36"/>
        <w:gridCol w:w="36"/>
        <w:gridCol w:w="36"/>
      </w:tblGrid>
      <w:tr w:rsidR="00000000">
        <w:trPr>
          <w:gridAfter w:val="12"/>
          <w:divId w:val="187450818"/>
          <w:jc w:val="center"/>
        </w:trPr>
        <w:tc>
          <w:tcPr>
            <w:tcW w:w="50" w:type="pct"/>
            <w:vAlign w:val="center"/>
            <w:hideMark/>
          </w:tcPr>
          <w:p w:rsidR="00000000" w:rsidRDefault="000A7020">
            <w:pPr>
              <w:jc w:val="both"/>
              <w:rPr>
                <w:rFonts w:eastAsia="Times New Roman"/>
              </w:rPr>
            </w:pPr>
          </w:p>
        </w:tc>
        <w:tc>
          <w:tcPr>
            <w:tcW w:w="260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7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87450818"/>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87450818"/>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8745081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160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202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329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395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87450818"/>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Operating income (loss</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87450818"/>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Operating income as a percentage of revenu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(2.7</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divId w:val="1058287286"/>
        <w:rPr>
          <w:rFonts w:eastAsia="Times New Roman"/>
        </w:rPr>
      </w:pPr>
    </w:p>
    <w:p w:rsidR="00000000" w:rsidRDefault="000A7020">
      <w:pPr>
        <w:jc w:val="both"/>
        <w:rPr>
          <w:rFonts w:eastAsia="Times New Roman"/>
        </w:rPr>
      </w:pPr>
      <w:r>
        <w:rPr>
          <w:rFonts w:eastAsia="Times New Roman"/>
          <w:color w:val="000000"/>
          <w:sz w:val="20"/>
          <w:szCs w:val="20"/>
        </w:rPr>
        <w:t>In the three months ended June 30, 2020 compared to the three months ended June 30, 2019, revenue decreased 21% mainly due to the continued impact from the COVID-19 pandemic. The revenue decrease was mainly driv</w:t>
      </w:r>
      <w:r>
        <w:rPr>
          <w:rFonts w:eastAsia="Times New Roman"/>
          <w:color w:val="000000"/>
          <w:sz w:val="20"/>
          <w:szCs w:val="20"/>
        </w:rPr>
        <w:t>en by North America. Foreign currency fluctuations had an unfavorable impact of 1% on the revenue comparison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the six months ended June 30, 2020 compared to the six months ended June 30, 2019, revenue decreased 17% mainly due to the impact from the CO</w:t>
      </w:r>
      <w:r>
        <w:rPr>
          <w:rFonts w:eastAsia="Times New Roman"/>
          <w:color w:val="000000"/>
          <w:sz w:val="20"/>
          <w:szCs w:val="20"/>
        </w:rPr>
        <w:t>VID-19 pandemic. The revenue decrease was mainly driven by North America. Foreign currency fluctuations had an unfavorable impact of 1% on the revenue comparison.</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Operating income decreased in the three months ended June 30, 2020 compared to the three m</w:t>
      </w:r>
      <w:r>
        <w:rPr>
          <w:rFonts w:eastAsia="Times New Roman"/>
          <w:color w:val="000000"/>
          <w:sz w:val="20"/>
          <w:szCs w:val="20"/>
        </w:rPr>
        <w:t>onths ended June 30, 2019 driven by the reduction in revenue and higher accounts receivable reserves due to increased risk from COVID-19 uncertainties partially offset by lower operating expenses from the initiatives put in place to address business impact</w:t>
      </w:r>
      <w:r>
        <w:rPr>
          <w:rFonts w:eastAsia="Times New Roman"/>
          <w:color w:val="000000"/>
          <w:sz w:val="20"/>
          <w:szCs w:val="20"/>
        </w:rPr>
        <w:t>s expected from the COVID-19 pandemic.</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Operating income decreased in the six months ended June 30, 2020 compared to the six months ended June 30, 2019 driven by the reduction in revenue, higher planned expenses from strategic acquisitions completed in 2019 as well as higher accounts receivable </w:t>
      </w:r>
      <w:r>
        <w:rPr>
          <w:rFonts w:eastAsia="Times New Roman"/>
          <w:color w:val="000000"/>
          <w:sz w:val="20"/>
          <w:szCs w:val="20"/>
        </w:rPr>
        <w:t>reserves due to increased risk from COVID-19 uncertainties</w:t>
      </w:r>
      <w:r>
        <w:rPr>
          <w:rFonts w:eastAsia="Times New Roman"/>
          <w:color w:val="000000"/>
          <w:sz w:val="20"/>
          <w:szCs w:val="20"/>
        </w:rPr>
        <w:t>.</w:t>
      </w:r>
    </w:p>
    <w:p w:rsidR="00000000" w:rsidRDefault="000A7020">
      <w:pPr>
        <w:jc w:val="both"/>
        <w:rPr>
          <w:rFonts w:eastAsia="Times New Roman"/>
        </w:rPr>
      </w:pPr>
    </w:p>
    <w:p w:rsidR="00000000" w:rsidRDefault="000A7020">
      <w:pPr>
        <w:jc w:val="center"/>
        <w:divId w:val="324477360"/>
        <w:rPr>
          <w:rFonts w:eastAsia="Times New Roman"/>
        </w:rPr>
      </w:pPr>
      <w:r>
        <w:rPr>
          <w:rFonts w:eastAsia="Times New Roman"/>
          <w:color w:val="000000"/>
          <w:sz w:val="20"/>
          <w:szCs w:val="20"/>
        </w:rPr>
        <w:t>5</w:t>
      </w:r>
      <w:r>
        <w:rPr>
          <w:rFonts w:eastAsia="Times New Roman"/>
          <w:color w:val="000000"/>
          <w:sz w:val="20"/>
          <w:szCs w:val="20"/>
        </w:rPr>
        <w:t>0</w:t>
      </w:r>
    </w:p>
    <w:p w:rsidR="00000000" w:rsidRDefault="000A7020">
      <w:pPr>
        <w:rPr>
          <w:rFonts w:eastAsia="Times New Roman"/>
        </w:rPr>
      </w:pPr>
      <w:r>
        <w:rPr>
          <w:rFonts w:eastAsia="Times New Roman"/>
        </w:rPr>
        <w:pict>
          <v:rect id="_x0000_i1075" style="width:0;height:1.5pt" o:hralign="center" o:hrstd="t" o:hr="t" fillcolor="#a0a0a0" stroked="f"/>
        </w:pict>
      </w:r>
    </w:p>
    <w:p w:rsidR="00000000" w:rsidRDefault="000A7020">
      <w:pPr>
        <w:divId w:val="302271589"/>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rPr>
          <w:rFonts w:eastAsia="Times New Roman"/>
        </w:rPr>
      </w:pPr>
      <w:r>
        <w:rPr>
          <w:rFonts w:eastAsia="Times New Roman"/>
          <w:b/>
          <w:bCs/>
          <w:i/>
          <w:iCs/>
          <w:color w:val="000000"/>
          <w:sz w:val="20"/>
          <w:szCs w:val="20"/>
        </w:rPr>
        <w:t>Othe</w:t>
      </w:r>
      <w:r>
        <w:rPr>
          <w:rFonts w:eastAsia="Times New Roman"/>
          <w:b/>
          <w:bCs/>
          <w:i/>
          <w:iCs/>
          <w:color w:val="000000"/>
          <w:sz w:val="20"/>
          <w:szCs w:val="20"/>
        </w:rPr>
        <w:t>r</w:t>
      </w:r>
    </w:p>
    <w:p w:rsidR="00000000" w:rsidRDefault="000A7020">
      <w:pPr>
        <w:ind w:firstLine="495"/>
        <w:jc w:val="both"/>
        <w:rPr>
          <w:rFonts w:eastAsia="Times New Roman"/>
        </w:rPr>
      </w:pPr>
    </w:p>
    <w:p w:rsidR="00000000" w:rsidRDefault="000A7020">
      <w:pPr>
        <w:jc w:val="both"/>
        <w:rPr>
          <w:rFonts w:eastAsia="Times New Roman"/>
        </w:rPr>
      </w:pPr>
      <w:r>
        <w:rPr>
          <w:rFonts w:eastAsia="Times New Roman"/>
          <w:color w:val="000000"/>
          <w:sz w:val="20"/>
          <w:szCs w:val="20"/>
        </w:rPr>
        <w:t>The following table shows the Other revenue and operating income for the three and six months ended June 30</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122"/>
        <w:gridCol w:w="38"/>
        <w:gridCol w:w="135"/>
        <w:gridCol w:w="532"/>
        <w:gridCol w:w="235"/>
        <w:gridCol w:w="36"/>
        <w:gridCol w:w="36"/>
        <w:gridCol w:w="36"/>
        <w:gridCol w:w="136"/>
        <w:gridCol w:w="497"/>
        <w:gridCol w:w="202"/>
        <w:gridCol w:w="36"/>
        <w:gridCol w:w="36"/>
        <w:gridCol w:w="36"/>
        <w:gridCol w:w="135"/>
        <w:gridCol w:w="440"/>
        <w:gridCol w:w="235"/>
        <w:gridCol w:w="36"/>
        <w:gridCol w:w="36"/>
        <w:gridCol w:w="36"/>
        <w:gridCol w:w="135"/>
        <w:gridCol w:w="441"/>
        <w:gridCol w:w="202"/>
        <w:gridCol w:w="36"/>
        <w:gridCol w:w="36"/>
        <w:gridCol w:w="36"/>
        <w:gridCol w:w="36"/>
        <w:gridCol w:w="36"/>
        <w:gridCol w:w="36"/>
        <w:gridCol w:w="36"/>
        <w:gridCol w:w="36"/>
        <w:gridCol w:w="36"/>
        <w:gridCol w:w="36"/>
        <w:gridCol w:w="36"/>
        <w:gridCol w:w="36"/>
      </w:tblGrid>
      <w:tr w:rsidR="00000000">
        <w:trPr>
          <w:gridAfter w:val="12"/>
          <w:divId w:val="1151368132"/>
          <w:jc w:val="center"/>
        </w:trPr>
        <w:tc>
          <w:tcPr>
            <w:tcW w:w="50" w:type="pct"/>
            <w:vAlign w:val="center"/>
            <w:hideMark/>
          </w:tcPr>
          <w:p w:rsidR="00000000" w:rsidRDefault="000A7020">
            <w:pPr>
              <w:jc w:val="both"/>
              <w:rPr>
                <w:rFonts w:eastAsia="Times New Roman"/>
              </w:rPr>
            </w:pPr>
          </w:p>
        </w:tc>
        <w:tc>
          <w:tcPr>
            <w:tcW w:w="272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9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398"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151368132"/>
          <w:jc w:val="center"/>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Three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151368132"/>
          <w:jc w:val="center"/>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51368132"/>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177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51368132"/>
          <w:jc w:val="center"/>
        </w:trPr>
        <w:tc>
          <w:tcPr>
            <w:tcW w:w="0" w:type="auto"/>
            <w:gridSpan w:val="3"/>
            <w:shd w:val="clear" w:color="auto" w:fill="FFFF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151368132"/>
          <w:jc w:val="center"/>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Operating income as a percentage of revenu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9.0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divId w:val="787702106"/>
        <w:rPr>
          <w:rFonts w:eastAsia="Times New Roman"/>
        </w:rPr>
      </w:pPr>
    </w:p>
    <w:p w:rsidR="00000000" w:rsidRDefault="000A7020">
      <w:pPr>
        <w:jc w:val="both"/>
        <w:rPr>
          <w:rFonts w:eastAsia="Times New Roman"/>
        </w:rPr>
      </w:pPr>
      <w:r>
        <w:rPr>
          <w:rFonts w:eastAsia="Times New Roman"/>
          <w:color w:val="000000"/>
          <w:sz w:val="20"/>
          <w:szCs w:val="20"/>
        </w:rPr>
        <w:t>In the three months ended June 30, 2020 compared to June 30, 2019, revenue decreased 5% due to declines in Europe partially offset by growth in the Americas. Foreign currency fluctuations had an unfavorable impa</w:t>
      </w:r>
      <w:r>
        <w:rPr>
          <w:rFonts w:eastAsia="Times New Roman"/>
          <w:color w:val="000000"/>
          <w:sz w:val="20"/>
          <w:szCs w:val="20"/>
        </w:rPr>
        <w:t>ct of 3% on the revenue comparison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the six months ended June 30, 2020 compared to June 30, 2019, revenue increased 13% due to growth in the Americas partially offset by declines in Europe. Foreign currency fluctuations had an unfavorable impact of 2%</w:t>
      </w:r>
      <w:r>
        <w:rPr>
          <w:rFonts w:eastAsia="Times New Roman"/>
          <w:color w:val="000000"/>
          <w:sz w:val="20"/>
          <w:szCs w:val="20"/>
        </w:rPr>
        <w:t xml:space="preserve"> on the revenue comparison.</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Operating income decreased in the three and six months ended June 30, 2020 compared to June 30, 2019 driven by the mix of revenue.</w:t>
      </w:r>
      <w:r>
        <w:rPr>
          <w:rFonts w:eastAsia="Times New Roman"/>
          <w:color w:val="000000"/>
          <w:sz w:val="20"/>
          <w:szCs w:val="20"/>
        </w:rPr>
        <w:t xml:space="preserve"> </w:t>
      </w:r>
    </w:p>
    <w:p w:rsidR="00000000" w:rsidRDefault="000A7020">
      <w:pPr>
        <w:divId w:val="1438868486"/>
        <w:rPr>
          <w:rFonts w:eastAsia="Times New Roman"/>
        </w:rPr>
      </w:pPr>
    </w:p>
    <w:p w:rsidR="00000000" w:rsidRDefault="000A7020">
      <w:pPr>
        <w:jc w:val="both"/>
        <w:rPr>
          <w:rFonts w:eastAsia="Times New Roman"/>
        </w:rPr>
      </w:pPr>
      <w:r>
        <w:rPr>
          <w:rFonts w:eastAsia="Times New Roman"/>
          <w:b/>
          <w:bCs/>
          <w:i/>
          <w:iCs/>
          <w:color w:val="000000"/>
          <w:sz w:val="20"/>
          <w:szCs w:val="20"/>
        </w:rPr>
        <w:t>Continuing Impacts of COVID-1</w:t>
      </w:r>
      <w:r>
        <w:rPr>
          <w:rFonts w:eastAsia="Times New Roman"/>
          <w:b/>
          <w:bCs/>
          <w:i/>
          <w:iCs/>
          <w:color w:val="000000"/>
          <w:sz w:val="20"/>
          <w:szCs w:val="20"/>
        </w:rPr>
        <w:t>9</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While it is difficult to project how deep the pandemic will be and how long it will last, we do expect it will negatively impact our business for the remainder of 2020. We expect our Hospitality and Retail segments to be the most impacted by the COVID-19 p</w:t>
      </w:r>
      <w:r>
        <w:rPr>
          <w:rFonts w:eastAsia="Times New Roman"/>
          <w:color w:val="000000"/>
          <w:sz w:val="20"/>
          <w:szCs w:val="20"/>
        </w:rPr>
        <w:t>andemic, but do expect our Banking segment will also experience negative impacts. We expect our hardware revenues to be most impacted while our recurring revenue stream is expected to be more resilient</w:t>
      </w:r>
      <w:r>
        <w:rPr>
          <w:rFonts w:eastAsia="Times New Roman"/>
          <w:color w:val="000000"/>
          <w:sz w:val="20"/>
          <w:szCs w:val="20"/>
        </w:rPr>
        <w:t>.</w:t>
      </w:r>
      <w:r>
        <w:rPr>
          <w:rFonts w:eastAsia="Times New Roman"/>
          <w:color w:val="000000"/>
          <w:sz w:val="22"/>
          <w:szCs w:val="22"/>
        </w:rPr>
        <w:t xml:space="preserve"> </w:t>
      </w:r>
    </w:p>
    <w:p w:rsidR="00000000" w:rsidRDefault="000A7020">
      <w:pPr>
        <w:jc w:val="both"/>
        <w:rPr>
          <w:rFonts w:eastAsia="Times New Roman"/>
        </w:rPr>
      </w:pP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u w:val="single"/>
        </w:rPr>
        <w:t>Financial Condition, Liquidity, and Capital Reso</w:t>
      </w:r>
      <w:r>
        <w:rPr>
          <w:rFonts w:eastAsia="Times New Roman"/>
          <w:i/>
          <w:iCs/>
          <w:color w:val="000000"/>
          <w:sz w:val="20"/>
          <w:szCs w:val="20"/>
          <w:u w:val="single"/>
        </w:rPr>
        <w:t>urce</w:t>
      </w:r>
      <w:r>
        <w:rPr>
          <w:rFonts w:eastAsia="Times New Roman"/>
          <w:i/>
          <w:iCs/>
          <w:color w:val="000000"/>
          <w:sz w:val="20"/>
          <w:szCs w:val="20"/>
          <w:u w:val="single"/>
        </w:rPr>
        <w:t>s</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Cash provided by operating activities was $283 million in the six months ended </w:t>
      </w:r>
      <w:r>
        <w:rPr>
          <w:rFonts w:eastAsia="Times New Roman"/>
          <w:color w:val="000000"/>
          <w:sz w:val="20"/>
          <w:szCs w:val="20"/>
        </w:rPr>
        <w:t>June 30, 2020 compared to cash provided by operating activities of $71 million in the six months ended June 30, 2019. The increase in cash provided by operating activities was due to working capital improvements.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NCR’s management uses a non-GAAP measure</w:t>
      </w:r>
      <w:r>
        <w:rPr>
          <w:rFonts w:eastAsia="Times New Roman"/>
          <w:color w:val="000000"/>
          <w:sz w:val="20"/>
          <w:szCs w:val="20"/>
        </w:rPr>
        <w:t xml:space="preserve"> called “free cash flow” to assess the financial performance of the Company. We define free cash flow as net cash provided by (used in) operating activities and cash provided by (used in) discontinued operations, less capital expenditures for property, pla</w:t>
      </w:r>
      <w:r>
        <w:rPr>
          <w:rFonts w:eastAsia="Times New Roman"/>
          <w:color w:val="000000"/>
          <w:sz w:val="20"/>
          <w:szCs w:val="20"/>
        </w:rPr>
        <w:t xml:space="preserve">nt and equipment, less additions to capitalized software, plus discretionary pension contributions and settlements. We believe free cash flow information is useful for investors because it relates the operating cash flows from the Company’s continuing and </w:t>
      </w:r>
      <w:r>
        <w:rPr>
          <w:rFonts w:eastAsia="Times New Roman"/>
          <w:color w:val="000000"/>
          <w:sz w:val="20"/>
          <w:szCs w:val="20"/>
        </w:rPr>
        <w:t>discontinued operations to the capital that is spent to continue and improve business operations. In particular, free cash flow indicates the amount of cash available after capital expenditures for, among other things, investments in the Company’s existing</w:t>
      </w:r>
      <w:r>
        <w:rPr>
          <w:rFonts w:eastAsia="Times New Roman"/>
          <w:color w:val="000000"/>
          <w:sz w:val="20"/>
          <w:szCs w:val="20"/>
        </w:rPr>
        <w:t xml:space="preserve"> businesses, strategic acquisitions, repurchases of NCR stock and repayment of debt obligations. Free cash flow does not represent the residual cash flow available for discretionary expenditures, since there may be other non-discretionary expenditures that</w:t>
      </w:r>
      <w:r>
        <w:rPr>
          <w:rFonts w:eastAsia="Times New Roman"/>
          <w:color w:val="000000"/>
          <w:sz w:val="20"/>
          <w:szCs w:val="20"/>
        </w:rPr>
        <w:t xml:space="preserve"> are not deducted from the measure. Free cash flow does not have a uniform definition under GAAP, and therefore NCR’s definition may differ from other companies’ definitions of this measure. This non-GAAP measure should not be considered a substitute for, </w:t>
      </w:r>
      <w:r>
        <w:rPr>
          <w:rFonts w:eastAsia="Times New Roman"/>
          <w:color w:val="000000"/>
          <w:sz w:val="20"/>
          <w:szCs w:val="20"/>
        </w:rPr>
        <w:t>or superior to, cash flows from operating activities under GAAP.</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table below reconciles net cash provided by operating activities to NCR’s non-GAAP measure of free cash flow for the six months ended June 30</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52"/>
        <w:gridCol w:w="5630"/>
        <w:gridCol w:w="52"/>
        <w:gridCol w:w="135"/>
        <w:gridCol w:w="909"/>
        <w:gridCol w:w="85"/>
        <w:gridCol w:w="36"/>
        <w:gridCol w:w="36"/>
        <w:gridCol w:w="36"/>
        <w:gridCol w:w="135"/>
        <w:gridCol w:w="886"/>
        <w:gridCol w:w="85"/>
        <w:gridCol w:w="36"/>
        <w:gridCol w:w="36"/>
        <w:gridCol w:w="36"/>
        <w:gridCol w:w="36"/>
        <w:gridCol w:w="36"/>
        <w:gridCol w:w="36"/>
      </w:tblGrid>
      <w:tr w:rsidR="00000000">
        <w:trPr>
          <w:gridAfter w:val="6"/>
          <w:divId w:val="1787919635"/>
        </w:trPr>
        <w:tc>
          <w:tcPr>
            <w:tcW w:w="50" w:type="pct"/>
            <w:vAlign w:val="center"/>
            <w:hideMark/>
          </w:tcPr>
          <w:p w:rsidR="00000000" w:rsidRDefault="000A7020">
            <w:pPr>
              <w:jc w:val="both"/>
              <w:rPr>
                <w:rFonts w:eastAsia="Times New Roman"/>
              </w:rPr>
            </w:pPr>
          </w:p>
        </w:tc>
        <w:tc>
          <w:tcPr>
            <w:tcW w:w="3501"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8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26"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8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1787919635"/>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Six months ended June 3</w:t>
            </w:r>
            <w:r>
              <w:rPr>
                <w:rFonts w:eastAsia="Times New Roman"/>
                <w:b/>
                <w:bCs/>
                <w:color w:val="000000"/>
                <w:sz w:val="16"/>
                <w:szCs w:val="16"/>
              </w:rPr>
              <w:t>0</w:t>
            </w:r>
          </w:p>
        </w:tc>
        <w:tc>
          <w:tcPr>
            <w:tcW w:w="0" w:type="auto"/>
            <w:gridSpan w:val="3"/>
            <w:vAlign w:val="center"/>
            <w:hideMark/>
          </w:tcPr>
          <w:p w:rsidR="00000000" w:rsidRDefault="000A7020">
            <w:pPr>
              <w:jc w:val="cente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1787919635"/>
        </w:trPr>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b/>
                <w:bCs/>
                <w:color w:val="000000"/>
                <w:sz w:val="16"/>
                <w:szCs w:val="16"/>
              </w:rPr>
              <w:t>In million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87919635"/>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283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87919635"/>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Expenditures for property, plant and equipmen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(18</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(35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87919635"/>
        </w:trPr>
        <w:tc>
          <w:tcPr>
            <w:tcW w:w="0" w:type="auto"/>
            <w:gridSpan w:val="3"/>
            <w:shd w:val="clear" w:color="auto" w:fill="CCEE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Additions to capitalized softwar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(122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(103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87919635"/>
        </w:trPr>
        <w:tc>
          <w:tcPr>
            <w:tcW w:w="0" w:type="auto"/>
            <w:gridSpan w:val="3"/>
            <w:shd w:val="clear" w:color="auto" w:fill="FFFFFF"/>
            <w:tcMar>
              <w:top w:w="30" w:type="dxa"/>
              <w:left w:w="360" w:type="dxa"/>
              <w:bottom w:w="30" w:type="dxa"/>
              <w:right w:w="20" w:type="dxa"/>
            </w:tcMar>
            <w:hideMark/>
          </w:tcPr>
          <w:p w:rsidR="00000000" w:rsidRDefault="000A7020">
            <w:pPr>
              <w:rPr>
                <w:rFonts w:eastAsia="Times New Roman"/>
              </w:rPr>
            </w:pPr>
            <w:r>
              <w:rPr>
                <w:rFonts w:eastAsia="Times New Roman"/>
                <w:color w:val="000000"/>
                <w:sz w:val="20"/>
                <w:szCs w:val="20"/>
              </w:rPr>
              <w:t>Net cash used in discontinued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0A70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1787919635"/>
        </w:trPr>
        <w:tc>
          <w:tcPr>
            <w:tcW w:w="0" w:type="auto"/>
            <w:gridSpan w:val="3"/>
            <w:shd w:val="clear" w:color="auto" w:fill="CCEEFF"/>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Free cash flow (use) (non-GAAP</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b/>
                <w:bCs/>
                <w:color w:val="000000"/>
                <w:sz w:val="20"/>
                <w:szCs w:val="20"/>
              </w:rPr>
              <w:t>149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0A70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0A70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0A7020">
            <w:pPr>
              <w:jc w:val="right"/>
              <w:rPr>
                <w:rFonts w:eastAsia="Times New Roman"/>
              </w:rPr>
            </w:pPr>
            <w:r>
              <w:rPr>
                <w:rFonts w:eastAsia="Times New Roman"/>
                <w:color w:val="000000"/>
                <w:sz w:val="20"/>
                <w:szCs w:val="20"/>
              </w:rPr>
              <w:t>(78</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0A7020">
            <w:pPr>
              <w:jc w:val="right"/>
              <w:rPr>
                <w:rFonts w:eastAsia="Times New Roman"/>
              </w:rPr>
            </w:pPr>
            <w:r>
              <w:rPr>
                <w:rFonts w:eastAsia="Times New Roman"/>
                <w:color w:val="000000"/>
                <w:sz w:val="20"/>
                <w:szCs w:val="20"/>
              </w:rPr>
              <w:t> </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00000" w:rsidRDefault="000A7020">
      <w:pPr>
        <w:jc w:val="center"/>
        <w:divId w:val="1813643807"/>
        <w:rPr>
          <w:rFonts w:eastAsia="Times New Roman"/>
        </w:rPr>
      </w:pPr>
      <w:r>
        <w:rPr>
          <w:rFonts w:eastAsia="Times New Roman"/>
          <w:color w:val="000000"/>
          <w:sz w:val="20"/>
          <w:szCs w:val="20"/>
        </w:rPr>
        <w:t>5</w:t>
      </w:r>
      <w:r>
        <w:rPr>
          <w:rFonts w:eastAsia="Times New Roman"/>
          <w:color w:val="000000"/>
          <w:sz w:val="20"/>
          <w:szCs w:val="20"/>
        </w:rPr>
        <w:t>1</w:t>
      </w:r>
    </w:p>
    <w:p w:rsidR="00000000" w:rsidRDefault="000A7020">
      <w:pPr>
        <w:rPr>
          <w:rFonts w:eastAsia="Times New Roman"/>
        </w:rPr>
      </w:pPr>
      <w:r>
        <w:rPr>
          <w:rFonts w:eastAsia="Times New Roman"/>
        </w:rPr>
        <w:pict>
          <v:rect id="_x0000_i1076" style="width:0;height:1.5pt" o:hralign="center" o:hrstd="t" o:hr="t" fillcolor="#a0a0a0" stroked="f"/>
        </w:pict>
      </w:r>
    </w:p>
    <w:p w:rsidR="00000000" w:rsidRDefault="000A7020">
      <w:pPr>
        <w:divId w:val="981273226"/>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divId w:val="1293175229"/>
        <w:rPr>
          <w:rFonts w:eastAsia="Times New Roman"/>
        </w:rPr>
      </w:pPr>
    </w:p>
    <w:p w:rsidR="00000000" w:rsidRDefault="000A7020">
      <w:pPr>
        <w:jc w:val="both"/>
        <w:rPr>
          <w:rFonts w:eastAsia="Times New Roman"/>
        </w:rPr>
      </w:pPr>
      <w:r>
        <w:rPr>
          <w:rFonts w:eastAsia="Times New Roman"/>
          <w:color w:val="000000"/>
          <w:sz w:val="20"/>
          <w:szCs w:val="20"/>
        </w:rPr>
        <w:t>The decrease in expenditures for property, plant and equipment is primarily due to the strategic focus to reduce spending in order to increase</w:t>
      </w:r>
      <w:r>
        <w:rPr>
          <w:rFonts w:eastAsia="Times New Roman"/>
          <w:color w:val="000000"/>
          <w:sz w:val="20"/>
          <w:szCs w:val="20"/>
        </w:rPr>
        <w:t xml:space="preserve"> investment in our capitalized software for the investment in our strategic growth platforms. Additionally, cash provided by operating activities included $95 million of insurance proceeds as an advance for the Nashville Global Fulfillment Center outage. T</w:t>
      </w:r>
      <w:r>
        <w:rPr>
          <w:rFonts w:eastAsia="Times New Roman"/>
          <w:color w:val="000000"/>
          <w:sz w:val="20"/>
          <w:szCs w:val="20"/>
        </w:rPr>
        <w:t>here was no impact to the six months ended June 30, 2019 cash provided by operating activities and free cash flow from the revision discussed in Note 2, Revisions of Previously Issued Financial Statements of the Notes to the Condensed Consolidated Financia</w:t>
      </w:r>
      <w:r>
        <w:rPr>
          <w:rFonts w:eastAsia="Times New Roman"/>
          <w:color w:val="000000"/>
          <w:sz w:val="20"/>
          <w:szCs w:val="20"/>
        </w:rPr>
        <w:t>l Statements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Financing activities and certain other investing activities are not included in our calculation of free cash flow. Other investing activities primarily include business acquisitions, divestitures and investments as well as proceeds from the</w:t>
      </w:r>
      <w:r>
        <w:rPr>
          <w:rFonts w:eastAsia="Times New Roman"/>
          <w:color w:val="000000"/>
          <w:sz w:val="20"/>
          <w:szCs w:val="20"/>
        </w:rPr>
        <w:t xml:space="preserve"> sale of property, plant and equipment. During the six months ended June 30, 2020, the payments for business combinations was $25 million, mainly for the remaining consideration paid related to the acquisition of Zynstra Ltd. completed in 2019</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Our finan</w:t>
      </w:r>
      <w:r>
        <w:rPr>
          <w:rFonts w:eastAsia="Times New Roman"/>
          <w:color w:val="000000"/>
          <w:sz w:val="20"/>
          <w:szCs w:val="20"/>
        </w:rPr>
        <w:t>cing activities include borrowings and repayments of credit facilities and notes. During the six months ended June 30, 2020, we issued new senior unsecured notes for an aggregate principal amount of $400 million and paid $7 million of deferred financing fe</w:t>
      </w:r>
      <w:r>
        <w:rPr>
          <w:rFonts w:eastAsia="Times New Roman"/>
          <w:color w:val="000000"/>
          <w:sz w:val="20"/>
          <w:szCs w:val="20"/>
        </w:rPr>
        <w:t>es related to this issuance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Financing activities during the six months ended June 30, 2020 also included the repurchase of our common stock for $41 million, dividends paid on the Series A preferred stock of $6 million, proceeds from stock employee plans</w:t>
      </w:r>
      <w:r>
        <w:rPr>
          <w:rFonts w:eastAsia="Times New Roman"/>
          <w:color w:val="000000"/>
          <w:sz w:val="20"/>
          <w:szCs w:val="20"/>
        </w:rPr>
        <w:t xml:space="preserve"> of $9 million as well as tax withholding payments on behalf of employees for stock based awards that vested of $25 million. Financing activities during the six months ended June 30, 2019 included proceeds from stock employee plans of $10 million and tax w</w:t>
      </w:r>
      <w:r>
        <w:rPr>
          <w:rFonts w:eastAsia="Times New Roman"/>
          <w:color w:val="000000"/>
          <w:sz w:val="20"/>
          <w:szCs w:val="20"/>
        </w:rPr>
        <w:t>ithholding payments on behalf of employees for stock based awards that vested of $16 million. Additionally, there were no repurchases of our common stock completed during the six months ended June 30, 2019</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Long Term Borrowing</w:t>
      </w:r>
      <w:r>
        <w:rPr>
          <w:rFonts w:eastAsia="Times New Roman"/>
          <w:b/>
          <w:bCs/>
          <w:color w:val="000000"/>
          <w:sz w:val="20"/>
          <w:szCs w:val="20"/>
        </w:rPr>
        <w:t>s</w:t>
      </w:r>
      <w:r>
        <w:rPr>
          <w:rFonts w:eastAsia="Times New Roman"/>
          <w:color w:val="000000"/>
          <w:sz w:val="20"/>
          <w:szCs w:val="20"/>
        </w:rPr>
        <w:t xml:space="preserve"> On August 28, 2019, we ame</w:t>
      </w:r>
      <w:r>
        <w:rPr>
          <w:rFonts w:eastAsia="Times New Roman"/>
          <w:color w:val="000000"/>
          <w:sz w:val="20"/>
          <w:szCs w:val="20"/>
        </w:rPr>
        <w:t>nded and restated our senior secured credit facility and refinanced the term loan facility and revolving credit facility thereunder. The senior secured credit facility consists of a term loan facility in an aggregate principal amount of $750 million, of wh</w:t>
      </w:r>
      <w:r>
        <w:rPr>
          <w:rFonts w:eastAsia="Times New Roman"/>
          <w:color w:val="000000"/>
          <w:sz w:val="20"/>
          <w:szCs w:val="20"/>
        </w:rPr>
        <w:t xml:space="preserve">ich $744 million was outstanding as of June 30, 2020. Additionally, the senior secured credit facility provides for a revolving credit facility with an aggregate principal amount of $1.1 billion, of which $1.07 billion was outstanding as of June 30, 2020, </w:t>
      </w:r>
      <w:r>
        <w:rPr>
          <w:rFonts w:eastAsia="Times New Roman"/>
          <w:color w:val="000000"/>
          <w:sz w:val="20"/>
          <w:szCs w:val="20"/>
        </w:rPr>
        <w:t>subject to certain covenant limitations. Additionally, the revolving credit facility has up to $400 million available to certain foreign subsidiaries, as long as there is availability under the revolving credit facility. Loans under the revolving credit fa</w:t>
      </w:r>
      <w:r>
        <w:rPr>
          <w:rFonts w:eastAsia="Times New Roman"/>
          <w:color w:val="000000"/>
          <w:sz w:val="20"/>
          <w:szCs w:val="20"/>
        </w:rPr>
        <w:t>cility are available in U.S. Dollars, Euros and Pound Sterling. The revolving credit facility also allows a portion of the availability to be used for letters of credit, and as of June 30, 2020, there were $28 million letters of credit outstanding. As of D</w:t>
      </w:r>
      <w:r>
        <w:rPr>
          <w:rFonts w:eastAsia="Times New Roman"/>
          <w:color w:val="000000"/>
          <w:sz w:val="20"/>
          <w:szCs w:val="20"/>
        </w:rPr>
        <w:t>ecember 31, 2019, the outstanding principal balance of the term loan facility was $748 million and the outstanding balance on the revolving facility was $265 million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On April 13, 2020, the Company issued $400 million aggregate principal amount of 8.125%</w:t>
      </w:r>
      <w:r>
        <w:rPr>
          <w:rFonts w:eastAsia="Times New Roman"/>
          <w:color w:val="000000"/>
          <w:sz w:val="20"/>
          <w:szCs w:val="20"/>
        </w:rPr>
        <w:t xml:space="preserve"> senior unsecured notes due in 2025 (the 8.125% Notes). The 8.125% Notes were sold at 100% of the principal amount, which resulted in total gross proceeds of $400 million</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As of June 30, 2020, we had outstanding $400 million in aggregate principal balanc</w:t>
      </w:r>
      <w:r>
        <w:rPr>
          <w:rFonts w:eastAsia="Times New Roman"/>
          <w:color w:val="000000"/>
          <w:sz w:val="20"/>
          <w:szCs w:val="20"/>
        </w:rPr>
        <w:t>e of 8.125% senior unsecured noted due in 2025, $500 million in aggregate principal balance of 5.750% senior unsecured notes due in 2027, $500 million in aggregate principal balance of 6.125% senior unsecured notes due in 2029, $700 million in aggregate pr</w:t>
      </w:r>
      <w:r>
        <w:rPr>
          <w:rFonts w:eastAsia="Times New Roman"/>
          <w:color w:val="000000"/>
          <w:sz w:val="20"/>
          <w:szCs w:val="20"/>
        </w:rPr>
        <w:t>incipal balance of 6.375% senior unsecured notes due in 2023, $600 million in aggregate principal balance of 5.00% senior unsecured notes due in 2022.</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Our revolving trade receivables securitization facility provides the Company with up to $300 million i</w:t>
      </w:r>
      <w:r>
        <w:rPr>
          <w:rFonts w:eastAsia="Times New Roman"/>
          <w:color w:val="000000"/>
          <w:sz w:val="20"/>
          <w:szCs w:val="20"/>
        </w:rPr>
        <w:t>n funding based on the availability of eligible receivables and other customary factors and conditions. As of June 30, 2020 and December 31, 2019, the Company had $200 million and $270 million, respectively, outstanding under the facility.</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Series A Conv</w:t>
      </w:r>
      <w:r>
        <w:rPr>
          <w:rFonts w:eastAsia="Times New Roman"/>
          <w:b/>
          <w:bCs/>
          <w:color w:val="000000"/>
          <w:sz w:val="20"/>
          <w:szCs w:val="20"/>
        </w:rPr>
        <w:t>ertible Preferred Stoc</w:t>
      </w:r>
      <w:r>
        <w:rPr>
          <w:rFonts w:eastAsia="Times New Roman"/>
          <w:b/>
          <w:bCs/>
          <w:color w:val="000000"/>
          <w:sz w:val="20"/>
          <w:szCs w:val="20"/>
        </w:rPr>
        <w:t>k</w:t>
      </w:r>
      <w:r>
        <w:rPr>
          <w:rFonts w:eastAsia="Times New Roman"/>
          <w:color w:val="000000"/>
          <w:sz w:val="20"/>
          <w:szCs w:val="20"/>
        </w:rPr>
        <w:t xml:space="preserve"> On December 4, 2015, NCR issued 820,000 shares of Series A Convertible Preferred Stock to certain entities affiliated with the Blackstone Group L.P. for an aggregate purchase price of $820 million, or $1,000 per share, pursuant to a</w:t>
      </w:r>
      <w:r>
        <w:rPr>
          <w:rFonts w:eastAsia="Times New Roman"/>
          <w:color w:val="000000"/>
          <w:sz w:val="20"/>
          <w:szCs w:val="20"/>
        </w:rPr>
        <w:t>n Investment Agreement between the Company and Blackstone, dated November 11, 2015. In connection with the issuance of the Series A Convertible Preferred Stock, the Company incurred direct and incremental expenses of $26 million. These direct and increment</w:t>
      </w:r>
      <w:r>
        <w:rPr>
          <w:rFonts w:eastAsia="Times New Roman"/>
          <w:color w:val="000000"/>
          <w:sz w:val="20"/>
          <w:szCs w:val="20"/>
        </w:rPr>
        <w:t>al expenses reduced the Series A Convertible Preferred Stock, and will be accreted through retained earnings as a deemed dividend from the date of issuance through the first possible known redemption date, March 16, 2024. Holders of Series A Convertible Pr</w:t>
      </w:r>
      <w:r>
        <w:rPr>
          <w:rFonts w:eastAsia="Times New Roman"/>
          <w:color w:val="000000"/>
          <w:sz w:val="20"/>
          <w:szCs w:val="20"/>
        </w:rPr>
        <w:t>eferred Stock are entitled to a cumulative dividend at the rate of 5.5% per annum, payable quarterly in arrears.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center"/>
        <w:divId w:val="1810241307"/>
        <w:rPr>
          <w:rFonts w:eastAsia="Times New Roman"/>
        </w:rPr>
      </w:pPr>
      <w:r>
        <w:rPr>
          <w:rFonts w:eastAsia="Times New Roman"/>
          <w:color w:val="000000"/>
          <w:sz w:val="20"/>
          <w:szCs w:val="20"/>
        </w:rPr>
        <w:t>5</w:t>
      </w:r>
      <w:r>
        <w:rPr>
          <w:rFonts w:eastAsia="Times New Roman"/>
          <w:color w:val="000000"/>
          <w:sz w:val="20"/>
          <w:szCs w:val="20"/>
        </w:rPr>
        <w:t>2</w:t>
      </w:r>
    </w:p>
    <w:p w:rsidR="00000000" w:rsidRDefault="000A7020">
      <w:pPr>
        <w:rPr>
          <w:rFonts w:eastAsia="Times New Roman"/>
        </w:rPr>
      </w:pPr>
      <w:r>
        <w:rPr>
          <w:rFonts w:eastAsia="Times New Roman"/>
        </w:rPr>
        <w:pict>
          <v:rect id="_x0000_i1077" style="width:0;height:1.5pt" o:hralign="center" o:hrstd="t" o:hr="t" fillcolor="#a0a0a0" stroked="f"/>
        </w:pict>
      </w:r>
    </w:p>
    <w:p w:rsidR="00000000" w:rsidRDefault="000A7020">
      <w:pPr>
        <w:divId w:val="575550219"/>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rPr>
          <w:rFonts w:eastAsia="Times New Roman"/>
        </w:rPr>
      </w:pPr>
      <w:r>
        <w:rPr>
          <w:rFonts w:eastAsia="Times New Roman"/>
          <w:color w:val="000000"/>
          <w:sz w:val="20"/>
          <w:szCs w:val="20"/>
        </w:rPr>
        <w:t>Under the Investment Agr</w:t>
      </w:r>
      <w:r>
        <w:rPr>
          <w:rFonts w:eastAsia="Times New Roman"/>
          <w:color w:val="000000"/>
          <w:sz w:val="20"/>
          <w:szCs w:val="20"/>
        </w:rPr>
        <w:t>eement, Blackstone agreed not to sell or otherwise transfer its shares of Series A Convertible Preferred Stock (or any shares of common stock issued upon conversion thereof) without the Company’s consent until June 4, 2017. In March 2017, we provided Black</w:t>
      </w:r>
      <w:r>
        <w:rPr>
          <w:rFonts w:eastAsia="Times New Roman"/>
          <w:color w:val="000000"/>
          <w:sz w:val="20"/>
          <w:szCs w:val="20"/>
        </w:rPr>
        <w:t>stone with an early release from this lock-up, allowing Blackstone to sell approximately 49% of its shares of Series A Convertible Preferred Stock, and in return, Blackstone agreed to amend the Investment Agreement to extend the lock-up on the remaining 51</w:t>
      </w:r>
      <w:r>
        <w:rPr>
          <w:rFonts w:eastAsia="Times New Roman"/>
          <w:color w:val="000000"/>
          <w:sz w:val="20"/>
          <w:szCs w:val="20"/>
        </w:rPr>
        <w:t>% of its shares of Series A Convertible Preferred Stock for six months until December 1, 2017</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In connection with the early release of the lock-up, Blackstone offered for sale 342,000 </w:t>
      </w:r>
      <w:r>
        <w:rPr>
          <w:rFonts w:eastAsia="Times New Roman"/>
          <w:color w:val="000000"/>
          <w:sz w:val="20"/>
          <w:szCs w:val="20"/>
        </w:rPr>
        <w:t>shares of Series A Convertible Preferred Stock in an underwritten public offering. In addition, Blackstone converted 90,000 shares of Series A Convertible Preferred Stock into shares of our common stock and we repurchased those shares of common stock for $</w:t>
      </w:r>
      <w:r>
        <w:rPr>
          <w:rFonts w:eastAsia="Times New Roman"/>
          <w:color w:val="000000"/>
          <w:sz w:val="20"/>
          <w:szCs w:val="20"/>
        </w:rPr>
        <w:t>48.47 per share. The underwritten offering and the stock repurchase were consummated on March 17, 2017</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On September 18, 2019, NCR entered into an agreement to repurchase and convert the outstanding Series A Convertible Preferred Stock owned by Blackstone, which was 512,221 shares as of the date of the transaction. NCR repurchased 237,673 shares of Series A </w:t>
      </w:r>
      <w:r>
        <w:rPr>
          <w:rFonts w:eastAsia="Times New Roman"/>
          <w:color w:val="000000"/>
          <w:sz w:val="20"/>
          <w:szCs w:val="20"/>
        </w:rPr>
        <w:t>Convertible Preferred Stock for total cash consideration of $302 million. The remaining shares of Blackstone's Series A Convertible Preferred Stock, including accrued dividends, were converted to approximately 9.16 million shares of common stock at a conve</w:t>
      </w:r>
      <w:r>
        <w:rPr>
          <w:rFonts w:eastAsia="Times New Roman"/>
          <w:color w:val="000000"/>
          <w:sz w:val="20"/>
          <w:szCs w:val="20"/>
        </w:rPr>
        <w:t>rsion price of $30.00 per share. This transaction retired all of the Series A Convertible Preferred Stock owned by Blackstone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Beginning in the first quarter of 2020, dividends are payable in cash or in-kind at the option of the Company. During the three</w:t>
      </w:r>
      <w:r>
        <w:rPr>
          <w:rFonts w:eastAsia="Times New Roman"/>
          <w:color w:val="000000"/>
          <w:sz w:val="20"/>
          <w:szCs w:val="20"/>
        </w:rPr>
        <w:t xml:space="preserve"> months ended June 30, 2020 and 2019, the Company paid dividends-in-kind of $7 million and $12 million, respectively. During the six months ended June 30, 2020, the Company paid total dividends of $13 million of which $7 million were dividends-in-kind and </w:t>
      </w:r>
      <w:r>
        <w:rPr>
          <w:rFonts w:eastAsia="Times New Roman"/>
          <w:color w:val="000000"/>
          <w:sz w:val="20"/>
          <w:szCs w:val="20"/>
        </w:rPr>
        <w:t>$6 million were paid in cash. During the six months ended June 30, 2019, the Company paid dividends-in-kind of $24 million. As of June 30, 2020 and December 31, 2019, the Company had accrued dividends of $1 million, respectively, associated with the Series</w:t>
      </w:r>
      <w:r>
        <w:rPr>
          <w:rFonts w:eastAsia="Times New Roman"/>
          <w:color w:val="000000"/>
          <w:sz w:val="20"/>
          <w:szCs w:val="20"/>
        </w:rPr>
        <w:t xml:space="preserve"> A Convertible Preferred Stock</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remaining Series A Convertible Preferred Stock is convertible at the option of the holders at any time into shares of common stock at a conversion price of $30.00 per share, or a conversion rate of 33.333 shares of com</w:t>
      </w:r>
      <w:r>
        <w:rPr>
          <w:rFonts w:eastAsia="Times New Roman"/>
          <w:color w:val="000000"/>
          <w:sz w:val="20"/>
          <w:szCs w:val="20"/>
        </w:rPr>
        <w:t>mon stock per share of Series A Convertible Preferred Stock.</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As of June 30, 2020 and December 31, 2019, the maximum number of common shares that could be required to be issued upon conversion of the outstanding shares of the Series A Convertible Preferr</w:t>
      </w:r>
      <w:r>
        <w:rPr>
          <w:rFonts w:eastAsia="Times New Roman"/>
          <w:color w:val="000000"/>
          <w:sz w:val="20"/>
          <w:szCs w:val="20"/>
        </w:rPr>
        <w:t>ed Stock was 13.5 million and 13.3 million, respectively</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Employee Benefit Plans</w:t>
      </w:r>
      <w:r>
        <w:rPr>
          <w:rFonts w:eastAsia="Times New Roman"/>
          <w:b/>
          <w:bCs/>
          <w:color w:val="000000"/>
          <w:sz w:val="20"/>
          <w:szCs w:val="20"/>
        </w:rPr>
        <w:t xml:space="preserve"> </w:t>
      </w:r>
      <w:r>
        <w:rPr>
          <w:rFonts w:eastAsia="Times New Roman"/>
          <w:color w:val="000000"/>
          <w:sz w:val="20"/>
          <w:szCs w:val="20"/>
        </w:rPr>
        <w:t>In 2020, we expect to make contributions of $21 million to our international pension plans, $30 million to our postemployment plan and $2 million to our postretirement plan.</w:t>
      </w:r>
      <w:r>
        <w:rPr>
          <w:rFonts w:eastAsia="Times New Roman"/>
          <w:color w:val="000000"/>
          <w:sz w:val="20"/>
          <w:szCs w:val="20"/>
        </w:rPr>
        <w:t xml:space="preserve"> For additional information, refer to Note 8, Employee Benefit Plans of the Notes to the Condensed Consolidated Financial Statements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Cash and Cash Equivalents Held by Foreign Subsidiaries</w:t>
      </w:r>
      <w:r>
        <w:rPr>
          <w:rFonts w:eastAsia="Times New Roman"/>
          <w:b/>
          <w:bCs/>
          <w:color w:val="000000"/>
          <w:sz w:val="20"/>
          <w:szCs w:val="20"/>
        </w:rPr>
        <w:t xml:space="preserve"> </w:t>
      </w:r>
      <w:r>
        <w:rPr>
          <w:rFonts w:eastAsia="Times New Roman"/>
          <w:color w:val="000000"/>
          <w:sz w:val="20"/>
          <w:szCs w:val="20"/>
        </w:rPr>
        <w:t>Cash and cash equivalents held by the Company's foreign subsidiar</w:t>
      </w:r>
      <w:r>
        <w:rPr>
          <w:rFonts w:eastAsia="Times New Roman"/>
          <w:color w:val="000000"/>
          <w:sz w:val="20"/>
          <w:szCs w:val="20"/>
        </w:rPr>
        <w:t>ies at June 30, 2020 and December 31, 2019 were $317 million and $475 million, respectively. Under current tax laws and regulations, if cash and cash equivalents and short-term investments held outside the U.S. are distributed to the U.S. in the form of di</w:t>
      </w:r>
      <w:r>
        <w:rPr>
          <w:rFonts w:eastAsia="Times New Roman"/>
          <w:color w:val="000000"/>
          <w:sz w:val="20"/>
          <w:szCs w:val="20"/>
        </w:rPr>
        <w:t>vidends or otherwise, we may be subject to additional U.S. income taxes and foreign withholding taxes, which could be significant</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b/>
          <w:bCs/>
          <w:color w:val="000000"/>
          <w:sz w:val="20"/>
          <w:szCs w:val="20"/>
        </w:rPr>
        <w:t>Summary</w:t>
      </w:r>
      <w:r>
        <w:rPr>
          <w:rFonts w:eastAsia="Times New Roman"/>
          <w:b/>
          <w:bCs/>
          <w:color w:val="000000"/>
          <w:sz w:val="20"/>
          <w:szCs w:val="20"/>
        </w:rPr>
        <w:t xml:space="preserve"> </w:t>
      </w:r>
      <w:r>
        <w:rPr>
          <w:rFonts w:eastAsia="Times New Roman"/>
          <w:color w:val="000000"/>
          <w:sz w:val="20"/>
          <w:szCs w:val="20"/>
        </w:rPr>
        <w:t>As of June 30, 2020, our cash and cash equivalents totaled $1.68 billion and our total debt was $4.73 billion.</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I</w:t>
      </w:r>
      <w:r>
        <w:rPr>
          <w:rFonts w:eastAsia="Times New Roman"/>
          <w:color w:val="000000"/>
          <w:sz w:val="20"/>
          <w:szCs w:val="20"/>
        </w:rPr>
        <w:t>n order to build a stronger liquidity position, we have taken steps to improve working capital and are addressing certain business impacts with spending cuts. We have taken several steps to build our cash reserve to improve our financial liquidity and flex</w:t>
      </w:r>
      <w:r>
        <w:rPr>
          <w:rFonts w:eastAsia="Times New Roman"/>
          <w:color w:val="000000"/>
          <w:sz w:val="20"/>
          <w:szCs w:val="20"/>
        </w:rPr>
        <w:t xml:space="preserve">ibility and provide a cushion to help weather the impacts of the pandemic. These steps include suspending our share repurchase programs, limiting our mergers and acquisition activity, reducing salary for members of our leadership team and certain salaried </w:t>
      </w:r>
      <w:r>
        <w:rPr>
          <w:rFonts w:eastAsia="Times New Roman"/>
          <w:color w:val="000000"/>
          <w:sz w:val="20"/>
          <w:szCs w:val="20"/>
        </w:rPr>
        <w:t>employees, reducing our planned capital expenditures, eliminating most contractors, curtailing travel, freezing merit increases and hiring. Additionally, on March 24, 2020, we drew the remaining available funds of $630 million on our five-year, $1.1 billio</w:t>
      </w:r>
      <w:r>
        <w:rPr>
          <w:rFonts w:eastAsia="Times New Roman"/>
          <w:color w:val="000000"/>
          <w:sz w:val="20"/>
          <w:szCs w:val="20"/>
        </w:rPr>
        <w:t>n revolving credit facility and on April 13, 2020, we issued $400 million senior unsecured notes. The COVID-19 pandemic is complex and rapidly evolving, and the ultimate impact on our overall financial condition and operating results will depend on the cur</w:t>
      </w:r>
      <w:r>
        <w:rPr>
          <w:rFonts w:eastAsia="Times New Roman"/>
          <w:color w:val="000000"/>
          <w:sz w:val="20"/>
          <w:szCs w:val="20"/>
        </w:rPr>
        <w:t>rently unknowable duration and severity of the pandemic as well as any additional governmental and public actions taken in response. There can be no assurance that the measures we have taken will offset the negative impact of COVID-19.</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center"/>
        <w:divId w:val="828714270"/>
        <w:rPr>
          <w:rFonts w:eastAsia="Times New Roman"/>
        </w:rPr>
      </w:pPr>
      <w:r>
        <w:rPr>
          <w:rFonts w:eastAsia="Times New Roman"/>
          <w:color w:val="000000"/>
          <w:sz w:val="20"/>
          <w:szCs w:val="20"/>
        </w:rPr>
        <w:t>5</w:t>
      </w:r>
      <w:r>
        <w:rPr>
          <w:rFonts w:eastAsia="Times New Roman"/>
          <w:color w:val="000000"/>
          <w:sz w:val="20"/>
          <w:szCs w:val="20"/>
        </w:rPr>
        <w:t>3</w:t>
      </w:r>
    </w:p>
    <w:p w:rsidR="00000000" w:rsidRDefault="000A7020">
      <w:pPr>
        <w:rPr>
          <w:rFonts w:eastAsia="Times New Roman"/>
        </w:rPr>
      </w:pPr>
      <w:r>
        <w:rPr>
          <w:rFonts w:eastAsia="Times New Roman"/>
        </w:rPr>
        <w:pict>
          <v:rect id="_x0000_i1078" style="width:0;height:1.5pt" o:hralign="center" o:hrstd="t" o:hr="t" fillcolor="#a0a0a0" stroked="f"/>
        </w:pict>
      </w:r>
    </w:p>
    <w:p w:rsidR="00000000" w:rsidRDefault="000A7020">
      <w:pPr>
        <w:divId w:val="1626036233"/>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rPr>
          <w:rFonts w:eastAsia="Times New Roman"/>
        </w:rPr>
      </w:pPr>
      <w:r>
        <w:rPr>
          <w:rFonts w:eastAsia="Times New Roman"/>
          <w:color w:val="000000"/>
          <w:sz w:val="20"/>
          <w:szCs w:val="20"/>
        </w:rPr>
        <w:t>We believe that we have sufficient liquidity based on our current cash position, cash flows from operations and existing financing to meet our required pensio</w:t>
      </w:r>
      <w:r>
        <w:rPr>
          <w:rFonts w:eastAsia="Times New Roman"/>
          <w:color w:val="000000"/>
          <w:sz w:val="20"/>
          <w:szCs w:val="20"/>
        </w:rPr>
        <w:t>n, postemployment, and postretirement plan contributions, remediation and other payments related to the environmental matters, debt servicing obligations, and our operating requirements for the next twelve months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u w:val="single"/>
        </w:rPr>
        <w:t>Contractual and Other Commercial Commitm</w:t>
      </w:r>
      <w:r>
        <w:rPr>
          <w:rFonts w:eastAsia="Times New Roman"/>
          <w:i/>
          <w:iCs/>
          <w:color w:val="000000"/>
          <w:sz w:val="20"/>
          <w:szCs w:val="20"/>
          <w:u w:val="single"/>
        </w:rPr>
        <w:t>ent</w:t>
      </w:r>
      <w:r>
        <w:rPr>
          <w:rFonts w:eastAsia="Times New Roman"/>
          <w:i/>
          <w:iCs/>
          <w:color w:val="000000"/>
          <w:sz w:val="20"/>
          <w:szCs w:val="20"/>
          <w:u w:val="single"/>
        </w:rPr>
        <w:t>s</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There have been no significant changes in our contractual and other commercial obligations as described in our Form 10-K for the year ended December 31, 2019</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u w:val="single"/>
        </w:rPr>
        <w:t>Off-Balance Sheet Arrangement</w:t>
      </w:r>
      <w:r>
        <w:rPr>
          <w:rFonts w:eastAsia="Times New Roman"/>
          <w:i/>
          <w:iCs/>
          <w:color w:val="000000"/>
          <w:sz w:val="20"/>
          <w:szCs w:val="20"/>
          <w:u w:val="single"/>
        </w:rPr>
        <w:t>s</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We have no material off-balance sheet arrangements as d</w:t>
      </w:r>
      <w:r>
        <w:rPr>
          <w:rFonts w:eastAsia="Times New Roman"/>
          <w:color w:val="000000"/>
          <w:sz w:val="20"/>
          <w:szCs w:val="20"/>
        </w:rPr>
        <w:t>efined by SEC Regulation S-K Item 303 (a) (4) (ii)</w:t>
      </w:r>
      <w:r>
        <w:rPr>
          <w:rFonts w:eastAsia="Times New Roman"/>
          <w:color w:val="000000"/>
          <w:sz w:val="20"/>
          <w:szCs w:val="20"/>
        </w:rPr>
        <w:t>.</w:t>
      </w:r>
    </w:p>
    <w:p w:rsidR="00000000" w:rsidRDefault="000A7020">
      <w:pPr>
        <w:jc w:val="both"/>
        <w:divId w:val="1035616296"/>
        <w:rPr>
          <w:rFonts w:eastAsia="Times New Roman"/>
        </w:rPr>
      </w:pPr>
      <w:r>
        <w:rPr>
          <w:rFonts w:eastAsia="Times New Roman"/>
          <w:i/>
          <w:iCs/>
          <w:color w:val="000000"/>
          <w:sz w:val="20"/>
          <w:szCs w:val="20"/>
          <w:u w:val="single"/>
        </w:rPr>
        <w:t>Critical Accounting Policies and Estimate</w:t>
      </w:r>
      <w:r>
        <w:rPr>
          <w:rFonts w:eastAsia="Times New Roman"/>
          <w:i/>
          <w:iCs/>
          <w:color w:val="000000"/>
          <w:sz w:val="20"/>
          <w:szCs w:val="20"/>
          <w:u w:val="single"/>
        </w:rPr>
        <w:t>s</w:t>
      </w:r>
    </w:p>
    <w:p w:rsidR="00000000" w:rsidRDefault="000A7020">
      <w:pPr>
        <w:jc w:val="both"/>
        <w:divId w:val="1391349368"/>
        <w:rPr>
          <w:rFonts w:eastAsia="Times New Roman"/>
        </w:rPr>
      </w:pPr>
      <w:r>
        <w:rPr>
          <w:rFonts w:eastAsia="Times New Roman"/>
          <w:color w:val="000000"/>
          <w:sz w:val="20"/>
          <w:szCs w:val="20"/>
        </w:rPr>
        <w:t>Management reassessed the critical accounting policies as disclosed in our 2019 Annual Report on Form 10-K and determined that there were no changes to our critical accounting policies or our estimates associated with those policies in the six months ended</w:t>
      </w:r>
      <w:r>
        <w:rPr>
          <w:rFonts w:eastAsia="Times New Roman"/>
          <w:color w:val="000000"/>
          <w:sz w:val="20"/>
          <w:szCs w:val="20"/>
        </w:rPr>
        <w:t xml:space="preserve"> June 30, 2020. </w:t>
      </w:r>
      <w:r>
        <w:rPr>
          <w:rFonts w:eastAsia="Times New Roman"/>
          <w:color w:val="000000"/>
          <w:sz w:val="20"/>
          <w:szCs w:val="20"/>
        </w:rPr>
        <w:t> </w:t>
      </w:r>
    </w:p>
    <w:p w:rsidR="00000000" w:rsidRDefault="000A7020">
      <w:pPr>
        <w:jc w:val="both"/>
        <w:divId w:val="2080328382"/>
        <w:rPr>
          <w:rFonts w:eastAsia="Times New Roman"/>
        </w:rPr>
      </w:pPr>
      <w:r>
        <w:rPr>
          <w:rFonts w:eastAsia="Times New Roman"/>
          <w:i/>
          <w:iCs/>
          <w:color w:val="000000"/>
          <w:sz w:val="20"/>
          <w:szCs w:val="20"/>
          <w:u w:val="single"/>
        </w:rPr>
        <w:t>New Accounting Pronouncement</w:t>
      </w:r>
      <w:r>
        <w:rPr>
          <w:rFonts w:eastAsia="Times New Roman"/>
          <w:i/>
          <w:iCs/>
          <w:color w:val="000000"/>
          <w:sz w:val="20"/>
          <w:szCs w:val="20"/>
          <w:u w:val="single"/>
        </w:rPr>
        <w:t>s</w:t>
      </w:r>
    </w:p>
    <w:p w:rsidR="00000000" w:rsidRDefault="000A7020">
      <w:pPr>
        <w:jc w:val="both"/>
        <w:divId w:val="2057777562"/>
        <w:rPr>
          <w:rFonts w:eastAsia="Times New Roman"/>
        </w:rPr>
      </w:pPr>
      <w:r>
        <w:rPr>
          <w:rFonts w:eastAsia="Times New Roman"/>
          <w:color w:val="000000"/>
          <w:sz w:val="20"/>
          <w:szCs w:val="20"/>
        </w:rPr>
        <w:t>See discussion in Note 1, Basis of Presentation and Summary of Significant Accounting Policies of the Notes to the Condensed Consolidated Financial Statements for new accounting pronouncements</w:t>
      </w:r>
      <w:r>
        <w:rPr>
          <w:rFonts w:eastAsia="Times New Roman"/>
          <w:color w:val="000000"/>
          <w:sz w:val="20"/>
          <w:szCs w:val="20"/>
        </w:rPr>
        <w:t>.</w:t>
      </w:r>
    </w:p>
    <w:p w:rsidR="00000000" w:rsidRDefault="000A7020">
      <w:pPr>
        <w:jc w:val="both"/>
        <w:divId w:val="1734159722"/>
        <w:rPr>
          <w:rFonts w:eastAsia="Times New Roman"/>
        </w:rPr>
      </w:pPr>
      <w:r>
        <w:rPr>
          <w:rFonts w:eastAsia="Times New Roman"/>
          <w:i/>
          <w:iCs/>
          <w:color w:val="000000"/>
          <w:sz w:val="20"/>
          <w:szCs w:val="20"/>
          <w:u w:val="single"/>
        </w:rPr>
        <w:t>Forward-Lookin</w:t>
      </w:r>
      <w:r>
        <w:rPr>
          <w:rFonts w:eastAsia="Times New Roman"/>
          <w:i/>
          <w:iCs/>
          <w:color w:val="000000"/>
          <w:sz w:val="20"/>
          <w:szCs w:val="20"/>
          <w:u w:val="single"/>
        </w:rPr>
        <w:t>g Statement</w:t>
      </w:r>
      <w:r>
        <w:rPr>
          <w:rFonts w:eastAsia="Times New Roman"/>
          <w:i/>
          <w:iCs/>
          <w:color w:val="000000"/>
          <w:sz w:val="20"/>
          <w:szCs w:val="20"/>
          <w:u w:val="single"/>
        </w:rPr>
        <w:t>s</w:t>
      </w:r>
    </w:p>
    <w:p w:rsidR="00000000" w:rsidRDefault="000A7020">
      <w:pPr>
        <w:jc w:val="both"/>
        <w:rPr>
          <w:rFonts w:eastAsia="Times New Roman"/>
        </w:rPr>
      </w:pPr>
      <w:r>
        <w:rPr>
          <w:rFonts w:eastAsia="Times New Roman"/>
          <w:color w:val="000000"/>
          <w:sz w:val="20"/>
          <w:szCs w:val="20"/>
        </w:rPr>
        <w:t>This quarterly report on Form 10-Q contains “forward-looking statements” within the meaning of Section 27A of the Securities Act of 1933, as amended and Section 21E of the Securities Exchange Act of 1934, as amended, pursuant to the safe harbo</w:t>
      </w:r>
      <w:r>
        <w:rPr>
          <w:rFonts w:eastAsia="Times New Roman"/>
          <w:color w:val="000000"/>
          <w:sz w:val="20"/>
          <w:szCs w:val="20"/>
        </w:rPr>
        <w:t>r provisions of the Private Securities Litigation Reform Act of 1995 (the “Act”), including statements containing the words “expect,” “anticipate,” “outlook,” “intend,” “plan,” “believe,” “will,” “should,” “would,” “could,” “designed,” and words of similar</w:t>
      </w:r>
      <w:r>
        <w:rPr>
          <w:rFonts w:eastAsia="Times New Roman"/>
          <w:color w:val="000000"/>
          <w:sz w:val="20"/>
          <w:szCs w:val="20"/>
        </w:rPr>
        <w:t xml:space="preserve"> meaning, as well as other words or expressions referencing future events, conditions or circumstances. We intend these forward-looking statements to be covered by the safe harbor provisions for forward-looking statements contained in the Act. Statements t</w:t>
      </w:r>
      <w:r>
        <w:rPr>
          <w:rFonts w:eastAsia="Times New Roman"/>
          <w:color w:val="000000"/>
          <w:sz w:val="20"/>
          <w:szCs w:val="20"/>
        </w:rPr>
        <w:t>hat describe or relate to NCR’s plans, goals, intentions, strategies, or financial outlook, and statements that do not relate to historical or current fact, are examples of forward-looking statements. Forward-looking statements are based on our current bel</w:t>
      </w:r>
      <w:r>
        <w:rPr>
          <w:rFonts w:eastAsia="Times New Roman"/>
          <w:color w:val="000000"/>
          <w:sz w:val="20"/>
          <w:szCs w:val="20"/>
        </w:rPr>
        <w:t>iefs, expectations and assumptions, which may not prove to be accurate, and involve a number of known and unknown risks and uncertainties, many of which are out of NCR’s control. Forward-looking statements are not guarantees of future performance, and ther</w:t>
      </w:r>
      <w:r>
        <w:rPr>
          <w:rFonts w:eastAsia="Times New Roman"/>
          <w:color w:val="000000"/>
          <w:sz w:val="20"/>
          <w:szCs w:val="20"/>
        </w:rPr>
        <w:t>e are a number of important factors that could cause actual outcomes and results to differ materially from the results contemplated by such forward-looking statements, including those factors relating to: the impact of the novel strain of the coronavirus i</w:t>
      </w:r>
      <w:r>
        <w:rPr>
          <w:rFonts w:eastAsia="Times New Roman"/>
          <w:color w:val="000000"/>
          <w:sz w:val="20"/>
          <w:szCs w:val="20"/>
        </w:rPr>
        <w:t>dentified in late 2019 (“COVID-19”) pandemic on our workforce, operations and financial results, including the impact on our customer’s businesses and their ability to pay; manufacturing disruptions, including those caused by or related to outsourced manuf</w:t>
      </w:r>
      <w:r>
        <w:rPr>
          <w:rFonts w:eastAsia="Times New Roman"/>
          <w:color w:val="000000"/>
          <w:sz w:val="20"/>
          <w:szCs w:val="20"/>
        </w:rPr>
        <w:t>acturing or disruptions in our supply chain due to the COVID-19 pandemic; strength of demand for the products we offer or will offer in the future consistent with our strategy and its effect on our businesses; domestic and global economic and credit condit</w:t>
      </w:r>
      <w:r>
        <w:rPr>
          <w:rFonts w:eastAsia="Times New Roman"/>
          <w:color w:val="000000"/>
          <w:sz w:val="20"/>
          <w:szCs w:val="20"/>
        </w:rPr>
        <w:t>ions including, in particular, those resulting from the imposition or threat of protectionist trade policies or import or export tariffs, global and regional market conditions and spending trends in the financial services and retail industries, new tax leg</w:t>
      </w:r>
      <w:r>
        <w:rPr>
          <w:rFonts w:eastAsia="Times New Roman"/>
          <w:color w:val="000000"/>
          <w:sz w:val="20"/>
          <w:szCs w:val="20"/>
        </w:rPr>
        <w:t>islation across multiple jurisdictions, modified or new global or regional trade agreements, execution of the United Kingdom's exit from the European Union, uncertainty over further potential changes in Eurozone participation and fluctuations in oil and co</w:t>
      </w:r>
      <w:r>
        <w:rPr>
          <w:rFonts w:eastAsia="Times New Roman"/>
          <w:color w:val="000000"/>
          <w:sz w:val="20"/>
          <w:szCs w:val="20"/>
        </w:rPr>
        <w:t>mmodity prices; the transformation of our business and shift to increased software and services revenue, as well as recurring revenue; our ability to improve execution in our sales and services organizations; our ability to successfully introduce new solut</w:t>
      </w:r>
      <w:r>
        <w:rPr>
          <w:rFonts w:eastAsia="Times New Roman"/>
          <w:color w:val="000000"/>
          <w:sz w:val="20"/>
          <w:szCs w:val="20"/>
        </w:rPr>
        <w:t xml:space="preserve">ions and compete in the technology industry; cybersecurity risks and compliance with data privacy and protection requirements; the possibility of disruptions in or problems with our data center hosting facilities; the impact of the March 2020 tornadoes in </w:t>
      </w:r>
      <w:r>
        <w:rPr>
          <w:rFonts w:eastAsia="Times New Roman"/>
          <w:color w:val="000000"/>
          <w:sz w:val="20"/>
          <w:szCs w:val="20"/>
        </w:rPr>
        <w:t>the greater Nashville area on an NCR Global Fulfillment Center in Mt. Juliet, Tennessee operated by a third party, including the sufficiency and effectiveness of our or our third-party logistics partner’s business continuity plans, the adequacy of our prop</w:t>
      </w:r>
      <w:r>
        <w:rPr>
          <w:rFonts w:eastAsia="Times New Roman"/>
          <w:color w:val="000000"/>
          <w:sz w:val="20"/>
          <w:szCs w:val="20"/>
        </w:rPr>
        <w:t>erty damage and business interruption insurance coverage and our ability to recover under the applicable policies; defects or errors in our products; the impact of our indebtedness and its terms on our financial and operating activities; the historical sea</w:t>
      </w:r>
      <w:r>
        <w:rPr>
          <w:rFonts w:eastAsia="Times New Roman"/>
          <w:color w:val="000000"/>
          <w:sz w:val="20"/>
          <w:szCs w:val="20"/>
        </w:rPr>
        <w:t>sonality of our sales; tax rates and tax legislation; foreign currency fluctuations; the success of our restructuring plans and cost reduction savings initiatives; the availability and success of acquisitions, divestitures and alliances; our pension strate</w:t>
      </w:r>
      <w:r>
        <w:rPr>
          <w:rFonts w:eastAsia="Times New Roman"/>
          <w:color w:val="000000"/>
          <w:sz w:val="20"/>
          <w:szCs w:val="20"/>
        </w:rPr>
        <w:t>gy and underfunded pension obligations; reliance on third party suppliers; the impact of the terms of our Series A Convertible Preferred Stock; our multinational operations, including in new and emerging markets; collectability difficulties in subcontracti</w:t>
      </w:r>
      <w:r>
        <w:rPr>
          <w:rFonts w:eastAsia="Times New Roman"/>
          <w:color w:val="000000"/>
          <w:sz w:val="20"/>
          <w:szCs w:val="20"/>
        </w:rPr>
        <w:t>ng relationships in certain geographical markets; development</w:t>
      </w:r>
      <w:r>
        <w:rPr>
          <w:rFonts w:eastAsia="Times New Roman"/>
          <w:color w:val="000000"/>
          <w:sz w:val="20"/>
          <w:szCs w:val="20"/>
        </w:rPr>
        <w:t xml:space="preserve"> </w:t>
      </w:r>
    </w:p>
    <w:p w:rsidR="00000000" w:rsidRDefault="000A7020">
      <w:pPr>
        <w:jc w:val="center"/>
        <w:divId w:val="1336108287"/>
        <w:rPr>
          <w:rFonts w:eastAsia="Times New Roman"/>
        </w:rPr>
      </w:pPr>
      <w:r>
        <w:rPr>
          <w:rFonts w:eastAsia="Times New Roman"/>
          <w:color w:val="000000"/>
          <w:sz w:val="20"/>
          <w:szCs w:val="20"/>
        </w:rPr>
        <w:t>5</w:t>
      </w:r>
      <w:r>
        <w:rPr>
          <w:rFonts w:eastAsia="Times New Roman"/>
          <w:color w:val="000000"/>
          <w:sz w:val="20"/>
          <w:szCs w:val="20"/>
        </w:rPr>
        <w:t>4</w:t>
      </w:r>
    </w:p>
    <w:p w:rsidR="00000000" w:rsidRDefault="000A7020">
      <w:pPr>
        <w:rPr>
          <w:rFonts w:eastAsia="Times New Roman"/>
        </w:rPr>
      </w:pPr>
      <w:r>
        <w:rPr>
          <w:rFonts w:eastAsia="Times New Roman"/>
        </w:rPr>
        <w:pict>
          <v:rect id="_x0000_i1079" style="width:0;height:1.5pt" o:hralign="center" o:hrstd="t" o:hr="t" fillcolor="#a0a0a0" stroked="f"/>
        </w:pict>
      </w:r>
    </w:p>
    <w:p w:rsidR="00000000" w:rsidRDefault="000A7020">
      <w:pPr>
        <w:divId w:val="1230114643"/>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rPr>
          <w:rFonts w:eastAsia="Times New Roman"/>
        </w:rPr>
      </w:pPr>
      <w:r>
        <w:rPr>
          <w:rFonts w:eastAsia="Times New Roman"/>
          <w:color w:val="000000"/>
          <w:sz w:val="20"/>
          <w:szCs w:val="20"/>
        </w:rPr>
        <w:t>and protection of intellectual property; workforce turnover and the ability to attract and retain skilled employees; uncertainties or delays associated with the transition of key business leaders; environmental exposures from our historical and ongoing man</w:t>
      </w:r>
      <w:r>
        <w:rPr>
          <w:rFonts w:eastAsia="Times New Roman"/>
          <w:color w:val="000000"/>
          <w:sz w:val="20"/>
          <w:szCs w:val="20"/>
        </w:rPr>
        <w:t xml:space="preserve">ufacturing activities; and uncertainties with regard to regulations, lawsuits, claims, and other matters across various jurisdictions. Additional information concerning these and other factors can be found in the Company’s filings with the U.S. Securities </w:t>
      </w:r>
      <w:r>
        <w:rPr>
          <w:rFonts w:eastAsia="Times New Roman"/>
          <w:color w:val="000000"/>
          <w:sz w:val="20"/>
          <w:szCs w:val="20"/>
        </w:rPr>
        <w:t>and Exchange Commission, including the Company’s most recent annual report on Form 10-K, quarterly reports on Form 10-Q and current reports on Form 8-K. Any forward-looking statement speaks only as of the date on which it is made. The Company does not unde</w:t>
      </w:r>
      <w:r>
        <w:rPr>
          <w:rFonts w:eastAsia="Times New Roman"/>
          <w:color w:val="000000"/>
          <w:sz w:val="20"/>
          <w:szCs w:val="20"/>
        </w:rPr>
        <w:t>rtake any obligation to publicly update or revise any forward-looking statements, whether as a result of new information, future events or otherwise, except as required by law</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p>
    <w:p w:rsidR="00000000" w:rsidRDefault="000A7020">
      <w:pPr>
        <w:divId w:val="895318038"/>
        <w:rPr>
          <w:rFonts w:eastAsia="Times New Roman"/>
        </w:rPr>
      </w:pPr>
      <w:r>
        <w:rPr>
          <w:rFonts w:eastAsia="Times New Roman"/>
          <w:i/>
          <w:iCs/>
          <w:color w:val="000000"/>
          <w:sz w:val="20"/>
          <w:szCs w:val="20"/>
          <w:u w:val="single"/>
        </w:rPr>
        <w:t>Information About NC</w:t>
      </w:r>
      <w:r>
        <w:rPr>
          <w:rFonts w:eastAsia="Times New Roman"/>
          <w:i/>
          <w:iCs/>
          <w:color w:val="000000"/>
          <w:sz w:val="20"/>
          <w:szCs w:val="20"/>
          <w:u w:val="single"/>
        </w:rPr>
        <w:t>R</w:t>
      </w:r>
    </w:p>
    <w:p w:rsidR="00000000" w:rsidRDefault="000A7020">
      <w:pPr>
        <w:divId w:val="18746573"/>
        <w:rPr>
          <w:rFonts w:eastAsia="Times New Roman"/>
        </w:rPr>
      </w:pPr>
    </w:p>
    <w:p w:rsidR="00000000" w:rsidRDefault="000A7020">
      <w:pPr>
        <w:jc w:val="both"/>
        <w:rPr>
          <w:rFonts w:eastAsia="Times New Roman"/>
        </w:rPr>
      </w:pPr>
      <w:r>
        <w:rPr>
          <w:rFonts w:eastAsia="Times New Roman"/>
          <w:color w:val="000000"/>
          <w:sz w:val="20"/>
          <w:szCs w:val="20"/>
        </w:rPr>
        <w:t xml:space="preserve">NCR encourages investors to visit its web site </w:t>
      </w:r>
      <w:r>
        <w:rPr>
          <w:rFonts w:eastAsia="Times New Roman"/>
          <w:color w:val="000000"/>
          <w:sz w:val="20"/>
          <w:szCs w:val="20"/>
        </w:rPr>
        <w:t>(</w:t>
      </w:r>
      <w:r>
        <w:rPr>
          <w:rFonts w:eastAsia="Times New Roman"/>
          <w:color w:val="0000FF"/>
          <w:sz w:val="20"/>
          <w:szCs w:val="20"/>
          <w:u w:val="single"/>
        </w:rPr>
        <w:t>htt</w:t>
      </w:r>
      <w:r>
        <w:rPr>
          <w:rFonts w:eastAsia="Times New Roman"/>
          <w:color w:val="0000FF"/>
          <w:sz w:val="20"/>
          <w:szCs w:val="20"/>
          <w:u w:val="single"/>
        </w:rPr>
        <w:t>p://www.ncr.co</w:t>
      </w:r>
      <w:r>
        <w:rPr>
          <w:rFonts w:eastAsia="Times New Roman"/>
          <w:color w:val="0000FF"/>
          <w:sz w:val="20"/>
          <w:szCs w:val="20"/>
          <w:u w:val="single"/>
        </w:rPr>
        <w:t>m</w:t>
      </w:r>
      <w:r>
        <w:rPr>
          <w:rFonts w:eastAsia="Times New Roman"/>
          <w:color w:val="000000"/>
          <w:sz w:val="20"/>
          <w:szCs w:val="20"/>
        </w:rPr>
        <w:t>), which is updated regularly with financial and other important information about NCR. The contents of the Company’s web site are not incorporated into this quarterly report or the Company’s other filings with the U.S. Securities and Exchan</w:t>
      </w:r>
      <w:r>
        <w:rPr>
          <w:rFonts w:eastAsia="Times New Roman"/>
          <w:color w:val="000000"/>
          <w:sz w:val="20"/>
          <w:szCs w:val="20"/>
        </w:rPr>
        <w:t>ge Commission</w:t>
      </w:r>
      <w:r>
        <w:rPr>
          <w:rFonts w:eastAsia="Times New Roman"/>
          <w:color w:val="000000"/>
          <w:sz w:val="20"/>
          <w:szCs w:val="20"/>
        </w:rPr>
        <w:t>.</w:t>
      </w:r>
    </w:p>
    <w:p w:rsidR="00000000" w:rsidRDefault="000A7020">
      <w:pPr>
        <w:jc w:val="center"/>
        <w:divId w:val="396123955"/>
        <w:rPr>
          <w:rFonts w:eastAsia="Times New Roman"/>
        </w:rPr>
      </w:pPr>
      <w:r>
        <w:rPr>
          <w:rFonts w:eastAsia="Times New Roman"/>
          <w:color w:val="000000"/>
          <w:sz w:val="20"/>
          <w:szCs w:val="20"/>
        </w:rPr>
        <w:t>5</w:t>
      </w:r>
      <w:r>
        <w:rPr>
          <w:rFonts w:eastAsia="Times New Roman"/>
          <w:color w:val="000000"/>
          <w:sz w:val="20"/>
          <w:szCs w:val="20"/>
        </w:rPr>
        <w:t>5</w:t>
      </w:r>
    </w:p>
    <w:p w:rsidR="00000000" w:rsidRDefault="000A7020">
      <w:pPr>
        <w:rPr>
          <w:rFonts w:eastAsia="Times New Roman"/>
        </w:rPr>
      </w:pPr>
      <w:r>
        <w:rPr>
          <w:rFonts w:eastAsia="Times New Roman"/>
        </w:rPr>
        <w:pict>
          <v:rect id="_x0000_i1080" style="width:0;height:1.5pt" o:hralign="center" o:hrstd="t" o:hr="t" fillcolor="#a0a0a0" stroked="f"/>
        </w:pict>
      </w:r>
    </w:p>
    <w:p w:rsidR="00000000" w:rsidRDefault="000A7020">
      <w:pPr>
        <w:divId w:val="1210075112"/>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ind w:hanging="1170"/>
        <w:jc w:val="both"/>
        <w:rPr>
          <w:rFonts w:eastAsia="Times New Roman"/>
        </w:rPr>
      </w:pPr>
      <w:r>
        <w:rPr>
          <w:rFonts w:eastAsia="Times New Roman"/>
          <w:b/>
          <w:bCs/>
          <w:color w:val="000000"/>
          <w:sz w:val="20"/>
          <w:szCs w:val="20"/>
        </w:rPr>
        <w:t>Item 3. QUANTITATIVE AND QUALITATIVE DISCLOSURES ABOUT MARKET RIS</w:t>
      </w:r>
      <w:r>
        <w:rPr>
          <w:rFonts w:eastAsia="Times New Roman"/>
          <w:b/>
          <w:bCs/>
          <w:color w:val="000000"/>
          <w:sz w:val="20"/>
          <w:szCs w:val="20"/>
        </w:rPr>
        <w:t>K</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Market Ris</w:t>
      </w:r>
      <w:r>
        <w:rPr>
          <w:rFonts w:eastAsia="Times New Roman"/>
          <w:i/>
          <w:iCs/>
          <w:color w:val="000000"/>
          <w:sz w:val="20"/>
          <w:szCs w:val="20"/>
        </w:rPr>
        <w:t>k</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We are exposed to market risks primarily fr</w:t>
      </w:r>
      <w:r>
        <w:rPr>
          <w:rFonts w:eastAsia="Times New Roman"/>
          <w:color w:val="000000"/>
          <w:sz w:val="20"/>
          <w:szCs w:val="20"/>
        </w:rPr>
        <w:t>om changes in foreign currency exchange rates and interest rates. It is our policy to manage our foreign exchange exposure and debt structure in order to manage capital costs, control financial risks and maintain financial flexibility over the long term. I</w:t>
      </w:r>
      <w:r>
        <w:rPr>
          <w:rFonts w:eastAsia="Times New Roman"/>
          <w:color w:val="000000"/>
          <w:sz w:val="20"/>
          <w:szCs w:val="20"/>
        </w:rPr>
        <w:t>n managing market risks, we employ derivatives according to documented policies and procedures, including foreign currency contracts and interest rate swaps. We do not use derivatives for trading or speculative purposes.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Foreign Exchange Ris</w:t>
      </w:r>
      <w:r>
        <w:rPr>
          <w:rFonts w:eastAsia="Times New Roman"/>
          <w:i/>
          <w:iCs/>
          <w:color w:val="000000"/>
          <w:sz w:val="20"/>
          <w:szCs w:val="20"/>
        </w:rPr>
        <w:t>k</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Since a </w:t>
      </w:r>
      <w:r>
        <w:rPr>
          <w:rFonts w:eastAsia="Times New Roman"/>
          <w:color w:val="000000"/>
          <w:sz w:val="20"/>
          <w:szCs w:val="20"/>
        </w:rPr>
        <w:t>substantial portion of our operations and revenue occur outside the United States, and in currencies other than the U.S. Dollar, our results can be significantly impacted by changes in foreign currency exchange rates. We have exposure to approximately 50 f</w:t>
      </w:r>
      <w:r>
        <w:rPr>
          <w:rFonts w:eastAsia="Times New Roman"/>
          <w:color w:val="000000"/>
          <w:sz w:val="20"/>
          <w:szCs w:val="20"/>
        </w:rPr>
        <w:t>unctional currencies and are exposed to foreign currency exchange risk with respect to our sales, profits and assets and liabilities denominated in currencies other than the U.S. Dollar. Although we use financial instruments to hedge certain foreign curren</w:t>
      </w:r>
      <w:r>
        <w:rPr>
          <w:rFonts w:eastAsia="Times New Roman"/>
          <w:color w:val="000000"/>
          <w:sz w:val="20"/>
          <w:szCs w:val="20"/>
        </w:rPr>
        <w:t>cy risks, we are not fully protected against foreign currency fluctuations and our reported results of operations could be affected by changes in foreign currency exchange rates. To manage our exposures and mitigate the impact of currency fluctuations on t</w:t>
      </w:r>
      <w:r>
        <w:rPr>
          <w:rFonts w:eastAsia="Times New Roman"/>
          <w:color w:val="000000"/>
          <w:sz w:val="20"/>
          <w:szCs w:val="20"/>
        </w:rPr>
        <w:t>he operations of our foreign subsidiaries, we hedge our main transactional exposures through the use of foreign exchange forward and option contracts. These foreign exchange contracts are designated as highly effective cash flow hedges. This is primarily d</w:t>
      </w:r>
      <w:r>
        <w:rPr>
          <w:rFonts w:eastAsia="Times New Roman"/>
          <w:color w:val="000000"/>
          <w:sz w:val="20"/>
          <w:szCs w:val="20"/>
        </w:rPr>
        <w:t>one through the hedging of foreign currency denominated inter-company inventory purchases by the marketing units. All of these transactions are forecasted. We also use derivatives not designated as hedging instruments consisting primarily of forward contra</w:t>
      </w:r>
      <w:r>
        <w:rPr>
          <w:rFonts w:eastAsia="Times New Roman"/>
          <w:color w:val="000000"/>
          <w:sz w:val="20"/>
          <w:szCs w:val="20"/>
        </w:rPr>
        <w:t>cts to hedge foreign currency denominated balance sheet exposures. For these derivatives we recognize gains and losses in the same period as the remeasurement losses and gains of the related foreign currency-denominated exposures.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We utilize non-exchange traded financial instruments, such as foreign exchange forward and option contracts, that we purchase exclusively from highly rated financial institutions. We record these contracts on our balance sheet at fair market value based up</w:t>
      </w:r>
      <w:r>
        <w:rPr>
          <w:rFonts w:eastAsia="Times New Roman"/>
          <w:color w:val="000000"/>
          <w:sz w:val="20"/>
          <w:szCs w:val="20"/>
        </w:rPr>
        <w:t>on market price quotations from the financial institutions. We do not enter into non-exchange traded contracts that require the use of fair value estimation techniques, but if we did, they could have a material impact on our financial results.</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For purpo</w:t>
      </w:r>
      <w:r>
        <w:rPr>
          <w:rFonts w:eastAsia="Times New Roman"/>
          <w:color w:val="000000"/>
          <w:sz w:val="20"/>
          <w:szCs w:val="20"/>
        </w:rPr>
        <w:t>ses of analyzing potential risk, we use sensitivity analysis to quantify potential impacts that market rate changes may have on the fair values of our hedge portfolio related to firmly committed or forecasted transactions. The sensitivity analysis represen</w:t>
      </w:r>
      <w:r>
        <w:rPr>
          <w:rFonts w:eastAsia="Times New Roman"/>
          <w:color w:val="000000"/>
          <w:sz w:val="20"/>
          <w:szCs w:val="20"/>
        </w:rPr>
        <w:t>ts the hypothetical changes in value of the hedge position and does not reflect the related gain or loss on the forecasted underlying transaction. A 10% appreciation or depreciation in the value of the U.S. Dollar against foreign currencies from the prevai</w:t>
      </w:r>
      <w:r>
        <w:rPr>
          <w:rFonts w:eastAsia="Times New Roman"/>
          <w:color w:val="000000"/>
          <w:sz w:val="20"/>
          <w:szCs w:val="20"/>
        </w:rPr>
        <w:t>ling market rates would have resulted in a corresponding increase or decrease of $6 million as of June 30, 2020 in the fair value of the hedge portfolio. The Company expects that any increase or decrease in the fair value of the portfolio would be substant</w:t>
      </w:r>
      <w:r>
        <w:rPr>
          <w:rFonts w:eastAsia="Times New Roman"/>
          <w:color w:val="000000"/>
          <w:sz w:val="20"/>
          <w:szCs w:val="20"/>
        </w:rPr>
        <w:t>ially offset by increases or decreases in the underlying exposures being hedged.</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U.S. Dollar was slightly stronger in the second quarter of 2020 compared to the second quarter of 2019 based on comparable weighted averages for our functional currenci</w:t>
      </w:r>
      <w:r>
        <w:rPr>
          <w:rFonts w:eastAsia="Times New Roman"/>
          <w:color w:val="000000"/>
          <w:sz w:val="20"/>
          <w:szCs w:val="20"/>
        </w:rPr>
        <w:t>es. This had an unfavorable impact of 1% on second quarter 2020 revenue versus second quarter 2019 revenue. This excludes the effects of our hedging activities and, therefore, does not reflect the actual impact of fluctuations in exchange rates on our oper</w:t>
      </w:r>
      <w:r>
        <w:rPr>
          <w:rFonts w:eastAsia="Times New Roman"/>
          <w:color w:val="000000"/>
          <w:sz w:val="20"/>
          <w:szCs w:val="20"/>
        </w:rPr>
        <w:t>ating income.</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Interest Rate Ris</w:t>
      </w:r>
      <w:r>
        <w:rPr>
          <w:rFonts w:eastAsia="Times New Roman"/>
          <w:i/>
          <w:iCs/>
          <w:color w:val="000000"/>
          <w:sz w:val="20"/>
          <w:szCs w:val="20"/>
        </w:rPr>
        <w:t>k</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We are subject to interest rate risk principally in relation to variable-rate debt. Approximately 57% of our borrowings were on a fixed rate basis as of June 30, 2020. The increase in pre-tax interest expense for the s</w:t>
      </w:r>
      <w:r>
        <w:rPr>
          <w:rFonts w:eastAsia="Times New Roman"/>
          <w:color w:val="000000"/>
          <w:sz w:val="20"/>
          <w:szCs w:val="20"/>
        </w:rPr>
        <w:t>ix months ended June 30, 2020 from a hypothetical 100 basis point increase in variable interest rates would be approximately $5 million</w:t>
      </w:r>
      <w:r>
        <w:rPr>
          <w:rFonts w:eastAsia="Times New Roman"/>
          <w:color w:val="000000"/>
          <w:sz w:val="20"/>
          <w:szCs w:val="20"/>
        </w:rPr>
        <w:t>.</w:t>
      </w:r>
    </w:p>
    <w:p w:rsidR="00000000" w:rsidRDefault="000A7020">
      <w:pPr>
        <w:jc w:val="both"/>
        <w:rPr>
          <w:rFonts w:eastAsia="Times New Roman"/>
        </w:rPr>
      </w:pPr>
    </w:p>
    <w:p w:rsidR="00000000" w:rsidRDefault="000A7020">
      <w:pPr>
        <w:jc w:val="center"/>
        <w:divId w:val="1058164947"/>
        <w:rPr>
          <w:rFonts w:eastAsia="Times New Roman"/>
        </w:rPr>
      </w:pPr>
      <w:r>
        <w:rPr>
          <w:rFonts w:eastAsia="Times New Roman"/>
          <w:color w:val="000000"/>
          <w:sz w:val="20"/>
          <w:szCs w:val="20"/>
        </w:rPr>
        <w:t>5</w:t>
      </w:r>
      <w:r>
        <w:rPr>
          <w:rFonts w:eastAsia="Times New Roman"/>
          <w:color w:val="000000"/>
          <w:sz w:val="20"/>
          <w:szCs w:val="20"/>
        </w:rPr>
        <w:t>6</w:t>
      </w:r>
    </w:p>
    <w:p w:rsidR="00000000" w:rsidRDefault="000A7020">
      <w:pPr>
        <w:rPr>
          <w:rFonts w:eastAsia="Times New Roman"/>
        </w:rPr>
      </w:pPr>
      <w:r>
        <w:rPr>
          <w:rFonts w:eastAsia="Times New Roman"/>
        </w:rPr>
        <w:pict>
          <v:rect id="_x0000_i1081" style="width:0;height:1.5pt" o:hralign="center" o:hrstd="t" o:hr="t" fillcolor="#a0a0a0" stroked="f"/>
        </w:pict>
      </w:r>
    </w:p>
    <w:p w:rsidR="00000000" w:rsidRDefault="000A7020">
      <w:pPr>
        <w:divId w:val="259723370"/>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rPr>
          <w:rFonts w:eastAsia="Times New Roman"/>
        </w:rPr>
      </w:pPr>
      <w:r>
        <w:rPr>
          <w:rFonts w:eastAsia="Times New Roman"/>
          <w:i/>
          <w:iCs/>
          <w:color w:val="000000"/>
          <w:sz w:val="20"/>
          <w:szCs w:val="20"/>
        </w:rPr>
        <w:t>Co</w:t>
      </w:r>
      <w:r>
        <w:rPr>
          <w:rFonts w:eastAsia="Times New Roman"/>
          <w:i/>
          <w:iCs/>
          <w:color w:val="000000"/>
          <w:sz w:val="20"/>
          <w:szCs w:val="20"/>
        </w:rPr>
        <w:t>ncentrations of Credit Ris</w:t>
      </w:r>
      <w:r>
        <w:rPr>
          <w:rFonts w:eastAsia="Times New Roman"/>
          <w:i/>
          <w:iCs/>
          <w:color w:val="000000"/>
          <w:sz w:val="20"/>
          <w:szCs w:val="20"/>
        </w:rPr>
        <w:t>k</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We are potentially subject to concentrations of credit risk on accounts receivable and financial instruments, such as hedging instruments and cash and cash equivalents. Credit risk includes the risk of nonperformance by counte</w:t>
      </w:r>
      <w:r>
        <w:rPr>
          <w:rFonts w:eastAsia="Times New Roman"/>
          <w:color w:val="000000"/>
          <w:sz w:val="20"/>
          <w:szCs w:val="20"/>
        </w:rPr>
        <w:t>rparties. The maximum potential loss may exceed the amount recognized on the balance sheet. Exposure to credit risk is managed through credit approvals, credit limits, selecting major international financial institutions (as counterparties to hedging trans</w:t>
      </w:r>
      <w:r>
        <w:rPr>
          <w:rFonts w:eastAsia="Times New Roman"/>
          <w:color w:val="000000"/>
          <w:sz w:val="20"/>
          <w:szCs w:val="20"/>
        </w:rPr>
        <w:t>actions) and monitoring procedures. Our business often involves large transactions with customers for which we do not require collateral. If one or more of those customers were to default in its obligations under applicable contractual arrangements, we cou</w:t>
      </w:r>
      <w:r>
        <w:rPr>
          <w:rFonts w:eastAsia="Times New Roman"/>
          <w:color w:val="000000"/>
          <w:sz w:val="20"/>
          <w:szCs w:val="20"/>
        </w:rPr>
        <w:t>ld be exposed to potentially significant losses. Moreover, a prolonged downturn in the global economy could have an adverse impact on the ability of our customers to pay their obligations on a timely basis. We believe that the reserves for potential losses</w:t>
      </w:r>
      <w:r>
        <w:rPr>
          <w:rFonts w:eastAsia="Times New Roman"/>
          <w:color w:val="000000"/>
          <w:sz w:val="20"/>
          <w:szCs w:val="20"/>
        </w:rPr>
        <w:t xml:space="preserve"> are adequate. As of June 30, 2020, we did not have any significant concentration of credit risk related to financial instruments</w:t>
      </w:r>
      <w:r>
        <w:rPr>
          <w:rFonts w:eastAsia="Times New Roman"/>
          <w:color w:val="000000"/>
          <w:sz w:val="20"/>
          <w:szCs w:val="20"/>
        </w:rPr>
        <w:t>.</w:t>
      </w:r>
    </w:p>
    <w:p w:rsidR="00000000" w:rsidRDefault="000A7020">
      <w:pPr>
        <w:jc w:val="both"/>
        <w:rPr>
          <w:rFonts w:eastAsia="Times New Roman"/>
        </w:rPr>
      </w:pPr>
    </w:p>
    <w:p w:rsidR="00000000" w:rsidRDefault="000A7020">
      <w:pPr>
        <w:ind w:hanging="1170"/>
        <w:jc w:val="both"/>
        <w:rPr>
          <w:rFonts w:eastAsia="Times New Roman"/>
        </w:rPr>
      </w:pPr>
      <w:r>
        <w:rPr>
          <w:rFonts w:eastAsia="Times New Roman"/>
          <w:b/>
          <w:bCs/>
          <w:color w:val="000000"/>
          <w:sz w:val="20"/>
          <w:szCs w:val="20"/>
        </w:rPr>
        <w:t>Item 4. CONTROLS AND PROCEDURE</w:t>
      </w:r>
      <w:r>
        <w:rPr>
          <w:rFonts w:eastAsia="Times New Roman"/>
          <w:b/>
          <w:bCs/>
          <w:color w:val="000000"/>
          <w:sz w:val="20"/>
          <w:szCs w:val="20"/>
        </w:rPr>
        <w:t>S</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Evaluation of Disclosure Controls and Procedure</w:t>
      </w:r>
      <w:r>
        <w:rPr>
          <w:rFonts w:eastAsia="Times New Roman"/>
          <w:i/>
          <w:iCs/>
          <w:color w:val="000000"/>
          <w:sz w:val="20"/>
          <w:szCs w:val="20"/>
        </w:rPr>
        <w:t>s</w:t>
      </w:r>
    </w:p>
    <w:p w:rsidR="00000000" w:rsidRDefault="000A7020">
      <w:pPr>
        <w:jc w:val="both"/>
        <w:divId w:val="533157538"/>
        <w:rPr>
          <w:rFonts w:eastAsia="Times New Roman"/>
        </w:rPr>
      </w:pPr>
      <w:r>
        <w:rPr>
          <w:rFonts w:eastAsia="Times New Roman"/>
          <w:color w:val="000000"/>
          <w:sz w:val="20"/>
          <w:szCs w:val="20"/>
        </w:rPr>
        <w:t>NCR has established disclosure controls and procedures (as defined in Rules 13a-15(e) and 15d-15(e) of the Securities Exchange Act of 1934 (the Exchange Act)) to provide reasonable assurance that information</w:t>
      </w:r>
      <w:r>
        <w:rPr>
          <w:rFonts w:eastAsia="Times New Roman"/>
          <w:color w:val="000000"/>
          <w:sz w:val="20"/>
          <w:szCs w:val="20"/>
        </w:rPr>
        <w:t xml:space="preserve"> required to be disclosed by NCR in the reports that it files or submits under the Exchange Act is recorded, processed, summarized and reported within the time periods specified in the SEC’s rules and forms. Disclosure controls and procedures include, with</w:t>
      </w:r>
      <w:r>
        <w:rPr>
          <w:rFonts w:eastAsia="Times New Roman"/>
          <w:color w:val="000000"/>
          <w:sz w:val="20"/>
          <w:szCs w:val="20"/>
        </w:rPr>
        <w:t xml:space="preserve">out limitation, controls and procedures designed to provide reasonable assurance that information required to be disclosed by NCR in the reports that it files or submits under the Exchange Act is accumulated and communicated to NCR’s management, including </w:t>
      </w:r>
      <w:r>
        <w:rPr>
          <w:rFonts w:eastAsia="Times New Roman"/>
          <w:color w:val="000000"/>
          <w:sz w:val="20"/>
          <w:szCs w:val="20"/>
        </w:rPr>
        <w:t>its Chief Executive and Chief Financial Officers, as appropriate to allow timely decisions regarding required disclosure. Based on their evaluation as of the end of the second quarter of 2020, conducted under their supervision and with the participation of</w:t>
      </w:r>
      <w:r>
        <w:rPr>
          <w:rFonts w:eastAsia="Times New Roman"/>
          <w:color w:val="000000"/>
          <w:sz w:val="20"/>
          <w:szCs w:val="20"/>
        </w:rPr>
        <w:t xml:space="preserve"> management, the Company’s Chief Executive and Chief Financial Officers have concluded that NCR’s disclosure controls and procedures are effective to meet such objectives and that NCR’s disclosure controls and procedures adequately alert them on a timely b</w:t>
      </w:r>
      <w:r>
        <w:rPr>
          <w:rFonts w:eastAsia="Times New Roman"/>
          <w:color w:val="000000"/>
          <w:sz w:val="20"/>
          <w:szCs w:val="20"/>
        </w:rPr>
        <w:t>asis to material information relating to the Company (including its consolidated subsidiaries) required to be included in NCR’s Exchange Act filings</w:t>
      </w:r>
      <w:r>
        <w:rPr>
          <w:rFonts w:eastAsia="Times New Roman"/>
          <w:color w:val="000000"/>
          <w:sz w:val="20"/>
          <w:szCs w:val="20"/>
        </w:rPr>
        <w:t>.</w:t>
      </w:r>
    </w:p>
    <w:p w:rsidR="00000000" w:rsidRDefault="000A7020">
      <w:pPr>
        <w:ind w:firstLine="225"/>
        <w:jc w:val="both"/>
        <w:rPr>
          <w:rFonts w:eastAsia="Times New Roman"/>
        </w:rPr>
      </w:pPr>
    </w:p>
    <w:p w:rsidR="00000000" w:rsidRDefault="000A7020">
      <w:pPr>
        <w:jc w:val="both"/>
        <w:rPr>
          <w:rFonts w:eastAsia="Times New Roman"/>
        </w:rPr>
      </w:pPr>
      <w:r>
        <w:rPr>
          <w:rFonts w:eastAsia="Times New Roman"/>
          <w:i/>
          <w:iCs/>
          <w:color w:val="000000"/>
          <w:sz w:val="20"/>
          <w:szCs w:val="20"/>
        </w:rPr>
        <w:t>Changes in Internal Control over Financial Reportin</w:t>
      </w:r>
      <w:r>
        <w:rPr>
          <w:rFonts w:eastAsia="Times New Roman"/>
          <w:i/>
          <w:iCs/>
          <w:color w:val="000000"/>
          <w:sz w:val="20"/>
          <w:szCs w:val="20"/>
        </w:rPr>
        <w:t>g</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There have been no changes in our internal contro</w:t>
      </w:r>
      <w:r>
        <w:rPr>
          <w:rFonts w:eastAsia="Times New Roman"/>
          <w:color w:val="000000"/>
          <w:sz w:val="20"/>
          <w:szCs w:val="20"/>
        </w:rPr>
        <w:t>l over financial reporting that occurred during the three months ended June 30, 2020 that have materially affected, or are reasonably likely to materially affect, our internal control over financial reporting</w:t>
      </w:r>
      <w:r>
        <w:rPr>
          <w:rFonts w:eastAsia="Times New Roman"/>
          <w:color w:val="000000"/>
          <w:sz w:val="20"/>
          <w:szCs w:val="20"/>
        </w:rPr>
        <w:t>.</w:t>
      </w:r>
    </w:p>
    <w:p w:rsidR="00000000" w:rsidRDefault="000A7020">
      <w:pPr>
        <w:jc w:val="both"/>
        <w:rPr>
          <w:rFonts w:eastAsia="Times New Roman"/>
        </w:rPr>
      </w:pPr>
    </w:p>
    <w:p w:rsidR="00000000" w:rsidRDefault="000A7020">
      <w:pPr>
        <w:jc w:val="center"/>
        <w:divId w:val="572669041"/>
        <w:rPr>
          <w:rFonts w:eastAsia="Times New Roman"/>
        </w:rPr>
      </w:pPr>
      <w:r>
        <w:rPr>
          <w:rFonts w:eastAsia="Times New Roman"/>
          <w:color w:val="000000"/>
          <w:sz w:val="20"/>
          <w:szCs w:val="20"/>
        </w:rPr>
        <w:t>5</w:t>
      </w:r>
      <w:r>
        <w:rPr>
          <w:rFonts w:eastAsia="Times New Roman"/>
          <w:color w:val="000000"/>
          <w:sz w:val="20"/>
          <w:szCs w:val="20"/>
        </w:rPr>
        <w:t>7</w:t>
      </w:r>
    </w:p>
    <w:p w:rsidR="00000000" w:rsidRDefault="000A7020">
      <w:pPr>
        <w:rPr>
          <w:rFonts w:eastAsia="Times New Roman"/>
        </w:rPr>
      </w:pPr>
      <w:r>
        <w:rPr>
          <w:rFonts w:eastAsia="Times New Roman"/>
        </w:rPr>
        <w:pict>
          <v:rect id="_x0000_i1082" style="width:0;height:1.5pt" o:hralign="center" o:hrstd="t" o:hr="t" fillcolor="#a0a0a0" stroked="f"/>
        </w:pict>
      </w:r>
    </w:p>
    <w:p w:rsidR="00000000" w:rsidRDefault="000A7020">
      <w:pPr>
        <w:divId w:val="1828010082"/>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rPr>
          <w:rFonts w:eastAsia="Times New Roman"/>
        </w:rPr>
      </w:pPr>
      <w:r>
        <w:rPr>
          <w:rFonts w:eastAsia="Times New Roman"/>
          <w:b/>
          <w:bCs/>
          <w:color w:val="000000"/>
          <w:sz w:val="20"/>
          <w:szCs w:val="20"/>
        </w:rPr>
        <w:t>Part II. Other Informatio</w:t>
      </w:r>
      <w:r>
        <w:rPr>
          <w:rFonts w:eastAsia="Times New Roman"/>
          <w:b/>
          <w:bCs/>
          <w:color w:val="000000"/>
          <w:sz w:val="20"/>
          <w:szCs w:val="20"/>
        </w:rPr>
        <w:t>n</w:t>
      </w:r>
    </w:p>
    <w:p w:rsidR="00000000" w:rsidRDefault="000A7020">
      <w:pPr>
        <w:divId w:val="1352998710"/>
        <w:rPr>
          <w:rFonts w:eastAsia="Times New Roman"/>
        </w:rPr>
      </w:pPr>
    </w:p>
    <w:p w:rsidR="00000000" w:rsidRDefault="000A7020">
      <w:pPr>
        <w:ind w:hanging="1170"/>
        <w:jc w:val="both"/>
        <w:rPr>
          <w:rFonts w:eastAsia="Times New Roman"/>
        </w:rPr>
      </w:pPr>
      <w:r>
        <w:rPr>
          <w:rFonts w:eastAsia="Times New Roman"/>
          <w:b/>
          <w:bCs/>
          <w:color w:val="000000"/>
          <w:sz w:val="20"/>
          <w:szCs w:val="20"/>
        </w:rPr>
        <w:t>Item 1. LEGAL PROCEEDING</w:t>
      </w:r>
      <w:r>
        <w:rPr>
          <w:rFonts w:eastAsia="Times New Roman"/>
          <w:b/>
          <w:bCs/>
          <w:color w:val="000000"/>
          <w:sz w:val="20"/>
          <w:szCs w:val="20"/>
        </w:rPr>
        <w:t>S</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information required by this item is included in Note 9, Commitments and Contingenc</w:t>
      </w:r>
      <w:r>
        <w:rPr>
          <w:rFonts w:eastAsia="Times New Roman"/>
          <w:color w:val="000000"/>
          <w:sz w:val="20"/>
          <w:szCs w:val="20"/>
        </w:rPr>
        <w:t>ies of the Notes to the Condensed Consolidated Financial Statements in this quarterly report and is incorporated herein by reference</w:t>
      </w:r>
      <w:r>
        <w:rPr>
          <w:rFonts w:eastAsia="Times New Roman"/>
          <w:color w:val="000000"/>
          <w:sz w:val="20"/>
          <w:szCs w:val="20"/>
        </w:rPr>
        <w:t>.</w:t>
      </w:r>
    </w:p>
    <w:p w:rsidR="00000000" w:rsidRDefault="000A7020">
      <w:pPr>
        <w:divId w:val="1926576279"/>
        <w:rPr>
          <w:rFonts w:eastAsia="Times New Roman"/>
        </w:rPr>
      </w:pPr>
    </w:p>
    <w:p w:rsidR="00000000" w:rsidRDefault="000A7020">
      <w:pPr>
        <w:ind w:hanging="1170"/>
        <w:jc w:val="both"/>
        <w:rPr>
          <w:rFonts w:eastAsia="Times New Roman"/>
        </w:rPr>
      </w:pPr>
      <w:r>
        <w:rPr>
          <w:rFonts w:eastAsia="Times New Roman"/>
          <w:b/>
          <w:bCs/>
          <w:color w:val="000000"/>
          <w:sz w:val="20"/>
          <w:szCs w:val="20"/>
        </w:rPr>
        <w:t>Item 1A. RISK FACTOR</w:t>
      </w:r>
      <w:r>
        <w:rPr>
          <w:rFonts w:eastAsia="Times New Roman"/>
          <w:b/>
          <w:bCs/>
          <w:color w:val="000000"/>
          <w:sz w:val="20"/>
          <w:szCs w:val="20"/>
        </w:rPr>
        <w:t>S</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Part I, Item 1A ("Risk Factors") of the Company’s 2019 Annual Report on Form 10-K (the 2019 Annu</w:t>
      </w:r>
      <w:r>
        <w:rPr>
          <w:rFonts w:eastAsia="Times New Roman"/>
          <w:color w:val="000000"/>
          <w:sz w:val="20"/>
          <w:szCs w:val="20"/>
        </w:rPr>
        <w:t>al Report) includes a discussion of the risks and uncertainties related to our business. The information presented below updates, and should be read in conjunction with, the risk factors and information disclosed in the 2019 Annual Report. Except as presen</w:t>
      </w:r>
      <w:r>
        <w:rPr>
          <w:rFonts w:eastAsia="Times New Roman"/>
          <w:color w:val="000000"/>
          <w:sz w:val="20"/>
          <w:szCs w:val="20"/>
        </w:rPr>
        <w:t>ted below, there have been no material changes from the risk factors described in the 2019 Annual Report</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i/>
          <w:iCs/>
          <w:color w:val="000000"/>
          <w:sz w:val="20"/>
          <w:szCs w:val="20"/>
        </w:rPr>
        <w:t>The recent novel coronavirus (COVID-19) outbreak could materially adversely affect our business, financial condition and results of operations</w:t>
      </w:r>
      <w:r>
        <w:rPr>
          <w:rFonts w:eastAsia="Times New Roman"/>
          <w:i/>
          <w:iCs/>
          <w:color w:val="000000"/>
          <w:sz w:val="20"/>
          <w:szCs w:val="20"/>
        </w:rPr>
        <w:t>.</w:t>
      </w:r>
    </w:p>
    <w:p w:rsidR="00000000" w:rsidRDefault="000A7020">
      <w:pPr>
        <w:jc w:val="both"/>
        <w:rPr>
          <w:rFonts w:eastAsia="Times New Roman"/>
        </w:rPr>
      </w:pPr>
      <w:r>
        <w:rPr>
          <w:rFonts w:eastAsia="Times New Roman"/>
          <w:color w:val="000000"/>
          <w:sz w:val="20"/>
          <w:szCs w:val="20"/>
        </w:rPr>
        <w:t> </w:t>
      </w:r>
    </w:p>
    <w:p w:rsidR="00000000" w:rsidRDefault="000A7020">
      <w:pPr>
        <w:jc w:val="both"/>
        <w:rPr>
          <w:rFonts w:eastAsia="Times New Roman"/>
        </w:rPr>
      </w:pPr>
      <w:r>
        <w:rPr>
          <w:rFonts w:eastAsia="Times New Roman"/>
          <w:color w:val="000000"/>
          <w:sz w:val="20"/>
          <w:szCs w:val="20"/>
        </w:rPr>
        <w:t>Th</w:t>
      </w:r>
      <w:r>
        <w:rPr>
          <w:rFonts w:eastAsia="Times New Roman"/>
          <w:color w:val="000000"/>
          <w:sz w:val="20"/>
          <w:szCs w:val="20"/>
        </w:rPr>
        <w:t>e impact of COVID-19 has grown throughout the world, including in the United States. Governmental authorities have implemented numerous measures attempting to contain and mitigate the effects of the virus, including travel bans and restrictions, quarantine</w:t>
      </w:r>
      <w:r>
        <w:rPr>
          <w:rFonts w:eastAsia="Times New Roman"/>
          <w:color w:val="000000"/>
          <w:sz w:val="20"/>
          <w:szCs w:val="20"/>
        </w:rPr>
        <w:t>s, shelter in place orders and shutdowns. While we have implemented programs to mitigate the impact of these measures on our results of operations, there can be no assurance that these programs will be successful. There is significant uncertainty regarding</w:t>
      </w:r>
      <w:r>
        <w:rPr>
          <w:rFonts w:eastAsia="Times New Roman"/>
          <w:color w:val="000000"/>
          <w:sz w:val="20"/>
          <w:szCs w:val="20"/>
        </w:rPr>
        <w:t xml:space="preserve"> such measures and potential future measures</w:t>
      </w:r>
      <w:r>
        <w:rPr>
          <w:rFonts w:eastAsia="Times New Roman"/>
          <w:color w:val="000000"/>
          <w:sz w:val="20"/>
          <w:szCs w:val="20"/>
        </w:rPr>
        <w:t>.</w:t>
      </w:r>
    </w:p>
    <w:p w:rsidR="00000000" w:rsidRDefault="000A7020">
      <w:pPr>
        <w:jc w:val="both"/>
        <w:rPr>
          <w:rFonts w:eastAsia="Times New Roman"/>
        </w:rPr>
      </w:pPr>
      <w:r>
        <w:rPr>
          <w:rFonts w:eastAsia="Times New Roman"/>
          <w:color w:val="000000"/>
          <w:sz w:val="20"/>
          <w:szCs w:val="20"/>
        </w:rPr>
        <w:t> </w:t>
      </w:r>
    </w:p>
    <w:p w:rsidR="00000000" w:rsidRDefault="000A7020">
      <w:pPr>
        <w:jc w:val="both"/>
        <w:rPr>
          <w:rFonts w:eastAsia="Times New Roman"/>
        </w:rPr>
      </w:pPr>
      <w:r>
        <w:rPr>
          <w:rFonts w:eastAsia="Times New Roman"/>
          <w:color w:val="000000"/>
          <w:sz w:val="20"/>
          <w:szCs w:val="20"/>
        </w:rPr>
        <w:t>Our manufacturing and distribution facilities are located in areas that have been affected by the pandemic and have taken measures to try to contain it. Restrictions on our access to our manufacturing facilit</w:t>
      </w:r>
      <w:r>
        <w:rPr>
          <w:rFonts w:eastAsia="Times New Roman"/>
          <w:color w:val="000000"/>
          <w:sz w:val="20"/>
          <w:szCs w:val="20"/>
        </w:rPr>
        <w:t>ies or on our support operations or workforce, or similar limitations for our distributors and suppliers, could limit customer demand and/or our capacity to meet customer demand and have a material adverse effect on our business, financial condition and re</w:t>
      </w:r>
      <w:r>
        <w:rPr>
          <w:rFonts w:eastAsia="Times New Roman"/>
          <w:color w:val="000000"/>
          <w:sz w:val="20"/>
          <w:szCs w:val="20"/>
        </w:rPr>
        <w:t>sults of operations</w:t>
      </w:r>
      <w:r>
        <w:rPr>
          <w:rFonts w:eastAsia="Times New Roman"/>
          <w:color w:val="000000"/>
          <w:sz w:val="20"/>
          <w:szCs w:val="20"/>
        </w:rPr>
        <w:t>.</w:t>
      </w:r>
    </w:p>
    <w:p w:rsidR="00000000" w:rsidRDefault="000A7020">
      <w:pPr>
        <w:jc w:val="both"/>
        <w:rPr>
          <w:rFonts w:eastAsia="Times New Roman"/>
        </w:rPr>
      </w:pPr>
      <w:r>
        <w:rPr>
          <w:rFonts w:eastAsia="Times New Roman"/>
          <w:color w:val="000000"/>
          <w:sz w:val="20"/>
          <w:szCs w:val="20"/>
        </w:rPr>
        <w:t> </w:t>
      </w:r>
    </w:p>
    <w:p w:rsidR="00000000" w:rsidRDefault="000A7020">
      <w:pPr>
        <w:jc w:val="both"/>
        <w:rPr>
          <w:rFonts w:eastAsia="Times New Roman"/>
        </w:rPr>
      </w:pPr>
      <w:r>
        <w:rPr>
          <w:rFonts w:eastAsia="Times New Roman"/>
          <w:color w:val="000000"/>
          <w:sz w:val="20"/>
          <w:szCs w:val="20"/>
        </w:rPr>
        <w:t>The continued spread of COVID-19 could cause delay, or limit the ability of, customers to continue to operate and perform, including in making timely payments to us, or cause a decrease in customer demand or a slowdown in customer ex</w:t>
      </w:r>
      <w:r>
        <w:rPr>
          <w:rFonts w:eastAsia="Times New Roman"/>
          <w:color w:val="000000"/>
          <w:sz w:val="20"/>
          <w:szCs w:val="20"/>
        </w:rPr>
        <w:t>pansion. Local governmental restrictions and public perceptions of the risks associated with the COVID-19 pandemic have caused, and may continue to cause, consumers to avoid or limit gatherings in public places or social interactions, which could adversely</w:t>
      </w:r>
      <w:r>
        <w:rPr>
          <w:rFonts w:eastAsia="Times New Roman"/>
          <w:color w:val="000000"/>
          <w:sz w:val="20"/>
          <w:szCs w:val="20"/>
        </w:rPr>
        <w:t xml:space="preserve"> impact the businesses of our customers. For example, customers in our small and medium business market have experienced significant near-term working capital and adverse cash flow impacts as a result of the COVID-19 pandemic. Similarly, customers in our d</w:t>
      </w:r>
      <w:r>
        <w:rPr>
          <w:rFonts w:eastAsia="Times New Roman"/>
          <w:color w:val="000000"/>
          <w:sz w:val="20"/>
          <w:szCs w:val="20"/>
        </w:rPr>
        <w:t>epartment and specialty retail market have encountered significant adverse impacts as a result of temporary closures of physical stores in connection with COVID-19. Furthermore, negative economic conditions related to the COVID-19 pandemic may impact the w</w:t>
      </w:r>
      <w:r>
        <w:rPr>
          <w:rFonts w:eastAsia="Times New Roman"/>
          <w:color w:val="000000"/>
          <w:sz w:val="20"/>
          <w:szCs w:val="20"/>
        </w:rPr>
        <w:t>illingness of our customers to make capital expenditures or pay accounts receivable, the ability of our customers to obtain financing for the purchase of our products, or the amount of disposable income available to consumers, which may adversely impact th</w:t>
      </w:r>
      <w:r>
        <w:rPr>
          <w:rFonts w:eastAsia="Times New Roman"/>
          <w:color w:val="000000"/>
          <w:sz w:val="20"/>
          <w:szCs w:val="20"/>
        </w:rPr>
        <w:t>e businesses of our customers. Any of these effects could have a material adverse effect on our business, financial condition and results of operations</w:t>
      </w:r>
      <w:r>
        <w:rPr>
          <w:rFonts w:eastAsia="Times New Roman"/>
          <w:color w:val="000000"/>
          <w:sz w:val="20"/>
          <w:szCs w:val="20"/>
        </w:rPr>
        <w:t>.</w:t>
      </w:r>
    </w:p>
    <w:p w:rsidR="00000000" w:rsidRDefault="000A7020">
      <w:pPr>
        <w:jc w:val="both"/>
        <w:rPr>
          <w:rFonts w:eastAsia="Times New Roman"/>
        </w:rPr>
      </w:pPr>
      <w:r>
        <w:rPr>
          <w:rFonts w:eastAsia="Times New Roman"/>
          <w:color w:val="000000"/>
          <w:sz w:val="20"/>
          <w:szCs w:val="20"/>
        </w:rPr>
        <w:t> </w:t>
      </w:r>
    </w:p>
    <w:p w:rsidR="00000000" w:rsidRDefault="000A7020">
      <w:pPr>
        <w:jc w:val="both"/>
        <w:rPr>
          <w:rFonts w:eastAsia="Times New Roman"/>
        </w:rPr>
      </w:pPr>
      <w:r>
        <w:rPr>
          <w:rFonts w:eastAsia="Times New Roman"/>
          <w:color w:val="000000"/>
          <w:sz w:val="20"/>
          <w:szCs w:val="20"/>
        </w:rPr>
        <w:t xml:space="preserve">In addition, the spread of COVID-19 has caused us to modify our business practices, such as employee </w:t>
      </w:r>
      <w:r>
        <w:rPr>
          <w:rFonts w:eastAsia="Times New Roman"/>
          <w:color w:val="000000"/>
          <w:sz w:val="20"/>
          <w:szCs w:val="20"/>
        </w:rPr>
        <w:t>work locations, and we may take further actions as may be required by government authorities or that we determine is in the best interests of our employees, customers, distributors, suppliers and contractors. There is no certainty that such measures will b</w:t>
      </w:r>
      <w:r>
        <w:rPr>
          <w:rFonts w:eastAsia="Times New Roman"/>
          <w:color w:val="000000"/>
          <w:sz w:val="20"/>
          <w:szCs w:val="20"/>
        </w:rPr>
        <w:t>e sufficient to mitigate the risks posed by the virus, and our ability to perform critical functions could be harmed. These measures, and similar measures at our customers, have resulted in and may result in further installation delays</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COVID-19 or any o</w:t>
      </w:r>
      <w:r>
        <w:rPr>
          <w:rFonts w:eastAsia="Times New Roman"/>
          <w:color w:val="000000"/>
          <w:sz w:val="20"/>
          <w:szCs w:val="20"/>
        </w:rPr>
        <w:t>ther adverse public health development could inhibit our ability to execute our strategic initiatives including, without limitation, expanding our customer base by increasing our use of indirect sales channels and by developing, marketing and selling solut</w:t>
      </w:r>
      <w:r>
        <w:rPr>
          <w:rFonts w:eastAsia="Times New Roman"/>
          <w:color w:val="000000"/>
          <w:sz w:val="20"/>
          <w:szCs w:val="20"/>
        </w:rPr>
        <w:t xml:space="preserve">ions aimed at the small and medium business market, improving the experience of our customers, investing in growing identified strategic growth platforms and shifting the mix of revenue in our business to software and services revenue as well as recurring </w:t>
      </w:r>
      <w:r>
        <w:rPr>
          <w:rFonts w:eastAsia="Times New Roman"/>
          <w:color w:val="000000"/>
          <w:sz w:val="20"/>
          <w:szCs w:val="20"/>
        </w:rPr>
        <w:t>revenue</w:t>
      </w:r>
      <w:r>
        <w:rPr>
          <w:rFonts w:eastAsia="Times New Roman"/>
          <w:color w:val="000000"/>
          <w:sz w:val="20"/>
          <w:szCs w:val="20"/>
        </w:rPr>
        <w:t>.</w:t>
      </w:r>
    </w:p>
    <w:p w:rsidR="00000000" w:rsidRDefault="000A7020">
      <w:pPr>
        <w:jc w:val="both"/>
        <w:rPr>
          <w:rFonts w:eastAsia="Times New Roman"/>
        </w:rPr>
      </w:pPr>
      <w:r>
        <w:rPr>
          <w:rFonts w:eastAsia="Times New Roman"/>
          <w:color w:val="000000"/>
          <w:sz w:val="20"/>
          <w:szCs w:val="20"/>
        </w:rPr>
        <w:t> </w:t>
      </w:r>
    </w:p>
    <w:p w:rsidR="00000000" w:rsidRDefault="000A7020">
      <w:pPr>
        <w:jc w:val="both"/>
        <w:rPr>
          <w:rFonts w:eastAsia="Times New Roman"/>
        </w:rPr>
      </w:pPr>
      <w:r>
        <w:rPr>
          <w:rFonts w:eastAsia="Times New Roman"/>
          <w:color w:val="000000"/>
          <w:sz w:val="20"/>
          <w:szCs w:val="20"/>
        </w:rPr>
        <w:t>The degree to which COVID-19 affects our financial results and operations will depend on future developments, which are highly uncertain and cannot be predicted, including, but not limited to, the duration and spread of the outbreak, its severit</w:t>
      </w:r>
      <w:r>
        <w:rPr>
          <w:rFonts w:eastAsia="Times New Roman"/>
          <w:color w:val="000000"/>
          <w:sz w:val="20"/>
          <w:szCs w:val="20"/>
        </w:rPr>
        <w:t>y, the actions to contain the virus or treat its impact, and how quickly and to what extent normal economic and operating conditions can resume.</w:t>
      </w:r>
      <w:r>
        <w:rPr>
          <w:rFonts w:eastAsia="Times New Roman"/>
          <w:color w:val="000000"/>
          <w:sz w:val="20"/>
          <w:szCs w:val="20"/>
        </w:rPr>
        <w:t xml:space="preserve"> </w:t>
      </w:r>
    </w:p>
    <w:p w:rsidR="00000000" w:rsidRDefault="000A7020">
      <w:pPr>
        <w:jc w:val="both"/>
        <w:rPr>
          <w:rFonts w:eastAsia="Times New Roman"/>
        </w:rPr>
      </w:pPr>
      <w:r>
        <w:rPr>
          <w:rFonts w:eastAsia="Times New Roman"/>
          <w:color w:val="000000"/>
          <w:sz w:val="20"/>
          <w:szCs w:val="20"/>
        </w:rPr>
        <w:t> </w:t>
      </w:r>
    </w:p>
    <w:p w:rsidR="00000000" w:rsidRDefault="000A7020">
      <w:pPr>
        <w:jc w:val="center"/>
        <w:divId w:val="294678729"/>
        <w:rPr>
          <w:rFonts w:eastAsia="Times New Roman"/>
        </w:rPr>
      </w:pPr>
      <w:r>
        <w:rPr>
          <w:rFonts w:eastAsia="Times New Roman"/>
          <w:color w:val="000000"/>
          <w:sz w:val="20"/>
          <w:szCs w:val="20"/>
        </w:rPr>
        <w:t>5</w:t>
      </w:r>
      <w:r>
        <w:rPr>
          <w:rFonts w:eastAsia="Times New Roman"/>
          <w:color w:val="000000"/>
          <w:sz w:val="20"/>
          <w:szCs w:val="20"/>
        </w:rPr>
        <w:t>8</w:t>
      </w:r>
    </w:p>
    <w:p w:rsidR="00000000" w:rsidRDefault="000A7020">
      <w:pPr>
        <w:rPr>
          <w:rFonts w:eastAsia="Times New Roman"/>
        </w:rPr>
      </w:pPr>
      <w:r>
        <w:rPr>
          <w:rFonts w:eastAsia="Times New Roman"/>
        </w:rPr>
        <w:pict>
          <v:rect id="_x0000_i1083" style="width:0;height:1.5pt" o:hralign="center" o:hrstd="t" o:hr="t" fillcolor="#a0a0a0" stroked="f"/>
        </w:pict>
      </w:r>
    </w:p>
    <w:p w:rsidR="00000000" w:rsidRDefault="000A7020">
      <w:pPr>
        <w:divId w:val="881986707"/>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both"/>
        <w:rPr>
          <w:rFonts w:eastAsia="Times New Roman"/>
        </w:rPr>
      </w:pPr>
      <w:r>
        <w:rPr>
          <w:rFonts w:eastAsia="Times New Roman"/>
          <w:color w:val="000000"/>
          <w:sz w:val="20"/>
          <w:szCs w:val="20"/>
        </w:rPr>
        <w:t>To the extent the COVID-19 pandemic materially adversely affects our business and financial results, it may also have the effect of significantly heightening many of the other risks associated with our business and substantial indebtedness, including those</w:t>
      </w:r>
      <w:r>
        <w:rPr>
          <w:rFonts w:eastAsia="Times New Roman"/>
          <w:color w:val="000000"/>
          <w:sz w:val="20"/>
          <w:szCs w:val="20"/>
        </w:rPr>
        <w:t xml:space="preserve"> described in our most recent Annual Report on Form 10-K for the year ended December 31, 2019</w:t>
      </w:r>
      <w:r>
        <w:rPr>
          <w:rFonts w:eastAsia="Times New Roman"/>
          <w:color w:val="000000"/>
          <w:sz w:val="20"/>
          <w:szCs w:val="20"/>
        </w:rPr>
        <w:t>.</w:t>
      </w:r>
    </w:p>
    <w:p w:rsidR="00000000" w:rsidRDefault="000A7020">
      <w:pPr>
        <w:jc w:val="both"/>
        <w:rPr>
          <w:rFonts w:eastAsia="Times New Roman"/>
        </w:rPr>
      </w:pPr>
    </w:p>
    <w:p w:rsidR="00000000" w:rsidRDefault="000A7020">
      <w:pPr>
        <w:ind w:hanging="1170"/>
        <w:jc w:val="both"/>
        <w:rPr>
          <w:rFonts w:eastAsia="Times New Roman"/>
        </w:rPr>
      </w:pPr>
    </w:p>
    <w:p w:rsidR="00000000" w:rsidRDefault="000A7020">
      <w:pPr>
        <w:ind w:hanging="1170"/>
        <w:jc w:val="both"/>
        <w:rPr>
          <w:rFonts w:eastAsia="Times New Roman"/>
        </w:rPr>
      </w:pPr>
      <w:r>
        <w:rPr>
          <w:rFonts w:eastAsia="Times New Roman"/>
          <w:b/>
          <w:bCs/>
          <w:color w:val="000000"/>
          <w:sz w:val="20"/>
          <w:szCs w:val="20"/>
        </w:rPr>
        <w:t>Item 2. UNREGISTERED SALES OF EQUITY SECURITIES AND USE OF PROCEED</w:t>
      </w:r>
      <w:r>
        <w:rPr>
          <w:rFonts w:eastAsia="Times New Roman"/>
          <w:b/>
          <w:bCs/>
          <w:color w:val="000000"/>
          <w:sz w:val="20"/>
          <w:szCs w:val="20"/>
        </w:rPr>
        <w:t>S</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 xml:space="preserve">On October 19, 2016, the Board approved a share repurchase program, with no expiration </w:t>
      </w:r>
      <w:r>
        <w:rPr>
          <w:rFonts w:eastAsia="Times New Roman"/>
          <w:color w:val="000000"/>
          <w:sz w:val="20"/>
          <w:szCs w:val="20"/>
        </w:rPr>
        <w:t>from the date of authorization, for the systematic repurchase of the Company’s common stock to offset the dilutive effects of the Company’s employee stock purchase plan, equity awards and in-kind dividends on the Company’s Series A Convertible Preferred St</w:t>
      </w:r>
      <w:r>
        <w:rPr>
          <w:rFonts w:eastAsia="Times New Roman"/>
          <w:color w:val="000000"/>
          <w:sz w:val="20"/>
          <w:szCs w:val="20"/>
        </w:rPr>
        <w:t>ock. Availability under this program accrues quarterly based on the average value of dilutive issuances during the quarter</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On March 12, 2017, the Board approved a second share repurchase program, with no expiration from the date of authorization, that p</w:t>
      </w:r>
      <w:r>
        <w:rPr>
          <w:rFonts w:eastAsia="Times New Roman"/>
          <w:color w:val="000000"/>
          <w:sz w:val="20"/>
          <w:szCs w:val="20"/>
        </w:rPr>
        <w:t>rovides for the repurchase of up to $300 million of the Company’s common stock. On July 25, 2018, the Board authorized an incremental $200 million of share repurchases under this program.</w:t>
      </w:r>
      <w:r>
        <w:rPr>
          <w:rFonts w:eastAsia="Times New Roman"/>
          <w:color w:val="000000"/>
          <w:sz w:val="20"/>
          <w:szCs w:val="20"/>
        </w:rPr>
        <w:t xml:space="preserve"> </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As of June 30, 2020, $508 million was available for repurchases u</w:t>
      </w:r>
      <w:r>
        <w:rPr>
          <w:rFonts w:eastAsia="Times New Roman"/>
          <w:color w:val="000000"/>
          <w:sz w:val="20"/>
          <w:szCs w:val="20"/>
        </w:rPr>
        <w:t>nder the March 2017 program, and approximately $153 million was available for repurchases under the October 2016 dilution offset program. The timing and amount of repurchases under these programs depend upon market conditions and may be made from time to t</w:t>
      </w:r>
      <w:r>
        <w:rPr>
          <w:rFonts w:eastAsia="Times New Roman"/>
          <w:color w:val="000000"/>
          <w:sz w:val="20"/>
          <w:szCs w:val="20"/>
        </w:rPr>
        <w:t>ime in open market purchases, privately negotiated transactions, accelerated stock repurchase programs, issuer self-tender offers or otherwise. The repurchases will be made in compliance with applicable securities laws and may be discontinued at any time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Company occasionally purchases vested restricted stock or exercised stock options at the current market price to cover withholding taxes. For the three months ended June 30, 2020, 0.1 million shares were purchased at an average price of $17.78 per sh</w:t>
      </w:r>
      <w:r>
        <w:rPr>
          <w:rFonts w:eastAsia="Times New Roman"/>
          <w:color w:val="000000"/>
          <w:sz w:val="20"/>
          <w:szCs w:val="20"/>
        </w:rPr>
        <w:t>are</w:t>
      </w:r>
      <w:r>
        <w:rPr>
          <w:rFonts w:eastAsia="Times New Roman"/>
          <w:color w:val="000000"/>
          <w:sz w:val="20"/>
          <w:szCs w:val="20"/>
        </w:rPr>
        <w:t>.</w:t>
      </w:r>
    </w:p>
    <w:p w:rsidR="00000000" w:rsidRDefault="000A7020">
      <w:pPr>
        <w:jc w:val="both"/>
        <w:rPr>
          <w:rFonts w:eastAsia="Times New Roman"/>
        </w:rPr>
      </w:pPr>
    </w:p>
    <w:p w:rsidR="00000000" w:rsidRDefault="000A7020">
      <w:pPr>
        <w:jc w:val="both"/>
        <w:rPr>
          <w:rFonts w:eastAsia="Times New Roman"/>
        </w:rPr>
      </w:pPr>
      <w:r>
        <w:rPr>
          <w:rFonts w:eastAsia="Times New Roman"/>
          <w:color w:val="000000"/>
          <w:sz w:val="20"/>
          <w:szCs w:val="20"/>
        </w:rPr>
        <w:t>The Company’s ability to repurchase its common stock is restricted under the Company’s senior secured credit facility and terms of the indentures for the Company’s senior unsecured notes, which prohibit certain share repurchases, including during th</w:t>
      </w:r>
      <w:r>
        <w:rPr>
          <w:rFonts w:eastAsia="Times New Roman"/>
          <w:color w:val="000000"/>
          <w:sz w:val="20"/>
          <w:szCs w:val="20"/>
        </w:rPr>
        <w:t>e occurrence of an event of default, and establish limits on the amount that the Company is permitted to allocate to share repurchases and other restricted payments. The limitations are calculated using formulas based generally on 50% of the Company’s cons</w:t>
      </w:r>
      <w:r>
        <w:rPr>
          <w:rFonts w:eastAsia="Times New Roman"/>
          <w:color w:val="000000"/>
          <w:sz w:val="20"/>
          <w:szCs w:val="20"/>
        </w:rPr>
        <w:t>olidated net income for the period beginning in the third quarter of 2012 through the end of the most recently ended fiscal quarter, subject to certain other adjustments and deductions, with certain prescribed minimums. These formulas are described in grea</w:t>
      </w:r>
      <w:r>
        <w:rPr>
          <w:rFonts w:eastAsia="Times New Roman"/>
          <w:color w:val="000000"/>
          <w:sz w:val="20"/>
          <w:szCs w:val="20"/>
        </w:rPr>
        <w:t>ter detail in the Company’s senior secured credit facility and the indentures for the Company’s senior unsecured notes, each of which is filed with the SEC</w:t>
      </w:r>
      <w:r>
        <w:rPr>
          <w:rFonts w:eastAsia="Times New Roman"/>
          <w:color w:val="000000"/>
          <w:sz w:val="20"/>
          <w:szCs w:val="20"/>
        </w:rPr>
        <w:t>.</w:t>
      </w:r>
    </w:p>
    <w:p w:rsidR="00000000" w:rsidRDefault="000A7020">
      <w:pPr>
        <w:jc w:val="center"/>
        <w:divId w:val="571886687"/>
        <w:rPr>
          <w:rFonts w:eastAsia="Times New Roman"/>
        </w:rPr>
      </w:pPr>
      <w:r>
        <w:rPr>
          <w:rFonts w:eastAsia="Times New Roman"/>
          <w:color w:val="000000"/>
          <w:sz w:val="20"/>
          <w:szCs w:val="20"/>
        </w:rPr>
        <w:t>5</w:t>
      </w:r>
      <w:r>
        <w:rPr>
          <w:rFonts w:eastAsia="Times New Roman"/>
          <w:color w:val="000000"/>
          <w:sz w:val="20"/>
          <w:szCs w:val="20"/>
        </w:rPr>
        <w:t>9</w:t>
      </w:r>
    </w:p>
    <w:p w:rsidR="00000000" w:rsidRDefault="000A7020">
      <w:pPr>
        <w:rPr>
          <w:rFonts w:eastAsia="Times New Roman"/>
        </w:rPr>
      </w:pPr>
      <w:r>
        <w:rPr>
          <w:rFonts w:eastAsia="Times New Roman"/>
        </w:rPr>
        <w:pict>
          <v:rect id="_x0000_i1084" style="width:0;height:1.5pt" o:hralign="center" o:hrstd="t" o:hr="t" fillcolor="#a0a0a0" stroked="f"/>
        </w:pict>
      </w:r>
    </w:p>
    <w:p w:rsidR="00000000" w:rsidRDefault="000A7020">
      <w:pPr>
        <w:divId w:val="116685918"/>
        <w:rPr>
          <w:rFonts w:eastAsia="Times New Roman"/>
        </w:rPr>
      </w:pPr>
      <w:hyperlink w:anchor="ic0df5956a4b14938a5c94b8fe25f3429_7" w:history="1">
        <w:r>
          <w:rPr>
            <w:rStyle w:val="a3"/>
            <w:rFonts w:eastAsia="Times New Roman"/>
            <w:sz w:val="16"/>
            <w:szCs w:val="16"/>
          </w:rPr>
          <w:t>Ta</w:t>
        </w:r>
        <w:r>
          <w:rPr>
            <w:rStyle w:val="a3"/>
            <w:rFonts w:eastAsia="Times New Roman"/>
            <w:sz w:val="16"/>
            <w:szCs w:val="16"/>
          </w:rPr>
          <w:t>ble of Contents</w:t>
        </w:r>
      </w:hyperlink>
    </w:p>
    <w:p w:rsidR="00000000" w:rsidRDefault="000A7020">
      <w:pPr>
        <w:ind w:hanging="450"/>
        <w:divId w:val="741607719"/>
        <w:rPr>
          <w:rFonts w:eastAsia="Times New Roman"/>
        </w:rPr>
      </w:pPr>
      <w:r>
        <w:rPr>
          <w:rFonts w:eastAsia="Times New Roman"/>
          <w:b/>
          <w:bCs/>
          <w:color w:val="000000"/>
          <w:sz w:val="20"/>
          <w:szCs w:val="20"/>
        </w:rPr>
        <w:t>        Item 6.  EXHIBIT</w:t>
      </w:r>
      <w:r>
        <w:rPr>
          <w:rFonts w:eastAsia="Times New Roman"/>
          <w:b/>
          <w:bCs/>
          <w:color w:val="000000"/>
          <w:sz w:val="20"/>
          <w:szCs w:val="20"/>
        </w:rPr>
        <w:t>S</w:t>
      </w:r>
    </w:p>
    <w:tbl>
      <w:tblPr>
        <w:tblW w:w="4554" w:type="pct"/>
        <w:tblCellMar>
          <w:top w:w="15" w:type="dxa"/>
          <w:left w:w="15" w:type="dxa"/>
          <w:bottom w:w="15" w:type="dxa"/>
          <w:right w:w="15" w:type="dxa"/>
        </w:tblCellMar>
        <w:tblLook w:val="04A0" w:firstRow="1" w:lastRow="0" w:firstColumn="1" w:lastColumn="0" w:noHBand="0" w:noVBand="1"/>
      </w:tblPr>
      <w:tblGrid>
        <w:gridCol w:w="75"/>
        <w:gridCol w:w="721"/>
        <w:gridCol w:w="76"/>
        <w:gridCol w:w="76"/>
        <w:gridCol w:w="6541"/>
        <w:gridCol w:w="76"/>
      </w:tblGrid>
      <w:tr w:rsidR="00000000">
        <w:trPr>
          <w:divId w:val="973287871"/>
        </w:trPr>
        <w:tc>
          <w:tcPr>
            <w:tcW w:w="50" w:type="pct"/>
            <w:vAlign w:val="center"/>
            <w:hideMark/>
          </w:tcPr>
          <w:p w:rsidR="00000000" w:rsidRDefault="000A7020">
            <w:pPr>
              <w:ind w:hanging="450"/>
              <w:rPr>
                <w:rFonts w:eastAsia="Times New Roman"/>
              </w:rPr>
            </w:pPr>
          </w:p>
        </w:tc>
        <w:tc>
          <w:tcPr>
            <w:tcW w:w="47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432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973287871"/>
        </w:trPr>
        <w:tc>
          <w:tcPr>
            <w:tcW w:w="0" w:type="auto"/>
            <w:gridSpan w:val="3"/>
            <w:tcMar>
              <w:top w:w="30" w:type="dxa"/>
              <w:left w:w="20" w:type="dxa"/>
              <w:bottom w:w="30" w:type="dxa"/>
              <w:right w:w="20" w:type="dxa"/>
            </w:tcMar>
            <w:hideMark/>
          </w:tcPr>
          <w:p w:rsidR="00000000" w:rsidRDefault="000A7020">
            <w:pPr>
              <w:jc w:val="both"/>
              <w:rPr>
                <w:rFonts w:eastAsia="Times New Roman"/>
              </w:rPr>
            </w:pPr>
            <w:hyperlink r:id="rId5" w:history="1">
              <w:r>
                <w:rPr>
                  <w:rStyle w:val="a3"/>
                  <w:rFonts w:eastAsia="Times New Roman"/>
                  <w:sz w:val="20"/>
                  <w:szCs w:val="20"/>
                </w:rPr>
                <w:t>4.1</w:t>
              </w:r>
            </w:hyperlink>
          </w:p>
        </w:tc>
        <w:tc>
          <w:tcPr>
            <w:tcW w:w="0" w:type="auto"/>
            <w:gridSpan w:val="3"/>
            <w:tcMar>
              <w:top w:w="30" w:type="dxa"/>
              <w:left w:w="20" w:type="dxa"/>
              <w:bottom w:w="30" w:type="dxa"/>
              <w:right w:w="20" w:type="dxa"/>
            </w:tcMar>
            <w:hideMark/>
          </w:tcPr>
          <w:p w:rsidR="00000000" w:rsidRDefault="000A7020">
            <w:pPr>
              <w:jc w:val="both"/>
              <w:rPr>
                <w:rFonts w:eastAsia="Times New Roman"/>
              </w:rPr>
            </w:pPr>
            <w:r>
              <w:rPr>
                <w:rFonts w:eastAsia="Times New Roman"/>
                <w:color w:val="000000"/>
                <w:sz w:val="20"/>
                <w:szCs w:val="20"/>
              </w:rPr>
              <w:t>Indenture relating to the Notes, dated April 13, 2020, among NCR Corporation, NCR International, Inc. and Wells Fargo Bank, National Association (Exhibit 4.1 to Current Report on Form 8-K of NCR Corporation dated April 13, 2020)</w:t>
            </w:r>
            <w:r>
              <w:rPr>
                <w:rFonts w:eastAsia="Times New Roman"/>
                <w:color w:val="000000"/>
                <w:sz w:val="20"/>
                <w:szCs w:val="20"/>
              </w:rPr>
              <w:t>.</w:t>
            </w: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Pr>
        <w:tc>
          <w:tcPr>
            <w:tcW w:w="0" w:type="auto"/>
            <w:gridSpan w:val="3"/>
            <w:tcMar>
              <w:top w:w="30" w:type="dxa"/>
              <w:left w:w="20" w:type="dxa"/>
              <w:bottom w:w="30" w:type="dxa"/>
              <w:right w:w="20" w:type="dxa"/>
            </w:tcMar>
            <w:hideMark/>
          </w:tcPr>
          <w:p w:rsidR="00000000" w:rsidRDefault="000A7020">
            <w:pPr>
              <w:jc w:val="both"/>
              <w:rPr>
                <w:rFonts w:eastAsia="Times New Roman"/>
              </w:rPr>
            </w:pPr>
            <w:hyperlink r:id="rId6" w:history="1">
              <w:r>
                <w:rPr>
                  <w:rStyle w:val="a3"/>
                  <w:rFonts w:eastAsia="Times New Roman"/>
                  <w:sz w:val="20"/>
                  <w:szCs w:val="20"/>
                </w:rPr>
                <w:t>10.1</w:t>
              </w:r>
            </w:hyperlink>
          </w:p>
        </w:tc>
        <w:tc>
          <w:tcPr>
            <w:tcW w:w="0" w:type="auto"/>
            <w:gridSpan w:val="3"/>
            <w:tcMar>
              <w:top w:w="30" w:type="dxa"/>
              <w:left w:w="20" w:type="dxa"/>
              <w:bottom w:w="30" w:type="dxa"/>
              <w:right w:w="20" w:type="dxa"/>
            </w:tcMar>
            <w:hideMark/>
          </w:tcPr>
          <w:p w:rsidR="00000000" w:rsidRDefault="000A7020">
            <w:pPr>
              <w:jc w:val="both"/>
              <w:rPr>
                <w:rFonts w:eastAsia="Times New Roman"/>
              </w:rPr>
            </w:pPr>
            <w:r>
              <w:rPr>
                <w:rFonts w:eastAsia="Times New Roman"/>
                <w:color w:val="000000"/>
                <w:sz w:val="20"/>
                <w:szCs w:val="20"/>
              </w:rPr>
              <w:t xml:space="preserve">Form of 2020 Director Restricted Stock Unit Grant Statement under the NCR Corporation 2017 Stock Incentive Plan. </w:t>
            </w:r>
            <w:r>
              <w:rPr>
                <w:rFonts w:eastAsia="Times New Roman"/>
                <w:color w:val="000000"/>
                <w:sz w:val="20"/>
                <w:szCs w:val="20"/>
              </w:rPr>
              <w:t>*</w:t>
            </w: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Pr>
        <w:tc>
          <w:tcPr>
            <w:tcW w:w="0" w:type="auto"/>
            <w:gridSpan w:val="3"/>
            <w:tcMar>
              <w:top w:w="30" w:type="dxa"/>
              <w:left w:w="20" w:type="dxa"/>
              <w:bottom w:w="30" w:type="dxa"/>
              <w:right w:w="20" w:type="dxa"/>
            </w:tcMar>
            <w:hideMark/>
          </w:tcPr>
          <w:p w:rsidR="00000000" w:rsidRDefault="000A7020">
            <w:pPr>
              <w:jc w:val="both"/>
              <w:rPr>
                <w:rFonts w:eastAsia="Times New Roman"/>
              </w:rPr>
            </w:pPr>
            <w:hyperlink r:id="rId7" w:anchor="toc825867_73" w:history="1">
              <w:r>
                <w:rPr>
                  <w:rStyle w:val="a3"/>
                  <w:rFonts w:eastAsia="Times New Roman"/>
                  <w:sz w:val="20"/>
                  <w:szCs w:val="20"/>
                </w:rPr>
                <w:t>10.2</w:t>
              </w:r>
            </w:hyperlink>
          </w:p>
        </w:tc>
        <w:tc>
          <w:tcPr>
            <w:tcW w:w="0" w:type="auto"/>
            <w:gridSpan w:val="3"/>
            <w:tcMar>
              <w:top w:w="30" w:type="dxa"/>
              <w:left w:w="20" w:type="dxa"/>
              <w:bottom w:w="30" w:type="dxa"/>
              <w:right w:w="20" w:type="dxa"/>
            </w:tcMar>
            <w:hideMark/>
          </w:tcPr>
          <w:p w:rsidR="00000000" w:rsidRDefault="000A7020">
            <w:pPr>
              <w:jc w:val="both"/>
              <w:rPr>
                <w:rFonts w:eastAsia="Times New Roman"/>
              </w:rPr>
            </w:pPr>
            <w:r>
              <w:rPr>
                <w:rFonts w:eastAsia="Times New Roman"/>
                <w:color w:val="000000"/>
                <w:sz w:val="20"/>
                <w:szCs w:val="20"/>
              </w:rPr>
              <w:t xml:space="preserve">First Amendment to the NCR Corporation 2017 Stock Incentive Plan (Appendix A to the NCR Corporation Proxy Statement on Schedule 14A for the NCR Corporation 2020 Annual Meetings of Stockholders). </w:t>
            </w:r>
            <w:r>
              <w:rPr>
                <w:rFonts w:eastAsia="Times New Roman"/>
                <w:color w:val="000000"/>
                <w:sz w:val="20"/>
                <w:szCs w:val="20"/>
              </w:rPr>
              <w:t>*</w:t>
            </w: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Pr>
        <w:tc>
          <w:tcPr>
            <w:tcW w:w="0" w:type="auto"/>
            <w:gridSpan w:val="3"/>
            <w:tcMar>
              <w:top w:w="30" w:type="dxa"/>
              <w:left w:w="20" w:type="dxa"/>
              <w:bottom w:w="30" w:type="dxa"/>
              <w:right w:w="20" w:type="dxa"/>
            </w:tcMar>
            <w:hideMark/>
          </w:tcPr>
          <w:p w:rsidR="00000000" w:rsidRDefault="000A7020">
            <w:pPr>
              <w:jc w:val="both"/>
              <w:rPr>
                <w:rFonts w:eastAsia="Times New Roman"/>
              </w:rPr>
            </w:pPr>
            <w:hyperlink r:id="rId8" w:history="1">
              <w:r>
                <w:rPr>
                  <w:rStyle w:val="a3"/>
                  <w:rFonts w:eastAsia="Times New Roman"/>
                  <w:sz w:val="20"/>
                  <w:szCs w:val="20"/>
                </w:rPr>
                <w:t>10.3</w:t>
              </w:r>
            </w:hyperlink>
          </w:p>
        </w:tc>
        <w:tc>
          <w:tcPr>
            <w:tcW w:w="0" w:type="auto"/>
            <w:gridSpan w:val="3"/>
            <w:tcMar>
              <w:top w:w="30" w:type="dxa"/>
              <w:left w:w="20" w:type="dxa"/>
              <w:bottom w:w="30" w:type="dxa"/>
              <w:right w:w="20" w:type="dxa"/>
            </w:tcMar>
            <w:hideMark/>
          </w:tcPr>
          <w:p w:rsidR="00000000" w:rsidRDefault="000A7020">
            <w:pPr>
              <w:jc w:val="both"/>
              <w:rPr>
                <w:rFonts w:eastAsia="Times New Roman"/>
              </w:rPr>
            </w:pPr>
            <w:r>
              <w:rPr>
                <w:rFonts w:eastAsia="Times New Roman"/>
                <w:color w:val="000000"/>
                <w:sz w:val="20"/>
                <w:szCs w:val="20"/>
              </w:rPr>
              <w:t>Second Amendment, dated as of April 7, 2020, by and among NCR Corporation, the Lenders party thereto, and JPMorgan Chase Bank, N.A., as Administrative Agent, relating to the Credit Agreement, dated as of Au</w:t>
            </w:r>
            <w:r>
              <w:rPr>
                <w:rFonts w:eastAsia="Times New Roman"/>
                <w:color w:val="000000"/>
                <w:sz w:val="20"/>
                <w:szCs w:val="20"/>
              </w:rPr>
              <w:t>gust 22, 2011 as amended and restated as of July 25, 2013, as further amended and restated as of March 31, 2016, as further amended and restated as of August 28, 2019, and as further amended October 7, 2019</w:t>
            </w:r>
            <w:r>
              <w:rPr>
                <w:rFonts w:eastAsia="Times New Roman"/>
                <w:color w:val="000000"/>
                <w:sz w:val="20"/>
                <w:szCs w:val="20"/>
              </w:rPr>
              <w:t>.</w:t>
            </w: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Pr>
        <w:tc>
          <w:tcPr>
            <w:tcW w:w="0" w:type="auto"/>
            <w:gridSpan w:val="3"/>
            <w:tcMar>
              <w:top w:w="30" w:type="dxa"/>
              <w:left w:w="20" w:type="dxa"/>
              <w:bottom w:w="30" w:type="dxa"/>
              <w:right w:w="20" w:type="dxa"/>
            </w:tcMar>
            <w:hideMark/>
          </w:tcPr>
          <w:p w:rsidR="00000000" w:rsidRDefault="000A7020">
            <w:pPr>
              <w:jc w:val="both"/>
              <w:rPr>
                <w:rFonts w:eastAsia="Times New Roman"/>
              </w:rPr>
            </w:pPr>
            <w:hyperlink r:id="rId9" w:history="1">
              <w:r>
                <w:rPr>
                  <w:rStyle w:val="a3"/>
                  <w:rFonts w:eastAsia="Times New Roman"/>
                  <w:sz w:val="20"/>
                  <w:szCs w:val="20"/>
                </w:rPr>
                <w:t>1</w:t>
              </w:r>
              <w:r>
                <w:rPr>
                  <w:rStyle w:val="a3"/>
                  <w:rFonts w:eastAsia="Times New Roman"/>
                  <w:sz w:val="20"/>
                  <w:szCs w:val="20"/>
                </w:rPr>
                <w:t>0.4</w:t>
              </w:r>
            </w:hyperlink>
          </w:p>
        </w:tc>
        <w:tc>
          <w:tcPr>
            <w:tcW w:w="0" w:type="auto"/>
            <w:gridSpan w:val="3"/>
            <w:tcMar>
              <w:top w:w="30" w:type="dxa"/>
              <w:left w:w="20" w:type="dxa"/>
              <w:bottom w:w="30" w:type="dxa"/>
              <w:right w:w="20" w:type="dxa"/>
            </w:tcMar>
            <w:hideMark/>
          </w:tcPr>
          <w:p w:rsidR="00000000" w:rsidRDefault="000A7020">
            <w:pPr>
              <w:jc w:val="both"/>
              <w:rPr>
                <w:rFonts w:eastAsia="Times New Roman"/>
              </w:rPr>
            </w:pPr>
            <w:r>
              <w:rPr>
                <w:rFonts w:eastAsia="Times New Roman"/>
                <w:color w:val="000000"/>
                <w:sz w:val="20"/>
                <w:szCs w:val="20"/>
              </w:rPr>
              <w:t xml:space="preserve">Employment Agreement, dated June 15, 2020, between Timothy Oliver and NCR Corporation. </w:t>
            </w:r>
            <w:r>
              <w:rPr>
                <w:rFonts w:eastAsia="Times New Roman"/>
                <w:color w:val="000000"/>
                <w:sz w:val="20"/>
                <w:szCs w:val="20"/>
              </w:rPr>
              <w:t>*</w:t>
            </w: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Pr>
        <w:tc>
          <w:tcPr>
            <w:tcW w:w="0" w:type="auto"/>
            <w:gridSpan w:val="3"/>
            <w:tcMar>
              <w:top w:w="30" w:type="dxa"/>
              <w:left w:w="20" w:type="dxa"/>
              <w:bottom w:w="30" w:type="dxa"/>
              <w:right w:w="20" w:type="dxa"/>
            </w:tcMar>
            <w:hideMark/>
          </w:tcPr>
          <w:p w:rsidR="00000000" w:rsidRDefault="000A7020">
            <w:pPr>
              <w:jc w:val="both"/>
              <w:rPr>
                <w:rFonts w:eastAsia="Times New Roman"/>
              </w:rPr>
            </w:pPr>
            <w:hyperlink r:id="rId10"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rsidR="00000000" w:rsidRDefault="000A7020">
            <w:pPr>
              <w:jc w:val="both"/>
              <w:rPr>
                <w:rFonts w:eastAsia="Times New Roman"/>
              </w:rPr>
            </w:pPr>
            <w:r>
              <w:rPr>
                <w:rFonts w:eastAsia="Times New Roman"/>
                <w:color w:val="000000"/>
                <w:sz w:val="20"/>
                <w:szCs w:val="20"/>
              </w:rPr>
              <w:t>Certification pursuant to Rule 13a-14(a) and Rule 15d-14(a) of the Securities Exchange Act of 1934</w:t>
            </w:r>
            <w:r>
              <w:rPr>
                <w:rFonts w:eastAsia="Times New Roman"/>
                <w:color w:val="000000"/>
                <w:sz w:val="20"/>
                <w:szCs w:val="20"/>
              </w:rPr>
              <w:t>.</w:t>
            </w:r>
          </w:p>
        </w:tc>
      </w:tr>
      <w:tr w:rsidR="00000000">
        <w:trPr>
          <w:divId w:val="973287871"/>
          <w:trHeight w:val="160"/>
        </w:trPr>
        <w:tc>
          <w:tcPr>
            <w:tcW w:w="0" w:type="auto"/>
            <w:gridSpan w:val="3"/>
            <w:tcMar>
              <w:top w:w="15" w:type="dxa"/>
              <w:left w:w="20" w:type="dxa"/>
              <w:bottom w:w="15" w:type="dxa"/>
              <w:right w:w="20" w:type="dxa"/>
            </w:tcMar>
            <w:vAlign w:val="bottom"/>
            <w:hideMark/>
          </w:tcPr>
          <w:p w:rsidR="00000000" w:rsidRDefault="000A7020">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Pr>
        <w:tc>
          <w:tcPr>
            <w:tcW w:w="0" w:type="auto"/>
            <w:gridSpan w:val="3"/>
            <w:tcMar>
              <w:top w:w="30" w:type="dxa"/>
              <w:left w:w="20" w:type="dxa"/>
              <w:bottom w:w="30" w:type="dxa"/>
              <w:right w:w="20" w:type="dxa"/>
            </w:tcMar>
            <w:hideMark/>
          </w:tcPr>
          <w:p w:rsidR="00000000" w:rsidRDefault="000A7020">
            <w:pPr>
              <w:jc w:val="both"/>
              <w:rPr>
                <w:rFonts w:eastAsia="Times New Roman"/>
              </w:rPr>
            </w:pPr>
            <w:hyperlink r:id="rId11"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rsidR="00000000" w:rsidRDefault="000A7020">
            <w:pPr>
              <w:jc w:val="both"/>
              <w:rPr>
                <w:rFonts w:eastAsia="Times New Roman"/>
              </w:rPr>
            </w:pPr>
            <w:r>
              <w:rPr>
                <w:rFonts w:eastAsia="Times New Roman"/>
                <w:color w:val="000000"/>
                <w:sz w:val="20"/>
                <w:szCs w:val="20"/>
              </w:rPr>
              <w:t>Certification pursuant to Rule 13a-14(a) and Rule 15d-14(a) of the Securities Exchange Act of 1934</w:t>
            </w:r>
            <w:r>
              <w:rPr>
                <w:rFonts w:eastAsia="Times New Roman"/>
                <w:color w:val="000000"/>
                <w:sz w:val="20"/>
                <w:szCs w:val="20"/>
              </w:rPr>
              <w:t>.</w:t>
            </w: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Pr>
        <w:tc>
          <w:tcPr>
            <w:tcW w:w="0" w:type="auto"/>
            <w:gridSpan w:val="3"/>
            <w:tcMar>
              <w:top w:w="30" w:type="dxa"/>
              <w:left w:w="20" w:type="dxa"/>
              <w:bottom w:w="30" w:type="dxa"/>
              <w:right w:w="20" w:type="dxa"/>
            </w:tcMar>
            <w:hideMark/>
          </w:tcPr>
          <w:p w:rsidR="00000000" w:rsidRDefault="000A7020">
            <w:pPr>
              <w:jc w:val="both"/>
              <w:rPr>
                <w:rFonts w:eastAsia="Times New Roman"/>
              </w:rPr>
            </w:pPr>
            <w:hyperlink r:id="rId12" w:history="1">
              <w:r>
                <w:rPr>
                  <w:rStyle w:val="a3"/>
                  <w:rFonts w:eastAsia="Times New Roman"/>
                  <w:sz w:val="20"/>
                  <w:szCs w:val="20"/>
                </w:rPr>
                <w:t>32</w:t>
              </w:r>
            </w:hyperlink>
          </w:p>
        </w:tc>
        <w:tc>
          <w:tcPr>
            <w:tcW w:w="0" w:type="auto"/>
            <w:gridSpan w:val="3"/>
            <w:tcMar>
              <w:top w:w="30" w:type="dxa"/>
              <w:left w:w="20" w:type="dxa"/>
              <w:bottom w:w="30" w:type="dxa"/>
              <w:right w:w="20" w:type="dxa"/>
            </w:tcMar>
            <w:hideMark/>
          </w:tcPr>
          <w:p w:rsidR="00000000" w:rsidRDefault="000A7020">
            <w:pPr>
              <w:jc w:val="both"/>
              <w:rPr>
                <w:rFonts w:eastAsia="Times New Roman"/>
              </w:rPr>
            </w:pPr>
            <w:r>
              <w:rPr>
                <w:rFonts w:eastAsia="Times New Roman"/>
                <w:color w:val="000000"/>
                <w:sz w:val="20"/>
                <w:szCs w:val="20"/>
              </w:rPr>
              <w:t>Certification pursuant to 18 U.S.C. Section 1350 as adopted pursuant to Section 906 of the Sarbane</w:t>
            </w:r>
            <w:r>
              <w:rPr>
                <w:rFonts w:eastAsia="Times New Roman"/>
                <w:color w:val="000000"/>
                <w:sz w:val="20"/>
                <w:szCs w:val="20"/>
              </w:rPr>
              <w:t>s-Oxley Act of 2002</w:t>
            </w:r>
            <w:r>
              <w:rPr>
                <w:rFonts w:eastAsia="Times New Roman"/>
                <w:color w:val="000000"/>
                <w:sz w:val="20"/>
                <w:szCs w:val="20"/>
              </w:rPr>
              <w:t>.</w:t>
            </w: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Pr>
        <w:tc>
          <w:tcPr>
            <w:tcW w:w="0" w:type="auto"/>
            <w:gridSpan w:val="3"/>
            <w:tcMar>
              <w:top w:w="30" w:type="dxa"/>
              <w:left w:w="20" w:type="dxa"/>
              <w:bottom w:w="30" w:type="dxa"/>
              <w:right w:w="20" w:type="dxa"/>
            </w:tcMar>
            <w:hideMark/>
          </w:tcPr>
          <w:p w:rsidR="00000000" w:rsidRDefault="000A7020">
            <w:pPr>
              <w:jc w:val="both"/>
              <w:rPr>
                <w:rFonts w:eastAsia="Times New Roman"/>
              </w:rPr>
            </w:pPr>
            <w:r>
              <w:rPr>
                <w:rFonts w:eastAsia="Times New Roman"/>
                <w:color w:val="000000"/>
                <w:sz w:val="20"/>
                <w:szCs w:val="20"/>
              </w:rPr>
              <w:t>10</w:t>
            </w: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0A7020">
            <w:pPr>
              <w:jc w:val="both"/>
              <w:rPr>
                <w:rFonts w:eastAsia="Times New Roman"/>
              </w:rPr>
            </w:pPr>
            <w:r>
              <w:rPr>
                <w:rFonts w:eastAsia="Times New Roman"/>
                <w:color w:val="000000"/>
                <w:sz w:val="20"/>
                <w:szCs w:val="20"/>
              </w:rPr>
              <w:t>The following materials from NCR Corporation’</w:t>
            </w:r>
            <w:r>
              <w:rPr>
                <w:rFonts w:eastAsia="Times New Roman"/>
                <w:color w:val="000000"/>
                <w:sz w:val="20"/>
                <w:szCs w:val="20"/>
              </w:rPr>
              <w:t>s Quarterly Report on Form 10-Q for the quarter ended June 30, 2020, formatted in iXBRL (Inline Extensible Business Reporting Language): (i) our condensed consolidated statements of operations for the three months ended June 30, 2020 and 2019; (ii) our con</w:t>
            </w:r>
            <w:r>
              <w:rPr>
                <w:rFonts w:eastAsia="Times New Roman"/>
                <w:color w:val="000000"/>
                <w:sz w:val="20"/>
                <w:szCs w:val="20"/>
              </w:rPr>
              <w:t>densed consolidated statements of comprehensive income for the three months ended June 30, 2020 and 2019; (iii) our condensed consolidated balance sheets as of June 30, 2020 and December 31, 2019; (iv) our condensed consolidated statements of cash flows fo</w:t>
            </w:r>
            <w:r>
              <w:rPr>
                <w:rFonts w:eastAsia="Times New Roman"/>
                <w:color w:val="000000"/>
                <w:sz w:val="20"/>
                <w:szCs w:val="20"/>
              </w:rPr>
              <w:t>r the three months ended June 30, 2020 and 2019; (v) our condensed consolidated statements of changes in stockholder's equity for the three months ended June 30, 2020 and 2019; and (vi) the notes to our condensed consolidated financial statements</w:t>
            </w:r>
            <w:r>
              <w:rPr>
                <w:rFonts w:eastAsia="Times New Roman"/>
                <w:color w:val="000000"/>
                <w:sz w:val="20"/>
                <w:szCs w:val="20"/>
              </w:rPr>
              <w:t>.</w:t>
            </w: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Pr>
        <w:tc>
          <w:tcPr>
            <w:tcW w:w="0" w:type="auto"/>
            <w:gridSpan w:val="3"/>
            <w:tcMar>
              <w:top w:w="30" w:type="dxa"/>
              <w:left w:w="20" w:type="dxa"/>
              <w:bottom w:w="30" w:type="dxa"/>
              <w:right w:w="20" w:type="dxa"/>
            </w:tcMar>
            <w:hideMark/>
          </w:tcPr>
          <w:p w:rsidR="00000000" w:rsidRDefault="000A7020">
            <w:pPr>
              <w:jc w:val="both"/>
              <w:rPr>
                <w:rFonts w:eastAsia="Times New Roman"/>
              </w:rPr>
            </w:pPr>
            <w:r>
              <w:rPr>
                <w:rFonts w:eastAsia="Times New Roman"/>
                <w:color w:val="000000"/>
                <w:sz w:val="20"/>
                <w:szCs w:val="20"/>
              </w:rPr>
              <w:t>10</w:t>
            </w: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rsidR="00000000" w:rsidRDefault="000A7020">
            <w:pPr>
              <w:jc w:val="both"/>
              <w:rPr>
                <w:rFonts w:eastAsia="Times New Roman"/>
              </w:rPr>
            </w:pPr>
            <w:r>
              <w:rPr>
                <w:rFonts w:eastAsia="Times New Roman"/>
                <w:color w:val="000000"/>
                <w:sz w:val="20"/>
                <w:szCs w:val="20"/>
              </w:rPr>
              <w:t>Cover Page Interactive Data File, formatted in Inline XBRL and contained in Exhibit 101</w:t>
            </w:r>
            <w:r>
              <w:rPr>
                <w:rFonts w:eastAsia="Times New Roman"/>
                <w:color w:val="000000"/>
                <w:sz w:val="20"/>
                <w:szCs w:val="20"/>
              </w:rPr>
              <w:t>.</w:t>
            </w:r>
          </w:p>
        </w:tc>
      </w:tr>
      <w:tr w:rsidR="00000000">
        <w:trPr>
          <w:divId w:val="973287871"/>
          <w:trHeight w:val="300"/>
        </w:trPr>
        <w:tc>
          <w:tcPr>
            <w:tcW w:w="0" w:type="auto"/>
            <w:gridSpan w:val="3"/>
            <w:tcMar>
              <w:top w:w="15" w:type="dxa"/>
              <w:left w:w="20" w:type="dxa"/>
              <w:bottom w:w="15" w:type="dxa"/>
              <w:right w:w="20" w:type="dxa"/>
            </w:tcMar>
            <w:vAlign w:val="bottom"/>
            <w:hideMark/>
          </w:tcPr>
          <w:p w:rsidR="00000000" w:rsidRDefault="000A7020">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Height w:val="30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Height w:val="48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Height w:val="190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Height w:val="12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r w:rsidR="00000000">
        <w:trPr>
          <w:divId w:val="973287871"/>
          <w:trHeight w:val="40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r>
    </w:tbl>
    <w:p w:rsidR="00000000" w:rsidRDefault="000A7020">
      <w:pPr>
        <w:divId w:val="278070847"/>
        <w:rPr>
          <w:rFonts w:eastAsia="Times New Roman"/>
        </w:rPr>
      </w:pPr>
      <w:r>
        <w:rPr>
          <w:rFonts w:eastAsia="Times New Roman"/>
          <w:color w:val="000000"/>
          <w:sz w:val="20"/>
          <w:szCs w:val="20"/>
        </w:rPr>
        <w:t>* Management contracts or compensatory plans/arrangements</w:t>
      </w:r>
      <w:r>
        <w:rPr>
          <w:rFonts w:eastAsia="Times New Roman"/>
          <w:color w:val="000000"/>
          <w:sz w:val="20"/>
          <w:szCs w:val="20"/>
        </w:rPr>
        <w:t>.</w:t>
      </w:r>
    </w:p>
    <w:p w:rsidR="00000000" w:rsidRDefault="000A7020">
      <w:pPr>
        <w:divId w:val="405301788"/>
        <w:rPr>
          <w:rFonts w:eastAsia="Times New Roman"/>
        </w:rPr>
      </w:pPr>
    </w:p>
    <w:p w:rsidR="00000000" w:rsidRDefault="000A7020">
      <w:pPr>
        <w:jc w:val="center"/>
        <w:divId w:val="1436510648"/>
        <w:rPr>
          <w:rFonts w:eastAsia="Times New Roman"/>
        </w:rPr>
      </w:pPr>
      <w:r>
        <w:rPr>
          <w:rFonts w:eastAsia="Times New Roman"/>
          <w:color w:val="000000"/>
          <w:sz w:val="20"/>
          <w:szCs w:val="20"/>
        </w:rPr>
        <w:t>6</w:t>
      </w:r>
      <w:r>
        <w:rPr>
          <w:rFonts w:eastAsia="Times New Roman"/>
          <w:color w:val="000000"/>
          <w:sz w:val="20"/>
          <w:szCs w:val="20"/>
        </w:rPr>
        <w:t>0</w:t>
      </w:r>
    </w:p>
    <w:p w:rsidR="00000000" w:rsidRDefault="000A7020">
      <w:pPr>
        <w:rPr>
          <w:rFonts w:eastAsia="Times New Roman"/>
        </w:rPr>
      </w:pPr>
      <w:r>
        <w:rPr>
          <w:rFonts w:eastAsia="Times New Roman"/>
        </w:rPr>
        <w:pict>
          <v:rect id="_x0000_i1085" style="width:0;height:1.5pt" o:hralign="center" o:hrstd="t" o:hr="t" fillcolor="#a0a0a0" stroked="f"/>
        </w:pict>
      </w:r>
    </w:p>
    <w:p w:rsidR="00000000" w:rsidRDefault="000A7020">
      <w:pPr>
        <w:divId w:val="1027950293"/>
        <w:rPr>
          <w:rFonts w:eastAsia="Times New Roman"/>
        </w:rPr>
      </w:pPr>
      <w:hyperlink w:anchor="ic0df5956a4b14938a5c94b8fe25f3429_7" w:history="1">
        <w:r>
          <w:rPr>
            <w:rStyle w:val="a3"/>
            <w:rFonts w:eastAsia="Times New Roman"/>
            <w:sz w:val="16"/>
            <w:szCs w:val="16"/>
          </w:rPr>
          <w:t>Table of Contents</w:t>
        </w:r>
      </w:hyperlink>
    </w:p>
    <w:p w:rsidR="00000000" w:rsidRDefault="000A7020">
      <w:pPr>
        <w:jc w:val="center"/>
        <w:rPr>
          <w:rFonts w:eastAsia="Times New Roman"/>
        </w:rPr>
      </w:pPr>
      <w:r>
        <w:rPr>
          <w:rFonts w:eastAsia="Times New Roman"/>
          <w:b/>
          <w:bCs/>
          <w:color w:val="000000"/>
          <w:sz w:val="20"/>
          <w:szCs w:val="20"/>
        </w:rPr>
        <w:t>SIGNATURE</w:t>
      </w:r>
      <w:r>
        <w:rPr>
          <w:rFonts w:eastAsia="Times New Roman"/>
          <w:b/>
          <w:bCs/>
          <w:color w:val="000000"/>
          <w:sz w:val="20"/>
          <w:szCs w:val="20"/>
        </w:rPr>
        <w:t>S</w:t>
      </w:r>
    </w:p>
    <w:p w:rsidR="00000000" w:rsidRDefault="000A7020">
      <w:pPr>
        <w:divId w:val="637299704"/>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r>
        <w:rPr>
          <w:rFonts w:eastAsia="Times New Roman"/>
          <w:color w:val="000000"/>
          <w:sz w:val="20"/>
          <w:szCs w:val="20"/>
        </w:rPr>
        <w:t>.</w:t>
      </w:r>
    </w:p>
    <w:p w:rsidR="00000000" w:rsidRDefault="000A7020">
      <w:pPr>
        <w:divId w:val="839657418"/>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82"/>
        <w:gridCol w:w="311"/>
        <w:gridCol w:w="81"/>
        <w:gridCol w:w="73"/>
        <w:gridCol w:w="3286"/>
        <w:gridCol w:w="73"/>
        <w:gridCol w:w="81"/>
        <w:gridCol w:w="168"/>
        <w:gridCol w:w="80"/>
        <w:gridCol w:w="37"/>
        <w:gridCol w:w="146"/>
        <w:gridCol w:w="36"/>
        <w:gridCol w:w="73"/>
        <w:gridCol w:w="3476"/>
        <w:gridCol w:w="74"/>
        <w:gridCol w:w="36"/>
        <w:gridCol w:w="36"/>
        <w:gridCol w:w="36"/>
        <w:gridCol w:w="36"/>
        <w:gridCol w:w="36"/>
        <w:gridCol w:w="36"/>
      </w:tblGrid>
      <w:tr w:rsidR="00000000">
        <w:trPr>
          <w:gridAfter w:val="6"/>
          <w:divId w:val="790132471"/>
        </w:trPr>
        <w:tc>
          <w:tcPr>
            <w:tcW w:w="50" w:type="pct"/>
            <w:vAlign w:val="center"/>
            <w:hideMark/>
          </w:tcPr>
          <w:p w:rsidR="00000000" w:rsidRDefault="000A7020">
            <w:pPr>
              <w:rPr>
                <w:rFonts w:eastAsia="Times New Roman"/>
              </w:rPr>
            </w:pPr>
          </w:p>
        </w:tc>
        <w:tc>
          <w:tcPr>
            <w:tcW w:w="192"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037"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10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99" w:type="pct"/>
            <w:vAlign w:val="center"/>
            <w:hideMark/>
          </w:tcPr>
          <w:p w:rsidR="00000000" w:rsidRDefault="000A7020">
            <w:pPr>
              <w:rPr>
                <w:rFonts w:eastAsia="Times New Roman"/>
                <w:sz w:val="20"/>
                <w:szCs w:val="20"/>
              </w:rPr>
            </w:pPr>
          </w:p>
        </w:tc>
        <w:tc>
          <w:tcPr>
            <w:tcW w:w="5"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c>
          <w:tcPr>
            <w:tcW w:w="2154" w:type="pct"/>
            <w:vAlign w:val="center"/>
            <w:hideMark/>
          </w:tcPr>
          <w:p w:rsidR="00000000" w:rsidRDefault="000A7020">
            <w:pPr>
              <w:rPr>
                <w:rFonts w:eastAsia="Times New Roman"/>
                <w:sz w:val="20"/>
                <w:szCs w:val="20"/>
              </w:rPr>
            </w:pPr>
          </w:p>
        </w:tc>
        <w:tc>
          <w:tcPr>
            <w:tcW w:w="50" w:type="pct"/>
            <w:vAlign w:val="center"/>
            <w:hideMark/>
          </w:tcPr>
          <w:p w:rsidR="00000000" w:rsidRDefault="000A7020">
            <w:pPr>
              <w:rPr>
                <w:rFonts w:eastAsia="Times New Roman"/>
                <w:sz w:val="20"/>
                <w:szCs w:val="20"/>
              </w:rPr>
            </w:pPr>
          </w:p>
        </w:tc>
      </w:tr>
      <w:tr w:rsidR="00000000">
        <w:trPr>
          <w:divId w:val="790132471"/>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9"/>
            <w:tcMar>
              <w:top w:w="30" w:type="dxa"/>
              <w:left w:w="20" w:type="dxa"/>
              <w:bottom w:w="30" w:type="dxa"/>
              <w:right w:w="20" w:type="dxa"/>
            </w:tcMar>
            <w:hideMark/>
          </w:tcPr>
          <w:p w:rsidR="00000000" w:rsidRDefault="000A7020">
            <w:pPr>
              <w:rPr>
                <w:rFonts w:eastAsia="Times New Roman"/>
              </w:rPr>
            </w:pPr>
            <w:r>
              <w:rPr>
                <w:rFonts w:eastAsia="Times New Roman"/>
                <w:color w:val="000000"/>
                <w:sz w:val="20"/>
                <w:szCs w:val="20"/>
              </w:rPr>
              <w:t>NCR CORPORATIO</w:t>
            </w:r>
            <w:r>
              <w:rPr>
                <w:rFonts w:eastAsia="Times New Roman"/>
                <w:color w:val="000000"/>
                <w:sz w:val="20"/>
                <w:szCs w:val="20"/>
              </w:rPr>
              <w:t>N</w:t>
            </w:r>
          </w:p>
        </w:tc>
        <w:tc>
          <w:tcPr>
            <w:tcW w:w="0" w:type="auto"/>
            <w:gridSpan w:val="3"/>
            <w:vAlign w:val="center"/>
            <w:hideMark/>
          </w:tcPr>
          <w:p w:rsidR="00000000" w:rsidRDefault="000A7020">
            <w:pPr>
              <w:rPr>
                <w:rFonts w:eastAsia="Times New Roman"/>
              </w:rPr>
            </w:pPr>
          </w:p>
        </w:tc>
        <w:tc>
          <w:tcPr>
            <w:tcW w:w="0" w:type="auto"/>
            <w:gridSpan w:val="3"/>
            <w:vAlign w:val="center"/>
            <w:hideMark/>
          </w:tcPr>
          <w:p w:rsidR="00000000" w:rsidRDefault="000A7020">
            <w:pPr>
              <w:rPr>
                <w:rFonts w:eastAsia="Times New Roman"/>
                <w:sz w:val="20"/>
                <w:szCs w:val="20"/>
              </w:rPr>
            </w:pPr>
          </w:p>
        </w:tc>
      </w:tr>
      <w:tr w:rsidR="00000000">
        <w:trPr>
          <w:divId w:val="790132471"/>
          <w:trHeight w:val="300"/>
        </w:trPr>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6"/>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90132471"/>
        </w:trPr>
        <w:tc>
          <w:tcPr>
            <w:tcW w:w="0" w:type="auto"/>
            <w:gridSpan w:val="3"/>
            <w:tcMar>
              <w:top w:w="30" w:type="dxa"/>
              <w:left w:w="20" w:type="dxa"/>
              <w:bottom w:w="30" w:type="dxa"/>
              <w:right w:w="20" w:type="dxa"/>
            </w:tcMar>
            <w:hideMark/>
          </w:tcPr>
          <w:p w:rsidR="00000000" w:rsidRDefault="000A7020">
            <w:pPr>
              <w:jc w:val="right"/>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20"/>
                <w:szCs w:val="20"/>
              </w:rPr>
              <w:t>July 31, 202</w:t>
            </w:r>
            <w:r>
              <w:rPr>
                <w:rFonts w:eastAsia="Times New Roman"/>
                <w:color w:val="000000"/>
                <w:sz w:val="20"/>
                <w:szCs w:val="20"/>
              </w:rPr>
              <w:t>0</w:t>
            </w:r>
          </w:p>
        </w:tc>
        <w:tc>
          <w:tcPr>
            <w:tcW w:w="0" w:type="auto"/>
            <w:gridSpan w:val="3"/>
            <w:tcMar>
              <w:top w:w="30" w:type="dxa"/>
              <w:left w:w="20" w:type="dxa"/>
              <w:bottom w:w="30" w:type="dxa"/>
              <w:right w:w="20" w:type="dxa"/>
            </w:tcMar>
            <w:hideMark/>
          </w:tcPr>
          <w:p w:rsidR="00000000" w:rsidRDefault="000A7020">
            <w:pPr>
              <w:jc w:val="right"/>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0A7020">
            <w:pPr>
              <w:jc w:val="center"/>
              <w:rPr>
                <w:rFonts w:eastAsia="Times New Roman"/>
              </w:rPr>
            </w:pPr>
            <w:r>
              <w:rPr>
                <w:rFonts w:eastAsia="Times New Roman"/>
                <w:color w:val="000000"/>
                <w:sz w:val="20"/>
                <w:szCs w:val="20"/>
              </w:rPr>
              <w:t>/s/ Timothy C. Olive</w:t>
            </w:r>
            <w:r>
              <w:rPr>
                <w:rFonts w:eastAsia="Times New Roman"/>
                <w:color w:val="000000"/>
                <w:sz w:val="20"/>
                <w:szCs w:val="20"/>
              </w:rPr>
              <w:t>r</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r w:rsidR="00000000">
        <w:trPr>
          <w:divId w:val="790132471"/>
        </w:trPr>
        <w:tc>
          <w:tcPr>
            <w:tcW w:w="0" w:type="auto"/>
            <w:gridSpan w:val="3"/>
            <w:tcMar>
              <w:top w:w="15" w:type="dxa"/>
              <w:left w:w="20" w:type="dxa"/>
              <w:bottom w:w="15" w:type="dxa"/>
              <w:right w:w="20" w:type="dxa"/>
            </w:tcMar>
            <w:vAlign w:val="bottom"/>
            <w:hideMark/>
          </w:tcPr>
          <w:p w:rsidR="00000000" w:rsidRDefault="000A7020">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0A70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7020">
            <w:pPr>
              <w:jc w:val="center"/>
              <w:rPr>
                <w:rFonts w:eastAsia="Times New Roman"/>
              </w:rPr>
            </w:pPr>
            <w:r>
              <w:rPr>
                <w:rFonts w:eastAsia="Times New Roman"/>
                <w:b/>
                <w:bCs/>
                <w:color w:val="000000"/>
                <w:sz w:val="16"/>
                <w:szCs w:val="16"/>
              </w:rPr>
              <w:t>Timothy C. Oliver</w:t>
            </w:r>
            <w:r>
              <w:rPr>
                <w:rFonts w:eastAsia="Times New Roman"/>
                <w:b/>
                <w:bCs/>
                <w:color w:val="000000"/>
                <w:sz w:val="16"/>
                <w:szCs w:val="16"/>
              </w:rPr>
              <w:br/>
              <w:t>Executive Vice President and Chief Financial Office</w:t>
            </w:r>
            <w:r>
              <w:rPr>
                <w:rFonts w:eastAsia="Times New Roman"/>
                <w:b/>
                <w:bCs/>
                <w:color w:val="000000"/>
                <w:sz w:val="16"/>
                <w:szCs w:val="16"/>
              </w:rPr>
              <w:t>r</w:t>
            </w: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c>
          <w:tcPr>
            <w:tcW w:w="0" w:type="auto"/>
            <w:vAlign w:val="center"/>
            <w:hideMark/>
          </w:tcPr>
          <w:p w:rsidR="00000000" w:rsidRDefault="000A7020">
            <w:pPr>
              <w:rPr>
                <w:rFonts w:eastAsia="Times New Roman"/>
                <w:sz w:val="20"/>
                <w:szCs w:val="20"/>
              </w:rPr>
            </w:pPr>
          </w:p>
        </w:tc>
      </w:tr>
    </w:tbl>
    <w:p w:rsidR="000A7020" w:rsidRDefault="000A7020">
      <w:pPr>
        <w:jc w:val="center"/>
        <w:divId w:val="482745579"/>
        <w:rPr>
          <w:rFonts w:eastAsia="Times New Roman"/>
        </w:rPr>
      </w:pPr>
      <w:r>
        <w:rPr>
          <w:rFonts w:eastAsia="Times New Roman"/>
          <w:color w:val="000000"/>
          <w:sz w:val="20"/>
          <w:szCs w:val="20"/>
        </w:rPr>
        <w:t>6</w:t>
      </w:r>
      <w:r>
        <w:rPr>
          <w:rFonts w:eastAsia="Times New Roman"/>
          <w:color w:val="000000"/>
          <w:sz w:val="20"/>
          <w:szCs w:val="20"/>
        </w:rPr>
        <w:t>1</w:t>
      </w:r>
    </w:p>
    <w:sectPr w:rsidR="000A702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7020"/>
    <w:rsid w:val="000A7020"/>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xbrl.sec.gov/dei/2019-01-31"/>
  <w:attachedSchema w:val="http://www.sec.gov/inlineXBRL/transformation/2015-08-31"/>
  <w:attachedSchema w:val="http://www.xbrl.org/inlineXBRL/transformation/2015-02-26"/>
  <w:attachedSchema w:val="http://www.xbrl.org/2003/iso4217"/>
  <w:attachedSchema w:val="http://www.w3.org/1999/xlink"/>
  <w:attachedSchema w:val="http://www.xbrl.org/2003/instance"/>
  <w:attachedSchema w:val="http://www.xbrl.org/2009/utr"/>
  <w:attachedSchema w:val="http://xbrl.org/2006/xbrldi"/>
  <w:attachedSchema w:val="http://fasb.org/us-gaap/2020-01-31"/>
  <w:attachedSchema w:val="http://www.ncr.com/20200630"/>
  <w:attachedSchema w:val="http://fasb.org/srt/2020-01-31"/>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573">
      <w:marLeft w:val="0"/>
      <w:marRight w:val="0"/>
      <w:marTop w:val="0"/>
      <w:marBottom w:val="0"/>
      <w:divBdr>
        <w:top w:val="none" w:sz="0" w:space="0" w:color="auto"/>
        <w:left w:val="none" w:sz="0" w:space="0" w:color="auto"/>
        <w:bottom w:val="none" w:sz="0" w:space="0" w:color="auto"/>
        <w:right w:val="none" w:sz="0" w:space="0" w:color="auto"/>
      </w:divBdr>
    </w:div>
    <w:div w:id="26225816">
      <w:marLeft w:val="0"/>
      <w:marRight w:val="0"/>
      <w:marTop w:val="0"/>
      <w:marBottom w:val="160"/>
      <w:divBdr>
        <w:top w:val="none" w:sz="0" w:space="0" w:color="auto"/>
        <w:left w:val="none" w:sz="0" w:space="0" w:color="auto"/>
        <w:bottom w:val="none" w:sz="0" w:space="0" w:color="auto"/>
        <w:right w:val="none" w:sz="0" w:space="0" w:color="auto"/>
      </w:divBdr>
    </w:div>
    <w:div w:id="33771165">
      <w:marLeft w:val="0"/>
      <w:marRight w:val="0"/>
      <w:marTop w:val="100"/>
      <w:marBottom w:val="100"/>
      <w:divBdr>
        <w:top w:val="none" w:sz="0" w:space="0" w:color="auto"/>
        <w:left w:val="none" w:sz="0" w:space="0" w:color="auto"/>
        <w:bottom w:val="none" w:sz="0" w:space="0" w:color="auto"/>
        <w:right w:val="none" w:sz="0" w:space="0" w:color="auto"/>
      </w:divBdr>
    </w:div>
    <w:div w:id="41177952">
      <w:marLeft w:val="0"/>
      <w:marRight w:val="0"/>
      <w:marTop w:val="0"/>
      <w:marBottom w:val="0"/>
      <w:divBdr>
        <w:top w:val="none" w:sz="0" w:space="0" w:color="auto"/>
        <w:left w:val="none" w:sz="0" w:space="0" w:color="auto"/>
        <w:bottom w:val="none" w:sz="0" w:space="0" w:color="auto"/>
        <w:right w:val="none" w:sz="0" w:space="0" w:color="auto"/>
      </w:divBdr>
    </w:div>
    <w:div w:id="42170397">
      <w:marLeft w:val="0"/>
      <w:marRight w:val="0"/>
      <w:marTop w:val="0"/>
      <w:marBottom w:val="200"/>
      <w:divBdr>
        <w:top w:val="none" w:sz="0" w:space="0" w:color="auto"/>
        <w:left w:val="none" w:sz="0" w:space="0" w:color="auto"/>
        <w:bottom w:val="none" w:sz="0" w:space="0" w:color="auto"/>
        <w:right w:val="none" w:sz="0" w:space="0" w:color="auto"/>
      </w:divBdr>
    </w:div>
    <w:div w:id="43792461">
      <w:marLeft w:val="0"/>
      <w:marRight w:val="0"/>
      <w:marTop w:val="100"/>
      <w:marBottom w:val="100"/>
      <w:divBdr>
        <w:top w:val="none" w:sz="0" w:space="0" w:color="auto"/>
        <w:left w:val="none" w:sz="0" w:space="0" w:color="auto"/>
        <w:bottom w:val="none" w:sz="0" w:space="0" w:color="auto"/>
        <w:right w:val="none" w:sz="0" w:space="0" w:color="auto"/>
      </w:divBdr>
    </w:div>
    <w:div w:id="53892035">
      <w:marLeft w:val="0"/>
      <w:marRight w:val="0"/>
      <w:marTop w:val="0"/>
      <w:marBottom w:val="0"/>
      <w:divBdr>
        <w:top w:val="none" w:sz="0" w:space="0" w:color="auto"/>
        <w:left w:val="none" w:sz="0" w:space="0" w:color="auto"/>
        <w:bottom w:val="none" w:sz="0" w:space="0" w:color="auto"/>
        <w:right w:val="none" w:sz="0" w:space="0" w:color="auto"/>
      </w:divBdr>
    </w:div>
    <w:div w:id="54284161">
      <w:marLeft w:val="0"/>
      <w:marRight w:val="0"/>
      <w:marTop w:val="0"/>
      <w:marBottom w:val="0"/>
      <w:divBdr>
        <w:top w:val="none" w:sz="0" w:space="0" w:color="auto"/>
        <w:left w:val="none" w:sz="0" w:space="0" w:color="auto"/>
        <w:bottom w:val="none" w:sz="0" w:space="0" w:color="auto"/>
        <w:right w:val="none" w:sz="0" w:space="0" w:color="auto"/>
      </w:divBdr>
      <w:divsChild>
        <w:div w:id="101848789">
          <w:marLeft w:val="0"/>
          <w:marRight w:val="0"/>
          <w:marTop w:val="0"/>
          <w:marBottom w:val="0"/>
          <w:divBdr>
            <w:top w:val="none" w:sz="0" w:space="0" w:color="auto"/>
            <w:left w:val="none" w:sz="0" w:space="0" w:color="auto"/>
            <w:bottom w:val="none" w:sz="0" w:space="0" w:color="auto"/>
            <w:right w:val="none" w:sz="0" w:space="0" w:color="auto"/>
          </w:divBdr>
        </w:div>
      </w:divsChild>
    </w:div>
    <w:div w:id="58409324">
      <w:marLeft w:val="0"/>
      <w:marRight w:val="0"/>
      <w:marTop w:val="0"/>
      <w:marBottom w:val="0"/>
      <w:divBdr>
        <w:top w:val="none" w:sz="0" w:space="0" w:color="auto"/>
        <w:left w:val="none" w:sz="0" w:space="0" w:color="auto"/>
        <w:bottom w:val="none" w:sz="0" w:space="0" w:color="auto"/>
        <w:right w:val="none" w:sz="0" w:space="0" w:color="auto"/>
      </w:divBdr>
      <w:divsChild>
        <w:div w:id="1728994564">
          <w:marLeft w:val="0"/>
          <w:marRight w:val="0"/>
          <w:marTop w:val="0"/>
          <w:marBottom w:val="0"/>
          <w:divBdr>
            <w:top w:val="none" w:sz="0" w:space="0" w:color="auto"/>
            <w:left w:val="none" w:sz="0" w:space="0" w:color="auto"/>
            <w:bottom w:val="none" w:sz="0" w:space="0" w:color="auto"/>
            <w:right w:val="none" w:sz="0" w:space="0" w:color="auto"/>
          </w:divBdr>
        </w:div>
      </w:divsChild>
    </w:div>
    <w:div w:id="63186599">
      <w:marLeft w:val="0"/>
      <w:marRight w:val="0"/>
      <w:marTop w:val="0"/>
      <w:marBottom w:val="0"/>
      <w:divBdr>
        <w:top w:val="none" w:sz="0" w:space="0" w:color="auto"/>
        <w:left w:val="none" w:sz="0" w:space="0" w:color="auto"/>
        <w:bottom w:val="none" w:sz="0" w:space="0" w:color="auto"/>
        <w:right w:val="none" w:sz="0" w:space="0" w:color="auto"/>
      </w:divBdr>
      <w:divsChild>
        <w:div w:id="1976638049">
          <w:marLeft w:val="0"/>
          <w:marRight w:val="0"/>
          <w:marTop w:val="0"/>
          <w:marBottom w:val="0"/>
          <w:divBdr>
            <w:top w:val="none" w:sz="0" w:space="0" w:color="auto"/>
            <w:left w:val="none" w:sz="0" w:space="0" w:color="auto"/>
            <w:bottom w:val="none" w:sz="0" w:space="0" w:color="auto"/>
            <w:right w:val="none" w:sz="0" w:space="0" w:color="auto"/>
          </w:divBdr>
        </w:div>
      </w:divsChild>
    </w:div>
    <w:div w:id="100153457">
      <w:marLeft w:val="0"/>
      <w:marRight w:val="0"/>
      <w:marTop w:val="0"/>
      <w:marBottom w:val="0"/>
      <w:divBdr>
        <w:top w:val="none" w:sz="0" w:space="0" w:color="auto"/>
        <w:left w:val="none" w:sz="0" w:space="0" w:color="auto"/>
        <w:bottom w:val="none" w:sz="0" w:space="0" w:color="auto"/>
        <w:right w:val="none" w:sz="0" w:space="0" w:color="auto"/>
      </w:divBdr>
    </w:div>
    <w:div w:id="111098673">
      <w:marLeft w:val="0"/>
      <w:marRight w:val="0"/>
      <w:marTop w:val="100"/>
      <w:marBottom w:val="100"/>
      <w:divBdr>
        <w:top w:val="none" w:sz="0" w:space="0" w:color="auto"/>
        <w:left w:val="none" w:sz="0" w:space="0" w:color="auto"/>
        <w:bottom w:val="none" w:sz="0" w:space="0" w:color="auto"/>
        <w:right w:val="none" w:sz="0" w:space="0" w:color="auto"/>
      </w:divBdr>
    </w:div>
    <w:div w:id="126556244">
      <w:marLeft w:val="0"/>
      <w:marRight w:val="0"/>
      <w:marTop w:val="180"/>
      <w:marBottom w:val="0"/>
      <w:divBdr>
        <w:top w:val="none" w:sz="0" w:space="0" w:color="auto"/>
        <w:left w:val="none" w:sz="0" w:space="0" w:color="auto"/>
        <w:bottom w:val="none" w:sz="0" w:space="0" w:color="auto"/>
        <w:right w:val="none" w:sz="0" w:space="0" w:color="auto"/>
      </w:divBdr>
    </w:div>
    <w:div w:id="128941299">
      <w:marLeft w:val="0"/>
      <w:marRight w:val="0"/>
      <w:marTop w:val="280"/>
      <w:marBottom w:val="100"/>
      <w:divBdr>
        <w:top w:val="none" w:sz="0" w:space="0" w:color="auto"/>
        <w:left w:val="none" w:sz="0" w:space="0" w:color="auto"/>
        <w:bottom w:val="none" w:sz="0" w:space="0" w:color="auto"/>
        <w:right w:val="none" w:sz="0" w:space="0" w:color="auto"/>
      </w:divBdr>
    </w:div>
    <w:div w:id="129246067">
      <w:marLeft w:val="0"/>
      <w:marRight w:val="0"/>
      <w:marTop w:val="0"/>
      <w:marBottom w:val="0"/>
      <w:divBdr>
        <w:top w:val="none" w:sz="0" w:space="0" w:color="auto"/>
        <w:left w:val="none" w:sz="0" w:space="0" w:color="auto"/>
        <w:bottom w:val="none" w:sz="0" w:space="0" w:color="auto"/>
        <w:right w:val="none" w:sz="0" w:space="0" w:color="auto"/>
      </w:divBdr>
    </w:div>
    <w:div w:id="131598534">
      <w:marLeft w:val="0"/>
      <w:marRight w:val="0"/>
      <w:marTop w:val="0"/>
      <w:marBottom w:val="0"/>
      <w:divBdr>
        <w:top w:val="none" w:sz="0" w:space="0" w:color="auto"/>
        <w:left w:val="none" w:sz="0" w:space="0" w:color="auto"/>
        <w:bottom w:val="none" w:sz="0" w:space="0" w:color="auto"/>
        <w:right w:val="none" w:sz="0" w:space="0" w:color="auto"/>
      </w:divBdr>
    </w:div>
    <w:div w:id="134497020">
      <w:marLeft w:val="0"/>
      <w:marRight w:val="0"/>
      <w:marTop w:val="100"/>
      <w:marBottom w:val="0"/>
      <w:divBdr>
        <w:top w:val="none" w:sz="0" w:space="0" w:color="auto"/>
        <w:left w:val="none" w:sz="0" w:space="0" w:color="auto"/>
        <w:bottom w:val="none" w:sz="0" w:space="0" w:color="auto"/>
        <w:right w:val="none" w:sz="0" w:space="0" w:color="auto"/>
      </w:divBdr>
    </w:div>
    <w:div w:id="137310600">
      <w:marLeft w:val="0"/>
      <w:marRight w:val="0"/>
      <w:marTop w:val="0"/>
      <w:marBottom w:val="0"/>
      <w:divBdr>
        <w:top w:val="none" w:sz="0" w:space="0" w:color="auto"/>
        <w:left w:val="none" w:sz="0" w:space="0" w:color="auto"/>
        <w:bottom w:val="none" w:sz="0" w:space="0" w:color="auto"/>
        <w:right w:val="none" w:sz="0" w:space="0" w:color="auto"/>
      </w:divBdr>
    </w:div>
    <w:div w:id="140080511">
      <w:marLeft w:val="0"/>
      <w:marRight w:val="0"/>
      <w:marTop w:val="100"/>
      <w:marBottom w:val="100"/>
      <w:divBdr>
        <w:top w:val="none" w:sz="0" w:space="0" w:color="auto"/>
        <w:left w:val="none" w:sz="0" w:space="0" w:color="auto"/>
        <w:bottom w:val="none" w:sz="0" w:space="0" w:color="auto"/>
        <w:right w:val="none" w:sz="0" w:space="0" w:color="auto"/>
      </w:divBdr>
    </w:div>
    <w:div w:id="146215794">
      <w:marLeft w:val="0"/>
      <w:marRight w:val="0"/>
      <w:marTop w:val="0"/>
      <w:marBottom w:val="0"/>
      <w:divBdr>
        <w:top w:val="none" w:sz="0" w:space="0" w:color="auto"/>
        <w:left w:val="none" w:sz="0" w:space="0" w:color="auto"/>
        <w:bottom w:val="none" w:sz="0" w:space="0" w:color="auto"/>
        <w:right w:val="none" w:sz="0" w:space="0" w:color="auto"/>
      </w:divBdr>
    </w:div>
    <w:div w:id="152718571">
      <w:marLeft w:val="0"/>
      <w:marRight w:val="0"/>
      <w:marTop w:val="0"/>
      <w:marBottom w:val="0"/>
      <w:divBdr>
        <w:top w:val="none" w:sz="0" w:space="0" w:color="auto"/>
        <w:left w:val="none" w:sz="0" w:space="0" w:color="auto"/>
        <w:bottom w:val="none" w:sz="0" w:space="0" w:color="auto"/>
        <w:right w:val="none" w:sz="0" w:space="0" w:color="auto"/>
      </w:divBdr>
      <w:divsChild>
        <w:div w:id="1908874392">
          <w:marLeft w:val="0"/>
          <w:marRight w:val="0"/>
          <w:marTop w:val="0"/>
          <w:marBottom w:val="0"/>
          <w:divBdr>
            <w:top w:val="none" w:sz="0" w:space="0" w:color="auto"/>
            <w:left w:val="none" w:sz="0" w:space="0" w:color="auto"/>
            <w:bottom w:val="none" w:sz="0" w:space="0" w:color="auto"/>
            <w:right w:val="none" w:sz="0" w:space="0" w:color="auto"/>
          </w:divBdr>
        </w:div>
      </w:divsChild>
    </w:div>
    <w:div w:id="162012050">
      <w:marLeft w:val="0"/>
      <w:marRight w:val="0"/>
      <w:marTop w:val="0"/>
      <w:marBottom w:val="0"/>
      <w:divBdr>
        <w:top w:val="none" w:sz="0" w:space="0" w:color="auto"/>
        <w:left w:val="none" w:sz="0" w:space="0" w:color="auto"/>
        <w:bottom w:val="none" w:sz="0" w:space="0" w:color="auto"/>
        <w:right w:val="none" w:sz="0" w:space="0" w:color="auto"/>
      </w:divBdr>
      <w:divsChild>
        <w:div w:id="171843416">
          <w:marLeft w:val="0"/>
          <w:marRight w:val="0"/>
          <w:marTop w:val="0"/>
          <w:marBottom w:val="0"/>
          <w:divBdr>
            <w:top w:val="none" w:sz="0" w:space="0" w:color="auto"/>
            <w:left w:val="none" w:sz="0" w:space="0" w:color="auto"/>
            <w:bottom w:val="none" w:sz="0" w:space="0" w:color="auto"/>
            <w:right w:val="none" w:sz="0" w:space="0" w:color="auto"/>
          </w:divBdr>
        </w:div>
      </w:divsChild>
    </w:div>
    <w:div w:id="164130880">
      <w:marLeft w:val="0"/>
      <w:marRight w:val="0"/>
      <w:marTop w:val="100"/>
      <w:marBottom w:val="100"/>
      <w:divBdr>
        <w:top w:val="none" w:sz="0" w:space="0" w:color="auto"/>
        <w:left w:val="none" w:sz="0" w:space="0" w:color="auto"/>
        <w:bottom w:val="none" w:sz="0" w:space="0" w:color="auto"/>
        <w:right w:val="none" w:sz="0" w:space="0" w:color="auto"/>
      </w:divBdr>
    </w:div>
    <w:div w:id="169224982">
      <w:marLeft w:val="0"/>
      <w:marRight w:val="0"/>
      <w:marTop w:val="120"/>
      <w:marBottom w:val="0"/>
      <w:divBdr>
        <w:top w:val="none" w:sz="0" w:space="0" w:color="auto"/>
        <w:left w:val="none" w:sz="0" w:space="0" w:color="auto"/>
        <w:bottom w:val="none" w:sz="0" w:space="0" w:color="auto"/>
        <w:right w:val="none" w:sz="0" w:space="0" w:color="auto"/>
      </w:divBdr>
    </w:div>
    <w:div w:id="170729576">
      <w:marLeft w:val="0"/>
      <w:marRight w:val="0"/>
      <w:marTop w:val="0"/>
      <w:marBottom w:val="0"/>
      <w:divBdr>
        <w:top w:val="none" w:sz="0" w:space="0" w:color="auto"/>
        <w:left w:val="none" w:sz="0" w:space="0" w:color="auto"/>
        <w:bottom w:val="none" w:sz="0" w:space="0" w:color="auto"/>
        <w:right w:val="none" w:sz="0" w:space="0" w:color="auto"/>
      </w:divBdr>
      <w:divsChild>
        <w:div w:id="528841740">
          <w:marLeft w:val="0"/>
          <w:marRight w:val="0"/>
          <w:marTop w:val="0"/>
          <w:marBottom w:val="0"/>
          <w:divBdr>
            <w:top w:val="none" w:sz="0" w:space="0" w:color="auto"/>
            <w:left w:val="none" w:sz="0" w:space="0" w:color="auto"/>
            <w:bottom w:val="none" w:sz="0" w:space="0" w:color="auto"/>
            <w:right w:val="none" w:sz="0" w:space="0" w:color="auto"/>
          </w:divBdr>
          <w:divsChild>
            <w:div w:id="19174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091">
      <w:marLeft w:val="0"/>
      <w:marRight w:val="0"/>
      <w:marTop w:val="0"/>
      <w:marBottom w:val="0"/>
      <w:divBdr>
        <w:top w:val="none" w:sz="0" w:space="0" w:color="auto"/>
        <w:left w:val="none" w:sz="0" w:space="0" w:color="auto"/>
        <w:bottom w:val="none" w:sz="0" w:space="0" w:color="auto"/>
        <w:right w:val="none" w:sz="0" w:space="0" w:color="auto"/>
      </w:divBdr>
    </w:div>
    <w:div w:id="172692035">
      <w:marLeft w:val="0"/>
      <w:marRight w:val="0"/>
      <w:marTop w:val="0"/>
      <w:marBottom w:val="0"/>
      <w:divBdr>
        <w:top w:val="none" w:sz="0" w:space="0" w:color="auto"/>
        <w:left w:val="none" w:sz="0" w:space="0" w:color="auto"/>
        <w:bottom w:val="none" w:sz="0" w:space="0" w:color="auto"/>
        <w:right w:val="none" w:sz="0" w:space="0" w:color="auto"/>
      </w:divBdr>
    </w:div>
    <w:div w:id="179396721">
      <w:marLeft w:val="0"/>
      <w:marRight w:val="0"/>
      <w:marTop w:val="180"/>
      <w:marBottom w:val="0"/>
      <w:divBdr>
        <w:top w:val="none" w:sz="0" w:space="0" w:color="auto"/>
        <w:left w:val="none" w:sz="0" w:space="0" w:color="auto"/>
        <w:bottom w:val="none" w:sz="0" w:space="0" w:color="auto"/>
        <w:right w:val="none" w:sz="0" w:space="0" w:color="auto"/>
      </w:divBdr>
    </w:div>
    <w:div w:id="185795304">
      <w:marLeft w:val="0"/>
      <w:marRight w:val="0"/>
      <w:marTop w:val="0"/>
      <w:marBottom w:val="0"/>
      <w:divBdr>
        <w:top w:val="none" w:sz="0" w:space="0" w:color="auto"/>
        <w:left w:val="none" w:sz="0" w:space="0" w:color="auto"/>
        <w:bottom w:val="none" w:sz="0" w:space="0" w:color="auto"/>
        <w:right w:val="none" w:sz="0" w:space="0" w:color="auto"/>
      </w:divBdr>
      <w:divsChild>
        <w:div w:id="2102136797">
          <w:marLeft w:val="0"/>
          <w:marRight w:val="0"/>
          <w:marTop w:val="0"/>
          <w:marBottom w:val="0"/>
          <w:divBdr>
            <w:top w:val="none" w:sz="0" w:space="0" w:color="auto"/>
            <w:left w:val="none" w:sz="0" w:space="0" w:color="auto"/>
            <w:bottom w:val="none" w:sz="0" w:space="0" w:color="auto"/>
            <w:right w:val="none" w:sz="0" w:space="0" w:color="auto"/>
          </w:divBdr>
        </w:div>
      </w:divsChild>
    </w:div>
    <w:div w:id="187111782">
      <w:marLeft w:val="0"/>
      <w:marRight w:val="0"/>
      <w:marTop w:val="0"/>
      <w:marBottom w:val="0"/>
      <w:divBdr>
        <w:top w:val="none" w:sz="0" w:space="0" w:color="auto"/>
        <w:left w:val="none" w:sz="0" w:space="0" w:color="auto"/>
        <w:bottom w:val="none" w:sz="0" w:space="0" w:color="auto"/>
        <w:right w:val="none" w:sz="0" w:space="0" w:color="auto"/>
      </w:divBdr>
      <w:divsChild>
        <w:div w:id="1839029785">
          <w:marLeft w:val="0"/>
          <w:marRight w:val="0"/>
          <w:marTop w:val="0"/>
          <w:marBottom w:val="0"/>
          <w:divBdr>
            <w:top w:val="none" w:sz="0" w:space="0" w:color="auto"/>
            <w:left w:val="none" w:sz="0" w:space="0" w:color="auto"/>
            <w:bottom w:val="none" w:sz="0" w:space="0" w:color="auto"/>
            <w:right w:val="none" w:sz="0" w:space="0" w:color="auto"/>
          </w:divBdr>
        </w:div>
      </w:divsChild>
    </w:div>
    <w:div w:id="187450818">
      <w:marLeft w:val="0"/>
      <w:marRight w:val="0"/>
      <w:marTop w:val="100"/>
      <w:marBottom w:val="100"/>
      <w:divBdr>
        <w:top w:val="none" w:sz="0" w:space="0" w:color="auto"/>
        <w:left w:val="none" w:sz="0" w:space="0" w:color="auto"/>
        <w:bottom w:val="none" w:sz="0" w:space="0" w:color="auto"/>
        <w:right w:val="none" w:sz="0" w:space="0" w:color="auto"/>
      </w:divBdr>
    </w:div>
    <w:div w:id="194386849">
      <w:marLeft w:val="0"/>
      <w:marRight w:val="0"/>
      <w:marTop w:val="0"/>
      <w:marBottom w:val="0"/>
      <w:divBdr>
        <w:top w:val="none" w:sz="0" w:space="0" w:color="auto"/>
        <w:left w:val="none" w:sz="0" w:space="0" w:color="auto"/>
        <w:bottom w:val="none" w:sz="0" w:space="0" w:color="auto"/>
        <w:right w:val="none" w:sz="0" w:space="0" w:color="auto"/>
      </w:divBdr>
      <w:divsChild>
        <w:div w:id="1284769653">
          <w:marLeft w:val="0"/>
          <w:marRight w:val="0"/>
          <w:marTop w:val="0"/>
          <w:marBottom w:val="0"/>
          <w:divBdr>
            <w:top w:val="none" w:sz="0" w:space="0" w:color="auto"/>
            <w:left w:val="none" w:sz="0" w:space="0" w:color="auto"/>
            <w:bottom w:val="none" w:sz="0" w:space="0" w:color="auto"/>
            <w:right w:val="none" w:sz="0" w:space="0" w:color="auto"/>
          </w:divBdr>
        </w:div>
      </w:divsChild>
    </w:div>
    <w:div w:id="207111294">
      <w:marLeft w:val="0"/>
      <w:marRight w:val="0"/>
      <w:marTop w:val="0"/>
      <w:marBottom w:val="0"/>
      <w:divBdr>
        <w:top w:val="none" w:sz="0" w:space="0" w:color="auto"/>
        <w:left w:val="none" w:sz="0" w:space="0" w:color="auto"/>
        <w:bottom w:val="none" w:sz="0" w:space="0" w:color="auto"/>
        <w:right w:val="none" w:sz="0" w:space="0" w:color="auto"/>
      </w:divBdr>
      <w:divsChild>
        <w:div w:id="1384480260">
          <w:marLeft w:val="0"/>
          <w:marRight w:val="0"/>
          <w:marTop w:val="0"/>
          <w:marBottom w:val="0"/>
          <w:divBdr>
            <w:top w:val="none" w:sz="0" w:space="0" w:color="auto"/>
            <w:left w:val="none" w:sz="0" w:space="0" w:color="auto"/>
            <w:bottom w:val="none" w:sz="0" w:space="0" w:color="auto"/>
            <w:right w:val="none" w:sz="0" w:space="0" w:color="auto"/>
          </w:divBdr>
        </w:div>
      </w:divsChild>
    </w:div>
    <w:div w:id="209417606">
      <w:marLeft w:val="0"/>
      <w:marRight w:val="0"/>
      <w:marTop w:val="0"/>
      <w:marBottom w:val="0"/>
      <w:divBdr>
        <w:top w:val="none" w:sz="0" w:space="0" w:color="auto"/>
        <w:left w:val="none" w:sz="0" w:space="0" w:color="auto"/>
        <w:bottom w:val="none" w:sz="0" w:space="0" w:color="auto"/>
        <w:right w:val="none" w:sz="0" w:space="0" w:color="auto"/>
      </w:divBdr>
      <w:divsChild>
        <w:div w:id="410742292">
          <w:marLeft w:val="0"/>
          <w:marRight w:val="0"/>
          <w:marTop w:val="0"/>
          <w:marBottom w:val="0"/>
          <w:divBdr>
            <w:top w:val="none" w:sz="0" w:space="0" w:color="auto"/>
            <w:left w:val="none" w:sz="0" w:space="0" w:color="auto"/>
            <w:bottom w:val="none" w:sz="0" w:space="0" w:color="auto"/>
            <w:right w:val="none" w:sz="0" w:space="0" w:color="auto"/>
          </w:divBdr>
        </w:div>
      </w:divsChild>
    </w:div>
    <w:div w:id="213006509">
      <w:marLeft w:val="0"/>
      <w:marRight w:val="0"/>
      <w:marTop w:val="0"/>
      <w:marBottom w:val="0"/>
      <w:divBdr>
        <w:top w:val="none" w:sz="0" w:space="0" w:color="auto"/>
        <w:left w:val="none" w:sz="0" w:space="0" w:color="auto"/>
        <w:bottom w:val="none" w:sz="0" w:space="0" w:color="auto"/>
        <w:right w:val="none" w:sz="0" w:space="0" w:color="auto"/>
      </w:divBdr>
    </w:div>
    <w:div w:id="213926786">
      <w:marLeft w:val="0"/>
      <w:marRight w:val="0"/>
      <w:marTop w:val="0"/>
      <w:marBottom w:val="0"/>
      <w:divBdr>
        <w:top w:val="none" w:sz="0" w:space="0" w:color="auto"/>
        <w:left w:val="none" w:sz="0" w:space="0" w:color="auto"/>
        <w:bottom w:val="none" w:sz="0" w:space="0" w:color="auto"/>
        <w:right w:val="none" w:sz="0" w:space="0" w:color="auto"/>
      </w:divBdr>
      <w:divsChild>
        <w:div w:id="2101675632">
          <w:marLeft w:val="0"/>
          <w:marRight w:val="0"/>
          <w:marTop w:val="0"/>
          <w:marBottom w:val="0"/>
          <w:divBdr>
            <w:top w:val="none" w:sz="0" w:space="0" w:color="auto"/>
            <w:left w:val="none" w:sz="0" w:space="0" w:color="auto"/>
            <w:bottom w:val="none" w:sz="0" w:space="0" w:color="auto"/>
            <w:right w:val="none" w:sz="0" w:space="0" w:color="auto"/>
          </w:divBdr>
        </w:div>
      </w:divsChild>
    </w:div>
    <w:div w:id="221257271">
      <w:marLeft w:val="0"/>
      <w:marRight w:val="0"/>
      <w:marTop w:val="180"/>
      <w:marBottom w:val="0"/>
      <w:divBdr>
        <w:top w:val="none" w:sz="0" w:space="0" w:color="auto"/>
        <w:left w:val="none" w:sz="0" w:space="0" w:color="auto"/>
        <w:bottom w:val="none" w:sz="0" w:space="0" w:color="auto"/>
        <w:right w:val="none" w:sz="0" w:space="0" w:color="auto"/>
      </w:divBdr>
    </w:div>
    <w:div w:id="223176752">
      <w:marLeft w:val="0"/>
      <w:marRight w:val="0"/>
      <w:marTop w:val="0"/>
      <w:marBottom w:val="0"/>
      <w:divBdr>
        <w:top w:val="none" w:sz="0" w:space="0" w:color="auto"/>
        <w:left w:val="none" w:sz="0" w:space="0" w:color="auto"/>
        <w:bottom w:val="none" w:sz="0" w:space="0" w:color="auto"/>
        <w:right w:val="none" w:sz="0" w:space="0" w:color="auto"/>
      </w:divBdr>
    </w:div>
    <w:div w:id="231889191">
      <w:marLeft w:val="0"/>
      <w:marRight w:val="0"/>
      <w:marTop w:val="0"/>
      <w:marBottom w:val="0"/>
      <w:divBdr>
        <w:top w:val="none" w:sz="0" w:space="0" w:color="auto"/>
        <w:left w:val="none" w:sz="0" w:space="0" w:color="auto"/>
        <w:bottom w:val="none" w:sz="0" w:space="0" w:color="auto"/>
        <w:right w:val="none" w:sz="0" w:space="0" w:color="auto"/>
      </w:divBdr>
    </w:div>
    <w:div w:id="237403305">
      <w:marLeft w:val="0"/>
      <w:marRight w:val="0"/>
      <w:marTop w:val="0"/>
      <w:marBottom w:val="0"/>
      <w:divBdr>
        <w:top w:val="none" w:sz="0" w:space="0" w:color="auto"/>
        <w:left w:val="none" w:sz="0" w:space="0" w:color="auto"/>
        <w:bottom w:val="none" w:sz="0" w:space="0" w:color="auto"/>
        <w:right w:val="none" w:sz="0" w:space="0" w:color="auto"/>
      </w:divBdr>
    </w:div>
    <w:div w:id="240525117">
      <w:marLeft w:val="0"/>
      <w:marRight w:val="0"/>
      <w:marTop w:val="220"/>
      <w:marBottom w:val="220"/>
      <w:divBdr>
        <w:top w:val="none" w:sz="0" w:space="0" w:color="auto"/>
        <w:left w:val="none" w:sz="0" w:space="0" w:color="auto"/>
        <w:bottom w:val="none" w:sz="0" w:space="0" w:color="auto"/>
        <w:right w:val="none" w:sz="0" w:space="0" w:color="auto"/>
      </w:divBdr>
    </w:div>
    <w:div w:id="250050397">
      <w:marLeft w:val="0"/>
      <w:marRight w:val="0"/>
      <w:marTop w:val="0"/>
      <w:marBottom w:val="0"/>
      <w:divBdr>
        <w:top w:val="none" w:sz="0" w:space="0" w:color="auto"/>
        <w:left w:val="none" w:sz="0" w:space="0" w:color="auto"/>
        <w:bottom w:val="none" w:sz="0" w:space="0" w:color="auto"/>
        <w:right w:val="none" w:sz="0" w:space="0" w:color="auto"/>
      </w:divBdr>
      <w:divsChild>
        <w:div w:id="1604650742">
          <w:marLeft w:val="0"/>
          <w:marRight w:val="0"/>
          <w:marTop w:val="0"/>
          <w:marBottom w:val="0"/>
          <w:divBdr>
            <w:top w:val="none" w:sz="0" w:space="0" w:color="auto"/>
            <w:left w:val="none" w:sz="0" w:space="0" w:color="auto"/>
            <w:bottom w:val="none" w:sz="0" w:space="0" w:color="auto"/>
            <w:right w:val="none" w:sz="0" w:space="0" w:color="auto"/>
          </w:divBdr>
        </w:div>
      </w:divsChild>
    </w:div>
    <w:div w:id="254364188">
      <w:marLeft w:val="0"/>
      <w:marRight w:val="0"/>
      <w:marTop w:val="0"/>
      <w:marBottom w:val="0"/>
      <w:divBdr>
        <w:top w:val="none" w:sz="0" w:space="0" w:color="auto"/>
        <w:left w:val="none" w:sz="0" w:space="0" w:color="auto"/>
        <w:bottom w:val="none" w:sz="0" w:space="0" w:color="auto"/>
        <w:right w:val="none" w:sz="0" w:space="0" w:color="auto"/>
      </w:divBdr>
    </w:div>
    <w:div w:id="257252140">
      <w:marLeft w:val="0"/>
      <w:marRight w:val="0"/>
      <w:marTop w:val="180"/>
      <w:marBottom w:val="0"/>
      <w:divBdr>
        <w:top w:val="none" w:sz="0" w:space="0" w:color="auto"/>
        <w:left w:val="none" w:sz="0" w:space="0" w:color="auto"/>
        <w:bottom w:val="none" w:sz="0" w:space="0" w:color="auto"/>
        <w:right w:val="none" w:sz="0" w:space="0" w:color="auto"/>
      </w:divBdr>
    </w:div>
    <w:div w:id="259526529">
      <w:marLeft w:val="0"/>
      <w:marRight w:val="0"/>
      <w:marTop w:val="0"/>
      <w:marBottom w:val="160"/>
      <w:divBdr>
        <w:top w:val="none" w:sz="0" w:space="0" w:color="auto"/>
        <w:left w:val="none" w:sz="0" w:space="0" w:color="auto"/>
        <w:bottom w:val="none" w:sz="0" w:space="0" w:color="auto"/>
        <w:right w:val="none" w:sz="0" w:space="0" w:color="auto"/>
      </w:divBdr>
    </w:div>
    <w:div w:id="278070847">
      <w:marLeft w:val="0"/>
      <w:marRight w:val="0"/>
      <w:marTop w:val="0"/>
      <w:marBottom w:val="0"/>
      <w:divBdr>
        <w:top w:val="none" w:sz="0" w:space="0" w:color="auto"/>
        <w:left w:val="none" w:sz="0" w:space="0" w:color="auto"/>
        <w:bottom w:val="none" w:sz="0" w:space="0" w:color="auto"/>
        <w:right w:val="none" w:sz="0" w:space="0" w:color="auto"/>
      </w:divBdr>
    </w:div>
    <w:div w:id="285546841">
      <w:marLeft w:val="0"/>
      <w:marRight w:val="0"/>
      <w:marTop w:val="0"/>
      <w:marBottom w:val="0"/>
      <w:divBdr>
        <w:top w:val="none" w:sz="0" w:space="0" w:color="auto"/>
        <w:left w:val="none" w:sz="0" w:space="0" w:color="auto"/>
        <w:bottom w:val="none" w:sz="0" w:space="0" w:color="auto"/>
        <w:right w:val="none" w:sz="0" w:space="0" w:color="auto"/>
      </w:divBdr>
      <w:divsChild>
        <w:div w:id="1469057469">
          <w:marLeft w:val="0"/>
          <w:marRight w:val="0"/>
          <w:marTop w:val="0"/>
          <w:marBottom w:val="0"/>
          <w:divBdr>
            <w:top w:val="none" w:sz="0" w:space="0" w:color="auto"/>
            <w:left w:val="none" w:sz="0" w:space="0" w:color="auto"/>
            <w:bottom w:val="none" w:sz="0" w:space="0" w:color="auto"/>
            <w:right w:val="none" w:sz="0" w:space="0" w:color="auto"/>
          </w:divBdr>
        </w:div>
      </w:divsChild>
    </w:div>
    <w:div w:id="286938247">
      <w:marLeft w:val="0"/>
      <w:marRight w:val="0"/>
      <w:marTop w:val="0"/>
      <w:marBottom w:val="0"/>
      <w:divBdr>
        <w:top w:val="none" w:sz="0" w:space="0" w:color="auto"/>
        <w:left w:val="none" w:sz="0" w:space="0" w:color="auto"/>
        <w:bottom w:val="none" w:sz="0" w:space="0" w:color="auto"/>
        <w:right w:val="none" w:sz="0" w:space="0" w:color="auto"/>
      </w:divBdr>
      <w:divsChild>
        <w:div w:id="1828010082">
          <w:marLeft w:val="0"/>
          <w:marRight w:val="0"/>
          <w:marTop w:val="0"/>
          <w:marBottom w:val="0"/>
          <w:divBdr>
            <w:top w:val="none" w:sz="0" w:space="0" w:color="auto"/>
            <w:left w:val="none" w:sz="0" w:space="0" w:color="auto"/>
            <w:bottom w:val="none" w:sz="0" w:space="0" w:color="auto"/>
            <w:right w:val="none" w:sz="0" w:space="0" w:color="auto"/>
          </w:divBdr>
        </w:div>
      </w:divsChild>
    </w:div>
    <w:div w:id="293869416">
      <w:marLeft w:val="0"/>
      <w:marRight w:val="0"/>
      <w:marTop w:val="0"/>
      <w:marBottom w:val="0"/>
      <w:divBdr>
        <w:top w:val="none" w:sz="0" w:space="0" w:color="auto"/>
        <w:left w:val="none" w:sz="0" w:space="0" w:color="auto"/>
        <w:bottom w:val="none" w:sz="0" w:space="0" w:color="auto"/>
        <w:right w:val="none" w:sz="0" w:space="0" w:color="auto"/>
      </w:divBdr>
    </w:div>
    <w:div w:id="294873802">
      <w:marLeft w:val="0"/>
      <w:marRight w:val="0"/>
      <w:marTop w:val="0"/>
      <w:marBottom w:val="0"/>
      <w:divBdr>
        <w:top w:val="none" w:sz="0" w:space="0" w:color="auto"/>
        <w:left w:val="none" w:sz="0" w:space="0" w:color="auto"/>
        <w:bottom w:val="none" w:sz="0" w:space="0" w:color="auto"/>
        <w:right w:val="none" w:sz="0" w:space="0" w:color="auto"/>
      </w:divBdr>
      <w:divsChild>
        <w:div w:id="915091817">
          <w:marLeft w:val="0"/>
          <w:marRight w:val="0"/>
          <w:marTop w:val="0"/>
          <w:marBottom w:val="0"/>
          <w:divBdr>
            <w:top w:val="none" w:sz="0" w:space="0" w:color="auto"/>
            <w:left w:val="none" w:sz="0" w:space="0" w:color="auto"/>
            <w:bottom w:val="none" w:sz="0" w:space="0" w:color="auto"/>
            <w:right w:val="none" w:sz="0" w:space="0" w:color="auto"/>
          </w:divBdr>
        </w:div>
      </w:divsChild>
    </w:div>
    <w:div w:id="295180247">
      <w:marLeft w:val="0"/>
      <w:marRight w:val="0"/>
      <w:marTop w:val="0"/>
      <w:marBottom w:val="120"/>
      <w:divBdr>
        <w:top w:val="none" w:sz="0" w:space="0" w:color="auto"/>
        <w:left w:val="none" w:sz="0" w:space="0" w:color="auto"/>
        <w:bottom w:val="none" w:sz="0" w:space="0" w:color="auto"/>
        <w:right w:val="none" w:sz="0" w:space="0" w:color="auto"/>
      </w:divBdr>
    </w:div>
    <w:div w:id="301349021">
      <w:marLeft w:val="0"/>
      <w:marRight w:val="0"/>
      <w:marTop w:val="100"/>
      <w:marBottom w:val="0"/>
      <w:divBdr>
        <w:top w:val="none" w:sz="0" w:space="0" w:color="auto"/>
        <w:left w:val="none" w:sz="0" w:space="0" w:color="auto"/>
        <w:bottom w:val="none" w:sz="0" w:space="0" w:color="auto"/>
        <w:right w:val="none" w:sz="0" w:space="0" w:color="auto"/>
      </w:divBdr>
    </w:div>
    <w:div w:id="304168804">
      <w:marLeft w:val="0"/>
      <w:marRight w:val="0"/>
      <w:marTop w:val="0"/>
      <w:marBottom w:val="0"/>
      <w:divBdr>
        <w:top w:val="none" w:sz="0" w:space="0" w:color="auto"/>
        <w:left w:val="none" w:sz="0" w:space="0" w:color="auto"/>
        <w:bottom w:val="none" w:sz="0" w:space="0" w:color="auto"/>
        <w:right w:val="none" w:sz="0" w:space="0" w:color="auto"/>
      </w:divBdr>
    </w:div>
    <w:div w:id="306474591">
      <w:marLeft w:val="0"/>
      <w:marRight w:val="0"/>
      <w:marTop w:val="0"/>
      <w:marBottom w:val="0"/>
      <w:divBdr>
        <w:top w:val="none" w:sz="0" w:space="0" w:color="auto"/>
        <w:left w:val="none" w:sz="0" w:space="0" w:color="auto"/>
        <w:bottom w:val="none" w:sz="0" w:space="0" w:color="auto"/>
        <w:right w:val="none" w:sz="0" w:space="0" w:color="auto"/>
      </w:divBdr>
    </w:div>
    <w:div w:id="308218543">
      <w:marLeft w:val="0"/>
      <w:marRight w:val="0"/>
      <w:marTop w:val="0"/>
      <w:marBottom w:val="0"/>
      <w:divBdr>
        <w:top w:val="none" w:sz="0" w:space="0" w:color="auto"/>
        <w:left w:val="none" w:sz="0" w:space="0" w:color="auto"/>
        <w:bottom w:val="none" w:sz="0" w:space="0" w:color="auto"/>
        <w:right w:val="none" w:sz="0" w:space="0" w:color="auto"/>
      </w:divBdr>
    </w:div>
    <w:div w:id="308675267">
      <w:marLeft w:val="0"/>
      <w:marRight w:val="0"/>
      <w:marTop w:val="0"/>
      <w:marBottom w:val="0"/>
      <w:divBdr>
        <w:top w:val="none" w:sz="0" w:space="0" w:color="auto"/>
        <w:left w:val="none" w:sz="0" w:space="0" w:color="auto"/>
        <w:bottom w:val="none" w:sz="0" w:space="0" w:color="auto"/>
        <w:right w:val="none" w:sz="0" w:space="0" w:color="auto"/>
      </w:divBdr>
      <w:divsChild>
        <w:div w:id="2085293985">
          <w:marLeft w:val="0"/>
          <w:marRight w:val="0"/>
          <w:marTop w:val="0"/>
          <w:marBottom w:val="0"/>
          <w:divBdr>
            <w:top w:val="none" w:sz="0" w:space="0" w:color="auto"/>
            <w:left w:val="none" w:sz="0" w:space="0" w:color="auto"/>
            <w:bottom w:val="none" w:sz="0" w:space="0" w:color="auto"/>
            <w:right w:val="none" w:sz="0" w:space="0" w:color="auto"/>
          </w:divBdr>
        </w:div>
      </w:divsChild>
    </w:div>
    <w:div w:id="309596537">
      <w:marLeft w:val="0"/>
      <w:marRight w:val="0"/>
      <w:marTop w:val="0"/>
      <w:marBottom w:val="0"/>
      <w:divBdr>
        <w:top w:val="none" w:sz="0" w:space="0" w:color="auto"/>
        <w:left w:val="none" w:sz="0" w:space="0" w:color="auto"/>
        <w:bottom w:val="none" w:sz="0" w:space="0" w:color="auto"/>
        <w:right w:val="none" w:sz="0" w:space="0" w:color="auto"/>
      </w:divBdr>
      <w:divsChild>
        <w:div w:id="198401114">
          <w:marLeft w:val="0"/>
          <w:marRight w:val="0"/>
          <w:marTop w:val="0"/>
          <w:marBottom w:val="0"/>
          <w:divBdr>
            <w:top w:val="none" w:sz="0" w:space="0" w:color="auto"/>
            <w:left w:val="none" w:sz="0" w:space="0" w:color="auto"/>
            <w:bottom w:val="none" w:sz="0" w:space="0" w:color="auto"/>
            <w:right w:val="none" w:sz="0" w:space="0" w:color="auto"/>
          </w:divBdr>
        </w:div>
      </w:divsChild>
    </w:div>
    <w:div w:id="313527537">
      <w:marLeft w:val="0"/>
      <w:marRight w:val="0"/>
      <w:marTop w:val="0"/>
      <w:marBottom w:val="0"/>
      <w:divBdr>
        <w:top w:val="none" w:sz="0" w:space="0" w:color="auto"/>
        <w:left w:val="none" w:sz="0" w:space="0" w:color="auto"/>
        <w:bottom w:val="none" w:sz="0" w:space="0" w:color="auto"/>
        <w:right w:val="none" w:sz="0" w:space="0" w:color="auto"/>
      </w:divBdr>
    </w:div>
    <w:div w:id="316691179">
      <w:marLeft w:val="0"/>
      <w:marRight w:val="0"/>
      <w:marTop w:val="0"/>
      <w:marBottom w:val="120"/>
      <w:divBdr>
        <w:top w:val="none" w:sz="0" w:space="0" w:color="auto"/>
        <w:left w:val="none" w:sz="0" w:space="0" w:color="auto"/>
        <w:bottom w:val="none" w:sz="0" w:space="0" w:color="auto"/>
        <w:right w:val="none" w:sz="0" w:space="0" w:color="auto"/>
      </w:divBdr>
    </w:div>
    <w:div w:id="325406443">
      <w:marLeft w:val="0"/>
      <w:marRight w:val="0"/>
      <w:marTop w:val="0"/>
      <w:marBottom w:val="0"/>
      <w:divBdr>
        <w:top w:val="none" w:sz="0" w:space="0" w:color="auto"/>
        <w:left w:val="none" w:sz="0" w:space="0" w:color="auto"/>
        <w:bottom w:val="none" w:sz="0" w:space="0" w:color="auto"/>
        <w:right w:val="none" w:sz="0" w:space="0" w:color="auto"/>
      </w:divBdr>
      <w:divsChild>
        <w:div w:id="2081631886">
          <w:marLeft w:val="0"/>
          <w:marRight w:val="0"/>
          <w:marTop w:val="0"/>
          <w:marBottom w:val="0"/>
          <w:divBdr>
            <w:top w:val="none" w:sz="0" w:space="0" w:color="auto"/>
            <w:left w:val="none" w:sz="0" w:space="0" w:color="auto"/>
            <w:bottom w:val="none" w:sz="0" w:space="0" w:color="auto"/>
            <w:right w:val="none" w:sz="0" w:space="0" w:color="auto"/>
          </w:divBdr>
        </w:div>
      </w:divsChild>
    </w:div>
    <w:div w:id="345987878">
      <w:marLeft w:val="0"/>
      <w:marRight w:val="0"/>
      <w:marTop w:val="100"/>
      <w:marBottom w:val="100"/>
      <w:divBdr>
        <w:top w:val="none" w:sz="0" w:space="0" w:color="auto"/>
        <w:left w:val="none" w:sz="0" w:space="0" w:color="auto"/>
        <w:bottom w:val="none" w:sz="0" w:space="0" w:color="auto"/>
        <w:right w:val="none" w:sz="0" w:space="0" w:color="auto"/>
      </w:divBdr>
    </w:div>
    <w:div w:id="351342371">
      <w:marLeft w:val="0"/>
      <w:marRight w:val="0"/>
      <w:marTop w:val="0"/>
      <w:marBottom w:val="0"/>
      <w:divBdr>
        <w:top w:val="none" w:sz="0" w:space="0" w:color="auto"/>
        <w:left w:val="none" w:sz="0" w:space="0" w:color="auto"/>
        <w:bottom w:val="none" w:sz="0" w:space="0" w:color="auto"/>
        <w:right w:val="none" w:sz="0" w:space="0" w:color="auto"/>
      </w:divBdr>
      <w:divsChild>
        <w:div w:id="1771118174">
          <w:marLeft w:val="0"/>
          <w:marRight w:val="0"/>
          <w:marTop w:val="0"/>
          <w:marBottom w:val="0"/>
          <w:divBdr>
            <w:top w:val="none" w:sz="0" w:space="0" w:color="auto"/>
            <w:left w:val="none" w:sz="0" w:space="0" w:color="auto"/>
            <w:bottom w:val="none" w:sz="0" w:space="0" w:color="auto"/>
            <w:right w:val="none" w:sz="0" w:space="0" w:color="auto"/>
          </w:divBdr>
        </w:div>
      </w:divsChild>
    </w:div>
    <w:div w:id="356663020">
      <w:marLeft w:val="0"/>
      <w:marRight w:val="0"/>
      <w:marTop w:val="0"/>
      <w:marBottom w:val="0"/>
      <w:divBdr>
        <w:top w:val="none" w:sz="0" w:space="0" w:color="auto"/>
        <w:left w:val="none" w:sz="0" w:space="0" w:color="auto"/>
        <w:bottom w:val="none" w:sz="0" w:space="0" w:color="auto"/>
        <w:right w:val="none" w:sz="0" w:space="0" w:color="auto"/>
      </w:divBdr>
      <w:divsChild>
        <w:div w:id="2104183223">
          <w:marLeft w:val="0"/>
          <w:marRight w:val="0"/>
          <w:marTop w:val="0"/>
          <w:marBottom w:val="0"/>
          <w:divBdr>
            <w:top w:val="none" w:sz="0" w:space="0" w:color="auto"/>
            <w:left w:val="none" w:sz="0" w:space="0" w:color="auto"/>
            <w:bottom w:val="none" w:sz="0" w:space="0" w:color="auto"/>
            <w:right w:val="none" w:sz="0" w:space="0" w:color="auto"/>
          </w:divBdr>
        </w:div>
      </w:divsChild>
    </w:div>
    <w:div w:id="357312517">
      <w:marLeft w:val="0"/>
      <w:marRight w:val="0"/>
      <w:marTop w:val="0"/>
      <w:marBottom w:val="120"/>
      <w:divBdr>
        <w:top w:val="none" w:sz="0" w:space="0" w:color="auto"/>
        <w:left w:val="none" w:sz="0" w:space="0" w:color="auto"/>
        <w:bottom w:val="none" w:sz="0" w:space="0" w:color="auto"/>
        <w:right w:val="none" w:sz="0" w:space="0" w:color="auto"/>
      </w:divBdr>
    </w:div>
    <w:div w:id="359356954">
      <w:marLeft w:val="0"/>
      <w:marRight w:val="0"/>
      <w:marTop w:val="0"/>
      <w:marBottom w:val="0"/>
      <w:divBdr>
        <w:top w:val="none" w:sz="0" w:space="0" w:color="auto"/>
        <w:left w:val="none" w:sz="0" w:space="0" w:color="auto"/>
        <w:bottom w:val="none" w:sz="0" w:space="0" w:color="auto"/>
        <w:right w:val="none" w:sz="0" w:space="0" w:color="auto"/>
      </w:divBdr>
    </w:div>
    <w:div w:id="371854303">
      <w:marLeft w:val="0"/>
      <w:marRight w:val="0"/>
      <w:marTop w:val="0"/>
      <w:marBottom w:val="0"/>
      <w:divBdr>
        <w:top w:val="none" w:sz="0" w:space="0" w:color="auto"/>
        <w:left w:val="none" w:sz="0" w:space="0" w:color="auto"/>
        <w:bottom w:val="none" w:sz="0" w:space="0" w:color="auto"/>
        <w:right w:val="none" w:sz="0" w:space="0" w:color="auto"/>
      </w:divBdr>
      <w:divsChild>
        <w:div w:id="1612056207">
          <w:marLeft w:val="0"/>
          <w:marRight w:val="0"/>
          <w:marTop w:val="0"/>
          <w:marBottom w:val="0"/>
          <w:divBdr>
            <w:top w:val="none" w:sz="0" w:space="0" w:color="auto"/>
            <w:left w:val="none" w:sz="0" w:space="0" w:color="auto"/>
            <w:bottom w:val="none" w:sz="0" w:space="0" w:color="auto"/>
            <w:right w:val="none" w:sz="0" w:space="0" w:color="auto"/>
          </w:divBdr>
        </w:div>
      </w:divsChild>
    </w:div>
    <w:div w:id="374474656">
      <w:marLeft w:val="0"/>
      <w:marRight w:val="0"/>
      <w:marTop w:val="0"/>
      <w:marBottom w:val="160"/>
      <w:divBdr>
        <w:top w:val="none" w:sz="0" w:space="0" w:color="auto"/>
        <w:left w:val="none" w:sz="0" w:space="0" w:color="auto"/>
        <w:bottom w:val="none" w:sz="0" w:space="0" w:color="auto"/>
        <w:right w:val="none" w:sz="0" w:space="0" w:color="auto"/>
      </w:divBdr>
    </w:div>
    <w:div w:id="385184049">
      <w:marLeft w:val="0"/>
      <w:marRight w:val="0"/>
      <w:marTop w:val="100"/>
      <w:marBottom w:val="100"/>
      <w:divBdr>
        <w:top w:val="none" w:sz="0" w:space="0" w:color="auto"/>
        <w:left w:val="none" w:sz="0" w:space="0" w:color="auto"/>
        <w:bottom w:val="none" w:sz="0" w:space="0" w:color="auto"/>
        <w:right w:val="none" w:sz="0" w:space="0" w:color="auto"/>
      </w:divBdr>
    </w:div>
    <w:div w:id="391008521">
      <w:marLeft w:val="0"/>
      <w:marRight w:val="0"/>
      <w:marTop w:val="0"/>
      <w:marBottom w:val="120"/>
      <w:divBdr>
        <w:top w:val="none" w:sz="0" w:space="0" w:color="auto"/>
        <w:left w:val="none" w:sz="0" w:space="0" w:color="auto"/>
        <w:bottom w:val="none" w:sz="0" w:space="0" w:color="auto"/>
        <w:right w:val="none" w:sz="0" w:space="0" w:color="auto"/>
      </w:divBdr>
    </w:div>
    <w:div w:id="395930846">
      <w:marLeft w:val="0"/>
      <w:marRight w:val="0"/>
      <w:marTop w:val="0"/>
      <w:marBottom w:val="160"/>
      <w:divBdr>
        <w:top w:val="none" w:sz="0" w:space="0" w:color="auto"/>
        <w:left w:val="none" w:sz="0" w:space="0" w:color="auto"/>
        <w:bottom w:val="none" w:sz="0" w:space="0" w:color="auto"/>
        <w:right w:val="none" w:sz="0" w:space="0" w:color="auto"/>
      </w:divBdr>
    </w:div>
    <w:div w:id="396781571">
      <w:marLeft w:val="0"/>
      <w:marRight w:val="0"/>
      <w:marTop w:val="100"/>
      <w:marBottom w:val="100"/>
      <w:divBdr>
        <w:top w:val="none" w:sz="0" w:space="0" w:color="auto"/>
        <w:left w:val="none" w:sz="0" w:space="0" w:color="auto"/>
        <w:bottom w:val="none" w:sz="0" w:space="0" w:color="auto"/>
        <w:right w:val="none" w:sz="0" w:space="0" w:color="auto"/>
      </w:divBdr>
    </w:div>
    <w:div w:id="399254857">
      <w:marLeft w:val="0"/>
      <w:marRight w:val="0"/>
      <w:marTop w:val="180"/>
      <w:marBottom w:val="0"/>
      <w:divBdr>
        <w:top w:val="none" w:sz="0" w:space="0" w:color="auto"/>
        <w:left w:val="none" w:sz="0" w:space="0" w:color="auto"/>
        <w:bottom w:val="none" w:sz="0" w:space="0" w:color="auto"/>
        <w:right w:val="none" w:sz="0" w:space="0" w:color="auto"/>
      </w:divBdr>
    </w:div>
    <w:div w:id="401176671">
      <w:marLeft w:val="0"/>
      <w:marRight w:val="0"/>
      <w:marTop w:val="180"/>
      <w:marBottom w:val="0"/>
      <w:divBdr>
        <w:top w:val="none" w:sz="0" w:space="0" w:color="auto"/>
        <w:left w:val="none" w:sz="0" w:space="0" w:color="auto"/>
        <w:bottom w:val="none" w:sz="0" w:space="0" w:color="auto"/>
        <w:right w:val="none" w:sz="0" w:space="0" w:color="auto"/>
      </w:divBdr>
    </w:div>
    <w:div w:id="405301788">
      <w:marLeft w:val="0"/>
      <w:marRight w:val="0"/>
      <w:marTop w:val="0"/>
      <w:marBottom w:val="0"/>
      <w:divBdr>
        <w:top w:val="none" w:sz="0" w:space="0" w:color="auto"/>
        <w:left w:val="none" w:sz="0" w:space="0" w:color="auto"/>
        <w:bottom w:val="none" w:sz="0" w:space="0" w:color="auto"/>
        <w:right w:val="none" w:sz="0" w:space="0" w:color="auto"/>
      </w:divBdr>
    </w:div>
    <w:div w:id="405690412">
      <w:marLeft w:val="0"/>
      <w:marRight w:val="0"/>
      <w:marTop w:val="0"/>
      <w:marBottom w:val="0"/>
      <w:divBdr>
        <w:top w:val="none" w:sz="0" w:space="0" w:color="auto"/>
        <w:left w:val="none" w:sz="0" w:space="0" w:color="auto"/>
        <w:bottom w:val="none" w:sz="0" w:space="0" w:color="auto"/>
        <w:right w:val="none" w:sz="0" w:space="0" w:color="auto"/>
      </w:divBdr>
      <w:divsChild>
        <w:div w:id="1588728443">
          <w:marLeft w:val="0"/>
          <w:marRight w:val="0"/>
          <w:marTop w:val="0"/>
          <w:marBottom w:val="0"/>
          <w:divBdr>
            <w:top w:val="none" w:sz="0" w:space="0" w:color="auto"/>
            <w:left w:val="none" w:sz="0" w:space="0" w:color="auto"/>
            <w:bottom w:val="none" w:sz="0" w:space="0" w:color="auto"/>
            <w:right w:val="none" w:sz="0" w:space="0" w:color="auto"/>
          </w:divBdr>
        </w:div>
      </w:divsChild>
    </w:div>
    <w:div w:id="405692665">
      <w:marLeft w:val="0"/>
      <w:marRight w:val="0"/>
      <w:marTop w:val="0"/>
      <w:marBottom w:val="0"/>
      <w:divBdr>
        <w:top w:val="none" w:sz="0" w:space="0" w:color="auto"/>
        <w:left w:val="none" w:sz="0" w:space="0" w:color="auto"/>
        <w:bottom w:val="none" w:sz="0" w:space="0" w:color="auto"/>
        <w:right w:val="none" w:sz="0" w:space="0" w:color="auto"/>
      </w:divBdr>
    </w:div>
    <w:div w:id="413599231">
      <w:marLeft w:val="0"/>
      <w:marRight w:val="0"/>
      <w:marTop w:val="180"/>
      <w:marBottom w:val="180"/>
      <w:divBdr>
        <w:top w:val="none" w:sz="0" w:space="0" w:color="auto"/>
        <w:left w:val="none" w:sz="0" w:space="0" w:color="auto"/>
        <w:bottom w:val="none" w:sz="0" w:space="0" w:color="auto"/>
        <w:right w:val="none" w:sz="0" w:space="0" w:color="auto"/>
      </w:divBdr>
    </w:div>
    <w:div w:id="415519391">
      <w:marLeft w:val="0"/>
      <w:marRight w:val="0"/>
      <w:marTop w:val="100"/>
      <w:marBottom w:val="100"/>
      <w:divBdr>
        <w:top w:val="none" w:sz="0" w:space="0" w:color="auto"/>
        <w:left w:val="none" w:sz="0" w:space="0" w:color="auto"/>
        <w:bottom w:val="none" w:sz="0" w:space="0" w:color="auto"/>
        <w:right w:val="none" w:sz="0" w:space="0" w:color="auto"/>
      </w:divBdr>
    </w:div>
    <w:div w:id="424694005">
      <w:marLeft w:val="0"/>
      <w:marRight w:val="0"/>
      <w:marTop w:val="0"/>
      <w:marBottom w:val="0"/>
      <w:divBdr>
        <w:top w:val="none" w:sz="0" w:space="0" w:color="auto"/>
        <w:left w:val="none" w:sz="0" w:space="0" w:color="auto"/>
        <w:bottom w:val="none" w:sz="0" w:space="0" w:color="auto"/>
        <w:right w:val="none" w:sz="0" w:space="0" w:color="auto"/>
      </w:divBdr>
    </w:div>
    <w:div w:id="428936652">
      <w:marLeft w:val="0"/>
      <w:marRight w:val="0"/>
      <w:marTop w:val="0"/>
      <w:marBottom w:val="0"/>
      <w:divBdr>
        <w:top w:val="none" w:sz="0" w:space="0" w:color="auto"/>
        <w:left w:val="none" w:sz="0" w:space="0" w:color="auto"/>
        <w:bottom w:val="none" w:sz="0" w:space="0" w:color="auto"/>
        <w:right w:val="none" w:sz="0" w:space="0" w:color="auto"/>
      </w:divBdr>
    </w:div>
    <w:div w:id="439304200">
      <w:marLeft w:val="0"/>
      <w:marRight w:val="0"/>
      <w:marTop w:val="0"/>
      <w:marBottom w:val="0"/>
      <w:divBdr>
        <w:top w:val="none" w:sz="0" w:space="0" w:color="auto"/>
        <w:left w:val="none" w:sz="0" w:space="0" w:color="auto"/>
        <w:bottom w:val="none" w:sz="0" w:space="0" w:color="auto"/>
        <w:right w:val="none" w:sz="0" w:space="0" w:color="auto"/>
      </w:divBdr>
    </w:div>
    <w:div w:id="442697955">
      <w:marLeft w:val="0"/>
      <w:marRight w:val="0"/>
      <w:marTop w:val="0"/>
      <w:marBottom w:val="0"/>
      <w:divBdr>
        <w:top w:val="none" w:sz="0" w:space="0" w:color="auto"/>
        <w:left w:val="none" w:sz="0" w:space="0" w:color="auto"/>
        <w:bottom w:val="none" w:sz="0" w:space="0" w:color="auto"/>
        <w:right w:val="none" w:sz="0" w:space="0" w:color="auto"/>
      </w:divBdr>
      <w:divsChild>
        <w:div w:id="1331175957">
          <w:marLeft w:val="0"/>
          <w:marRight w:val="0"/>
          <w:marTop w:val="0"/>
          <w:marBottom w:val="0"/>
          <w:divBdr>
            <w:top w:val="none" w:sz="0" w:space="0" w:color="auto"/>
            <w:left w:val="none" w:sz="0" w:space="0" w:color="auto"/>
            <w:bottom w:val="none" w:sz="0" w:space="0" w:color="auto"/>
            <w:right w:val="none" w:sz="0" w:space="0" w:color="auto"/>
          </w:divBdr>
        </w:div>
      </w:divsChild>
    </w:div>
    <w:div w:id="443696018">
      <w:marLeft w:val="0"/>
      <w:marRight w:val="0"/>
      <w:marTop w:val="100"/>
      <w:marBottom w:val="100"/>
      <w:divBdr>
        <w:top w:val="none" w:sz="0" w:space="0" w:color="auto"/>
        <w:left w:val="none" w:sz="0" w:space="0" w:color="auto"/>
        <w:bottom w:val="none" w:sz="0" w:space="0" w:color="auto"/>
        <w:right w:val="none" w:sz="0" w:space="0" w:color="auto"/>
      </w:divBdr>
    </w:div>
    <w:div w:id="449399908">
      <w:marLeft w:val="0"/>
      <w:marRight w:val="0"/>
      <w:marTop w:val="0"/>
      <w:marBottom w:val="0"/>
      <w:divBdr>
        <w:top w:val="none" w:sz="0" w:space="0" w:color="auto"/>
        <w:left w:val="none" w:sz="0" w:space="0" w:color="auto"/>
        <w:bottom w:val="none" w:sz="0" w:space="0" w:color="auto"/>
        <w:right w:val="none" w:sz="0" w:space="0" w:color="auto"/>
      </w:divBdr>
      <w:divsChild>
        <w:div w:id="1469276828">
          <w:marLeft w:val="0"/>
          <w:marRight w:val="0"/>
          <w:marTop w:val="0"/>
          <w:marBottom w:val="0"/>
          <w:divBdr>
            <w:top w:val="none" w:sz="0" w:space="0" w:color="auto"/>
            <w:left w:val="none" w:sz="0" w:space="0" w:color="auto"/>
            <w:bottom w:val="none" w:sz="0" w:space="0" w:color="auto"/>
            <w:right w:val="none" w:sz="0" w:space="0" w:color="auto"/>
          </w:divBdr>
        </w:div>
      </w:divsChild>
    </w:div>
    <w:div w:id="455106874">
      <w:marLeft w:val="0"/>
      <w:marRight w:val="0"/>
      <w:marTop w:val="0"/>
      <w:marBottom w:val="0"/>
      <w:divBdr>
        <w:top w:val="none" w:sz="0" w:space="0" w:color="auto"/>
        <w:left w:val="none" w:sz="0" w:space="0" w:color="auto"/>
        <w:bottom w:val="none" w:sz="0" w:space="0" w:color="auto"/>
        <w:right w:val="none" w:sz="0" w:space="0" w:color="auto"/>
      </w:divBdr>
    </w:div>
    <w:div w:id="474639072">
      <w:marLeft w:val="0"/>
      <w:marRight w:val="0"/>
      <w:marTop w:val="0"/>
      <w:marBottom w:val="0"/>
      <w:divBdr>
        <w:top w:val="none" w:sz="0" w:space="0" w:color="auto"/>
        <w:left w:val="none" w:sz="0" w:space="0" w:color="auto"/>
        <w:bottom w:val="none" w:sz="0" w:space="0" w:color="auto"/>
        <w:right w:val="none" w:sz="0" w:space="0" w:color="auto"/>
      </w:divBdr>
      <w:divsChild>
        <w:div w:id="338193036">
          <w:marLeft w:val="0"/>
          <w:marRight w:val="0"/>
          <w:marTop w:val="0"/>
          <w:marBottom w:val="0"/>
          <w:divBdr>
            <w:top w:val="none" w:sz="0" w:space="0" w:color="auto"/>
            <w:left w:val="none" w:sz="0" w:space="0" w:color="auto"/>
            <w:bottom w:val="none" w:sz="0" w:space="0" w:color="auto"/>
            <w:right w:val="none" w:sz="0" w:space="0" w:color="auto"/>
          </w:divBdr>
        </w:div>
      </w:divsChild>
    </w:div>
    <w:div w:id="475684077">
      <w:marLeft w:val="0"/>
      <w:marRight w:val="0"/>
      <w:marTop w:val="0"/>
      <w:marBottom w:val="160"/>
      <w:divBdr>
        <w:top w:val="none" w:sz="0" w:space="0" w:color="auto"/>
        <w:left w:val="none" w:sz="0" w:space="0" w:color="auto"/>
        <w:bottom w:val="none" w:sz="0" w:space="0" w:color="auto"/>
        <w:right w:val="none" w:sz="0" w:space="0" w:color="auto"/>
      </w:divBdr>
    </w:div>
    <w:div w:id="489447373">
      <w:marLeft w:val="0"/>
      <w:marRight w:val="0"/>
      <w:marTop w:val="0"/>
      <w:marBottom w:val="0"/>
      <w:divBdr>
        <w:top w:val="none" w:sz="0" w:space="0" w:color="auto"/>
        <w:left w:val="none" w:sz="0" w:space="0" w:color="auto"/>
        <w:bottom w:val="none" w:sz="0" w:space="0" w:color="auto"/>
        <w:right w:val="none" w:sz="0" w:space="0" w:color="auto"/>
      </w:divBdr>
      <w:divsChild>
        <w:div w:id="1890919220">
          <w:marLeft w:val="0"/>
          <w:marRight w:val="0"/>
          <w:marTop w:val="0"/>
          <w:marBottom w:val="0"/>
          <w:divBdr>
            <w:top w:val="none" w:sz="0" w:space="0" w:color="auto"/>
            <w:left w:val="none" w:sz="0" w:space="0" w:color="auto"/>
            <w:bottom w:val="none" w:sz="0" w:space="0" w:color="auto"/>
            <w:right w:val="none" w:sz="0" w:space="0" w:color="auto"/>
          </w:divBdr>
        </w:div>
      </w:divsChild>
    </w:div>
    <w:div w:id="493837873">
      <w:marLeft w:val="0"/>
      <w:marRight w:val="0"/>
      <w:marTop w:val="0"/>
      <w:marBottom w:val="0"/>
      <w:divBdr>
        <w:top w:val="none" w:sz="0" w:space="0" w:color="auto"/>
        <w:left w:val="none" w:sz="0" w:space="0" w:color="auto"/>
        <w:bottom w:val="none" w:sz="0" w:space="0" w:color="auto"/>
        <w:right w:val="none" w:sz="0" w:space="0" w:color="auto"/>
      </w:divBdr>
      <w:divsChild>
        <w:div w:id="1150484697">
          <w:marLeft w:val="0"/>
          <w:marRight w:val="0"/>
          <w:marTop w:val="0"/>
          <w:marBottom w:val="0"/>
          <w:divBdr>
            <w:top w:val="none" w:sz="0" w:space="0" w:color="auto"/>
            <w:left w:val="none" w:sz="0" w:space="0" w:color="auto"/>
            <w:bottom w:val="none" w:sz="0" w:space="0" w:color="auto"/>
            <w:right w:val="none" w:sz="0" w:space="0" w:color="auto"/>
          </w:divBdr>
        </w:div>
      </w:divsChild>
    </w:div>
    <w:div w:id="498273824">
      <w:marLeft w:val="0"/>
      <w:marRight w:val="0"/>
      <w:marTop w:val="180"/>
      <w:marBottom w:val="0"/>
      <w:divBdr>
        <w:top w:val="none" w:sz="0" w:space="0" w:color="auto"/>
        <w:left w:val="none" w:sz="0" w:space="0" w:color="auto"/>
        <w:bottom w:val="none" w:sz="0" w:space="0" w:color="auto"/>
        <w:right w:val="none" w:sz="0" w:space="0" w:color="auto"/>
      </w:divBdr>
    </w:div>
    <w:div w:id="506871440">
      <w:marLeft w:val="0"/>
      <w:marRight w:val="0"/>
      <w:marTop w:val="200"/>
      <w:marBottom w:val="100"/>
      <w:divBdr>
        <w:top w:val="none" w:sz="0" w:space="0" w:color="auto"/>
        <w:left w:val="none" w:sz="0" w:space="0" w:color="auto"/>
        <w:bottom w:val="none" w:sz="0" w:space="0" w:color="auto"/>
        <w:right w:val="none" w:sz="0" w:space="0" w:color="auto"/>
      </w:divBdr>
      <w:divsChild>
        <w:div w:id="238095849">
          <w:marLeft w:val="0"/>
          <w:marRight w:val="0"/>
          <w:marTop w:val="0"/>
          <w:marBottom w:val="0"/>
          <w:divBdr>
            <w:top w:val="none" w:sz="0" w:space="0" w:color="auto"/>
            <w:left w:val="none" w:sz="0" w:space="0" w:color="auto"/>
            <w:bottom w:val="none" w:sz="0" w:space="0" w:color="auto"/>
            <w:right w:val="none" w:sz="0" w:space="0" w:color="auto"/>
          </w:divBdr>
        </w:div>
        <w:div w:id="488981983">
          <w:marLeft w:val="0"/>
          <w:marRight w:val="0"/>
          <w:marTop w:val="0"/>
          <w:marBottom w:val="0"/>
          <w:divBdr>
            <w:top w:val="none" w:sz="0" w:space="0" w:color="auto"/>
            <w:left w:val="none" w:sz="0" w:space="0" w:color="auto"/>
            <w:bottom w:val="none" w:sz="0" w:space="0" w:color="auto"/>
            <w:right w:val="none" w:sz="0" w:space="0" w:color="auto"/>
          </w:divBdr>
        </w:div>
        <w:div w:id="341710600">
          <w:marLeft w:val="0"/>
          <w:marRight w:val="0"/>
          <w:marTop w:val="0"/>
          <w:marBottom w:val="0"/>
          <w:divBdr>
            <w:top w:val="none" w:sz="0" w:space="0" w:color="auto"/>
            <w:left w:val="none" w:sz="0" w:space="0" w:color="auto"/>
            <w:bottom w:val="none" w:sz="0" w:space="0" w:color="auto"/>
            <w:right w:val="none" w:sz="0" w:space="0" w:color="auto"/>
          </w:divBdr>
        </w:div>
        <w:div w:id="383066006">
          <w:marLeft w:val="0"/>
          <w:marRight w:val="0"/>
          <w:marTop w:val="0"/>
          <w:marBottom w:val="0"/>
          <w:divBdr>
            <w:top w:val="none" w:sz="0" w:space="0" w:color="auto"/>
            <w:left w:val="none" w:sz="0" w:space="0" w:color="auto"/>
            <w:bottom w:val="none" w:sz="0" w:space="0" w:color="auto"/>
            <w:right w:val="none" w:sz="0" w:space="0" w:color="auto"/>
          </w:divBdr>
        </w:div>
        <w:div w:id="1008867381">
          <w:marLeft w:val="0"/>
          <w:marRight w:val="0"/>
          <w:marTop w:val="0"/>
          <w:marBottom w:val="0"/>
          <w:divBdr>
            <w:top w:val="none" w:sz="0" w:space="0" w:color="auto"/>
            <w:left w:val="none" w:sz="0" w:space="0" w:color="auto"/>
            <w:bottom w:val="none" w:sz="0" w:space="0" w:color="auto"/>
            <w:right w:val="none" w:sz="0" w:space="0" w:color="auto"/>
          </w:divBdr>
        </w:div>
        <w:div w:id="927690798">
          <w:marLeft w:val="0"/>
          <w:marRight w:val="0"/>
          <w:marTop w:val="0"/>
          <w:marBottom w:val="0"/>
          <w:divBdr>
            <w:top w:val="none" w:sz="0" w:space="0" w:color="auto"/>
            <w:left w:val="none" w:sz="0" w:space="0" w:color="auto"/>
            <w:bottom w:val="none" w:sz="0" w:space="0" w:color="auto"/>
            <w:right w:val="none" w:sz="0" w:space="0" w:color="auto"/>
          </w:divBdr>
        </w:div>
        <w:div w:id="1028919052">
          <w:marLeft w:val="0"/>
          <w:marRight w:val="0"/>
          <w:marTop w:val="0"/>
          <w:marBottom w:val="0"/>
          <w:divBdr>
            <w:top w:val="none" w:sz="0" w:space="0" w:color="auto"/>
            <w:left w:val="none" w:sz="0" w:space="0" w:color="auto"/>
            <w:bottom w:val="none" w:sz="0" w:space="0" w:color="auto"/>
            <w:right w:val="none" w:sz="0" w:space="0" w:color="auto"/>
          </w:divBdr>
        </w:div>
        <w:div w:id="1111586612">
          <w:marLeft w:val="0"/>
          <w:marRight w:val="0"/>
          <w:marTop w:val="0"/>
          <w:marBottom w:val="0"/>
          <w:divBdr>
            <w:top w:val="none" w:sz="0" w:space="0" w:color="auto"/>
            <w:left w:val="none" w:sz="0" w:space="0" w:color="auto"/>
            <w:bottom w:val="none" w:sz="0" w:space="0" w:color="auto"/>
            <w:right w:val="none" w:sz="0" w:space="0" w:color="auto"/>
          </w:divBdr>
        </w:div>
        <w:div w:id="648485803">
          <w:marLeft w:val="0"/>
          <w:marRight w:val="0"/>
          <w:marTop w:val="0"/>
          <w:marBottom w:val="0"/>
          <w:divBdr>
            <w:top w:val="none" w:sz="0" w:space="0" w:color="auto"/>
            <w:left w:val="none" w:sz="0" w:space="0" w:color="auto"/>
            <w:bottom w:val="none" w:sz="0" w:space="0" w:color="auto"/>
            <w:right w:val="none" w:sz="0" w:space="0" w:color="auto"/>
          </w:divBdr>
        </w:div>
        <w:div w:id="2064136992">
          <w:marLeft w:val="0"/>
          <w:marRight w:val="0"/>
          <w:marTop w:val="0"/>
          <w:marBottom w:val="0"/>
          <w:divBdr>
            <w:top w:val="none" w:sz="0" w:space="0" w:color="auto"/>
            <w:left w:val="none" w:sz="0" w:space="0" w:color="auto"/>
            <w:bottom w:val="none" w:sz="0" w:space="0" w:color="auto"/>
            <w:right w:val="none" w:sz="0" w:space="0" w:color="auto"/>
          </w:divBdr>
        </w:div>
        <w:div w:id="1372220668">
          <w:marLeft w:val="0"/>
          <w:marRight w:val="0"/>
          <w:marTop w:val="0"/>
          <w:marBottom w:val="0"/>
          <w:divBdr>
            <w:top w:val="none" w:sz="0" w:space="0" w:color="auto"/>
            <w:left w:val="none" w:sz="0" w:space="0" w:color="auto"/>
            <w:bottom w:val="none" w:sz="0" w:space="0" w:color="auto"/>
            <w:right w:val="none" w:sz="0" w:space="0" w:color="auto"/>
          </w:divBdr>
        </w:div>
        <w:div w:id="644892777">
          <w:marLeft w:val="0"/>
          <w:marRight w:val="0"/>
          <w:marTop w:val="0"/>
          <w:marBottom w:val="0"/>
          <w:divBdr>
            <w:top w:val="none" w:sz="0" w:space="0" w:color="auto"/>
            <w:left w:val="none" w:sz="0" w:space="0" w:color="auto"/>
            <w:bottom w:val="none" w:sz="0" w:space="0" w:color="auto"/>
            <w:right w:val="none" w:sz="0" w:space="0" w:color="auto"/>
          </w:divBdr>
        </w:div>
        <w:div w:id="1877353449">
          <w:marLeft w:val="0"/>
          <w:marRight w:val="0"/>
          <w:marTop w:val="0"/>
          <w:marBottom w:val="0"/>
          <w:divBdr>
            <w:top w:val="none" w:sz="0" w:space="0" w:color="auto"/>
            <w:left w:val="none" w:sz="0" w:space="0" w:color="auto"/>
            <w:bottom w:val="none" w:sz="0" w:space="0" w:color="auto"/>
            <w:right w:val="none" w:sz="0" w:space="0" w:color="auto"/>
          </w:divBdr>
        </w:div>
        <w:div w:id="653025870">
          <w:marLeft w:val="0"/>
          <w:marRight w:val="0"/>
          <w:marTop w:val="0"/>
          <w:marBottom w:val="0"/>
          <w:divBdr>
            <w:top w:val="none" w:sz="0" w:space="0" w:color="auto"/>
            <w:left w:val="none" w:sz="0" w:space="0" w:color="auto"/>
            <w:bottom w:val="none" w:sz="0" w:space="0" w:color="auto"/>
            <w:right w:val="none" w:sz="0" w:space="0" w:color="auto"/>
          </w:divBdr>
        </w:div>
        <w:div w:id="1908567084">
          <w:marLeft w:val="0"/>
          <w:marRight w:val="0"/>
          <w:marTop w:val="0"/>
          <w:marBottom w:val="0"/>
          <w:divBdr>
            <w:top w:val="none" w:sz="0" w:space="0" w:color="auto"/>
            <w:left w:val="none" w:sz="0" w:space="0" w:color="auto"/>
            <w:bottom w:val="none" w:sz="0" w:space="0" w:color="auto"/>
            <w:right w:val="none" w:sz="0" w:space="0" w:color="auto"/>
          </w:divBdr>
        </w:div>
        <w:div w:id="1960719776">
          <w:marLeft w:val="0"/>
          <w:marRight w:val="0"/>
          <w:marTop w:val="0"/>
          <w:marBottom w:val="0"/>
          <w:divBdr>
            <w:top w:val="none" w:sz="0" w:space="0" w:color="auto"/>
            <w:left w:val="none" w:sz="0" w:space="0" w:color="auto"/>
            <w:bottom w:val="none" w:sz="0" w:space="0" w:color="auto"/>
            <w:right w:val="none" w:sz="0" w:space="0" w:color="auto"/>
          </w:divBdr>
        </w:div>
        <w:div w:id="1417433242">
          <w:marLeft w:val="0"/>
          <w:marRight w:val="0"/>
          <w:marTop w:val="0"/>
          <w:marBottom w:val="0"/>
          <w:divBdr>
            <w:top w:val="none" w:sz="0" w:space="0" w:color="auto"/>
            <w:left w:val="none" w:sz="0" w:space="0" w:color="auto"/>
            <w:bottom w:val="none" w:sz="0" w:space="0" w:color="auto"/>
            <w:right w:val="none" w:sz="0" w:space="0" w:color="auto"/>
          </w:divBdr>
        </w:div>
      </w:divsChild>
    </w:div>
    <w:div w:id="511576356">
      <w:marLeft w:val="0"/>
      <w:marRight w:val="0"/>
      <w:marTop w:val="0"/>
      <w:marBottom w:val="0"/>
      <w:divBdr>
        <w:top w:val="none" w:sz="0" w:space="0" w:color="auto"/>
        <w:left w:val="none" w:sz="0" w:space="0" w:color="auto"/>
        <w:bottom w:val="none" w:sz="0" w:space="0" w:color="auto"/>
        <w:right w:val="none" w:sz="0" w:space="0" w:color="auto"/>
      </w:divBdr>
      <w:divsChild>
        <w:div w:id="1895845717">
          <w:marLeft w:val="0"/>
          <w:marRight w:val="0"/>
          <w:marTop w:val="0"/>
          <w:marBottom w:val="0"/>
          <w:divBdr>
            <w:top w:val="none" w:sz="0" w:space="0" w:color="auto"/>
            <w:left w:val="none" w:sz="0" w:space="0" w:color="auto"/>
            <w:bottom w:val="none" w:sz="0" w:space="0" w:color="auto"/>
            <w:right w:val="none" w:sz="0" w:space="0" w:color="auto"/>
          </w:divBdr>
        </w:div>
      </w:divsChild>
    </w:div>
    <w:div w:id="519973307">
      <w:marLeft w:val="0"/>
      <w:marRight w:val="0"/>
      <w:marTop w:val="0"/>
      <w:marBottom w:val="0"/>
      <w:divBdr>
        <w:top w:val="none" w:sz="0" w:space="0" w:color="auto"/>
        <w:left w:val="none" w:sz="0" w:space="0" w:color="auto"/>
        <w:bottom w:val="none" w:sz="0" w:space="0" w:color="auto"/>
        <w:right w:val="none" w:sz="0" w:space="0" w:color="auto"/>
      </w:divBdr>
    </w:div>
    <w:div w:id="521435450">
      <w:marLeft w:val="0"/>
      <w:marRight w:val="0"/>
      <w:marTop w:val="180"/>
      <w:marBottom w:val="0"/>
      <w:divBdr>
        <w:top w:val="none" w:sz="0" w:space="0" w:color="auto"/>
        <w:left w:val="none" w:sz="0" w:space="0" w:color="auto"/>
        <w:bottom w:val="none" w:sz="0" w:space="0" w:color="auto"/>
        <w:right w:val="none" w:sz="0" w:space="0" w:color="auto"/>
      </w:divBdr>
    </w:div>
    <w:div w:id="521480119">
      <w:marLeft w:val="0"/>
      <w:marRight w:val="0"/>
      <w:marTop w:val="180"/>
      <w:marBottom w:val="0"/>
      <w:divBdr>
        <w:top w:val="none" w:sz="0" w:space="0" w:color="auto"/>
        <w:left w:val="none" w:sz="0" w:space="0" w:color="auto"/>
        <w:bottom w:val="none" w:sz="0" w:space="0" w:color="auto"/>
        <w:right w:val="none" w:sz="0" w:space="0" w:color="auto"/>
      </w:divBdr>
    </w:div>
    <w:div w:id="521551365">
      <w:marLeft w:val="0"/>
      <w:marRight w:val="0"/>
      <w:marTop w:val="0"/>
      <w:marBottom w:val="0"/>
      <w:divBdr>
        <w:top w:val="none" w:sz="0" w:space="0" w:color="auto"/>
        <w:left w:val="none" w:sz="0" w:space="0" w:color="auto"/>
        <w:bottom w:val="none" w:sz="0" w:space="0" w:color="auto"/>
        <w:right w:val="none" w:sz="0" w:space="0" w:color="auto"/>
      </w:divBdr>
    </w:div>
    <w:div w:id="533157538">
      <w:marLeft w:val="0"/>
      <w:marRight w:val="0"/>
      <w:marTop w:val="100"/>
      <w:marBottom w:val="0"/>
      <w:divBdr>
        <w:top w:val="none" w:sz="0" w:space="0" w:color="auto"/>
        <w:left w:val="none" w:sz="0" w:space="0" w:color="auto"/>
        <w:bottom w:val="none" w:sz="0" w:space="0" w:color="auto"/>
        <w:right w:val="none" w:sz="0" w:space="0" w:color="auto"/>
      </w:divBdr>
    </w:div>
    <w:div w:id="535430645">
      <w:marLeft w:val="0"/>
      <w:marRight w:val="0"/>
      <w:marTop w:val="0"/>
      <w:marBottom w:val="0"/>
      <w:divBdr>
        <w:top w:val="none" w:sz="0" w:space="0" w:color="auto"/>
        <w:left w:val="none" w:sz="0" w:space="0" w:color="auto"/>
        <w:bottom w:val="none" w:sz="0" w:space="0" w:color="auto"/>
        <w:right w:val="none" w:sz="0" w:space="0" w:color="auto"/>
      </w:divBdr>
      <w:divsChild>
        <w:div w:id="1870292193">
          <w:marLeft w:val="0"/>
          <w:marRight w:val="0"/>
          <w:marTop w:val="0"/>
          <w:marBottom w:val="0"/>
          <w:divBdr>
            <w:top w:val="none" w:sz="0" w:space="0" w:color="auto"/>
            <w:left w:val="none" w:sz="0" w:space="0" w:color="auto"/>
            <w:bottom w:val="none" w:sz="0" w:space="0" w:color="auto"/>
            <w:right w:val="none" w:sz="0" w:space="0" w:color="auto"/>
          </w:divBdr>
        </w:div>
      </w:divsChild>
    </w:div>
    <w:div w:id="544953862">
      <w:marLeft w:val="0"/>
      <w:marRight w:val="0"/>
      <w:marTop w:val="120"/>
      <w:marBottom w:val="120"/>
      <w:divBdr>
        <w:top w:val="none" w:sz="0" w:space="0" w:color="auto"/>
        <w:left w:val="none" w:sz="0" w:space="0" w:color="auto"/>
        <w:bottom w:val="none" w:sz="0" w:space="0" w:color="auto"/>
        <w:right w:val="none" w:sz="0" w:space="0" w:color="auto"/>
      </w:divBdr>
    </w:div>
    <w:div w:id="565723389">
      <w:marLeft w:val="0"/>
      <w:marRight w:val="0"/>
      <w:marTop w:val="0"/>
      <w:marBottom w:val="160"/>
      <w:divBdr>
        <w:top w:val="none" w:sz="0" w:space="0" w:color="auto"/>
        <w:left w:val="none" w:sz="0" w:space="0" w:color="auto"/>
        <w:bottom w:val="none" w:sz="0" w:space="0" w:color="auto"/>
        <w:right w:val="none" w:sz="0" w:space="0" w:color="auto"/>
      </w:divBdr>
    </w:div>
    <w:div w:id="573205110">
      <w:marLeft w:val="0"/>
      <w:marRight w:val="0"/>
      <w:marTop w:val="0"/>
      <w:marBottom w:val="120"/>
      <w:divBdr>
        <w:top w:val="none" w:sz="0" w:space="0" w:color="auto"/>
        <w:left w:val="none" w:sz="0" w:space="0" w:color="auto"/>
        <w:bottom w:val="none" w:sz="0" w:space="0" w:color="auto"/>
        <w:right w:val="none" w:sz="0" w:space="0" w:color="auto"/>
      </w:divBdr>
    </w:div>
    <w:div w:id="574701759">
      <w:marLeft w:val="0"/>
      <w:marRight w:val="0"/>
      <w:marTop w:val="100"/>
      <w:marBottom w:val="100"/>
      <w:divBdr>
        <w:top w:val="none" w:sz="0" w:space="0" w:color="auto"/>
        <w:left w:val="none" w:sz="0" w:space="0" w:color="auto"/>
        <w:bottom w:val="none" w:sz="0" w:space="0" w:color="auto"/>
        <w:right w:val="none" w:sz="0" w:space="0" w:color="auto"/>
      </w:divBdr>
    </w:div>
    <w:div w:id="576868300">
      <w:marLeft w:val="0"/>
      <w:marRight w:val="0"/>
      <w:marTop w:val="0"/>
      <w:marBottom w:val="0"/>
      <w:divBdr>
        <w:top w:val="none" w:sz="0" w:space="0" w:color="auto"/>
        <w:left w:val="none" w:sz="0" w:space="0" w:color="auto"/>
        <w:bottom w:val="none" w:sz="0" w:space="0" w:color="auto"/>
        <w:right w:val="none" w:sz="0" w:space="0" w:color="auto"/>
      </w:divBdr>
    </w:div>
    <w:div w:id="577641874">
      <w:marLeft w:val="0"/>
      <w:marRight w:val="0"/>
      <w:marTop w:val="0"/>
      <w:marBottom w:val="0"/>
      <w:divBdr>
        <w:top w:val="none" w:sz="0" w:space="0" w:color="auto"/>
        <w:left w:val="none" w:sz="0" w:space="0" w:color="auto"/>
        <w:bottom w:val="none" w:sz="0" w:space="0" w:color="auto"/>
        <w:right w:val="none" w:sz="0" w:space="0" w:color="auto"/>
      </w:divBdr>
      <w:divsChild>
        <w:div w:id="385181460">
          <w:marLeft w:val="0"/>
          <w:marRight w:val="0"/>
          <w:marTop w:val="0"/>
          <w:marBottom w:val="0"/>
          <w:divBdr>
            <w:top w:val="none" w:sz="0" w:space="0" w:color="auto"/>
            <w:left w:val="none" w:sz="0" w:space="0" w:color="auto"/>
            <w:bottom w:val="none" w:sz="0" w:space="0" w:color="auto"/>
            <w:right w:val="none" w:sz="0" w:space="0" w:color="auto"/>
          </w:divBdr>
        </w:div>
      </w:divsChild>
    </w:div>
    <w:div w:id="584189505">
      <w:marLeft w:val="0"/>
      <w:marRight w:val="0"/>
      <w:marTop w:val="0"/>
      <w:marBottom w:val="0"/>
      <w:divBdr>
        <w:top w:val="none" w:sz="0" w:space="0" w:color="auto"/>
        <w:left w:val="none" w:sz="0" w:space="0" w:color="auto"/>
        <w:bottom w:val="none" w:sz="0" w:space="0" w:color="auto"/>
        <w:right w:val="none" w:sz="0" w:space="0" w:color="auto"/>
      </w:divBdr>
      <w:divsChild>
        <w:div w:id="1068917524">
          <w:marLeft w:val="0"/>
          <w:marRight w:val="0"/>
          <w:marTop w:val="0"/>
          <w:marBottom w:val="0"/>
          <w:divBdr>
            <w:top w:val="none" w:sz="0" w:space="0" w:color="auto"/>
            <w:left w:val="none" w:sz="0" w:space="0" w:color="auto"/>
            <w:bottom w:val="none" w:sz="0" w:space="0" w:color="auto"/>
            <w:right w:val="none" w:sz="0" w:space="0" w:color="auto"/>
          </w:divBdr>
        </w:div>
      </w:divsChild>
    </w:div>
    <w:div w:id="584999985">
      <w:marLeft w:val="0"/>
      <w:marRight w:val="0"/>
      <w:marTop w:val="100"/>
      <w:marBottom w:val="100"/>
      <w:divBdr>
        <w:top w:val="none" w:sz="0" w:space="0" w:color="auto"/>
        <w:left w:val="none" w:sz="0" w:space="0" w:color="auto"/>
        <w:bottom w:val="none" w:sz="0" w:space="0" w:color="auto"/>
        <w:right w:val="none" w:sz="0" w:space="0" w:color="auto"/>
      </w:divBdr>
    </w:div>
    <w:div w:id="593444326">
      <w:marLeft w:val="0"/>
      <w:marRight w:val="0"/>
      <w:marTop w:val="120"/>
      <w:marBottom w:val="120"/>
      <w:divBdr>
        <w:top w:val="none" w:sz="0" w:space="0" w:color="auto"/>
        <w:left w:val="none" w:sz="0" w:space="0" w:color="auto"/>
        <w:bottom w:val="none" w:sz="0" w:space="0" w:color="auto"/>
        <w:right w:val="none" w:sz="0" w:space="0" w:color="auto"/>
      </w:divBdr>
    </w:div>
    <w:div w:id="593586145">
      <w:marLeft w:val="0"/>
      <w:marRight w:val="0"/>
      <w:marTop w:val="100"/>
      <w:marBottom w:val="100"/>
      <w:divBdr>
        <w:top w:val="none" w:sz="0" w:space="0" w:color="auto"/>
        <w:left w:val="none" w:sz="0" w:space="0" w:color="auto"/>
        <w:bottom w:val="none" w:sz="0" w:space="0" w:color="auto"/>
        <w:right w:val="none" w:sz="0" w:space="0" w:color="auto"/>
      </w:divBdr>
    </w:div>
    <w:div w:id="599459999">
      <w:marLeft w:val="0"/>
      <w:marRight w:val="0"/>
      <w:marTop w:val="0"/>
      <w:marBottom w:val="0"/>
      <w:divBdr>
        <w:top w:val="none" w:sz="0" w:space="0" w:color="auto"/>
        <w:left w:val="none" w:sz="0" w:space="0" w:color="auto"/>
        <w:bottom w:val="none" w:sz="0" w:space="0" w:color="auto"/>
        <w:right w:val="none" w:sz="0" w:space="0" w:color="auto"/>
      </w:divBdr>
      <w:divsChild>
        <w:div w:id="1336108287">
          <w:marLeft w:val="0"/>
          <w:marRight w:val="0"/>
          <w:marTop w:val="0"/>
          <w:marBottom w:val="0"/>
          <w:divBdr>
            <w:top w:val="none" w:sz="0" w:space="0" w:color="auto"/>
            <w:left w:val="none" w:sz="0" w:space="0" w:color="auto"/>
            <w:bottom w:val="none" w:sz="0" w:space="0" w:color="auto"/>
            <w:right w:val="none" w:sz="0" w:space="0" w:color="auto"/>
          </w:divBdr>
        </w:div>
      </w:divsChild>
    </w:div>
    <w:div w:id="604653521">
      <w:marLeft w:val="0"/>
      <w:marRight w:val="0"/>
      <w:marTop w:val="0"/>
      <w:marBottom w:val="0"/>
      <w:divBdr>
        <w:top w:val="none" w:sz="0" w:space="0" w:color="auto"/>
        <w:left w:val="none" w:sz="0" w:space="0" w:color="auto"/>
        <w:bottom w:val="none" w:sz="0" w:space="0" w:color="auto"/>
        <w:right w:val="none" w:sz="0" w:space="0" w:color="auto"/>
      </w:divBdr>
      <w:divsChild>
        <w:div w:id="1352797302">
          <w:marLeft w:val="0"/>
          <w:marRight w:val="0"/>
          <w:marTop w:val="0"/>
          <w:marBottom w:val="0"/>
          <w:divBdr>
            <w:top w:val="none" w:sz="0" w:space="0" w:color="auto"/>
            <w:left w:val="none" w:sz="0" w:space="0" w:color="auto"/>
            <w:bottom w:val="none" w:sz="0" w:space="0" w:color="auto"/>
            <w:right w:val="none" w:sz="0" w:space="0" w:color="auto"/>
          </w:divBdr>
        </w:div>
      </w:divsChild>
    </w:div>
    <w:div w:id="604725301">
      <w:marLeft w:val="0"/>
      <w:marRight w:val="0"/>
      <w:marTop w:val="60"/>
      <w:marBottom w:val="60"/>
      <w:divBdr>
        <w:top w:val="none" w:sz="0" w:space="0" w:color="auto"/>
        <w:left w:val="none" w:sz="0" w:space="0" w:color="auto"/>
        <w:bottom w:val="none" w:sz="0" w:space="0" w:color="auto"/>
        <w:right w:val="none" w:sz="0" w:space="0" w:color="auto"/>
      </w:divBdr>
    </w:div>
    <w:div w:id="617025234">
      <w:marLeft w:val="0"/>
      <w:marRight w:val="0"/>
      <w:marTop w:val="100"/>
      <w:marBottom w:val="100"/>
      <w:divBdr>
        <w:top w:val="none" w:sz="0" w:space="0" w:color="auto"/>
        <w:left w:val="none" w:sz="0" w:space="0" w:color="auto"/>
        <w:bottom w:val="none" w:sz="0" w:space="0" w:color="auto"/>
        <w:right w:val="none" w:sz="0" w:space="0" w:color="auto"/>
      </w:divBdr>
    </w:div>
    <w:div w:id="623582057">
      <w:marLeft w:val="0"/>
      <w:marRight w:val="0"/>
      <w:marTop w:val="0"/>
      <w:marBottom w:val="0"/>
      <w:divBdr>
        <w:top w:val="none" w:sz="0" w:space="0" w:color="auto"/>
        <w:left w:val="none" w:sz="0" w:space="0" w:color="auto"/>
        <w:bottom w:val="none" w:sz="0" w:space="0" w:color="auto"/>
        <w:right w:val="none" w:sz="0" w:space="0" w:color="auto"/>
      </w:divBdr>
      <w:divsChild>
        <w:div w:id="494222558">
          <w:marLeft w:val="0"/>
          <w:marRight w:val="0"/>
          <w:marTop w:val="0"/>
          <w:marBottom w:val="0"/>
          <w:divBdr>
            <w:top w:val="none" w:sz="0" w:space="0" w:color="auto"/>
            <w:left w:val="none" w:sz="0" w:space="0" w:color="auto"/>
            <w:bottom w:val="none" w:sz="0" w:space="0" w:color="auto"/>
            <w:right w:val="none" w:sz="0" w:space="0" w:color="auto"/>
          </w:divBdr>
        </w:div>
      </w:divsChild>
    </w:div>
    <w:div w:id="625963695">
      <w:marLeft w:val="0"/>
      <w:marRight w:val="0"/>
      <w:marTop w:val="0"/>
      <w:marBottom w:val="0"/>
      <w:divBdr>
        <w:top w:val="none" w:sz="0" w:space="0" w:color="auto"/>
        <w:left w:val="none" w:sz="0" w:space="0" w:color="auto"/>
        <w:bottom w:val="none" w:sz="0" w:space="0" w:color="auto"/>
        <w:right w:val="none" w:sz="0" w:space="0" w:color="auto"/>
      </w:divBdr>
    </w:div>
    <w:div w:id="630523806">
      <w:marLeft w:val="0"/>
      <w:marRight w:val="0"/>
      <w:marTop w:val="0"/>
      <w:marBottom w:val="0"/>
      <w:divBdr>
        <w:top w:val="none" w:sz="0" w:space="0" w:color="auto"/>
        <w:left w:val="none" w:sz="0" w:space="0" w:color="auto"/>
        <w:bottom w:val="none" w:sz="0" w:space="0" w:color="auto"/>
        <w:right w:val="none" w:sz="0" w:space="0" w:color="auto"/>
      </w:divBdr>
    </w:div>
    <w:div w:id="632054554">
      <w:marLeft w:val="0"/>
      <w:marRight w:val="0"/>
      <w:marTop w:val="0"/>
      <w:marBottom w:val="0"/>
      <w:divBdr>
        <w:top w:val="none" w:sz="0" w:space="0" w:color="auto"/>
        <w:left w:val="none" w:sz="0" w:space="0" w:color="auto"/>
        <w:bottom w:val="none" w:sz="0" w:space="0" w:color="auto"/>
        <w:right w:val="none" w:sz="0" w:space="0" w:color="auto"/>
      </w:divBdr>
      <w:divsChild>
        <w:div w:id="1790666063">
          <w:marLeft w:val="0"/>
          <w:marRight w:val="0"/>
          <w:marTop w:val="0"/>
          <w:marBottom w:val="0"/>
          <w:divBdr>
            <w:top w:val="none" w:sz="0" w:space="0" w:color="auto"/>
            <w:left w:val="none" w:sz="0" w:space="0" w:color="auto"/>
            <w:bottom w:val="none" w:sz="0" w:space="0" w:color="auto"/>
            <w:right w:val="none" w:sz="0" w:space="0" w:color="auto"/>
          </w:divBdr>
        </w:div>
      </w:divsChild>
    </w:div>
    <w:div w:id="637299704">
      <w:marLeft w:val="0"/>
      <w:marRight w:val="0"/>
      <w:marTop w:val="180"/>
      <w:marBottom w:val="0"/>
      <w:divBdr>
        <w:top w:val="none" w:sz="0" w:space="0" w:color="auto"/>
        <w:left w:val="none" w:sz="0" w:space="0" w:color="auto"/>
        <w:bottom w:val="none" w:sz="0" w:space="0" w:color="auto"/>
        <w:right w:val="none" w:sz="0" w:space="0" w:color="auto"/>
      </w:divBdr>
    </w:div>
    <w:div w:id="639530450">
      <w:marLeft w:val="0"/>
      <w:marRight w:val="0"/>
      <w:marTop w:val="0"/>
      <w:marBottom w:val="0"/>
      <w:divBdr>
        <w:top w:val="none" w:sz="0" w:space="0" w:color="auto"/>
        <w:left w:val="none" w:sz="0" w:space="0" w:color="auto"/>
        <w:bottom w:val="none" w:sz="0" w:space="0" w:color="auto"/>
        <w:right w:val="none" w:sz="0" w:space="0" w:color="auto"/>
      </w:divBdr>
    </w:div>
    <w:div w:id="640040023">
      <w:marLeft w:val="0"/>
      <w:marRight w:val="0"/>
      <w:marTop w:val="0"/>
      <w:marBottom w:val="0"/>
      <w:divBdr>
        <w:top w:val="none" w:sz="0" w:space="0" w:color="auto"/>
        <w:left w:val="none" w:sz="0" w:space="0" w:color="auto"/>
        <w:bottom w:val="none" w:sz="0" w:space="0" w:color="auto"/>
        <w:right w:val="none" w:sz="0" w:space="0" w:color="auto"/>
      </w:divBdr>
      <w:divsChild>
        <w:div w:id="966818659">
          <w:marLeft w:val="0"/>
          <w:marRight w:val="0"/>
          <w:marTop w:val="0"/>
          <w:marBottom w:val="0"/>
          <w:divBdr>
            <w:top w:val="none" w:sz="0" w:space="0" w:color="auto"/>
            <w:left w:val="none" w:sz="0" w:space="0" w:color="auto"/>
            <w:bottom w:val="none" w:sz="0" w:space="0" w:color="auto"/>
            <w:right w:val="none" w:sz="0" w:space="0" w:color="auto"/>
          </w:divBdr>
        </w:div>
      </w:divsChild>
    </w:div>
    <w:div w:id="644433952">
      <w:marLeft w:val="0"/>
      <w:marRight w:val="0"/>
      <w:marTop w:val="0"/>
      <w:marBottom w:val="0"/>
      <w:divBdr>
        <w:top w:val="none" w:sz="0" w:space="0" w:color="auto"/>
        <w:left w:val="none" w:sz="0" w:space="0" w:color="auto"/>
        <w:bottom w:val="none" w:sz="0" w:space="0" w:color="auto"/>
        <w:right w:val="none" w:sz="0" w:space="0" w:color="auto"/>
      </w:divBdr>
    </w:div>
    <w:div w:id="649599007">
      <w:marLeft w:val="0"/>
      <w:marRight w:val="0"/>
      <w:marTop w:val="0"/>
      <w:marBottom w:val="0"/>
      <w:divBdr>
        <w:top w:val="none" w:sz="0" w:space="0" w:color="auto"/>
        <w:left w:val="none" w:sz="0" w:space="0" w:color="auto"/>
        <w:bottom w:val="none" w:sz="0" w:space="0" w:color="auto"/>
        <w:right w:val="none" w:sz="0" w:space="0" w:color="auto"/>
      </w:divBdr>
      <w:divsChild>
        <w:div w:id="1620917687">
          <w:marLeft w:val="0"/>
          <w:marRight w:val="0"/>
          <w:marTop w:val="0"/>
          <w:marBottom w:val="0"/>
          <w:divBdr>
            <w:top w:val="none" w:sz="0" w:space="0" w:color="auto"/>
            <w:left w:val="none" w:sz="0" w:space="0" w:color="auto"/>
            <w:bottom w:val="none" w:sz="0" w:space="0" w:color="auto"/>
            <w:right w:val="none" w:sz="0" w:space="0" w:color="auto"/>
          </w:divBdr>
        </w:div>
      </w:divsChild>
    </w:div>
    <w:div w:id="653679807">
      <w:marLeft w:val="0"/>
      <w:marRight w:val="0"/>
      <w:marTop w:val="0"/>
      <w:marBottom w:val="0"/>
      <w:divBdr>
        <w:top w:val="none" w:sz="0" w:space="0" w:color="auto"/>
        <w:left w:val="none" w:sz="0" w:space="0" w:color="auto"/>
        <w:bottom w:val="none" w:sz="0" w:space="0" w:color="auto"/>
        <w:right w:val="none" w:sz="0" w:space="0" w:color="auto"/>
      </w:divBdr>
      <w:divsChild>
        <w:div w:id="1210075112">
          <w:marLeft w:val="0"/>
          <w:marRight w:val="0"/>
          <w:marTop w:val="0"/>
          <w:marBottom w:val="0"/>
          <w:divBdr>
            <w:top w:val="none" w:sz="0" w:space="0" w:color="auto"/>
            <w:left w:val="none" w:sz="0" w:space="0" w:color="auto"/>
            <w:bottom w:val="none" w:sz="0" w:space="0" w:color="auto"/>
            <w:right w:val="none" w:sz="0" w:space="0" w:color="auto"/>
          </w:divBdr>
        </w:div>
      </w:divsChild>
    </w:div>
    <w:div w:id="657150049">
      <w:marLeft w:val="0"/>
      <w:marRight w:val="0"/>
      <w:marTop w:val="0"/>
      <w:marBottom w:val="0"/>
      <w:divBdr>
        <w:top w:val="none" w:sz="0" w:space="0" w:color="auto"/>
        <w:left w:val="none" w:sz="0" w:space="0" w:color="auto"/>
        <w:bottom w:val="none" w:sz="0" w:space="0" w:color="auto"/>
        <w:right w:val="none" w:sz="0" w:space="0" w:color="auto"/>
      </w:divBdr>
    </w:div>
    <w:div w:id="657882703">
      <w:marLeft w:val="0"/>
      <w:marRight w:val="0"/>
      <w:marTop w:val="0"/>
      <w:marBottom w:val="0"/>
      <w:divBdr>
        <w:top w:val="none" w:sz="0" w:space="0" w:color="auto"/>
        <w:left w:val="none" w:sz="0" w:space="0" w:color="auto"/>
        <w:bottom w:val="none" w:sz="0" w:space="0" w:color="auto"/>
        <w:right w:val="none" w:sz="0" w:space="0" w:color="auto"/>
      </w:divBdr>
    </w:div>
    <w:div w:id="659968216">
      <w:marLeft w:val="0"/>
      <w:marRight w:val="0"/>
      <w:marTop w:val="0"/>
      <w:marBottom w:val="0"/>
      <w:divBdr>
        <w:top w:val="none" w:sz="0" w:space="0" w:color="auto"/>
        <w:left w:val="none" w:sz="0" w:space="0" w:color="auto"/>
        <w:bottom w:val="none" w:sz="0" w:space="0" w:color="auto"/>
        <w:right w:val="none" w:sz="0" w:space="0" w:color="auto"/>
      </w:divBdr>
    </w:div>
    <w:div w:id="668870948">
      <w:marLeft w:val="0"/>
      <w:marRight w:val="0"/>
      <w:marTop w:val="0"/>
      <w:marBottom w:val="0"/>
      <w:divBdr>
        <w:top w:val="none" w:sz="0" w:space="0" w:color="auto"/>
        <w:left w:val="none" w:sz="0" w:space="0" w:color="auto"/>
        <w:bottom w:val="none" w:sz="0" w:space="0" w:color="auto"/>
        <w:right w:val="none" w:sz="0" w:space="0" w:color="auto"/>
      </w:divBdr>
    </w:div>
    <w:div w:id="676612134">
      <w:marLeft w:val="0"/>
      <w:marRight w:val="0"/>
      <w:marTop w:val="120"/>
      <w:marBottom w:val="0"/>
      <w:divBdr>
        <w:top w:val="none" w:sz="0" w:space="0" w:color="auto"/>
        <w:left w:val="none" w:sz="0" w:space="0" w:color="auto"/>
        <w:bottom w:val="none" w:sz="0" w:space="0" w:color="auto"/>
        <w:right w:val="none" w:sz="0" w:space="0" w:color="auto"/>
      </w:divBdr>
    </w:div>
    <w:div w:id="679234799">
      <w:marLeft w:val="0"/>
      <w:marRight w:val="0"/>
      <w:marTop w:val="100"/>
      <w:marBottom w:val="100"/>
      <w:divBdr>
        <w:top w:val="none" w:sz="0" w:space="0" w:color="auto"/>
        <w:left w:val="none" w:sz="0" w:space="0" w:color="auto"/>
        <w:bottom w:val="none" w:sz="0" w:space="0" w:color="auto"/>
        <w:right w:val="none" w:sz="0" w:space="0" w:color="auto"/>
      </w:divBdr>
    </w:div>
    <w:div w:id="679770004">
      <w:marLeft w:val="0"/>
      <w:marRight w:val="0"/>
      <w:marTop w:val="0"/>
      <w:marBottom w:val="0"/>
      <w:divBdr>
        <w:top w:val="none" w:sz="0" w:space="0" w:color="auto"/>
        <w:left w:val="none" w:sz="0" w:space="0" w:color="auto"/>
        <w:bottom w:val="none" w:sz="0" w:space="0" w:color="auto"/>
        <w:right w:val="none" w:sz="0" w:space="0" w:color="auto"/>
      </w:divBdr>
      <w:divsChild>
        <w:div w:id="1875388663">
          <w:marLeft w:val="0"/>
          <w:marRight w:val="0"/>
          <w:marTop w:val="0"/>
          <w:marBottom w:val="0"/>
          <w:divBdr>
            <w:top w:val="none" w:sz="0" w:space="0" w:color="auto"/>
            <w:left w:val="none" w:sz="0" w:space="0" w:color="auto"/>
            <w:bottom w:val="none" w:sz="0" w:space="0" w:color="auto"/>
            <w:right w:val="none" w:sz="0" w:space="0" w:color="auto"/>
          </w:divBdr>
        </w:div>
      </w:divsChild>
    </w:div>
    <w:div w:id="680395056">
      <w:marLeft w:val="0"/>
      <w:marRight w:val="0"/>
      <w:marTop w:val="0"/>
      <w:marBottom w:val="0"/>
      <w:divBdr>
        <w:top w:val="none" w:sz="0" w:space="0" w:color="auto"/>
        <w:left w:val="none" w:sz="0" w:space="0" w:color="auto"/>
        <w:bottom w:val="none" w:sz="0" w:space="0" w:color="auto"/>
        <w:right w:val="none" w:sz="0" w:space="0" w:color="auto"/>
      </w:divBdr>
      <w:divsChild>
        <w:div w:id="1365210224">
          <w:marLeft w:val="0"/>
          <w:marRight w:val="0"/>
          <w:marTop w:val="0"/>
          <w:marBottom w:val="0"/>
          <w:divBdr>
            <w:top w:val="none" w:sz="0" w:space="0" w:color="auto"/>
            <w:left w:val="none" w:sz="0" w:space="0" w:color="auto"/>
            <w:bottom w:val="none" w:sz="0" w:space="0" w:color="auto"/>
            <w:right w:val="none" w:sz="0" w:space="0" w:color="auto"/>
          </w:divBdr>
        </w:div>
      </w:divsChild>
    </w:div>
    <w:div w:id="684596800">
      <w:marLeft w:val="0"/>
      <w:marRight w:val="0"/>
      <w:marTop w:val="0"/>
      <w:marBottom w:val="0"/>
      <w:divBdr>
        <w:top w:val="none" w:sz="0" w:space="0" w:color="auto"/>
        <w:left w:val="none" w:sz="0" w:space="0" w:color="auto"/>
        <w:bottom w:val="none" w:sz="0" w:space="0" w:color="auto"/>
        <w:right w:val="none" w:sz="0" w:space="0" w:color="auto"/>
      </w:divBdr>
      <w:divsChild>
        <w:div w:id="487747513">
          <w:marLeft w:val="0"/>
          <w:marRight w:val="0"/>
          <w:marTop w:val="0"/>
          <w:marBottom w:val="0"/>
          <w:divBdr>
            <w:top w:val="none" w:sz="0" w:space="0" w:color="auto"/>
            <w:left w:val="none" w:sz="0" w:space="0" w:color="auto"/>
            <w:bottom w:val="none" w:sz="0" w:space="0" w:color="auto"/>
            <w:right w:val="none" w:sz="0" w:space="0" w:color="auto"/>
          </w:divBdr>
        </w:div>
      </w:divsChild>
    </w:div>
    <w:div w:id="691103255">
      <w:marLeft w:val="0"/>
      <w:marRight w:val="0"/>
      <w:marTop w:val="0"/>
      <w:marBottom w:val="160"/>
      <w:divBdr>
        <w:top w:val="none" w:sz="0" w:space="0" w:color="auto"/>
        <w:left w:val="none" w:sz="0" w:space="0" w:color="auto"/>
        <w:bottom w:val="none" w:sz="0" w:space="0" w:color="auto"/>
        <w:right w:val="none" w:sz="0" w:space="0" w:color="auto"/>
      </w:divBdr>
    </w:div>
    <w:div w:id="693120940">
      <w:marLeft w:val="0"/>
      <w:marRight w:val="0"/>
      <w:marTop w:val="0"/>
      <w:marBottom w:val="0"/>
      <w:divBdr>
        <w:top w:val="none" w:sz="0" w:space="0" w:color="auto"/>
        <w:left w:val="none" w:sz="0" w:space="0" w:color="auto"/>
        <w:bottom w:val="none" w:sz="0" w:space="0" w:color="auto"/>
        <w:right w:val="none" w:sz="0" w:space="0" w:color="auto"/>
      </w:divBdr>
      <w:divsChild>
        <w:div w:id="1113522941">
          <w:marLeft w:val="0"/>
          <w:marRight w:val="0"/>
          <w:marTop w:val="0"/>
          <w:marBottom w:val="0"/>
          <w:divBdr>
            <w:top w:val="none" w:sz="0" w:space="0" w:color="auto"/>
            <w:left w:val="none" w:sz="0" w:space="0" w:color="auto"/>
            <w:bottom w:val="none" w:sz="0" w:space="0" w:color="auto"/>
            <w:right w:val="none" w:sz="0" w:space="0" w:color="auto"/>
          </w:divBdr>
        </w:div>
      </w:divsChild>
    </w:div>
    <w:div w:id="706568122">
      <w:marLeft w:val="0"/>
      <w:marRight w:val="0"/>
      <w:marTop w:val="0"/>
      <w:marBottom w:val="0"/>
      <w:divBdr>
        <w:top w:val="none" w:sz="0" w:space="0" w:color="auto"/>
        <w:left w:val="none" w:sz="0" w:space="0" w:color="auto"/>
        <w:bottom w:val="none" w:sz="0" w:space="0" w:color="auto"/>
        <w:right w:val="none" w:sz="0" w:space="0" w:color="auto"/>
      </w:divBdr>
    </w:div>
    <w:div w:id="706950625">
      <w:marLeft w:val="0"/>
      <w:marRight w:val="0"/>
      <w:marTop w:val="0"/>
      <w:marBottom w:val="0"/>
      <w:divBdr>
        <w:top w:val="none" w:sz="0" w:space="0" w:color="auto"/>
        <w:left w:val="none" w:sz="0" w:space="0" w:color="auto"/>
        <w:bottom w:val="none" w:sz="0" w:space="0" w:color="auto"/>
        <w:right w:val="none" w:sz="0" w:space="0" w:color="auto"/>
      </w:divBdr>
      <w:divsChild>
        <w:div w:id="786585897">
          <w:marLeft w:val="0"/>
          <w:marRight w:val="0"/>
          <w:marTop w:val="0"/>
          <w:marBottom w:val="0"/>
          <w:divBdr>
            <w:top w:val="none" w:sz="0" w:space="0" w:color="auto"/>
            <w:left w:val="none" w:sz="0" w:space="0" w:color="auto"/>
            <w:bottom w:val="none" w:sz="0" w:space="0" w:color="auto"/>
            <w:right w:val="none" w:sz="0" w:space="0" w:color="auto"/>
          </w:divBdr>
        </w:div>
      </w:divsChild>
    </w:div>
    <w:div w:id="711660707">
      <w:marLeft w:val="0"/>
      <w:marRight w:val="0"/>
      <w:marTop w:val="100"/>
      <w:marBottom w:val="0"/>
      <w:divBdr>
        <w:top w:val="none" w:sz="0" w:space="0" w:color="auto"/>
        <w:left w:val="none" w:sz="0" w:space="0" w:color="auto"/>
        <w:bottom w:val="none" w:sz="0" w:space="0" w:color="auto"/>
        <w:right w:val="none" w:sz="0" w:space="0" w:color="auto"/>
      </w:divBdr>
    </w:div>
    <w:div w:id="711883650">
      <w:marLeft w:val="0"/>
      <w:marRight w:val="0"/>
      <w:marTop w:val="120"/>
      <w:marBottom w:val="120"/>
      <w:divBdr>
        <w:top w:val="none" w:sz="0" w:space="0" w:color="auto"/>
        <w:left w:val="none" w:sz="0" w:space="0" w:color="auto"/>
        <w:bottom w:val="none" w:sz="0" w:space="0" w:color="auto"/>
        <w:right w:val="none" w:sz="0" w:space="0" w:color="auto"/>
      </w:divBdr>
    </w:div>
    <w:div w:id="712846463">
      <w:marLeft w:val="0"/>
      <w:marRight w:val="0"/>
      <w:marTop w:val="0"/>
      <w:marBottom w:val="200"/>
      <w:divBdr>
        <w:top w:val="none" w:sz="0" w:space="0" w:color="auto"/>
        <w:left w:val="none" w:sz="0" w:space="0" w:color="auto"/>
        <w:bottom w:val="none" w:sz="0" w:space="0" w:color="auto"/>
        <w:right w:val="none" w:sz="0" w:space="0" w:color="auto"/>
      </w:divBdr>
    </w:div>
    <w:div w:id="730540358">
      <w:marLeft w:val="0"/>
      <w:marRight w:val="0"/>
      <w:marTop w:val="100"/>
      <w:marBottom w:val="100"/>
      <w:divBdr>
        <w:top w:val="none" w:sz="0" w:space="0" w:color="auto"/>
        <w:left w:val="none" w:sz="0" w:space="0" w:color="auto"/>
        <w:bottom w:val="none" w:sz="0" w:space="0" w:color="auto"/>
        <w:right w:val="none" w:sz="0" w:space="0" w:color="auto"/>
      </w:divBdr>
    </w:div>
    <w:div w:id="732120463">
      <w:marLeft w:val="0"/>
      <w:marRight w:val="0"/>
      <w:marTop w:val="0"/>
      <w:marBottom w:val="0"/>
      <w:divBdr>
        <w:top w:val="none" w:sz="0" w:space="0" w:color="auto"/>
        <w:left w:val="none" w:sz="0" w:space="0" w:color="auto"/>
        <w:bottom w:val="none" w:sz="0" w:space="0" w:color="auto"/>
        <w:right w:val="none" w:sz="0" w:space="0" w:color="auto"/>
      </w:divBdr>
      <w:divsChild>
        <w:div w:id="1339112146">
          <w:marLeft w:val="0"/>
          <w:marRight w:val="0"/>
          <w:marTop w:val="0"/>
          <w:marBottom w:val="0"/>
          <w:divBdr>
            <w:top w:val="none" w:sz="0" w:space="0" w:color="auto"/>
            <w:left w:val="none" w:sz="0" w:space="0" w:color="auto"/>
            <w:bottom w:val="none" w:sz="0" w:space="0" w:color="auto"/>
            <w:right w:val="none" w:sz="0" w:space="0" w:color="auto"/>
          </w:divBdr>
        </w:div>
      </w:divsChild>
    </w:div>
    <w:div w:id="741607719">
      <w:marLeft w:val="0"/>
      <w:marRight w:val="0"/>
      <w:marTop w:val="0"/>
      <w:marBottom w:val="0"/>
      <w:divBdr>
        <w:top w:val="none" w:sz="0" w:space="0" w:color="auto"/>
        <w:left w:val="none" w:sz="0" w:space="0" w:color="auto"/>
        <w:bottom w:val="none" w:sz="0" w:space="0" w:color="auto"/>
        <w:right w:val="none" w:sz="0" w:space="0" w:color="auto"/>
      </w:divBdr>
    </w:div>
    <w:div w:id="744840616">
      <w:marLeft w:val="0"/>
      <w:marRight w:val="0"/>
      <w:marTop w:val="0"/>
      <w:marBottom w:val="0"/>
      <w:divBdr>
        <w:top w:val="none" w:sz="0" w:space="0" w:color="auto"/>
        <w:left w:val="none" w:sz="0" w:space="0" w:color="auto"/>
        <w:bottom w:val="none" w:sz="0" w:space="0" w:color="auto"/>
        <w:right w:val="none" w:sz="0" w:space="0" w:color="auto"/>
      </w:divBdr>
    </w:div>
    <w:div w:id="746002805">
      <w:marLeft w:val="0"/>
      <w:marRight w:val="0"/>
      <w:marTop w:val="0"/>
      <w:marBottom w:val="0"/>
      <w:divBdr>
        <w:top w:val="none" w:sz="0" w:space="0" w:color="auto"/>
        <w:left w:val="none" w:sz="0" w:space="0" w:color="auto"/>
        <w:bottom w:val="none" w:sz="0" w:space="0" w:color="auto"/>
        <w:right w:val="none" w:sz="0" w:space="0" w:color="auto"/>
      </w:divBdr>
      <w:divsChild>
        <w:div w:id="1195844858">
          <w:marLeft w:val="0"/>
          <w:marRight w:val="0"/>
          <w:marTop w:val="0"/>
          <w:marBottom w:val="0"/>
          <w:divBdr>
            <w:top w:val="none" w:sz="0" w:space="0" w:color="auto"/>
            <w:left w:val="none" w:sz="0" w:space="0" w:color="auto"/>
            <w:bottom w:val="none" w:sz="0" w:space="0" w:color="auto"/>
            <w:right w:val="none" w:sz="0" w:space="0" w:color="auto"/>
          </w:divBdr>
        </w:div>
      </w:divsChild>
    </w:div>
    <w:div w:id="755902846">
      <w:marLeft w:val="0"/>
      <w:marRight w:val="0"/>
      <w:marTop w:val="0"/>
      <w:marBottom w:val="0"/>
      <w:divBdr>
        <w:top w:val="none" w:sz="0" w:space="0" w:color="auto"/>
        <w:left w:val="none" w:sz="0" w:space="0" w:color="auto"/>
        <w:bottom w:val="none" w:sz="0" w:space="0" w:color="auto"/>
        <w:right w:val="none" w:sz="0" w:space="0" w:color="auto"/>
      </w:divBdr>
    </w:div>
    <w:div w:id="758797367">
      <w:marLeft w:val="0"/>
      <w:marRight w:val="0"/>
      <w:marTop w:val="100"/>
      <w:marBottom w:val="100"/>
      <w:divBdr>
        <w:top w:val="none" w:sz="0" w:space="0" w:color="auto"/>
        <w:left w:val="none" w:sz="0" w:space="0" w:color="auto"/>
        <w:bottom w:val="none" w:sz="0" w:space="0" w:color="auto"/>
        <w:right w:val="none" w:sz="0" w:space="0" w:color="auto"/>
      </w:divBdr>
    </w:div>
    <w:div w:id="764152789">
      <w:marLeft w:val="0"/>
      <w:marRight w:val="0"/>
      <w:marTop w:val="0"/>
      <w:marBottom w:val="0"/>
      <w:divBdr>
        <w:top w:val="none" w:sz="0" w:space="0" w:color="auto"/>
        <w:left w:val="none" w:sz="0" w:space="0" w:color="auto"/>
        <w:bottom w:val="none" w:sz="0" w:space="0" w:color="auto"/>
        <w:right w:val="none" w:sz="0" w:space="0" w:color="auto"/>
      </w:divBdr>
    </w:div>
    <w:div w:id="765004409">
      <w:marLeft w:val="0"/>
      <w:marRight w:val="0"/>
      <w:marTop w:val="100"/>
      <w:marBottom w:val="0"/>
      <w:divBdr>
        <w:top w:val="none" w:sz="0" w:space="0" w:color="auto"/>
        <w:left w:val="none" w:sz="0" w:space="0" w:color="auto"/>
        <w:bottom w:val="none" w:sz="0" w:space="0" w:color="auto"/>
        <w:right w:val="none" w:sz="0" w:space="0" w:color="auto"/>
      </w:divBdr>
    </w:div>
    <w:div w:id="768696641">
      <w:marLeft w:val="0"/>
      <w:marRight w:val="0"/>
      <w:marTop w:val="0"/>
      <w:marBottom w:val="0"/>
      <w:divBdr>
        <w:top w:val="none" w:sz="0" w:space="0" w:color="auto"/>
        <w:left w:val="none" w:sz="0" w:space="0" w:color="auto"/>
        <w:bottom w:val="none" w:sz="0" w:space="0" w:color="auto"/>
        <w:right w:val="none" w:sz="0" w:space="0" w:color="auto"/>
      </w:divBdr>
      <w:divsChild>
        <w:div w:id="598026394">
          <w:marLeft w:val="0"/>
          <w:marRight w:val="0"/>
          <w:marTop w:val="0"/>
          <w:marBottom w:val="0"/>
          <w:divBdr>
            <w:top w:val="none" w:sz="0" w:space="0" w:color="auto"/>
            <w:left w:val="none" w:sz="0" w:space="0" w:color="auto"/>
            <w:bottom w:val="none" w:sz="0" w:space="0" w:color="auto"/>
            <w:right w:val="none" w:sz="0" w:space="0" w:color="auto"/>
          </w:divBdr>
        </w:div>
      </w:divsChild>
    </w:div>
    <w:div w:id="769933833">
      <w:marLeft w:val="0"/>
      <w:marRight w:val="0"/>
      <w:marTop w:val="0"/>
      <w:marBottom w:val="160"/>
      <w:divBdr>
        <w:top w:val="none" w:sz="0" w:space="0" w:color="auto"/>
        <w:left w:val="none" w:sz="0" w:space="0" w:color="auto"/>
        <w:bottom w:val="none" w:sz="0" w:space="0" w:color="auto"/>
        <w:right w:val="none" w:sz="0" w:space="0" w:color="auto"/>
      </w:divBdr>
    </w:div>
    <w:div w:id="784426965">
      <w:marLeft w:val="0"/>
      <w:marRight w:val="0"/>
      <w:marTop w:val="0"/>
      <w:marBottom w:val="0"/>
      <w:divBdr>
        <w:top w:val="none" w:sz="0" w:space="0" w:color="auto"/>
        <w:left w:val="none" w:sz="0" w:space="0" w:color="auto"/>
        <w:bottom w:val="none" w:sz="0" w:space="0" w:color="auto"/>
        <w:right w:val="none" w:sz="0" w:space="0" w:color="auto"/>
      </w:divBdr>
    </w:div>
    <w:div w:id="787702106">
      <w:marLeft w:val="0"/>
      <w:marRight w:val="0"/>
      <w:marTop w:val="0"/>
      <w:marBottom w:val="0"/>
      <w:divBdr>
        <w:top w:val="none" w:sz="0" w:space="0" w:color="auto"/>
        <w:left w:val="none" w:sz="0" w:space="0" w:color="auto"/>
        <w:bottom w:val="none" w:sz="0" w:space="0" w:color="auto"/>
        <w:right w:val="none" w:sz="0" w:space="0" w:color="auto"/>
      </w:divBdr>
    </w:div>
    <w:div w:id="788621380">
      <w:marLeft w:val="0"/>
      <w:marRight w:val="0"/>
      <w:marTop w:val="0"/>
      <w:marBottom w:val="0"/>
      <w:divBdr>
        <w:top w:val="none" w:sz="0" w:space="0" w:color="auto"/>
        <w:left w:val="none" w:sz="0" w:space="0" w:color="auto"/>
        <w:bottom w:val="none" w:sz="0" w:space="0" w:color="auto"/>
        <w:right w:val="none" w:sz="0" w:space="0" w:color="auto"/>
      </w:divBdr>
    </w:div>
    <w:div w:id="790132471">
      <w:marLeft w:val="0"/>
      <w:marRight w:val="0"/>
      <w:marTop w:val="100"/>
      <w:marBottom w:val="100"/>
      <w:divBdr>
        <w:top w:val="none" w:sz="0" w:space="0" w:color="auto"/>
        <w:left w:val="none" w:sz="0" w:space="0" w:color="auto"/>
        <w:bottom w:val="none" w:sz="0" w:space="0" w:color="auto"/>
        <w:right w:val="none" w:sz="0" w:space="0" w:color="auto"/>
      </w:divBdr>
    </w:div>
    <w:div w:id="796601922">
      <w:marLeft w:val="0"/>
      <w:marRight w:val="0"/>
      <w:marTop w:val="0"/>
      <w:marBottom w:val="0"/>
      <w:divBdr>
        <w:top w:val="none" w:sz="0" w:space="0" w:color="auto"/>
        <w:left w:val="none" w:sz="0" w:space="0" w:color="auto"/>
        <w:bottom w:val="none" w:sz="0" w:space="0" w:color="auto"/>
        <w:right w:val="none" w:sz="0" w:space="0" w:color="auto"/>
      </w:divBdr>
    </w:div>
    <w:div w:id="796877805">
      <w:marLeft w:val="0"/>
      <w:marRight w:val="0"/>
      <w:marTop w:val="100"/>
      <w:marBottom w:val="100"/>
      <w:divBdr>
        <w:top w:val="none" w:sz="0" w:space="0" w:color="auto"/>
        <w:left w:val="none" w:sz="0" w:space="0" w:color="auto"/>
        <w:bottom w:val="none" w:sz="0" w:space="0" w:color="auto"/>
        <w:right w:val="none" w:sz="0" w:space="0" w:color="auto"/>
      </w:divBdr>
    </w:div>
    <w:div w:id="798454889">
      <w:marLeft w:val="0"/>
      <w:marRight w:val="0"/>
      <w:marTop w:val="0"/>
      <w:marBottom w:val="0"/>
      <w:divBdr>
        <w:top w:val="none" w:sz="0" w:space="0" w:color="auto"/>
        <w:left w:val="none" w:sz="0" w:space="0" w:color="auto"/>
        <w:bottom w:val="none" w:sz="0" w:space="0" w:color="auto"/>
        <w:right w:val="none" w:sz="0" w:space="0" w:color="auto"/>
      </w:divBdr>
      <w:divsChild>
        <w:div w:id="1903327468">
          <w:marLeft w:val="0"/>
          <w:marRight w:val="0"/>
          <w:marTop w:val="0"/>
          <w:marBottom w:val="0"/>
          <w:divBdr>
            <w:top w:val="none" w:sz="0" w:space="0" w:color="auto"/>
            <w:left w:val="none" w:sz="0" w:space="0" w:color="auto"/>
            <w:bottom w:val="none" w:sz="0" w:space="0" w:color="auto"/>
            <w:right w:val="none" w:sz="0" w:space="0" w:color="auto"/>
          </w:divBdr>
        </w:div>
      </w:divsChild>
    </w:div>
    <w:div w:id="800925671">
      <w:marLeft w:val="0"/>
      <w:marRight w:val="0"/>
      <w:marTop w:val="0"/>
      <w:marBottom w:val="0"/>
      <w:divBdr>
        <w:top w:val="none" w:sz="0" w:space="0" w:color="auto"/>
        <w:left w:val="none" w:sz="0" w:space="0" w:color="auto"/>
        <w:bottom w:val="none" w:sz="0" w:space="0" w:color="auto"/>
        <w:right w:val="none" w:sz="0" w:space="0" w:color="auto"/>
      </w:divBdr>
    </w:div>
    <w:div w:id="801074940">
      <w:marLeft w:val="0"/>
      <w:marRight w:val="0"/>
      <w:marTop w:val="0"/>
      <w:marBottom w:val="0"/>
      <w:divBdr>
        <w:top w:val="none" w:sz="0" w:space="0" w:color="auto"/>
        <w:left w:val="none" w:sz="0" w:space="0" w:color="auto"/>
        <w:bottom w:val="none" w:sz="0" w:space="0" w:color="auto"/>
        <w:right w:val="none" w:sz="0" w:space="0" w:color="auto"/>
      </w:divBdr>
      <w:divsChild>
        <w:div w:id="550575050">
          <w:marLeft w:val="0"/>
          <w:marRight w:val="0"/>
          <w:marTop w:val="0"/>
          <w:marBottom w:val="0"/>
          <w:divBdr>
            <w:top w:val="none" w:sz="0" w:space="0" w:color="auto"/>
            <w:left w:val="none" w:sz="0" w:space="0" w:color="auto"/>
            <w:bottom w:val="none" w:sz="0" w:space="0" w:color="auto"/>
            <w:right w:val="none" w:sz="0" w:space="0" w:color="auto"/>
          </w:divBdr>
        </w:div>
      </w:divsChild>
    </w:div>
    <w:div w:id="801197517">
      <w:marLeft w:val="0"/>
      <w:marRight w:val="0"/>
      <w:marTop w:val="0"/>
      <w:marBottom w:val="120"/>
      <w:divBdr>
        <w:top w:val="none" w:sz="0" w:space="0" w:color="auto"/>
        <w:left w:val="none" w:sz="0" w:space="0" w:color="auto"/>
        <w:bottom w:val="none" w:sz="0" w:space="0" w:color="auto"/>
        <w:right w:val="none" w:sz="0" w:space="0" w:color="auto"/>
      </w:divBdr>
    </w:div>
    <w:div w:id="803622892">
      <w:marLeft w:val="0"/>
      <w:marRight w:val="0"/>
      <w:marTop w:val="100"/>
      <w:marBottom w:val="0"/>
      <w:divBdr>
        <w:top w:val="none" w:sz="0" w:space="0" w:color="auto"/>
        <w:left w:val="none" w:sz="0" w:space="0" w:color="auto"/>
        <w:bottom w:val="none" w:sz="0" w:space="0" w:color="auto"/>
        <w:right w:val="none" w:sz="0" w:space="0" w:color="auto"/>
      </w:divBdr>
    </w:div>
    <w:div w:id="804011180">
      <w:marLeft w:val="0"/>
      <w:marRight w:val="0"/>
      <w:marTop w:val="280"/>
      <w:marBottom w:val="0"/>
      <w:divBdr>
        <w:top w:val="none" w:sz="0" w:space="0" w:color="auto"/>
        <w:left w:val="none" w:sz="0" w:space="0" w:color="auto"/>
        <w:bottom w:val="none" w:sz="0" w:space="0" w:color="auto"/>
        <w:right w:val="none" w:sz="0" w:space="0" w:color="auto"/>
      </w:divBdr>
    </w:div>
    <w:div w:id="813302576">
      <w:marLeft w:val="0"/>
      <w:marRight w:val="0"/>
      <w:marTop w:val="100"/>
      <w:marBottom w:val="100"/>
      <w:divBdr>
        <w:top w:val="none" w:sz="0" w:space="0" w:color="auto"/>
        <w:left w:val="none" w:sz="0" w:space="0" w:color="auto"/>
        <w:bottom w:val="none" w:sz="0" w:space="0" w:color="auto"/>
        <w:right w:val="none" w:sz="0" w:space="0" w:color="auto"/>
      </w:divBdr>
    </w:div>
    <w:div w:id="816727718">
      <w:marLeft w:val="0"/>
      <w:marRight w:val="0"/>
      <w:marTop w:val="100"/>
      <w:marBottom w:val="100"/>
      <w:divBdr>
        <w:top w:val="none" w:sz="0" w:space="0" w:color="auto"/>
        <w:left w:val="none" w:sz="0" w:space="0" w:color="auto"/>
        <w:bottom w:val="none" w:sz="0" w:space="0" w:color="auto"/>
        <w:right w:val="none" w:sz="0" w:space="0" w:color="auto"/>
      </w:divBdr>
      <w:divsChild>
        <w:div w:id="1233388792">
          <w:marLeft w:val="0"/>
          <w:marRight w:val="0"/>
          <w:marTop w:val="0"/>
          <w:marBottom w:val="0"/>
          <w:divBdr>
            <w:top w:val="none" w:sz="0" w:space="0" w:color="auto"/>
            <w:left w:val="none" w:sz="0" w:space="0" w:color="auto"/>
            <w:bottom w:val="none" w:sz="0" w:space="0" w:color="auto"/>
            <w:right w:val="none" w:sz="0" w:space="0" w:color="auto"/>
          </w:divBdr>
        </w:div>
        <w:div w:id="484902568">
          <w:marLeft w:val="0"/>
          <w:marRight w:val="0"/>
          <w:marTop w:val="0"/>
          <w:marBottom w:val="0"/>
          <w:divBdr>
            <w:top w:val="none" w:sz="0" w:space="0" w:color="auto"/>
            <w:left w:val="none" w:sz="0" w:space="0" w:color="auto"/>
            <w:bottom w:val="none" w:sz="0" w:space="0" w:color="auto"/>
            <w:right w:val="none" w:sz="0" w:space="0" w:color="auto"/>
          </w:divBdr>
        </w:div>
        <w:div w:id="1928465632">
          <w:marLeft w:val="0"/>
          <w:marRight w:val="0"/>
          <w:marTop w:val="0"/>
          <w:marBottom w:val="0"/>
          <w:divBdr>
            <w:top w:val="none" w:sz="0" w:space="0" w:color="auto"/>
            <w:left w:val="none" w:sz="0" w:space="0" w:color="auto"/>
            <w:bottom w:val="none" w:sz="0" w:space="0" w:color="auto"/>
            <w:right w:val="none" w:sz="0" w:space="0" w:color="auto"/>
          </w:divBdr>
        </w:div>
        <w:div w:id="1746147234">
          <w:marLeft w:val="0"/>
          <w:marRight w:val="0"/>
          <w:marTop w:val="0"/>
          <w:marBottom w:val="0"/>
          <w:divBdr>
            <w:top w:val="none" w:sz="0" w:space="0" w:color="auto"/>
            <w:left w:val="none" w:sz="0" w:space="0" w:color="auto"/>
            <w:bottom w:val="none" w:sz="0" w:space="0" w:color="auto"/>
            <w:right w:val="none" w:sz="0" w:space="0" w:color="auto"/>
          </w:divBdr>
        </w:div>
        <w:div w:id="655836719">
          <w:marLeft w:val="0"/>
          <w:marRight w:val="0"/>
          <w:marTop w:val="0"/>
          <w:marBottom w:val="0"/>
          <w:divBdr>
            <w:top w:val="none" w:sz="0" w:space="0" w:color="auto"/>
            <w:left w:val="none" w:sz="0" w:space="0" w:color="auto"/>
            <w:bottom w:val="none" w:sz="0" w:space="0" w:color="auto"/>
            <w:right w:val="none" w:sz="0" w:space="0" w:color="auto"/>
          </w:divBdr>
        </w:div>
      </w:divsChild>
    </w:div>
    <w:div w:id="826366596">
      <w:marLeft w:val="0"/>
      <w:marRight w:val="0"/>
      <w:marTop w:val="100"/>
      <w:marBottom w:val="100"/>
      <w:divBdr>
        <w:top w:val="none" w:sz="0" w:space="0" w:color="auto"/>
        <w:left w:val="none" w:sz="0" w:space="0" w:color="auto"/>
        <w:bottom w:val="none" w:sz="0" w:space="0" w:color="auto"/>
        <w:right w:val="none" w:sz="0" w:space="0" w:color="auto"/>
      </w:divBdr>
    </w:div>
    <w:div w:id="829564993">
      <w:marLeft w:val="0"/>
      <w:marRight w:val="0"/>
      <w:marTop w:val="0"/>
      <w:marBottom w:val="0"/>
      <w:divBdr>
        <w:top w:val="none" w:sz="0" w:space="0" w:color="auto"/>
        <w:left w:val="none" w:sz="0" w:space="0" w:color="auto"/>
        <w:bottom w:val="none" w:sz="0" w:space="0" w:color="auto"/>
        <w:right w:val="none" w:sz="0" w:space="0" w:color="auto"/>
      </w:divBdr>
      <w:divsChild>
        <w:div w:id="1297029717">
          <w:marLeft w:val="0"/>
          <w:marRight w:val="0"/>
          <w:marTop w:val="0"/>
          <w:marBottom w:val="0"/>
          <w:divBdr>
            <w:top w:val="none" w:sz="0" w:space="0" w:color="auto"/>
            <w:left w:val="none" w:sz="0" w:space="0" w:color="auto"/>
            <w:bottom w:val="none" w:sz="0" w:space="0" w:color="auto"/>
            <w:right w:val="none" w:sz="0" w:space="0" w:color="auto"/>
          </w:divBdr>
        </w:div>
      </w:divsChild>
    </w:div>
    <w:div w:id="839657418">
      <w:marLeft w:val="0"/>
      <w:marRight w:val="0"/>
      <w:marTop w:val="0"/>
      <w:marBottom w:val="0"/>
      <w:divBdr>
        <w:top w:val="none" w:sz="0" w:space="0" w:color="auto"/>
        <w:left w:val="none" w:sz="0" w:space="0" w:color="auto"/>
        <w:bottom w:val="none" w:sz="0" w:space="0" w:color="auto"/>
        <w:right w:val="none" w:sz="0" w:space="0" w:color="auto"/>
      </w:divBdr>
    </w:div>
    <w:div w:id="840849411">
      <w:marLeft w:val="0"/>
      <w:marRight w:val="0"/>
      <w:marTop w:val="0"/>
      <w:marBottom w:val="0"/>
      <w:divBdr>
        <w:top w:val="none" w:sz="0" w:space="0" w:color="auto"/>
        <w:left w:val="none" w:sz="0" w:space="0" w:color="auto"/>
        <w:bottom w:val="none" w:sz="0" w:space="0" w:color="auto"/>
        <w:right w:val="none" w:sz="0" w:space="0" w:color="auto"/>
      </w:divBdr>
    </w:div>
    <w:div w:id="841704492">
      <w:marLeft w:val="0"/>
      <w:marRight w:val="0"/>
      <w:marTop w:val="100"/>
      <w:marBottom w:val="100"/>
      <w:divBdr>
        <w:top w:val="none" w:sz="0" w:space="0" w:color="auto"/>
        <w:left w:val="none" w:sz="0" w:space="0" w:color="auto"/>
        <w:bottom w:val="none" w:sz="0" w:space="0" w:color="auto"/>
        <w:right w:val="none" w:sz="0" w:space="0" w:color="auto"/>
      </w:divBdr>
      <w:divsChild>
        <w:div w:id="1773550208">
          <w:marLeft w:val="0"/>
          <w:marRight w:val="0"/>
          <w:marTop w:val="0"/>
          <w:marBottom w:val="0"/>
          <w:divBdr>
            <w:top w:val="none" w:sz="0" w:space="0" w:color="auto"/>
            <w:left w:val="none" w:sz="0" w:space="0" w:color="auto"/>
            <w:bottom w:val="none" w:sz="0" w:space="0" w:color="auto"/>
            <w:right w:val="none" w:sz="0" w:space="0" w:color="auto"/>
          </w:divBdr>
        </w:div>
      </w:divsChild>
    </w:div>
    <w:div w:id="852456665">
      <w:marLeft w:val="0"/>
      <w:marRight w:val="0"/>
      <w:marTop w:val="0"/>
      <w:marBottom w:val="0"/>
      <w:divBdr>
        <w:top w:val="none" w:sz="0" w:space="0" w:color="auto"/>
        <w:left w:val="none" w:sz="0" w:space="0" w:color="auto"/>
        <w:bottom w:val="none" w:sz="0" w:space="0" w:color="auto"/>
        <w:right w:val="none" w:sz="0" w:space="0" w:color="auto"/>
      </w:divBdr>
    </w:div>
    <w:div w:id="869999561">
      <w:marLeft w:val="0"/>
      <w:marRight w:val="0"/>
      <w:marTop w:val="0"/>
      <w:marBottom w:val="0"/>
      <w:divBdr>
        <w:top w:val="none" w:sz="0" w:space="0" w:color="auto"/>
        <w:left w:val="none" w:sz="0" w:space="0" w:color="auto"/>
        <w:bottom w:val="none" w:sz="0" w:space="0" w:color="auto"/>
        <w:right w:val="none" w:sz="0" w:space="0" w:color="auto"/>
      </w:divBdr>
    </w:div>
    <w:div w:id="893852559">
      <w:marLeft w:val="0"/>
      <w:marRight w:val="0"/>
      <w:marTop w:val="100"/>
      <w:marBottom w:val="100"/>
      <w:divBdr>
        <w:top w:val="none" w:sz="0" w:space="0" w:color="auto"/>
        <w:left w:val="none" w:sz="0" w:space="0" w:color="auto"/>
        <w:bottom w:val="none" w:sz="0" w:space="0" w:color="auto"/>
        <w:right w:val="none" w:sz="0" w:space="0" w:color="auto"/>
      </w:divBdr>
      <w:divsChild>
        <w:div w:id="2059893384">
          <w:marLeft w:val="0"/>
          <w:marRight w:val="0"/>
          <w:marTop w:val="180"/>
          <w:marBottom w:val="0"/>
          <w:divBdr>
            <w:top w:val="none" w:sz="0" w:space="0" w:color="auto"/>
            <w:left w:val="none" w:sz="0" w:space="0" w:color="auto"/>
            <w:bottom w:val="none" w:sz="0" w:space="0" w:color="auto"/>
            <w:right w:val="none" w:sz="0" w:space="0" w:color="auto"/>
          </w:divBdr>
        </w:div>
      </w:divsChild>
    </w:div>
    <w:div w:id="895318038">
      <w:marLeft w:val="0"/>
      <w:marRight w:val="0"/>
      <w:marTop w:val="0"/>
      <w:marBottom w:val="0"/>
      <w:divBdr>
        <w:top w:val="none" w:sz="0" w:space="0" w:color="auto"/>
        <w:left w:val="none" w:sz="0" w:space="0" w:color="auto"/>
        <w:bottom w:val="none" w:sz="0" w:space="0" w:color="auto"/>
        <w:right w:val="none" w:sz="0" w:space="0" w:color="auto"/>
      </w:divBdr>
    </w:div>
    <w:div w:id="911506213">
      <w:marLeft w:val="0"/>
      <w:marRight w:val="0"/>
      <w:marTop w:val="0"/>
      <w:marBottom w:val="0"/>
      <w:divBdr>
        <w:top w:val="none" w:sz="0" w:space="0" w:color="auto"/>
        <w:left w:val="none" w:sz="0" w:space="0" w:color="auto"/>
        <w:bottom w:val="none" w:sz="0" w:space="0" w:color="auto"/>
        <w:right w:val="none" w:sz="0" w:space="0" w:color="auto"/>
      </w:divBdr>
      <w:divsChild>
        <w:div w:id="926304299">
          <w:marLeft w:val="0"/>
          <w:marRight w:val="0"/>
          <w:marTop w:val="0"/>
          <w:marBottom w:val="0"/>
          <w:divBdr>
            <w:top w:val="none" w:sz="0" w:space="0" w:color="auto"/>
            <w:left w:val="none" w:sz="0" w:space="0" w:color="auto"/>
            <w:bottom w:val="none" w:sz="0" w:space="0" w:color="auto"/>
            <w:right w:val="none" w:sz="0" w:space="0" w:color="auto"/>
          </w:divBdr>
        </w:div>
      </w:divsChild>
    </w:div>
    <w:div w:id="912203654">
      <w:marLeft w:val="0"/>
      <w:marRight w:val="0"/>
      <w:marTop w:val="180"/>
      <w:marBottom w:val="100"/>
      <w:divBdr>
        <w:top w:val="none" w:sz="0" w:space="0" w:color="auto"/>
        <w:left w:val="none" w:sz="0" w:space="0" w:color="auto"/>
        <w:bottom w:val="none" w:sz="0" w:space="0" w:color="auto"/>
        <w:right w:val="none" w:sz="0" w:space="0" w:color="auto"/>
      </w:divBdr>
    </w:div>
    <w:div w:id="913127809">
      <w:marLeft w:val="0"/>
      <w:marRight w:val="0"/>
      <w:marTop w:val="100"/>
      <w:marBottom w:val="100"/>
      <w:divBdr>
        <w:top w:val="none" w:sz="0" w:space="0" w:color="auto"/>
        <w:left w:val="none" w:sz="0" w:space="0" w:color="auto"/>
        <w:bottom w:val="none" w:sz="0" w:space="0" w:color="auto"/>
        <w:right w:val="none" w:sz="0" w:space="0" w:color="auto"/>
      </w:divBdr>
    </w:div>
    <w:div w:id="920991584">
      <w:marLeft w:val="0"/>
      <w:marRight w:val="0"/>
      <w:marTop w:val="180"/>
      <w:marBottom w:val="0"/>
      <w:divBdr>
        <w:top w:val="none" w:sz="0" w:space="0" w:color="auto"/>
        <w:left w:val="none" w:sz="0" w:space="0" w:color="auto"/>
        <w:bottom w:val="none" w:sz="0" w:space="0" w:color="auto"/>
        <w:right w:val="none" w:sz="0" w:space="0" w:color="auto"/>
      </w:divBdr>
    </w:div>
    <w:div w:id="924726209">
      <w:marLeft w:val="0"/>
      <w:marRight w:val="0"/>
      <w:marTop w:val="0"/>
      <w:marBottom w:val="0"/>
      <w:divBdr>
        <w:top w:val="none" w:sz="0" w:space="0" w:color="auto"/>
        <w:left w:val="none" w:sz="0" w:space="0" w:color="auto"/>
        <w:bottom w:val="none" w:sz="0" w:space="0" w:color="auto"/>
        <w:right w:val="none" w:sz="0" w:space="0" w:color="auto"/>
      </w:divBdr>
    </w:div>
    <w:div w:id="937564888">
      <w:marLeft w:val="0"/>
      <w:marRight w:val="0"/>
      <w:marTop w:val="0"/>
      <w:marBottom w:val="0"/>
      <w:divBdr>
        <w:top w:val="none" w:sz="0" w:space="0" w:color="auto"/>
        <w:left w:val="none" w:sz="0" w:space="0" w:color="auto"/>
        <w:bottom w:val="none" w:sz="0" w:space="0" w:color="auto"/>
        <w:right w:val="none" w:sz="0" w:space="0" w:color="auto"/>
      </w:divBdr>
      <w:divsChild>
        <w:div w:id="1899585070">
          <w:marLeft w:val="0"/>
          <w:marRight w:val="0"/>
          <w:marTop w:val="0"/>
          <w:marBottom w:val="0"/>
          <w:divBdr>
            <w:top w:val="none" w:sz="0" w:space="0" w:color="auto"/>
            <w:left w:val="none" w:sz="0" w:space="0" w:color="auto"/>
            <w:bottom w:val="none" w:sz="0" w:space="0" w:color="auto"/>
            <w:right w:val="none" w:sz="0" w:space="0" w:color="auto"/>
          </w:divBdr>
        </w:div>
      </w:divsChild>
    </w:div>
    <w:div w:id="942298954">
      <w:marLeft w:val="0"/>
      <w:marRight w:val="0"/>
      <w:marTop w:val="100"/>
      <w:marBottom w:val="100"/>
      <w:divBdr>
        <w:top w:val="none" w:sz="0" w:space="0" w:color="auto"/>
        <w:left w:val="none" w:sz="0" w:space="0" w:color="auto"/>
        <w:bottom w:val="none" w:sz="0" w:space="0" w:color="auto"/>
        <w:right w:val="none" w:sz="0" w:space="0" w:color="auto"/>
      </w:divBdr>
    </w:div>
    <w:div w:id="946355461">
      <w:marLeft w:val="0"/>
      <w:marRight w:val="0"/>
      <w:marTop w:val="180"/>
      <w:marBottom w:val="0"/>
      <w:divBdr>
        <w:top w:val="none" w:sz="0" w:space="0" w:color="auto"/>
        <w:left w:val="none" w:sz="0" w:space="0" w:color="auto"/>
        <w:bottom w:val="none" w:sz="0" w:space="0" w:color="auto"/>
        <w:right w:val="none" w:sz="0" w:space="0" w:color="auto"/>
      </w:divBdr>
    </w:div>
    <w:div w:id="952908804">
      <w:marLeft w:val="0"/>
      <w:marRight w:val="0"/>
      <w:marTop w:val="0"/>
      <w:marBottom w:val="0"/>
      <w:divBdr>
        <w:top w:val="none" w:sz="0" w:space="0" w:color="auto"/>
        <w:left w:val="none" w:sz="0" w:space="0" w:color="auto"/>
        <w:bottom w:val="none" w:sz="0" w:space="0" w:color="auto"/>
        <w:right w:val="none" w:sz="0" w:space="0" w:color="auto"/>
      </w:divBdr>
      <w:divsChild>
        <w:div w:id="886258477">
          <w:marLeft w:val="0"/>
          <w:marRight w:val="0"/>
          <w:marTop w:val="0"/>
          <w:marBottom w:val="0"/>
          <w:divBdr>
            <w:top w:val="none" w:sz="0" w:space="0" w:color="auto"/>
            <w:left w:val="none" w:sz="0" w:space="0" w:color="auto"/>
            <w:bottom w:val="none" w:sz="0" w:space="0" w:color="auto"/>
            <w:right w:val="none" w:sz="0" w:space="0" w:color="auto"/>
          </w:divBdr>
        </w:div>
      </w:divsChild>
    </w:div>
    <w:div w:id="957639809">
      <w:marLeft w:val="0"/>
      <w:marRight w:val="0"/>
      <w:marTop w:val="0"/>
      <w:marBottom w:val="0"/>
      <w:divBdr>
        <w:top w:val="none" w:sz="0" w:space="0" w:color="auto"/>
        <w:left w:val="none" w:sz="0" w:space="0" w:color="auto"/>
        <w:bottom w:val="none" w:sz="0" w:space="0" w:color="auto"/>
        <w:right w:val="none" w:sz="0" w:space="0" w:color="auto"/>
      </w:divBdr>
    </w:div>
    <w:div w:id="963464159">
      <w:marLeft w:val="0"/>
      <w:marRight w:val="0"/>
      <w:marTop w:val="100"/>
      <w:marBottom w:val="0"/>
      <w:divBdr>
        <w:top w:val="none" w:sz="0" w:space="0" w:color="auto"/>
        <w:left w:val="none" w:sz="0" w:space="0" w:color="auto"/>
        <w:bottom w:val="none" w:sz="0" w:space="0" w:color="auto"/>
        <w:right w:val="none" w:sz="0" w:space="0" w:color="auto"/>
      </w:divBdr>
    </w:div>
    <w:div w:id="964624411">
      <w:marLeft w:val="0"/>
      <w:marRight w:val="0"/>
      <w:marTop w:val="0"/>
      <w:marBottom w:val="0"/>
      <w:divBdr>
        <w:top w:val="none" w:sz="0" w:space="0" w:color="auto"/>
        <w:left w:val="none" w:sz="0" w:space="0" w:color="auto"/>
        <w:bottom w:val="none" w:sz="0" w:space="0" w:color="auto"/>
        <w:right w:val="none" w:sz="0" w:space="0" w:color="auto"/>
      </w:divBdr>
      <w:divsChild>
        <w:div w:id="481581384">
          <w:marLeft w:val="0"/>
          <w:marRight w:val="0"/>
          <w:marTop w:val="0"/>
          <w:marBottom w:val="0"/>
          <w:divBdr>
            <w:top w:val="none" w:sz="0" w:space="0" w:color="auto"/>
            <w:left w:val="none" w:sz="0" w:space="0" w:color="auto"/>
            <w:bottom w:val="none" w:sz="0" w:space="0" w:color="auto"/>
            <w:right w:val="none" w:sz="0" w:space="0" w:color="auto"/>
          </w:divBdr>
        </w:div>
      </w:divsChild>
    </w:div>
    <w:div w:id="970479115">
      <w:marLeft w:val="0"/>
      <w:marRight w:val="0"/>
      <w:marTop w:val="0"/>
      <w:marBottom w:val="0"/>
      <w:divBdr>
        <w:top w:val="none" w:sz="0" w:space="0" w:color="auto"/>
        <w:left w:val="none" w:sz="0" w:space="0" w:color="auto"/>
        <w:bottom w:val="none" w:sz="0" w:space="0" w:color="auto"/>
        <w:right w:val="none" w:sz="0" w:space="0" w:color="auto"/>
      </w:divBdr>
    </w:div>
    <w:div w:id="973287871">
      <w:marLeft w:val="0"/>
      <w:marRight w:val="0"/>
      <w:marTop w:val="100"/>
      <w:marBottom w:val="100"/>
      <w:divBdr>
        <w:top w:val="none" w:sz="0" w:space="0" w:color="auto"/>
        <w:left w:val="none" w:sz="0" w:space="0" w:color="auto"/>
        <w:bottom w:val="none" w:sz="0" w:space="0" w:color="auto"/>
        <w:right w:val="none" w:sz="0" w:space="0" w:color="auto"/>
      </w:divBdr>
    </w:div>
    <w:div w:id="976570345">
      <w:marLeft w:val="0"/>
      <w:marRight w:val="0"/>
      <w:marTop w:val="100"/>
      <w:marBottom w:val="100"/>
      <w:divBdr>
        <w:top w:val="none" w:sz="0" w:space="0" w:color="auto"/>
        <w:left w:val="none" w:sz="0" w:space="0" w:color="auto"/>
        <w:bottom w:val="none" w:sz="0" w:space="0" w:color="auto"/>
        <w:right w:val="none" w:sz="0" w:space="0" w:color="auto"/>
      </w:divBdr>
    </w:div>
    <w:div w:id="978459260">
      <w:marLeft w:val="0"/>
      <w:marRight w:val="0"/>
      <w:marTop w:val="0"/>
      <w:marBottom w:val="0"/>
      <w:divBdr>
        <w:top w:val="none" w:sz="0" w:space="0" w:color="auto"/>
        <w:left w:val="none" w:sz="0" w:space="0" w:color="auto"/>
        <w:bottom w:val="none" w:sz="0" w:space="0" w:color="auto"/>
        <w:right w:val="none" w:sz="0" w:space="0" w:color="auto"/>
      </w:divBdr>
      <w:divsChild>
        <w:div w:id="1639067386">
          <w:marLeft w:val="0"/>
          <w:marRight w:val="0"/>
          <w:marTop w:val="0"/>
          <w:marBottom w:val="0"/>
          <w:divBdr>
            <w:top w:val="none" w:sz="0" w:space="0" w:color="auto"/>
            <w:left w:val="none" w:sz="0" w:space="0" w:color="auto"/>
            <w:bottom w:val="none" w:sz="0" w:space="0" w:color="auto"/>
            <w:right w:val="none" w:sz="0" w:space="0" w:color="auto"/>
          </w:divBdr>
        </w:div>
      </w:divsChild>
    </w:div>
    <w:div w:id="979185619">
      <w:marLeft w:val="0"/>
      <w:marRight w:val="0"/>
      <w:marTop w:val="0"/>
      <w:marBottom w:val="0"/>
      <w:divBdr>
        <w:top w:val="none" w:sz="0" w:space="0" w:color="auto"/>
        <w:left w:val="none" w:sz="0" w:space="0" w:color="auto"/>
        <w:bottom w:val="none" w:sz="0" w:space="0" w:color="auto"/>
        <w:right w:val="none" w:sz="0" w:space="0" w:color="auto"/>
      </w:divBdr>
    </w:div>
    <w:div w:id="980620297">
      <w:marLeft w:val="0"/>
      <w:marRight w:val="0"/>
      <w:marTop w:val="100"/>
      <w:marBottom w:val="0"/>
      <w:divBdr>
        <w:top w:val="none" w:sz="0" w:space="0" w:color="auto"/>
        <w:left w:val="none" w:sz="0" w:space="0" w:color="auto"/>
        <w:bottom w:val="none" w:sz="0" w:space="0" w:color="auto"/>
        <w:right w:val="none" w:sz="0" w:space="0" w:color="auto"/>
      </w:divBdr>
    </w:div>
    <w:div w:id="1000548661">
      <w:marLeft w:val="0"/>
      <w:marRight w:val="0"/>
      <w:marTop w:val="0"/>
      <w:marBottom w:val="0"/>
      <w:divBdr>
        <w:top w:val="none" w:sz="0" w:space="0" w:color="auto"/>
        <w:left w:val="none" w:sz="0" w:space="0" w:color="auto"/>
        <w:bottom w:val="none" w:sz="0" w:space="0" w:color="auto"/>
        <w:right w:val="none" w:sz="0" w:space="0" w:color="auto"/>
      </w:divBdr>
    </w:div>
    <w:div w:id="1004279292">
      <w:marLeft w:val="0"/>
      <w:marRight w:val="0"/>
      <w:marTop w:val="0"/>
      <w:marBottom w:val="0"/>
      <w:divBdr>
        <w:top w:val="none" w:sz="0" w:space="0" w:color="auto"/>
        <w:left w:val="none" w:sz="0" w:space="0" w:color="auto"/>
        <w:bottom w:val="none" w:sz="0" w:space="0" w:color="auto"/>
        <w:right w:val="none" w:sz="0" w:space="0" w:color="auto"/>
      </w:divBdr>
    </w:div>
    <w:div w:id="1011757575">
      <w:marLeft w:val="0"/>
      <w:marRight w:val="0"/>
      <w:marTop w:val="0"/>
      <w:marBottom w:val="0"/>
      <w:divBdr>
        <w:top w:val="none" w:sz="0" w:space="0" w:color="auto"/>
        <w:left w:val="none" w:sz="0" w:space="0" w:color="auto"/>
        <w:bottom w:val="none" w:sz="0" w:space="0" w:color="auto"/>
        <w:right w:val="none" w:sz="0" w:space="0" w:color="auto"/>
      </w:divBdr>
    </w:div>
    <w:div w:id="1013991220">
      <w:marLeft w:val="0"/>
      <w:marRight w:val="0"/>
      <w:marTop w:val="0"/>
      <w:marBottom w:val="0"/>
      <w:divBdr>
        <w:top w:val="none" w:sz="0" w:space="0" w:color="auto"/>
        <w:left w:val="none" w:sz="0" w:space="0" w:color="auto"/>
        <w:bottom w:val="none" w:sz="0" w:space="0" w:color="auto"/>
        <w:right w:val="none" w:sz="0" w:space="0" w:color="auto"/>
      </w:divBdr>
      <w:divsChild>
        <w:div w:id="116685918">
          <w:marLeft w:val="0"/>
          <w:marRight w:val="0"/>
          <w:marTop w:val="0"/>
          <w:marBottom w:val="0"/>
          <w:divBdr>
            <w:top w:val="none" w:sz="0" w:space="0" w:color="auto"/>
            <w:left w:val="none" w:sz="0" w:space="0" w:color="auto"/>
            <w:bottom w:val="none" w:sz="0" w:space="0" w:color="auto"/>
            <w:right w:val="none" w:sz="0" w:space="0" w:color="auto"/>
          </w:divBdr>
        </w:div>
      </w:divsChild>
    </w:div>
    <w:div w:id="1014379570">
      <w:marLeft w:val="0"/>
      <w:marRight w:val="0"/>
      <w:marTop w:val="0"/>
      <w:marBottom w:val="0"/>
      <w:divBdr>
        <w:top w:val="none" w:sz="0" w:space="0" w:color="auto"/>
        <w:left w:val="none" w:sz="0" w:space="0" w:color="auto"/>
        <w:bottom w:val="none" w:sz="0" w:space="0" w:color="auto"/>
        <w:right w:val="none" w:sz="0" w:space="0" w:color="auto"/>
      </w:divBdr>
      <w:divsChild>
        <w:div w:id="1528446178">
          <w:marLeft w:val="0"/>
          <w:marRight w:val="0"/>
          <w:marTop w:val="0"/>
          <w:marBottom w:val="0"/>
          <w:divBdr>
            <w:top w:val="none" w:sz="0" w:space="0" w:color="auto"/>
            <w:left w:val="none" w:sz="0" w:space="0" w:color="auto"/>
            <w:bottom w:val="none" w:sz="0" w:space="0" w:color="auto"/>
            <w:right w:val="none" w:sz="0" w:space="0" w:color="auto"/>
          </w:divBdr>
        </w:div>
      </w:divsChild>
    </w:div>
    <w:div w:id="1022975812">
      <w:marLeft w:val="0"/>
      <w:marRight w:val="0"/>
      <w:marTop w:val="80"/>
      <w:marBottom w:val="0"/>
      <w:divBdr>
        <w:top w:val="none" w:sz="0" w:space="0" w:color="auto"/>
        <w:left w:val="none" w:sz="0" w:space="0" w:color="auto"/>
        <w:bottom w:val="none" w:sz="0" w:space="0" w:color="auto"/>
        <w:right w:val="none" w:sz="0" w:space="0" w:color="auto"/>
      </w:divBdr>
    </w:div>
    <w:div w:id="1027026616">
      <w:marLeft w:val="0"/>
      <w:marRight w:val="0"/>
      <w:marTop w:val="0"/>
      <w:marBottom w:val="0"/>
      <w:divBdr>
        <w:top w:val="none" w:sz="0" w:space="0" w:color="auto"/>
        <w:left w:val="none" w:sz="0" w:space="0" w:color="auto"/>
        <w:bottom w:val="none" w:sz="0" w:space="0" w:color="auto"/>
        <w:right w:val="none" w:sz="0" w:space="0" w:color="auto"/>
      </w:divBdr>
      <w:divsChild>
        <w:div w:id="1354260975">
          <w:marLeft w:val="0"/>
          <w:marRight w:val="0"/>
          <w:marTop w:val="0"/>
          <w:marBottom w:val="0"/>
          <w:divBdr>
            <w:top w:val="none" w:sz="0" w:space="0" w:color="auto"/>
            <w:left w:val="none" w:sz="0" w:space="0" w:color="auto"/>
            <w:bottom w:val="none" w:sz="0" w:space="0" w:color="auto"/>
            <w:right w:val="none" w:sz="0" w:space="0" w:color="auto"/>
          </w:divBdr>
        </w:div>
      </w:divsChild>
    </w:div>
    <w:div w:id="1035616296">
      <w:marLeft w:val="0"/>
      <w:marRight w:val="0"/>
      <w:marTop w:val="180"/>
      <w:marBottom w:val="180"/>
      <w:divBdr>
        <w:top w:val="none" w:sz="0" w:space="0" w:color="auto"/>
        <w:left w:val="none" w:sz="0" w:space="0" w:color="auto"/>
        <w:bottom w:val="none" w:sz="0" w:space="0" w:color="auto"/>
        <w:right w:val="none" w:sz="0" w:space="0" w:color="auto"/>
      </w:divBdr>
    </w:div>
    <w:div w:id="1058287286">
      <w:marLeft w:val="0"/>
      <w:marRight w:val="0"/>
      <w:marTop w:val="0"/>
      <w:marBottom w:val="0"/>
      <w:divBdr>
        <w:top w:val="none" w:sz="0" w:space="0" w:color="auto"/>
        <w:left w:val="none" w:sz="0" w:space="0" w:color="auto"/>
        <w:bottom w:val="none" w:sz="0" w:space="0" w:color="auto"/>
        <w:right w:val="none" w:sz="0" w:space="0" w:color="auto"/>
      </w:divBdr>
    </w:div>
    <w:div w:id="1080173135">
      <w:marLeft w:val="0"/>
      <w:marRight w:val="0"/>
      <w:marTop w:val="0"/>
      <w:marBottom w:val="0"/>
      <w:divBdr>
        <w:top w:val="none" w:sz="0" w:space="0" w:color="auto"/>
        <w:left w:val="none" w:sz="0" w:space="0" w:color="auto"/>
        <w:bottom w:val="none" w:sz="0" w:space="0" w:color="auto"/>
        <w:right w:val="none" w:sz="0" w:space="0" w:color="auto"/>
      </w:divBdr>
    </w:div>
    <w:div w:id="1081292003">
      <w:marLeft w:val="0"/>
      <w:marRight w:val="0"/>
      <w:marTop w:val="0"/>
      <w:marBottom w:val="0"/>
      <w:divBdr>
        <w:top w:val="none" w:sz="0" w:space="0" w:color="auto"/>
        <w:left w:val="none" w:sz="0" w:space="0" w:color="auto"/>
        <w:bottom w:val="none" w:sz="0" w:space="0" w:color="auto"/>
        <w:right w:val="none" w:sz="0" w:space="0" w:color="auto"/>
      </w:divBdr>
      <w:divsChild>
        <w:div w:id="1592468941">
          <w:marLeft w:val="0"/>
          <w:marRight w:val="0"/>
          <w:marTop w:val="0"/>
          <w:marBottom w:val="0"/>
          <w:divBdr>
            <w:top w:val="none" w:sz="0" w:space="0" w:color="auto"/>
            <w:left w:val="none" w:sz="0" w:space="0" w:color="auto"/>
            <w:bottom w:val="none" w:sz="0" w:space="0" w:color="auto"/>
            <w:right w:val="none" w:sz="0" w:space="0" w:color="auto"/>
          </w:divBdr>
        </w:div>
      </w:divsChild>
    </w:div>
    <w:div w:id="1084570187">
      <w:marLeft w:val="0"/>
      <w:marRight w:val="0"/>
      <w:marTop w:val="0"/>
      <w:marBottom w:val="120"/>
      <w:divBdr>
        <w:top w:val="none" w:sz="0" w:space="0" w:color="auto"/>
        <w:left w:val="none" w:sz="0" w:space="0" w:color="auto"/>
        <w:bottom w:val="none" w:sz="0" w:space="0" w:color="auto"/>
        <w:right w:val="none" w:sz="0" w:space="0" w:color="auto"/>
      </w:divBdr>
    </w:div>
    <w:div w:id="1092623835">
      <w:marLeft w:val="0"/>
      <w:marRight w:val="0"/>
      <w:marTop w:val="0"/>
      <w:marBottom w:val="0"/>
      <w:divBdr>
        <w:top w:val="none" w:sz="0" w:space="0" w:color="auto"/>
        <w:left w:val="none" w:sz="0" w:space="0" w:color="auto"/>
        <w:bottom w:val="none" w:sz="0" w:space="0" w:color="auto"/>
        <w:right w:val="none" w:sz="0" w:space="0" w:color="auto"/>
      </w:divBdr>
      <w:divsChild>
        <w:div w:id="712079667">
          <w:marLeft w:val="0"/>
          <w:marRight w:val="0"/>
          <w:marTop w:val="0"/>
          <w:marBottom w:val="0"/>
          <w:divBdr>
            <w:top w:val="none" w:sz="0" w:space="0" w:color="auto"/>
            <w:left w:val="none" w:sz="0" w:space="0" w:color="auto"/>
            <w:bottom w:val="none" w:sz="0" w:space="0" w:color="auto"/>
            <w:right w:val="none" w:sz="0" w:space="0" w:color="auto"/>
          </w:divBdr>
        </w:div>
      </w:divsChild>
    </w:div>
    <w:div w:id="1094788572">
      <w:marLeft w:val="0"/>
      <w:marRight w:val="0"/>
      <w:marTop w:val="0"/>
      <w:marBottom w:val="0"/>
      <w:divBdr>
        <w:top w:val="none" w:sz="0" w:space="0" w:color="auto"/>
        <w:left w:val="none" w:sz="0" w:space="0" w:color="auto"/>
        <w:bottom w:val="none" w:sz="0" w:space="0" w:color="auto"/>
        <w:right w:val="none" w:sz="0" w:space="0" w:color="auto"/>
      </w:divBdr>
      <w:divsChild>
        <w:div w:id="1326058201">
          <w:marLeft w:val="0"/>
          <w:marRight w:val="0"/>
          <w:marTop w:val="0"/>
          <w:marBottom w:val="0"/>
          <w:divBdr>
            <w:top w:val="none" w:sz="0" w:space="0" w:color="auto"/>
            <w:left w:val="none" w:sz="0" w:space="0" w:color="auto"/>
            <w:bottom w:val="none" w:sz="0" w:space="0" w:color="auto"/>
            <w:right w:val="none" w:sz="0" w:space="0" w:color="auto"/>
          </w:divBdr>
        </w:div>
      </w:divsChild>
    </w:div>
    <w:div w:id="1105658573">
      <w:marLeft w:val="0"/>
      <w:marRight w:val="0"/>
      <w:marTop w:val="0"/>
      <w:marBottom w:val="0"/>
      <w:divBdr>
        <w:top w:val="none" w:sz="0" w:space="0" w:color="auto"/>
        <w:left w:val="none" w:sz="0" w:space="0" w:color="auto"/>
        <w:bottom w:val="none" w:sz="0" w:space="0" w:color="auto"/>
        <w:right w:val="none" w:sz="0" w:space="0" w:color="auto"/>
      </w:divBdr>
    </w:div>
    <w:div w:id="1112359783">
      <w:marLeft w:val="0"/>
      <w:marRight w:val="0"/>
      <w:marTop w:val="0"/>
      <w:marBottom w:val="0"/>
      <w:divBdr>
        <w:top w:val="none" w:sz="0" w:space="0" w:color="auto"/>
        <w:left w:val="none" w:sz="0" w:space="0" w:color="auto"/>
        <w:bottom w:val="none" w:sz="0" w:space="0" w:color="auto"/>
        <w:right w:val="none" w:sz="0" w:space="0" w:color="auto"/>
      </w:divBdr>
      <w:divsChild>
        <w:div w:id="1729184240">
          <w:marLeft w:val="0"/>
          <w:marRight w:val="0"/>
          <w:marTop w:val="0"/>
          <w:marBottom w:val="0"/>
          <w:divBdr>
            <w:top w:val="none" w:sz="0" w:space="0" w:color="auto"/>
            <w:left w:val="none" w:sz="0" w:space="0" w:color="auto"/>
            <w:bottom w:val="none" w:sz="0" w:space="0" w:color="auto"/>
            <w:right w:val="none" w:sz="0" w:space="0" w:color="auto"/>
          </w:divBdr>
        </w:div>
      </w:divsChild>
    </w:div>
    <w:div w:id="1112745424">
      <w:marLeft w:val="0"/>
      <w:marRight w:val="0"/>
      <w:marTop w:val="60"/>
      <w:marBottom w:val="60"/>
      <w:divBdr>
        <w:top w:val="none" w:sz="0" w:space="0" w:color="auto"/>
        <w:left w:val="none" w:sz="0" w:space="0" w:color="auto"/>
        <w:bottom w:val="none" w:sz="0" w:space="0" w:color="auto"/>
        <w:right w:val="none" w:sz="0" w:space="0" w:color="auto"/>
      </w:divBdr>
    </w:div>
    <w:div w:id="1127041671">
      <w:marLeft w:val="0"/>
      <w:marRight w:val="0"/>
      <w:marTop w:val="100"/>
      <w:marBottom w:val="100"/>
      <w:divBdr>
        <w:top w:val="none" w:sz="0" w:space="0" w:color="auto"/>
        <w:left w:val="none" w:sz="0" w:space="0" w:color="auto"/>
        <w:bottom w:val="none" w:sz="0" w:space="0" w:color="auto"/>
        <w:right w:val="none" w:sz="0" w:space="0" w:color="auto"/>
      </w:divBdr>
    </w:div>
    <w:div w:id="1144159158">
      <w:marLeft w:val="0"/>
      <w:marRight w:val="0"/>
      <w:marTop w:val="0"/>
      <w:marBottom w:val="0"/>
      <w:divBdr>
        <w:top w:val="none" w:sz="0" w:space="0" w:color="auto"/>
        <w:left w:val="none" w:sz="0" w:space="0" w:color="auto"/>
        <w:bottom w:val="none" w:sz="0" w:space="0" w:color="auto"/>
        <w:right w:val="none" w:sz="0" w:space="0" w:color="auto"/>
      </w:divBdr>
      <w:divsChild>
        <w:div w:id="226041446">
          <w:marLeft w:val="0"/>
          <w:marRight w:val="0"/>
          <w:marTop w:val="0"/>
          <w:marBottom w:val="0"/>
          <w:divBdr>
            <w:top w:val="none" w:sz="0" w:space="0" w:color="auto"/>
            <w:left w:val="none" w:sz="0" w:space="0" w:color="auto"/>
            <w:bottom w:val="none" w:sz="0" w:space="0" w:color="auto"/>
            <w:right w:val="none" w:sz="0" w:space="0" w:color="auto"/>
          </w:divBdr>
        </w:div>
      </w:divsChild>
    </w:div>
    <w:div w:id="1151368132">
      <w:marLeft w:val="0"/>
      <w:marRight w:val="0"/>
      <w:marTop w:val="100"/>
      <w:marBottom w:val="100"/>
      <w:divBdr>
        <w:top w:val="none" w:sz="0" w:space="0" w:color="auto"/>
        <w:left w:val="none" w:sz="0" w:space="0" w:color="auto"/>
        <w:bottom w:val="none" w:sz="0" w:space="0" w:color="auto"/>
        <w:right w:val="none" w:sz="0" w:space="0" w:color="auto"/>
      </w:divBdr>
    </w:div>
    <w:div w:id="1173838423">
      <w:marLeft w:val="0"/>
      <w:marRight w:val="0"/>
      <w:marTop w:val="100"/>
      <w:marBottom w:val="100"/>
      <w:divBdr>
        <w:top w:val="none" w:sz="0" w:space="0" w:color="auto"/>
        <w:left w:val="none" w:sz="0" w:space="0" w:color="auto"/>
        <w:bottom w:val="none" w:sz="0" w:space="0" w:color="auto"/>
        <w:right w:val="none" w:sz="0" w:space="0" w:color="auto"/>
      </w:divBdr>
      <w:divsChild>
        <w:div w:id="1109810476">
          <w:marLeft w:val="0"/>
          <w:marRight w:val="0"/>
          <w:marTop w:val="0"/>
          <w:marBottom w:val="0"/>
          <w:divBdr>
            <w:top w:val="none" w:sz="0" w:space="0" w:color="auto"/>
            <w:left w:val="none" w:sz="0" w:space="0" w:color="auto"/>
            <w:bottom w:val="none" w:sz="0" w:space="0" w:color="auto"/>
            <w:right w:val="none" w:sz="0" w:space="0" w:color="auto"/>
          </w:divBdr>
        </w:div>
        <w:div w:id="2135098095">
          <w:marLeft w:val="0"/>
          <w:marRight w:val="0"/>
          <w:marTop w:val="0"/>
          <w:marBottom w:val="0"/>
          <w:divBdr>
            <w:top w:val="none" w:sz="0" w:space="0" w:color="auto"/>
            <w:left w:val="none" w:sz="0" w:space="0" w:color="auto"/>
            <w:bottom w:val="none" w:sz="0" w:space="0" w:color="auto"/>
            <w:right w:val="none" w:sz="0" w:space="0" w:color="auto"/>
          </w:divBdr>
        </w:div>
        <w:div w:id="591551479">
          <w:marLeft w:val="0"/>
          <w:marRight w:val="0"/>
          <w:marTop w:val="0"/>
          <w:marBottom w:val="0"/>
          <w:divBdr>
            <w:top w:val="none" w:sz="0" w:space="0" w:color="auto"/>
            <w:left w:val="none" w:sz="0" w:space="0" w:color="auto"/>
            <w:bottom w:val="none" w:sz="0" w:space="0" w:color="auto"/>
            <w:right w:val="none" w:sz="0" w:space="0" w:color="auto"/>
          </w:divBdr>
        </w:div>
        <w:div w:id="1136753122">
          <w:marLeft w:val="0"/>
          <w:marRight w:val="0"/>
          <w:marTop w:val="0"/>
          <w:marBottom w:val="0"/>
          <w:divBdr>
            <w:top w:val="none" w:sz="0" w:space="0" w:color="auto"/>
            <w:left w:val="none" w:sz="0" w:space="0" w:color="auto"/>
            <w:bottom w:val="none" w:sz="0" w:space="0" w:color="auto"/>
            <w:right w:val="none" w:sz="0" w:space="0" w:color="auto"/>
          </w:divBdr>
        </w:div>
        <w:div w:id="2019886408">
          <w:marLeft w:val="0"/>
          <w:marRight w:val="0"/>
          <w:marTop w:val="0"/>
          <w:marBottom w:val="0"/>
          <w:divBdr>
            <w:top w:val="none" w:sz="0" w:space="0" w:color="auto"/>
            <w:left w:val="none" w:sz="0" w:space="0" w:color="auto"/>
            <w:bottom w:val="none" w:sz="0" w:space="0" w:color="auto"/>
            <w:right w:val="none" w:sz="0" w:space="0" w:color="auto"/>
          </w:divBdr>
        </w:div>
      </w:divsChild>
    </w:div>
    <w:div w:id="1179268376">
      <w:marLeft w:val="0"/>
      <w:marRight w:val="0"/>
      <w:marTop w:val="0"/>
      <w:marBottom w:val="0"/>
      <w:divBdr>
        <w:top w:val="none" w:sz="0" w:space="0" w:color="auto"/>
        <w:left w:val="none" w:sz="0" w:space="0" w:color="auto"/>
        <w:bottom w:val="none" w:sz="0" w:space="0" w:color="auto"/>
        <w:right w:val="none" w:sz="0" w:space="0" w:color="auto"/>
      </w:divBdr>
      <w:divsChild>
        <w:div w:id="43532171">
          <w:marLeft w:val="0"/>
          <w:marRight w:val="0"/>
          <w:marTop w:val="0"/>
          <w:marBottom w:val="0"/>
          <w:divBdr>
            <w:top w:val="none" w:sz="0" w:space="0" w:color="auto"/>
            <w:left w:val="none" w:sz="0" w:space="0" w:color="auto"/>
            <w:bottom w:val="none" w:sz="0" w:space="0" w:color="auto"/>
            <w:right w:val="none" w:sz="0" w:space="0" w:color="auto"/>
          </w:divBdr>
        </w:div>
      </w:divsChild>
    </w:div>
    <w:div w:id="1179542936">
      <w:marLeft w:val="0"/>
      <w:marRight w:val="0"/>
      <w:marTop w:val="0"/>
      <w:marBottom w:val="0"/>
      <w:divBdr>
        <w:top w:val="none" w:sz="0" w:space="0" w:color="auto"/>
        <w:left w:val="none" w:sz="0" w:space="0" w:color="auto"/>
        <w:bottom w:val="none" w:sz="0" w:space="0" w:color="auto"/>
        <w:right w:val="none" w:sz="0" w:space="0" w:color="auto"/>
      </w:divBdr>
    </w:div>
    <w:div w:id="1180200222">
      <w:marLeft w:val="0"/>
      <w:marRight w:val="0"/>
      <w:marTop w:val="0"/>
      <w:marBottom w:val="0"/>
      <w:divBdr>
        <w:top w:val="none" w:sz="0" w:space="0" w:color="auto"/>
        <w:left w:val="none" w:sz="0" w:space="0" w:color="auto"/>
        <w:bottom w:val="none" w:sz="0" w:space="0" w:color="auto"/>
        <w:right w:val="none" w:sz="0" w:space="0" w:color="auto"/>
      </w:divBdr>
    </w:div>
    <w:div w:id="1182013797">
      <w:marLeft w:val="0"/>
      <w:marRight w:val="0"/>
      <w:marTop w:val="0"/>
      <w:marBottom w:val="0"/>
      <w:divBdr>
        <w:top w:val="none" w:sz="0" w:space="0" w:color="auto"/>
        <w:left w:val="none" w:sz="0" w:space="0" w:color="auto"/>
        <w:bottom w:val="none" w:sz="0" w:space="0" w:color="auto"/>
        <w:right w:val="none" w:sz="0" w:space="0" w:color="auto"/>
      </w:divBdr>
    </w:div>
    <w:div w:id="1182209797">
      <w:marLeft w:val="0"/>
      <w:marRight w:val="0"/>
      <w:marTop w:val="0"/>
      <w:marBottom w:val="0"/>
      <w:divBdr>
        <w:top w:val="none" w:sz="0" w:space="0" w:color="auto"/>
        <w:left w:val="none" w:sz="0" w:space="0" w:color="auto"/>
        <w:bottom w:val="none" w:sz="0" w:space="0" w:color="auto"/>
        <w:right w:val="none" w:sz="0" w:space="0" w:color="auto"/>
      </w:divBdr>
      <w:divsChild>
        <w:div w:id="2043749540">
          <w:marLeft w:val="0"/>
          <w:marRight w:val="0"/>
          <w:marTop w:val="0"/>
          <w:marBottom w:val="0"/>
          <w:divBdr>
            <w:top w:val="none" w:sz="0" w:space="0" w:color="auto"/>
            <w:left w:val="none" w:sz="0" w:space="0" w:color="auto"/>
            <w:bottom w:val="none" w:sz="0" w:space="0" w:color="auto"/>
            <w:right w:val="none" w:sz="0" w:space="0" w:color="auto"/>
          </w:divBdr>
        </w:div>
      </w:divsChild>
    </w:div>
    <w:div w:id="1189442258">
      <w:marLeft w:val="0"/>
      <w:marRight w:val="0"/>
      <w:marTop w:val="100"/>
      <w:marBottom w:val="100"/>
      <w:divBdr>
        <w:top w:val="none" w:sz="0" w:space="0" w:color="auto"/>
        <w:left w:val="none" w:sz="0" w:space="0" w:color="auto"/>
        <w:bottom w:val="none" w:sz="0" w:space="0" w:color="auto"/>
        <w:right w:val="none" w:sz="0" w:space="0" w:color="auto"/>
      </w:divBdr>
      <w:divsChild>
        <w:div w:id="2068408336">
          <w:marLeft w:val="0"/>
          <w:marRight w:val="0"/>
          <w:marTop w:val="0"/>
          <w:marBottom w:val="0"/>
          <w:divBdr>
            <w:top w:val="none" w:sz="0" w:space="0" w:color="auto"/>
            <w:left w:val="none" w:sz="0" w:space="0" w:color="auto"/>
            <w:bottom w:val="none" w:sz="0" w:space="0" w:color="auto"/>
            <w:right w:val="none" w:sz="0" w:space="0" w:color="auto"/>
          </w:divBdr>
        </w:div>
        <w:div w:id="1296060589">
          <w:marLeft w:val="0"/>
          <w:marRight w:val="0"/>
          <w:marTop w:val="0"/>
          <w:marBottom w:val="0"/>
          <w:divBdr>
            <w:top w:val="none" w:sz="0" w:space="0" w:color="auto"/>
            <w:left w:val="none" w:sz="0" w:space="0" w:color="auto"/>
            <w:bottom w:val="none" w:sz="0" w:space="0" w:color="auto"/>
            <w:right w:val="none" w:sz="0" w:space="0" w:color="auto"/>
          </w:divBdr>
        </w:div>
        <w:div w:id="168372985">
          <w:marLeft w:val="0"/>
          <w:marRight w:val="0"/>
          <w:marTop w:val="0"/>
          <w:marBottom w:val="0"/>
          <w:divBdr>
            <w:top w:val="none" w:sz="0" w:space="0" w:color="auto"/>
            <w:left w:val="none" w:sz="0" w:space="0" w:color="auto"/>
            <w:bottom w:val="none" w:sz="0" w:space="0" w:color="auto"/>
            <w:right w:val="none" w:sz="0" w:space="0" w:color="auto"/>
          </w:divBdr>
        </w:div>
        <w:div w:id="757749980">
          <w:marLeft w:val="0"/>
          <w:marRight w:val="0"/>
          <w:marTop w:val="0"/>
          <w:marBottom w:val="0"/>
          <w:divBdr>
            <w:top w:val="none" w:sz="0" w:space="0" w:color="auto"/>
            <w:left w:val="none" w:sz="0" w:space="0" w:color="auto"/>
            <w:bottom w:val="none" w:sz="0" w:space="0" w:color="auto"/>
            <w:right w:val="none" w:sz="0" w:space="0" w:color="auto"/>
          </w:divBdr>
        </w:div>
        <w:div w:id="88159137">
          <w:marLeft w:val="0"/>
          <w:marRight w:val="0"/>
          <w:marTop w:val="0"/>
          <w:marBottom w:val="0"/>
          <w:divBdr>
            <w:top w:val="none" w:sz="0" w:space="0" w:color="auto"/>
            <w:left w:val="none" w:sz="0" w:space="0" w:color="auto"/>
            <w:bottom w:val="none" w:sz="0" w:space="0" w:color="auto"/>
            <w:right w:val="none" w:sz="0" w:space="0" w:color="auto"/>
          </w:divBdr>
        </w:div>
        <w:div w:id="1291130012">
          <w:marLeft w:val="0"/>
          <w:marRight w:val="0"/>
          <w:marTop w:val="0"/>
          <w:marBottom w:val="0"/>
          <w:divBdr>
            <w:top w:val="none" w:sz="0" w:space="0" w:color="auto"/>
            <w:left w:val="none" w:sz="0" w:space="0" w:color="auto"/>
            <w:bottom w:val="none" w:sz="0" w:space="0" w:color="auto"/>
            <w:right w:val="none" w:sz="0" w:space="0" w:color="auto"/>
          </w:divBdr>
        </w:div>
        <w:div w:id="843015851">
          <w:marLeft w:val="0"/>
          <w:marRight w:val="0"/>
          <w:marTop w:val="0"/>
          <w:marBottom w:val="0"/>
          <w:divBdr>
            <w:top w:val="none" w:sz="0" w:space="0" w:color="auto"/>
            <w:left w:val="none" w:sz="0" w:space="0" w:color="auto"/>
            <w:bottom w:val="none" w:sz="0" w:space="0" w:color="auto"/>
            <w:right w:val="none" w:sz="0" w:space="0" w:color="auto"/>
          </w:divBdr>
        </w:div>
        <w:div w:id="1133795163">
          <w:marLeft w:val="0"/>
          <w:marRight w:val="0"/>
          <w:marTop w:val="0"/>
          <w:marBottom w:val="0"/>
          <w:divBdr>
            <w:top w:val="none" w:sz="0" w:space="0" w:color="auto"/>
            <w:left w:val="none" w:sz="0" w:space="0" w:color="auto"/>
            <w:bottom w:val="none" w:sz="0" w:space="0" w:color="auto"/>
            <w:right w:val="none" w:sz="0" w:space="0" w:color="auto"/>
          </w:divBdr>
        </w:div>
        <w:div w:id="1649047302">
          <w:marLeft w:val="0"/>
          <w:marRight w:val="0"/>
          <w:marTop w:val="0"/>
          <w:marBottom w:val="0"/>
          <w:divBdr>
            <w:top w:val="none" w:sz="0" w:space="0" w:color="auto"/>
            <w:left w:val="none" w:sz="0" w:space="0" w:color="auto"/>
            <w:bottom w:val="none" w:sz="0" w:space="0" w:color="auto"/>
            <w:right w:val="none" w:sz="0" w:space="0" w:color="auto"/>
          </w:divBdr>
        </w:div>
        <w:div w:id="1547914873">
          <w:marLeft w:val="0"/>
          <w:marRight w:val="0"/>
          <w:marTop w:val="0"/>
          <w:marBottom w:val="0"/>
          <w:divBdr>
            <w:top w:val="none" w:sz="0" w:space="0" w:color="auto"/>
            <w:left w:val="none" w:sz="0" w:space="0" w:color="auto"/>
            <w:bottom w:val="none" w:sz="0" w:space="0" w:color="auto"/>
            <w:right w:val="none" w:sz="0" w:space="0" w:color="auto"/>
          </w:divBdr>
        </w:div>
        <w:div w:id="128087539">
          <w:marLeft w:val="0"/>
          <w:marRight w:val="0"/>
          <w:marTop w:val="0"/>
          <w:marBottom w:val="0"/>
          <w:divBdr>
            <w:top w:val="none" w:sz="0" w:space="0" w:color="auto"/>
            <w:left w:val="none" w:sz="0" w:space="0" w:color="auto"/>
            <w:bottom w:val="none" w:sz="0" w:space="0" w:color="auto"/>
            <w:right w:val="none" w:sz="0" w:space="0" w:color="auto"/>
          </w:divBdr>
        </w:div>
        <w:div w:id="382368240">
          <w:marLeft w:val="0"/>
          <w:marRight w:val="0"/>
          <w:marTop w:val="0"/>
          <w:marBottom w:val="0"/>
          <w:divBdr>
            <w:top w:val="none" w:sz="0" w:space="0" w:color="auto"/>
            <w:left w:val="none" w:sz="0" w:space="0" w:color="auto"/>
            <w:bottom w:val="none" w:sz="0" w:space="0" w:color="auto"/>
            <w:right w:val="none" w:sz="0" w:space="0" w:color="auto"/>
          </w:divBdr>
        </w:div>
        <w:div w:id="704529104">
          <w:marLeft w:val="0"/>
          <w:marRight w:val="0"/>
          <w:marTop w:val="0"/>
          <w:marBottom w:val="0"/>
          <w:divBdr>
            <w:top w:val="none" w:sz="0" w:space="0" w:color="auto"/>
            <w:left w:val="none" w:sz="0" w:space="0" w:color="auto"/>
            <w:bottom w:val="none" w:sz="0" w:space="0" w:color="auto"/>
            <w:right w:val="none" w:sz="0" w:space="0" w:color="auto"/>
          </w:divBdr>
        </w:div>
        <w:div w:id="946695856">
          <w:marLeft w:val="0"/>
          <w:marRight w:val="0"/>
          <w:marTop w:val="0"/>
          <w:marBottom w:val="0"/>
          <w:divBdr>
            <w:top w:val="none" w:sz="0" w:space="0" w:color="auto"/>
            <w:left w:val="none" w:sz="0" w:space="0" w:color="auto"/>
            <w:bottom w:val="none" w:sz="0" w:space="0" w:color="auto"/>
            <w:right w:val="none" w:sz="0" w:space="0" w:color="auto"/>
          </w:divBdr>
        </w:div>
        <w:div w:id="206725890">
          <w:marLeft w:val="0"/>
          <w:marRight w:val="0"/>
          <w:marTop w:val="0"/>
          <w:marBottom w:val="0"/>
          <w:divBdr>
            <w:top w:val="none" w:sz="0" w:space="0" w:color="auto"/>
            <w:left w:val="none" w:sz="0" w:space="0" w:color="auto"/>
            <w:bottom w:val="none" w:sz="0" w:space="0" w:color="auto"/>
            <w:right w:val="none" w:sz="0" w:space="0" w:color="auto"/>
          </w:divBdr>
        </w:div>
        <w:div w:id="1693915953">
          <w:marLeft w:val="0"/>
          <w:marRight w:val="0"/>
          <w:marTop w:val="0"/>
          <w:marBottom w:val="0"/>
          <w:divBdr>
            <w:top w:val="none" w:sz="0" w:space="0" w:color="auto"/>
            <w:left w:val="none" w:sz="0" w:space="0" w:color="auto"/>
            <w:bottom w:val="none" w:sz="0" w:space="0" w:color="auto"/>
            <w:right w:val="none" w:sz="0" w:space="0" w:color="auto"/>
          </w:divBdr>
        </w:div>
      </w:divsChild>
    </w:div>
    <w:div w:id="1192493247">
      <w:marLeft w:val="0"/>
      <w:marRight w:val="0"/>
      <w:marTop w:val="0"/>
      <w:marBottom w:val="0"/>
      <w:divBdr>
        <w:top w:val="none" w:sz="0" w:space="0" w:color="auto"/>
        <w:left w:val="none" w:sz="0" w:space="0" w:color="auto"/>
        <w:bottom w:val="none" w:sz="0" w:space="0" w:color="auto"/>
        <w:right w:val="none" w:sz="0" w:space="0" w:color="auto"/>
      </w:divBdr>
      <w:divsChild>
        <w:div w:id="259723370">
          <w:marLeft w:val="0"/>
          <w:marRight w:val="0"/>
          <w:marTop w:val="0"/>
          <w:marBottom w:val="0"/>
          <w:divBdr>
            <w:top w:val="none" w:sz="0" w:space="0" w:color="auto"/>
            <w:left w:val="none" w:sz="0" w:space="0" w:color="auto"/>
            <w:bottom w:val="none" w:sz="0" w:space="0" w:color="auto"/>
            <w:right w:val="none" w:sz="0" w:space="0" w:color="auto"/>
          </w:divBdr>
        </w:div>
      </w:divsChild>
    </w:div>
    <w:div w:id="1200775192">
      <w:marLeft w:val="0"/>
      <w:marRight w:val="0"/>
      <w:marTop w:val="100"/>
      <w:marBottom w:val="100"/>
      <w:divBdr>
        <w:top w:val="none" w:sz="0" w:space="0" w:color="auto"/>
        <w:left w:val="none" w:sz="0" w:space="0" w:color="auto"/>
        <w:bottom w:val="none" w:sz="0" w:space="0" w:color="auto"/>
        <w:right w:val="none" w:sz="0" w:space="0" w:color="auto"/>
      </w:divBdr>
    </w:div>
    <w:div w:id="1202283733">
      <w:marLeft w:val="0"/>
      <w:marRight w:val="0"/>
      <w:marTop w:val="0"/>
      <w:marBottom w:val="0"/>
      <w:divBdr>
        <w:top w:val="none" w:sz="0" w:space="0" w:color="auto"/>
        <w:left w:val="none" w:sz="0" w:space="0" w:color="auto"/>
        <w:bottom w:val="none" w:sz="0" w:space="0" w:color="auto"/>
        <w:right w:val="none" w:sz="0" w:space="0" w:color="auto"/>
      </w:divBdr>
    </w:div>
    <w:div w:id="1203372096">
      <w:marLeft w:val="0"/>
      <w:marRight w:val="0"/>
      <w:marTop w:val="0"/>
      <w:marBottom w:val="0"/>
      <w:divBdr>
        <w:top w:val="none" w:sz="0" w:space="0" w:color="auto"/>
        <w:left w:val="none" w:sz="0" w:space="0" w:color="auto"/>
        <w:bottom w:val="none" w:sz="0" w:space="0" w:color="auto"/>
        <w:right w:val="none" w:sz="0" w:space="0" w:color="auto"/>
      </w:divBdr>
      <w:divsChild>
        <w:div w:id="981468579">
          <w:marLeft w:val="0"/>
          <w:marRight w:val="0"/>
          <w:marTop w:val="0"/>
          <w:marBottom w:val="0"/>
          <w:divBdr>
            <w:top w:val="none" w:sz="0" w:space="0" w:color="auto"/>
            <w:left w:val="none" w:sz="0" w:space="0" w:color="auto"/>
            <w:bottom w:val="none" w:sz="0" w:space="0" w:color="auto"/>
            <w:right w:val="none" w:sz="0" w:space="0" w:color="auto"/>
          </w:divBdr>
        </w:div>
      </w:divsChild>
    </w:div>
    <w:div w:id="1211654821">
      <w:marLeft w:val="0"/>
      <w:marRight w:val="0"/>
      <w:marTop w:val="0"/>
      <w:marBottom w:val="0"/>
      <w:divBdr>
        <w:top w:val="none" w:sz="0" w:space="0" w:color="auto"/>
        <w:left w:val="none" w:sz="0" w:space="0" w:color="auto"/>
        <w:bottom w:val="none" w:sz="0" w:space="0" w:color="auto"/>
        <w:right w:val="none" w:sz="0" w:space="0" w:color="auto"/>
      </w:divBdr>
      <w:divsChild>
        <w:div w:id="1208568188">
          <w:marLeft w:val="0"/>
          <w:marRight w:val="0"/>
          <w:marTop w:val="0"/>
          <w:marBottom w:val="0"/>
          <w:divBdr>
            <w:top w:val="none" w:sz="0" w:space="0" w:color="auto"/>
            <w:left w:val="none" w:sz="0" w:space="0" w:color="auto"/>
            <w:bottom w:val="none" w:sz="0" w:space="0" w:color="auto"/>
            <w:right w:val="none" w:sz="0" w:space="0" w:color="auto"/>
          </w:divBdr>
        </w:div>
      </w:divsChild>
    </w:div>
    <w:div w:id="1212886261">
      <w:marLeft w:val="0"/>
      <w:marRight w:val="0"/>
      <w:marTop w:val="0"/>
      <w:marBottom w:val="0"/>
      <w:divBdr>
        <w:top w:val="none" w:sz="0" w:space="0" w:color="auto"/>
        <w:left w:val="none" w:sz="0" w:space="0" w:color="auto"/>
        <w:bottom w:val="none" w:sz="0" w:space="0" w:color="auto"/>
        <w:right w:val="none" w:sz="0" w:space="0" w:color="auto"/>
      </w:divBdr>
    </w:div>
    <w:div w:id="1225995126">
      <w:marLeft w:val="0"/>
      <w:marRight w:val="0"/>
      <w:marTop w:val="0"/>
      <w:marBottom w:val="160"/>
      <w:divBdr>
        <w:top w:val="none" w:sz="0" w:space="0" w:color="auto"/>
        <w:left w:val="none" w:sz="0" w:space="0" w:color="auto"/>
        <w:bottom w:val="none" w:sz="0" w:space="0" w:color="auto"/>
        <w:right w:val="none" w:sz="0" w:space="0" w:color="auto"/>
      </w:divBdr>
    </w:div>
    <w:div w:id="1232234726">
      <w:marLeft w:val="0"/>
      <w:marRight w:val="0"/>
      <w:marTop w:val="180"/>
      <w:marBottom w:val="0"/>
      <w:divBdr>
        <w:top w:val="none" w:sz="0" w:space="0" w:color="auto"/>
        <w:left w:val="none" w:sz="0" w:space="0" w:color="auto"/>
        <w:bottom w:val="none" w:sz="0" w:space="0" w:color="auto"/>
        <w:right w:val="none" w:sz="0" w:space="0" w:color="auto"/>
      </w:divBdr>
    </w:div>
    <w:div w:id="1233351543">
      <w:marLeft w:val="0"/>
      <w:marRight w:val="0"/>
      <w:marTop w:val="60"/>
      <w:marBottom w:val="60"/>
      <w:divBdr>
        <w:top w:val="none" w:sz="0" w:space="0" w:color="auto"/>
        <w:left w:val="none" w:sz="0" w:space="0" w:color="auto"/>
        <w:bottom w:val="none" w:sz="0" w:space="0" w:color="auto"/>
        <w:right w:val="none" w:sz="0" w:space="0" w:color="auto"/>
      </w:divBdr>
    </w:div>
    <w:div w:id="1242325881">
      <w:marLeft w:val="0"/>
      <w:marRight w:val="0"/>
      <w:marTop w:val="0"/>
      <w:marBottom w:val="0"/>
      <w:divBdr>
        <w:top w:val="none" w:sz="0" w:space="0" w:color="auto"/>
        <w:left w:val="none" w:sz="0" w:space="0" w:color="auto"/>
        <w:bottom w:val="none" w:sz="0" w:space="0" w:color="auto"/>
        <w:right w:val="none" w:sz="0" w:space="0" w:color="auto"/>
      </w:divBdr>
      <w:divsChild>
        <w:div w:id="396123955">
          <w:marLeft w:val="0"/>
          <w:marRight w:val="0"/>
          <w:marTop w:val="0"/>
          <w:marBottom w:val="0"/>
          <w:divBdr>
            <w:top w:val="none" w:sz="0" w:space="0" w:color="auto"/>
            <w:left w:val="none" w:sz="0" w:space="0" w:color="auto"/>
            <w:bottom w:val="none" w:sz="0" w:space="0" w:color="auto"/>
            <w:right w:val="none" w:sz="0" w:space="0" w:color="auto"/>
          </w:divBdr>
        </w:div>
      </w:divsChild>
    </w:div>
    <w:div w:id="1244683329">
      <w:marLeft w:val="0"/>
      <w:marRight w:val="0"/>
      <w:marTop w:val="180"/>
      <w:marBottom w:val="0"/>
      <w:divBdr>
        <w:top w:val="none" w:sz="0" w:space="0" w:color="auto"/>
        <w:left w:val="none" w:sz="0" w:space="0" w:color="auto"/>
        <w:bottom w:val="none" w:sz="0" w:space="0" w:color="auto"/>
        <w:right w:val="none" w:sz="0" w:space="0" w:color="auto"/>
      </w:divBdr>
    </w:div>
    <w:div w:id="1251934540">
      <w:marLeft w:val="0"/>
      <w:marRight w:val="0"/>
      <w:marTop w:val="0"/>
      <w:marBottom w:val="0"/>
      <w:divBdr>
        <w:top w:val="none" w:sz="0" w:space="0" w:color="auto"/>
        <w:left w:val="none" w:sz="0" w:space="0" w:color="auto"/>
        <w:bottom w:val="none" w:sz="0" w:space="0" w:color="auto"/>
        <w:right w:val="none" w:sz="0" w:space="0" w:color="auto"/>
      </w:divBdr>
    </w:div>
    <w:div w:id="1257783523">
      <w:marLeft w:val="0"/>
      <w:marRight w:val="0"/>
      <w:marTop w:val="180"/>
      <w:marBottom w:val="0"/>
      <w:divBdr>
        <w:top w:val="none" w:sz="0" w:space="0" w:color="auto"/>
        <w:left w:val="none" w:sz="0" w:space="0" w:color="auto"/>
        <w:bottom w:val="none" w:sz="0" w:space="0" w:color="auto"/>
        <w:right w:val="none" w:sz="0" w:space="0" w:color="auto"/>
      </w:divBdr>
    </w:div>
    <w:div w:id="1260722838">
      <w:marLeft w:val="0"/>
      <w:marRight w:val="0"/>
      <w:marTop w:val="0"/>
      <w:marBottom w:val="0"/>
      <w:divBdr>
        <w:top w:val="none" w:sz="0" w:space="0" w:color="auto"/>
        <w:left w:val="none" w:sz="0" w:space="0" w:color="auto"/>
        <w:bottom w:val="none" w:sz="0" w:space="0" w:color="auto"/>
        <w:right w:val="none" w:sz="0" w:space="0" w:color="auto"/>
      </w:divBdr>
    </w:div>
    <w:div w:id="1267498408">
      <w:marLeft w:val="0"/>
      <w:marRight w:val="0"/>
      <w:marTop w:val="100"/>
      <w:marBottom w:val="100"/>
      <w:divBdr>
        <w:top w:val="none" w:sz="0" w:space="0" w:color="auto"/>
        <w:left w:val="none" w:sz="0" w:space="0" w:color="auto"/>
        <w:bottom w:val="none" w:sz="0" w:space="0" w:color="auto"/>
        <w:right w:val="none" w:sz="0" w:space="0" w:color="auto"/>
      </w:divBdr>
    </w:div>
    <w:div w:id="1283074884">
      <w:marLeft w:val="0"/>
      <w:marRight w:val="0"/>
      <w:marTop w:val="0"/>
      <w:marBottom w:val="0"/>
      <w:divBdr>
        <w:top w:val="none" w:sz="0" w:space="0" w:color="auto"/>
        <w:left w:val="none" w:sz="0" w:space="0" w:color="auto"/>
        <w:bottom w:val="none" w:sz="0" w:space="0" w:color="auto"/>
        <w:right w:val="none" w:sz="0" w:space="0" w:color="auto"/>
      </w:divBdr>
      <w:divsChild>
        <w:div w:id="699356021">
          <w:marLeft w:val="0"/>
          <w:marRight w:val="0"/>
          <w:marTop w:val="0"/>
          <w:marBottom w:val="0"/>
          <w:divBdr>
            <w:top w:val="none" w:sz="0" w:space="0" w:color="auto"/>
            <w:left w:val="none" w:sz="0" w:space="0" w:color="auto"/>
            <w:bottom w:val="none" w:sz="0" w:space="0" w:color="auto"/>
            <w:right w:val="none" w:sz="0" w:space="0" w:color="auto"/>
          </w:divBdr>
        </w:div>
      </w:divsChild>
    </w:div>
    <w:div w:id="1283195504">
      <w:marLeft w:val="0"/>
      <w:marRight w:val="0"/>
      <w:marTop w:val="0"/>
      <w:marBottom w:val="0"/>
      <w:divBdr>
        <w:top w:val="none" w:sz="0" w:space="0" w:color="auto"/>
        <w:left w:val="none" w:sz="0" w:space="0" w:color="auto"/>
        <w:bottom w:val="none" w:sz="0" w:space="0" w:color="auto"/>
        <w:right w:val="none" w:sz="0" w:space="0" w:color="auto"/>
      </w:divBdr>
      <w:divsChild>
        <w:div w:id="1269115792">
          <w:marLeft w:val="0"/>
          <w:marRight w:val="0"/>
          <w:marTop w:val="0"/>
          <w:marBottom w:val="0"/>
          <w:divBdr>
            <w:top w:val="none" w:sz="0" w:space="0" w:color="auto"/>
            <w:left w:val="none" w:sz="0" w:space="0" w:color="auto"/>
            <w:bottom w:val="none" w:sz="0" w:space="0" w:color="auto"/>
            <w:right w:val="none" w:sz="0" w:space="0" w:color="auto"/>
          </w:divBdr>
        </w:div>
      </w:divsChild>
    </w:div>
    <w:div w:id="1289319263">
      <w:marLeft w:val="0"/>
      <w:marRight w:val="0"/>
      <w:marTop w:val="0"/>
      <w:marBottom w:val="0"/>
      <w:divBdr>
        <w:top w:val="none" w:sz="0" w:space="0" w:color="auto"/>
        <w:left w:val="none" w:sz="0" w:space="0" w:color="auto"/>
        <w:bottom w:val="none" w:sz="0" w:space="0" w:color="auto"/>
        <w:right w:val="none" w:sz="0" w:space="0" w:color="auto"/>
      </w:divBdr>
    </w:div>
    <w:div w:id="1291666942">
      <w:marLeft w:val="0"/>
      <w:marRight w:val="0"/>
      <w:marTop w:val="0"/>
      <w:marBottom w:val="0"/>
      <w:divBdr>
        <w:top w:val="none" w:sz="0" w:space="0" w:color="auto"/>
        <w:left w:val="none" w:sz="0" w:space="0" w:color="auto"/>
        <w:bottom w:val="none" w:sz="0" w:space="0" w:color="auto"/>
        <w:right w:val="none" w:sz="0" w:space="0" w:color="auto"/>
      </w:divBdr>
      <w:divsChild>
        <w:div w:id="569392227">
          <w:marLeft w:val="0"/>
          <w:marRight w:val="0"/>
          <w:marTop w:val="0"/>
          <w:marBottom w:val="0"/>
          <w:divBdr>
            <w:top w:val="none" w:sz="0" w:space="0" w:color="auto"/>
            <w:left w:val="none" w:sz="0" w:space="0" w:color="auto"/>
            <w:bottom w:val="none" w:sz="0" w:space="0" w:color="auto"/>
            <w:right w:val="none" w:sz="0" w:space="0" w:color="auto"/>
          </w:divBdr>
        </w:div>
      </w:divsChild>
    </w:div>
    <w:div w:id="1291980414">
      <w:marLeft w:val="0"/>
      <w:marRight w:val="0"/>
      <w:marTop w:val="0"/>
      <w:marBottom w:val="0"/>
      <w:divBdr>
        <w:top w:val="none" w:sz="0" w:space="0" w:color="auto"/>
        <w:left w:val="none" w:sz="0" w:space="0" w:color="auto"/>
        <w:bottom w:val="none" w:sz="0" w:space="0" w:color="auto"/>
        <w:right w:val="none" w:sz="0" w:space="0" w:color="auto"/>
      </w:divBdr>
      <w:divsChild>
        <w:div w:id="1436635801">
          <w:marLeft w:val="0"/>
          <w:marRight w:val="0"/>
          <w:marTop w:val="0"/>
          <w:marBottom w:val="0"/>
          <w:divBdr>
            <w:top w:val="none" w:sz="0" w:space="0" w:color="auto"/>
            <w:left w:val="none" w:sz="0" w:space="0" w:color="auto"/>
            <w:bottom w:val="none" w:sz="0" w:space="0" w:color="auto"/>
            <w:right w:val="none" w:sz="0" w:space="0" w:color="auto"/>
          </w:divBdr>
        </w:div>
      </w:divsChild>
    </w:div>
    <w:div w:id="1293175229">
      <w:marLeft w:val="0"/>
      <w:marRight w:val="0"/>
      <w:marTop w:val="0"/>
      <w:marBottom w:val="0"/>
      <w:divBdr>
        <w:top w:val="none" w:sz="0" w:space="0" w:color="auto"/>
        <w:left w:val="none" w:sz="0" w:space="0" w:color="auto"/>
        <w:bottom w:val="none" w:sz="0" w:space="0" w:color="auto"/>
        <w:right w:val="none" w:sz="0" w:space="0" w:color="auto"/>
      </w:divBdr>
    </w:div>
    <w:div w:id="1293249851">
      <w:marLeft w:val="0"/>
      <w:marRight w:val="0"/>
      <w:marTop w:val="0"/>
      <w:marBottom w:val="0"/>
      <w:divBdr>
        <w:top w:val="none" w:sz="0" w:space="0" w:color="auto"/>
        <w:left w:val="none" w:sz="0" w:space="0" w:color="auto"/>
        <w:bottom w:val="none" w:sz="0" w:space="0" w:color="auto"/>
        <w:right w:val="none" w:sz="0" w:space="0" w:color="auto"/>
      </w:divBdr>
    </w:div>
    <w:div w:id="1311784785">
      <w:marLeft w:val="0"/>
      <w:marRight w:val="0"/>
      <w:marTop w:val="100"/>
      <w:marBottom w:val="100"/>
      <w:divBdr>
        <w:top w:val="none" w:sz="0" w:space="0" w:color="auto"/>
        <w:left w:val="none" w:sz="0" w:space="0" w:color="auto"/>
        <w:bottom w:val="none" w:sz="0" w:space="0" w:color="auto"/>
        <w:right w:val="none" w:sz="0" w:space="0" w:color="auto"/>
      </w:divBdr>
    </w:div>
    <w:div w:id="1312638859">
      <w:marLeft w:val="0"/>
      <w:marRight w:val="0"/>
      <w:marTop w:val="0"/>
      <w:marBottom w:val="0"/>
      <w:divBdr>
        <w:top w:val="none" w:sz="0" w:space="0" w:color="auto"/>
        <w:left w:val="none" w:sz="0" w:space="0" w:color="auto"/>
        <w:bottom w:val="none" w:sz="0" w:space="0" w:color="auto"/>
        <w:right w:val="none" w:sz="0" w:space="0" w:color="auto"/>
      </w:divBdr>
      <w:divsChild>
        <w:div w:id="1781606231">
          <w:marLeft w:val="0"/>
          <w:marRight w:val="0"/>
          <w:marTop w:val="0"/>
          <w:marBottom w:val="0"/>
          <w:divBdr>
            <w:top w:val="none" w:sz="0" w:space="0" w:color="auto"/>
            <w:left w:val="none" w:sz="0" w:space="0" w:color="auto"/>
            <w:bottom w:val="none" w:sz="0" w:space="0" w:color="auto"/>
            <w:right w:val="none" w:sz="0" w:space="0" w:color="auto"/>
          </w:divBdr>
        </w:div>
      </w:divsChild>
    </w:div>
    <w:div w:id="1328555625">
      <w:marLeft w:val="0"/>
      <w:marRight w:val="0"/>
      <w:marTop w:val="100"/>
      <w:marBottom w:val="100"/>
      <w:divBdr>
        <w:top w:val="none" w:sz="0" w:space="0" w:color="auto"/>
        <w:left w:val="none" w:sz="0" w:space="0" w:color="auto"/>
        <w:bottom w:val="none" w:sz="0" w:space="0" w:color="auto"/>
        <w:right w:val="none" w:sz="0" w:space="0" w:color="auto"/>
      </w:divBdr>
    </w:div>
    <w:div w:id="1328898475">
      <w:marLeft w:val="0"/>
      <w:marRight w:val="0"/>
      <w:marTop w:val="0"/>
      <w:marBottom w:val="0"/>
      <w:divBdr>
        <w:top w:val="none" w:sz="0" w:space="0" w:color="auto"/>
        <w:left w:val="none" w:sz="0" w:space="0" w:color="auto"/>
        <w:bottom w:val="none" w:sz="0" w:space="0" w:color="auto"/>
        <w:right w:val="none" w:sz="0" w:space="0" w:color="auto"/>
      </w:divBdr>
      <w:divsChild>
        <w:div w:id="84764504">
          <w:marLeft w:val="0"/>
          <w:marRight w:val="0"/>
          <w:marTop w:val="0"/>
          <w:marBottom w:val="0"/>
          <w:divBdr>
            <w:top w:val="none" w:sz="0" w:space="0" w:color="auto"/>
            <w:left w:val="none" w:sz="0" w:space="0" w:color="auto"/>
            <w:bottom w:val="none" w:sz="0" w:space="0" w:color="auto"/>
            <w:right w:val="none" w:sz="0" w:space="0" w:color="auto"/>
          </w:divBdr>
        </w:div>
      </w:divsChild>
    </w:div>
    <w:div w:id="1329362930">
      <w:marLeft w:val="0"/>
      <w:marRight w:val="0"/>
      <w:marTop w:val="0"/>
      <w:marBottom w:val="0"/>
      <w:divBdr>
        <w:top w:val="none" w:sz="0" w:space="0" w:color="auto"/>
        <w:left w:val="none" w:sz="0" w:space="0" w:color="auto"/>
        <w:bottom w:val="none" w:sz="0" w:space="0" w:color="auto"/>
        <w:right w:val="none" w:sz="0" w:space="0" w:color="auto"/>
      </w:divBdr>
    </w:div>
    <w:div w:id="1332752032">
      <w:marLeft w:val="0"/>
      <w:marRight w:val="0"/>
      <w:marTop w:val="0"/>
      <w:marBottom w:val="0"/>
      <w:divBdr>
        <w:top w:val="none" w:sz="0" w:space="0" w:color="auto"/>
        <w:left w:val="none" w:sz="0" w:space="0" w:color="auto"/>
        <w:bottom w:val="none" w:sz="0" w:space="0" w:color="auto"/>
        <w:right w:val="none" w:sz="0" w:space="0" w:color="auto"/>
      </w:divBdr>
    </w:div>
    <w:div w:id="1334650024">
      <w:marLeft w:val="0"/>
      <w:marRight w:val="0"/>
      <w:marTop w:val="0"/>
      <w:marBottom w:val="160"/>
      <w:divBdr>
        <w:top w:val="none" w:sz="0" w:space="0" w:color="auto"/>
        <w:left w:val="none" w:sz="0" w:space="0" w:color="auto"/>
        <w:bottom w:val="none" w:sz="0" w:space="0" w:color="auto"/>
        <w:right w:val="none" w:sz="0" w:space="0" w:color="auto"/>
      </w:divBdr>
    </w:div>
    <w:div w:id="1342584390">
      <w:marLeft w:val="0"/>
      <w:marRight w:val="0"/>
      <w:marTop w:val="120"/>
      <w:marBottom w:val="120"/>
      <w:divBdr>
        <w:top w:val="none" w:sz="0" w:space="0" w:color="auto"/>
        <w:left w:val="none" w:sz="0" w:space="0" w:color="auto"/>
        <w:bottom w:val="none" w:sz="0" w:space="0" w:color="auto"/>
        <w:right w:val="none" w:sz="0" w:space="0" w:color="auto"/>
      </w:divBdr>
    </w:div>
    <w:div w:id="1342658989">
      <w:marLeft w:val="0"/>
      <w:marRight w:val="0"/>
      <w:marTop w:val="180"/>
      <w:marBottom w:val="0"/>
      <w:divBdr>
        <w:top w:val="none" w:sz="0" w:space="0" w:color="auto"/>
        <w:left w:val="none" w:sz="0" w:space="0" w:color="auto"/>
        <w:bottom w:val="none" w:sz="0" w:space="0" w:color="auto"/>
        <w:right w:val="none" w:sz="0" w:space="0" w:color="auto"/>
      </w:divBdr>
    </w:div>
    <w:div w:id="1349716801">
      <w:marLeft w:val="0"/>
      <w:marRight w:val="0"/>
      <w:marTop w:val="100"/>
      <w:marBottom w:val="0"/>
      <w:divBdr>
        <w:top w:val="none" w:sz="0" w:space="0" w:color="auto"/>
        <w:left w:val="none" w:sz="0" w:space="0" w:color="auto"/>
        <w:bottom w:val="none" w:sz="0" w:space="0" w:color="auto"/>
        <w:right w:val="none" w:sz="0" w:space="0" w:color="auto"/>
      </w:divBdr>
    </w:div>
    <w:div w:id="1352998710">
      <w:marLeft w:val="0"/>
      <w:marRight w:val="0"/>
      <w:marTop w:val="0"/>
      <w:marBottom w:val="0"/>
      <w:divBdr>
        <w:top w:val="none" w:sz="0" w:space="0" w:color="auto"/>
        <w:left w:val="none" w:sz="0" w:space="0" w:color="auto"/>
        <w:bottom w:val="none" w:sz="0" w:space="0" w:color="auto"/>
        <w:right w:val="none" w:sz="0" w:space="0" w:color="auto"/>
      </w:divBdr>
    </w:div>
    <w:div w:id="1365253839">
      <w:marLeft w:val="0"/>
      <w:marRight w:val="0"/>
      <w:marTop w:val="100"/>
      <w:marBottom w:val="100"/>
      <w:divBdr>
        <w:top w:val="none" w:sz="0" w:space="0" w:color="auto"/>
        <w:left w:val="none" w:sz="0" w:space="0" w:color="auto"/>
        <w:bottom w:val="none" w:sz="0" w:space="0" w:color="auto"/>
        <w:right w:val="none" w:sz="0" w:space="0" w:color="auto"/>
      </w:divBdr>
      <w:divsChild>
        <w:div w:id="1955938709">
          <w:marLeft w:val="0"/>
          <w:marRight w:val="0"/>
          <w:marTop w:val="0"/>
          <w:marBottom w:val="20"/>
          <w:divBdr>
            <w:top w:val="none" w:sz="0" w:space="0" w:color="auto"/>
            <w:left w:val="none" w:sz="0" w:space="0" w:color="auto"/>
            <w:bottom w:val="none" w:sz="0" w:space="0" w:color="auto"/>
            <w:right w:val="none" w:sz="0" w:space="0" w:color="auto"/>
          </w:divBdr>
        </w:div>
        <w:div w:id="2117405834">
          <w:marLeft w:val="0"/>
          <w:marRight w:val="0"/>
          <w:marTop w:val="0"/>
          <w:marBottom w:val="20"/>
          <w:divBdr>
            <w:top w:val="none" w:sz="0" w:space="0" w:color="auto"/>
            <w:left w:val="none" w:sz="0" w:space="0" w:color="auto"/>
            <w:bottom w:val="none" w:sz="0" w:space="0" w:color="auto"/>
            <w:right w:val="none" w:sz="0" w:space="0" w:color="auto"/>
          </w:divBdr>
        </w:div>
        <w:div w:id="223609960">
          <w:marLeft w:val="0"/>
          <w:marRight w:val="0"/>
          <w:marTop w:val="0"/>
          <w:marBottom w:val="20"/>
          <w:divBdr>
            <w:top w:val="none" w:sz="0" w:space="0" w:color="auto"/>
            <w:left w:val="none" w:sz="0" w:space="0" w:color="auto"/>
            <w:bottom w:val="none" w:sz="0" w:space="0" w:color="auto"/>
            <w:right w:val="none" w:sz="0" w:space="0" w:color="auto"/>
          </w:divBdr>
        </w:div>
        <w:div w:id="41173934">
          <w:marLeft w:val="0"/>
          <w:marRight w:val="0"/>
          <w:marTop w:val="0"/>
          <w:marBottom w:val="20"/>
          <w:divBdr>
            <w:top w:val="none" w:sz="0" w:space="0" w:color="auto"/>
            <w:left w:val="none" w:sz="0" w:space="0" w:color="auto"/>
            <w:bottom w:val="none" w:sz="0" w:space="0" w:color="auto"/>
            <w:right w:val="none" w:sz="0" w:space="0" w:color="auto"/>
          </w:divBdr>
        </w:div>
        <w:div w:id="272173176">
          <w:marLeft w:val="0"/>
          <w:marRight w:val="0"/>
          <w:marTop w:val="0"/>
          <w:marBottom w:val="20"/>
          <w:divBdr>
            <w:top w:val="none" w:sz="0" w:space="0" w:color="auto"/>
            <w:left w:val="none" w:sz="0" w:space="0" w:color="auto"/>
            <w:bottom w:val="none" w:sz="0" w:space="0" w:color="auto"/>
            <w:right w:val="none" w:sz="0" w:space="0" w:color="auto"/>
          </w:divBdr>
        </w:div>
        <w:div w:id="1621494064">
          <w:marLeft w:val="0"/>
          <w:marRight w:val="0"/>
          <w:marTop w:val="0"/>
          <w:marBottom w:val="20"/>
          <w:divBdr>
            <w:top w:val="none" w:sz="0" w:space="0" w:color="auto"/>
            <w:left w:val="none" w:sz="0" w:space="0" w:color="auto"/>
            <w:bottom w:val="none" w:sz="0" w:space="0" w:color="auto"/>
            <w:right w:val="none" w:sz="0" w:space="0" w:color="auto"/>
          </w:divBdr>
        </w:div>
        <w:div w:id="192959299">
          <w:marLeft w:val="0"/>
          <w:marRight w:val="0"/>
          <w:marTop w:val="0"/>
          <w:marBottom w:val="20"/>
          <w:divBdr>
            <w:top w:val="none" w:sz="0" w:space="0" w:color="auto"/>
            <w:left w:val="none" w:sz="0" w:space="0" w:color="auto"/>
            <w:bottom w:val="none" w:sz="0" w:space="0" w:color="auto"/>
            <w:right w:val="none" w:sz="0" w:space="0" w:color="auto"/>
          </w:divBdr>
        </w:div>
        <w:div w:id="1414662288">
          <w:marLeft w:val="0"/>
          <w:marRight w:val="0"/>
          <w:marTop w:val="0"/>
          <w:marBottom w:val="20"/>
          <w:divBdr>
            <w:top w:val="none" w:sz="0" w:space="0" w:color="auto"/>
            <w:left w:val="none" w:sz="0" w:space="0" w:color="auto"/>
            <w:bottom w:val="none" w:sz="0" w:space="0" w:color="auto"/>
            <w:right w:val="none" w:sz="0" w:space="0" w:color="auto"/>
          </w:divBdr>
        </w:div>
      </w:divsChild>
    </w:div>
    <w:div w:id="1365715933">
      <w:marLeft w:val="0"/>
      <w:marRight w:val="0"/>
      <w:marTop w:val="0"/>
      <w:marBottom w:val="0"/>
      <w:divBdr>
        <w:top w:val="none" w:sz="0" w:space="0" w:color="auto"/>
        <w:left w:val="none" w:sz="0" w:space="0" w:color="auto"/>
        <w:bottom w:val="none" w:sz="0" w:space="0" w:color="auto"/>
        <w:right w:val="none" w:sz="0" w:space="0" w:color="auto"/>
      </w:divBdr>
    </w:div>
    <w:div w:id="1376461963">
      <w:marLeft w:val="0"/>
      <w:marRight w:val="0"/>
      <w:marTop w:val="100"/>
      <w:marBottom w:val="0"/>
      <w:divBdr>
        <w:top w:val="none" w:sz="0" w:space="0" w:color="auto"/>
        <w:left w:val="none" w:sz="0" w:space="0" w:color="auto"/>
        <w:bottom w:val="none" w:sz="0" w:space="0" w:color="auto"/>
        <w:right w:val="none" w:sz="0" w:space="0" w:color="auto"/>
      </w:divBdr>
    </w:div>
    <w:div w:id="1391349368">
      <w:marLeft w:val="0"/>
      <w:marRight w:val="0"/>
      <w:marTop w:val="180"/>
      <w:marBottom w:val="180"/>
      <w:divBdr>
        <w:top w:val="none" w:sz="0" w:space="0" w:color="auto"/>
        <w:left w:val="none" w:sz="0" w:space="0" w:color="auto"/>
        <w:bottom w:val="none" w:sz="0" w:space="0" w:color="auto"/>
        <w:right w:val="none" w:sz="0" w:space="0" w:color="auto"/>
      </w:divBdr>
    </w:div>
    <w:div w:id="1391996152">
      <w:marLeft w:val="0"/>
      <w:marRight w:val="0"/>
      <w:marTop w:val="0"/>
      <w:marBottom w:val="0"/>
      <w:divBdr>
        <w:top w:val="none" w:sz="0" w:space="0" w:color="auto"/>
        <w:left w:val="none" w:sz="0" w:space="0" w:color="auto"/>
        <w:bottom w:val="none" w:sz="0" w:space="0" w:color="auto"/>
        <w:right w:val="none" w:sz="0" w:space="0" w:color="auto"/>
      </w:divBdr>
    </w:div>
    <w:div w:id="1395398298">
      <w:marLeft w:val="0"/>
      <w:marRight w:val="0"/>
      <w:marTop w:val="0"/>
      <w:marBottom w:val="0"/>
      <w:divBdr>
        <w:top w:val="none" w:sz="0" w:space="0" w:color="auto"/>
        <w:left w:val="none" w:sz="0" w:space="0" w:color="auto"/>
        <w:bottom w:val="none" w:sz="0" w:space="0" w:color="auto"/>
        <w:right w:val="none" w:sz="0" w:space="0" w:color="auto"/>
      </w:divBdr>
    </w:div>
    <w:div w:id="1403258919">
      <w:marLeft w:val="0"/>
      <w:marRight w:val="0"/>
      <w:marTop w:val="100"/>
      <w:marBottom w:val="100"/>
      <w:divBdr>
        <w:top w:val="none" w:sz="0" w:space="0" w:color="auto"/>
        <w:left w:val="none" w:sz="0" w:space="0" w:color="auto"/>
        <w:bottom w:val="none" w:sz="0" w:space="0" w:color="auto"/>
        <w:right w:val="none" w:sz="0" w:space="0" w:color="auto"/>
      </w:divBdr>
    </w:div>
    <w:div w:id="1408571538">
      <w:marLeft w:val="0"/>
      <w:marRight w:val="0"/>
      <w:marTop w:val="80"/>
      <w:marBottom w:val="0"/>
      <w:divBdr>
        <w:top w:val="none" w:sz="0" w:space="0" w:color="auto"/>
        <w:left w:val="none" w:sz="0" w:space="0" w:color="auto"/>
        <w:bottom w:val="none" w:sz="0" w:space="0" w:color="auto"/>
        <w:right w:val="none" w:sz="0" w:space="0" w:color="auto"/>
      </w:divBdr>
    </w:div>
    <w:div w:id="1412123003">
      <w:marLeft w:val="0"/>
      <w:marRight w:val="0"/>
      <w:marTop w:val="100"/>
      <w:marBottom w:val="100"/>
      <w:divBdr>
        <w:top w:val="none" w:sz="0" w:space="0" w:color="auto"/>
        <w:left w:val="none" w:sz="0" w:space="0" w:color="auto"/>
        <w:bottom w:val="none" w:sz="0" w:space="0" w:color="auto"/>
        <w:right w:val="none" w:sz="0" w:space="0" w:color="auto"/>
      </w:divBdr>
      <w:divsChild>
        <w:div w:id="1491870761">
          <w:marLeft w:val="0"/>
          <w:marRight w:val="0"/>
          <w:marTop w:val="180"/>
          <w:marBottom w:val="0"/>
          <w:divBdr>
            <w:top w:val="none" w:sz="0" w:space="0" w:color="auto"/>
            <w:left w:val="none" w:sz="0" w:space="0" w:color="auto"/>
            <w:bottom w:val="none" w:sz="0" w:space="0" w:color="auto"/>
            <w:right w:val="none" w:sz="0" w:space="0" w:color="auto"/>
          </w:divBdr>
        </w:div>
        <w:div w:id="1582910294">
          <w:marLeft w:val="0"/>
          <w:marRight w:val="0"/>
          <w:marTop w:val="180"/>
          <w:marBottom w:val="0"/>
          <w:divBdr>
            <w:top w:val="none" w:sz="0" w:space="0" w:color="auto"/>
            <w:left w:val="none" w:sz="0" w:space="0" w:color="auto"/>
            <w:bottom w:val="none" w:sz="0" w:space="0" w:color="auto"/>
            <w:right w:val="none" w:sz="0" w:space="0" w:color="auto"/>
          </w:divBdr>
        </w:div>
        <w:div w:id="1076513923">
          <w:marLeft w:val="0"/>
          <w:marRight w:val="0"/>
          <w:marTop w:val="180"/>
          <w:marBottom w:val="0"/>
          <w:divBdr>
            <w:top w:val="none" w:sz="0" w:space="0" w:color="auto"/>
            <w:left w:val="none" w:sz="0" w:space="0" w:color="auto"/>
            <w:bottom w:val="none" w:sz="0" w:space="0" w:color="auto"/>
            <w:right w:val="none" w:sz="0" w:space="0" w:color="auto"/>
          </w:divBdr>
        </w:div>
        <w:div w:id="1591694897">
          <w:marLeft w:val="0"/>
          <w:marRight w:val="0"/>
          <w:marTop w:val="180"/>
          <w:marBottom w:val="0"/>
          <w:divBdr>
            <w:top w:val="none" w:sz="0" w:space="0" w:color="auto"/>
            <w:left w:val="none" w:sz="0" w:space="0" w:color="auto"/>
            <w:bottom w:val="none" w:sz="0" w:space="0" w:color="auto"/>
            <w:right w:val="none" w:sz="0" w:space="0" w:color="auto"/>
          </w:divBdr>
        </w:div>
        <w:div w:id="1064062414">
          <w:marLeft w:val="0"/>
          <w:marRight w:val="0"/>
          <w:marTop w:val="180"/>
          <w:marBottom w:val="0"/>
          <w:divBdr>
            <w:top w:val="none" w:sz="0" w:space="0" w:color="auto"/>
            <w:left w:val="none" w:sz="0" w:space="0" w:color="auto"/>
            <w:bottom w:val="none" w:sz="0" w:space="0" w:color="auto"/>
            <w:right w:val="none" w:sz="0" w:space="0" w:color="auto"/>
          </w:divBdr>
        </w:div>
      </w:divsChild>
    </w:div>
    <w:div w:id="1412266339">
      <w:marLeft w:val="0"/>
      <w:marRight w:val="0"/>
      <w:marTop w:val="180"/>
      <w:marBottom w:val="0"/>
      <w:divBdr>
        <w:top w:val="none" w:sz="0" w:space="0" w:color="auto"/>
        <w:left w:val="none" w:sz="0" w:space="0" w:color="auto"/>
        <w:bottom w:val="none" w:sz="0" w:space="0" w:color="auto"/>
        <w:right w:val="none" w:sz="0" w:space="0" w:color="auto"/>
      </w:divBdr>
    </w:div>
    <w:div w:id="1420637532">
      <w:marLeft w:val="0"/>
      <w:marRight w:val="0"/>
      <w:marTop w:val="0"/>
      <w:marBottom w:val="0"/>
      <w:divBdr>
        <w:top w:val="none" w:sz="0" w:space="0" w:color="auto"/>
        <w:left w:val="none" w:sz="0" w:space="0" w:color="auto"/>
        <w:bottom w:val="none" w:sz="0" w:space="0" w:color="auto"/>
        <w:right w:val="none" w:sz="0" w:space="0" w:color="auto"/>
      </w:divBdr>
      <w:divsChild>
        <w:div w:id="1058164947">
          <w:marLeft w:val="0"/>
          <w:marRight w:val="0"/>
          <w:marTop w:val="0"/>
          <w:marBottom w:val="0"/>
          <w:divBdr>
            <w:top w:val="none" w:sz="0" w:space="0" w:color="auto"/>
            <w:left w:val="none" w:sz="0" w:space="0" w:color="auto"/>
            <w:bottom w:val="none" w:sz="0" w:space="0" w:color="auto"/>
            <w:right w:val="none" w:sz="0" w:space="0" w:color="auto"/>
          </w:divBdr>
        </w:div>
      </w:divsChild>
    </w:div>
    <w:div w:id="1430739916">
      <w:marLeft w:val="0"/>
      <w:marRight w:val="0"/>
      <w:marTop w:val="0"/>
      <w:marBottom w:val="0"/>
      <w:divBdr>
        <w:top w:val="none" w:sz="0" w:space="0" w:color="auto"/>
        <w:left w:val="none" w:sz="0" w:space="0" w:color="auto"/>
        <w:bottom w:val="none" w:sz="0" w:space="0" w:color="auto"/>
        <w:right w:val="none" w:sz="0" w:space="0" w:color="auto"/>
      </w:divBdr>
      <w:divsChild>
        <w:div w:id="575550219">
          <w:marLeft w:val="0"/>
          <w:marRight w:val="0"/>
          <w:marTop w:val="0"/>
          <w:marBottom w:val="0"/>
          <w:divBdr>
            <w:top w:val="none" w:sz="0" w:space="0" w:color="auto"/>
            <w:left w:val="none" w:sz="0" w:space="0" w:color="auto"/>
            <w:bottom w:val="none" w:sz="0" w:space="0" w:color="auto"/>
            <w:right w:val="none" w:sz="0" w:space="0" w:color="auto"/>
          </w:divBdr>
        </w:div>
      </w:divsChild>
    </w:div>
    <w:div w:id="1438868486">
      <w:marLeft w:val="0"/>
      <w:marRight w:val="0"/>
      <w:marTop w:val="0"/>
      <w:marBottom w:val="0"/>
      <w:divBdr>
        <w:top w:val="none" w:sz="0" w:space="0" w:color="auto"/>
        <w:left w:val="none" w:sz="0" w:space="0" w:color="auto"/>
        <w:bottom w:val="none" w:sz="0" w:space="0" w:color="auto"/>
        <w:right w:val="none" w:sz="0" w:space="0" w:color="auto"/>
      </w:divBdr>
    </w:div>
    <w:div w:id="1441488884">
      <w:marLeft w:val="0"/>
      <w:marRight w:val="0"/>
      <w:marTop w:val="100"/>
      <w:marBottom w:val="100"/>
      <w:divBdr>
        <w:top w:val="none" w:sz="0" w:space="0" w:color="auto"/>
        <w:left w:val="none" w:sz="0" w:space="0" w:color="auto"/>
        <w:bottom w:val="none" w:sz="0" w:space="0" w:color="auto"/>
        <w:right w:val="none" w:sz="0" w:space="0" w:color="auto"/>
      </w:divBdr>
    </w:div>
    <w:div w:id="1442610344">
      <w:marLeft w:val="0"/>
      <w:marRight w:val="0"/>
      <w:marTop w:val="100"/>
      <w:marBottom w:val="100"/>
      <w:divBdr>
        <w:top w:val="none" w:sz="0" w:space="0" w:color="auto"/>
        <w:left w:val="none" w:sz="0" w:space="0" w:color="auto"/>
        <w:bottom w:val="none" w:sz="0" w:space="0" w:color="auto"/>
        <w:right w:val="none" w:sz="0" w:space="0" w:color="auto"/>
      </w:divBdr>
    </w:div>
    <w:div w:id="1442719529">
      <w:marLeft w:val="0"/>
      <w:marRight w:val="0"/>
      <w:marTop w:val="0"/>
      <w:marBottom w:val="0"/>
      <w:divBdr>
        <w:top w:val="none" w:sz="0" w:space="0" w:color="auto"/>
        <w:left w:val="none" w:sz="0" w:space="0" w:color="auto"/>
        <w:bottom w:val="none" w:sz="0" w:space="0" w:color="auto"/>
        <w:right w:val="none" w:sz="0" w:space="0" w:color="auto"/>
      </w:divBdr>
    </w:div>
    <w:div w:id="1445266681">
      <w:marLeft w:val="0"/>
      <w:marRight w:val="0"/>
      <w:marTop w:val="0"/>
      <w:marBottom w:val="0"/>
      <w:divBdr>
        <w:top w:val="none" w:sz="0" w:space="0" w:color="auto"/>
        <w:left w:val="none" w:sz="0" w:space="0" w:color="auto"/>
        <w:bottom w:val="none" w:sz="0" w:space="0" w:color="auto"/>
        <w:right w:val="none" w:sz="0" w:space="0" w:color="auto"/>
      </w:divBdr>
    </w:div>
    <w:div w:id="1451362790">
      <w:marLeft w:val="0"/>
      <w:marRight w:val="0"/>
      <w:marTop w:val="220"/>
      <w:marBottom w:val="220"/>
      <w:divBdr>
        <w:top w:val="none" w:sz="0" w:space="0" w:color="auto"/>
        <w:left w:val="none" w:sz="0" w:space="0" w:color="auto"/>
        <w:bottom w:val="none" w:sz="0" w:space="0" w:color="auto"/>
        <w:right w:val="none" w:sz="0" w:space="0" w:color="auto"/>
      </w:divBdr>
    </w:div>
    <w:div w:id="1453206601">
      <w:marLeft w:val="0"/>
      <w:marRight w:val="0"/>
      <w:marTop w:val="0"/>
      <w:marBottom w:val="0"/>
      <w:divBdr>
        <w:top w:val="none" w:sz="0" w:space="0" w:color="auto"/>
        <w:left w:val="none" w:sz="0" w:space="0" w:color="auto"/>
        <w:bottom w:val="none" w:sz="0" w:space="0" w:color="auto"/>
        <w:right w:val="none" w:sz="0" w:space="0" w:color="auto"/>
      </w:divBdr>
    </w:div>
    <w:div w:id="1453938206">
      <w:marLeft w:val="0"/>
      <w:marRight w:val="0"/>
      <w:marTop w:val="0"/>
      <w:marBottom w:val="0"/>
      <w:divBdr>
        <w:top w:val="none" w:sz="0" w:space="0" w:color="auto"/>
        <w:left w:val="none" w:sz="0" w:space="0" w:color="auto"/>
        <w:bottom w:val="none" w:sz="0" w:space="0" w:color="auto"/>
        <w:right w:val="none" w:sz="0" w:space="0" w:color="auto"/>
      </w:divBdr>
    </w:div>
    <w:div w:id="1460025981">
      <w:marLeft w:val="0"/>
      <w:marRight w:val="0"/>
      <w:marTop w:val="0"/>
      <w:marBottom w:val="0"/>
      <w:divBdr>
        <w:top w:val="none" w:sz="0" w:space="0" w:color="auto"/>
        <w:left w:val="none" w:sz="0" w:space="0" w:color="auto"/>
        <w:bottom w:val="none" w:sz="0" w:space="0" w:color="auto"/>
        <w:right w:val="none" w:sz="0" w:space="0" w:color="auto"/>
      </w:divBdr>
      <w:divsChild>
        <w:div w:id="74595191">
          <w:marLeft w:val="0"/>
          <w:marRight w:val="0"/>
          <w:marTop w:val="0"/>
          <w:marBottom w:val="0"/>
          <w:divBdr>
            <w:top w:val="none" w:sz="0" w:space="0" w:color="auto"/>
            <w:left w:val="none" w:sz="0" w:space="0" w:color="auto"/>
            <w:bottom w:val="none" w:sz="0" w:space="0" w:color="auto"/>
            <w:right w:val="none" w:sz="0" w:space="0" w:color="auto"/>
          </w:divBdr>
        </w:div>
      </w:divsChild>
    </w:div>
    <w:div w:id="1463302725">
      <w:marLeft w:val="0"/>
      <w:marRight w:val="0"/>
      <w:marTop w:val="0"/>
      <w:marBottom w:val="0"/>
      <w:divBdr>
        <w:top w:val="none" w:sz="0" w:space="0" w:color="auto"/>
        <w:left w:val="none" w:sz="0" w:space="0" w:color="auto"/>
        <w:bottom w:val="none" w:sz="0" w:space="0" w:color="auto"/>
        <w:right w:val="none" w:sz="0" w:space="0" w:color="auto"/>
      </w:divBdr>
    </w:div>
    <w:div w:id="1471481411">
      <w:marLeft w:val="0"/>
      <w:marRight w:val="0"/>
      <w:marTop w:val="0"/>
      <w:marBottom w:val="0"/>
      <w:divBdr>
        <w:top w:val="none" w:sz="0" w:space="0" w:color="auto"/>
        <w:left w:val="none" w:sz="0" w:space="0" w:color="auto"/>
        <w:bottom w:val="none" w:sz="0" w:space="0" w:color="auto"/>
        <w:right w:val="none" w:sz="0" w:space="0" w:color="auto"/>
      </w:divBdr>
      <w:divsChild>
        <w:div w:id="50545984">
          <w:marLeft w:val="0"/>
          <w:marRight w:val="0"/>
          <w:marTop w:val="0"/>
          <w:marBottom w:val="0"/>
          <w:divBdr>
            <w:top w:val="none" w:sz="0" w:space="0" w:color="auto"/>
            <w:left w:val="none" w:sz="0" w:space="0" w:color="auto"/>
            <w:bottom w:val="none" w:sz="0" w:space="0" w:color="auto"/>
            <w:right w:val="none" w:sz="0" w:space="0" w:color="auto"/>
          </w:divBdr>
        </w:div>
      </w:divsChild>
    </w:div>
    <w:div w:id="1474450337">
      <w:marLeft w:val="0"/>
      <w:marRight w:val="0"/>
      <w:marTop w:val="0"/>
      <w:marBottom w:val="0"/>
      <w:divBdr>
        <w:top w:val="none" w:sz="0" w:space="0" w:color="auto"/>
        <w:left w:val="none" w:sz="0" w:space="0" w:color="auto"/>
        <w:bottom w:val="none" w:sz="0" w:space="0" w:color="auto"/>
        <w:right w:val="none" w:sz="0" w:space="0" w:color="auto"/>
      </w:divBdr>
      <w:divsChild>
        <w:div w:id="737678757">
          <w:marLeft w:val="0"/>
          <w:marRight w:val="0"/>
          <w:marTop w:val="0"/>
          <w:marBottom w:val="0"/>
          <w:divBdr>
            <w:top w:val="none" w:sz="0" w:space="0" w:color="auto"/>
            <w:left w:val="none" w:sz="0" w:space="0" w:color="auto"/>
            <w:bottom w:val="none" w:sz="0" w:space="0" w:color="auto"/>
            <w:right w:val="none" w:sz="0" w:space="0" w:color="auto"/>
          </w:divBdr>
        </w:div>
      </w:divsChild>
    </w:div>
    <w:div w:id="1475637332">
      <w:marLeft w:val="0"/>
      <w:marRight w:val="0"/>
      <w:marTop w:val="60"/>
      <w:marBottom w:val="0"/>
      <w:divBdr>
        <w:top w:val="none" w:sz="0" w:space="0" w:color="auto"/>
        <w:left w:val="none" w:sz="0" w:space="0" w:color="auto"/>
        <w:bottom w:val="none" w:sz="0" w:space="0" w:color="auto"/>
        <w:right w:val="none" w:sz="0" w:space="0" w:color="auto"/>
      </w:divBdr>
    </w:div>
    <w:div w:id="1490975714">
      <w:marLeft w:val="0"/>
      <w:marRight w:val="0"/>
      <w:marTop w:val="120"/>
      <w:marBottom w:val="120"/>
      <w:divBdr>
        <w:top w:val="none" w:sz="0" w:space="0" w:color="auto"/>
        <w:left w:val="none" w:sz="0" w:space="0" w:color="auto"/>
        <w:bottom w:val="none" w:sz="0" w:space="0" w:color="auto"/>
        <w:right w:val="none" w:sz="0" w:space="0" w:color="auto"/>
      </w:divBdr>
    </w:div>
    <w:div w:id="1495754694">
      <w:marLeft w:val="0"/>
      <w:marRight w:val="0"/>
      <w:marTop w:val="280"/>
      <w:marBottom w:val="100"/>
      <w:divBdr>
        <w:top w:val="none" w:sz="0" w:space="0" w:color="auto"/>
        <w:left w:val="none" w:sz="0" w:space="0" w:color="auto"/>
        <w:bottom w:val="none" w:sz="0" w:space="0" w:color="auto"/>
        <w:right w:val="none" w:sz="0" w:space="0" w:color="auto"/>
      </w:divBdr>
      <w:divsChild>
        <w:div w:id="1686521645">
          <w:marLeft w:val="0"/>
          <w:marRight w:val="0"/>
          <w:marTop w:val="180"/>
          <w:marBottom w:val="0"/>
          <w:divBdr>
            <w:top w:val="none" w:sz="0" w:space="0" w:color="auto"/>
            <w:left w:val="none" w:sz="0" w:space="0" w:color="auto"/>
            <w:bottom w:val="none" w:sz="0" w:space="0" w:color="auto"/>
            <w:right w:val="none" w:sz="0" w:space="0" w:color="auto"/>
          </w:divBdr>
        </w:div>
        <w:div w:id="551117047">
          <w:marLeft w:val="0"/>
          <w:marRight w:val="0"/>
          <w:marTop w:val="180"/>
          <w:marBottom w:val="0"/>
          <w:divBdr>
            <w:top w:val="none" w:sz="0" w:space="0" w:color="auto"/>
            <w:left w:val="none" w:sz="0" w:space="0" w:color="auto"/>
            <w:bottom w:val="none" w:sz="0" w:space="0" w:color="auto"/>
            <w:right w:val="none" w:sz="0" w:space="0" w:color="auto"/>
          </w:divBdr>
        </w:div>
        <w:div w:id="175311959">
          <w:marLeft w:val="0"/>
          <w:marRight w:val="0"/>
          <w:marTop w:val="180"/>
          <w:marBottom w:val="0"/>
          <w:divBdr>
            <w:top w:val="none" w:sz="0" w:space="0" w:color="auto"/>
            <w:left w:val="none" w:sz="0" w:space="0" w:color="auto"/>
            <w:bottom w:val="none" w:sz="0" w:space="0" w:color="auto"/>
            <w:right w:val="none" w:sz="0" w:space="0" w:color="auto"/>
          </w:divBdr>
        </w:div>
        <w:div w:id="1635255628">
          <w:marLeft w:val="0"/>
          <w:marRight w:val="0"/>
          <w:marTop w:val="180"/>
          <w:marBottom w:val="0"/>
          <w:divBdr>
            <w:top w:val="none" w:sz="0" w:space="0" w:color="auto"/>
            <w:left w:val="none" w:sz="0" w:space="0" w:color="auto"/>
            <w:bottom w:val="none" w:sz="0" w:space="0" w:color="auto"/>
            <w:right w:val="none" w:sz="0" w:space="0" w:color="auto"/>
          </w:divBdr>
        </w:div>
        <w:div w:id="998996978">
          <w:marLeft w:val="0"/>
          <w:marRight w:val="0"/>
          <w:marTop w:val="180"/>
          <w:marBottom w:val="0"/>
          <w:divBdr>
            <w:top w:val="none" w:sz="0" w:space="0" w:color="auto"/>
            <w:left w:val="none" w:sz="0" w:space="0" w:color="auto"/>
            <w:bottom w:val="none" w:sz="0" w:space="0" w:color="auto"/>
            <w:right w:val="none" w:sz="0" w:space="0" w:color="auto"/>
          </w:divBdr>
        </w:div>
        <w:div w:id="662897747">
          <w:marLeft w:val="0"/>
          <w:marRight w:val="0"/>
          <w:marTop w:val="180"/>
          <w:marBottom w:val="0"/>
          <w:divBdr>
            <w:top w:val="none" w:sz="0" w:space="0" w:color="auto"/>
            <w:left w:val="none" w:sz="0" w:space="0" w:color="auto"/>
            <w:bottom w:val="none" w:sz="0" w:space="0" w:color="auto"/>
            <w:right w:val="none" w:sz="0" w:space="0" w:color="auto"/>
          </w:divBdr>
        </w:div>
        <w:div w:id="1853061193">
          <w:marLeft w:val="0"/>
          <w:marRight w:val="0"/>
          <w:marTop w:val="180"/>
          <w:marBottom w:val="0"/>
          <w:divBdr>
            <w:top w:val="none" w:sz="0" w:space="0" w:color="auto"/>
            <w:left w:val="none" w:sz="0" w:space="0" w:color="auto"/>
            <w:bottom w:val="none" w:sz="0" w:space="0" w:color="auto"/>
            <w:right w:val="none" w:sz="0" w:space="0" w:color="auto"/>
          </w:divBdr>
        </w:div>
        <w:div w:id="1128666474">
          <w:marLeft w:val="0"/>
          <w:marRight w:val="0"/>
          <w:marTop w:val="180"/>
          <w:marBottom w:val="0"/>
          <w:divBdr>
            <w:top w:val="none" w:sz="0" w:space="0" w:color="auto"/>
            <w:left w:val="none" w:sz="0" w:space="0" w:color="auto"/>
            <w:bottom w:val="none" w:sz="0" w:space="0" w:color="auto"/>
            <w:right w:val="none" w:sz="0" w:space="0" w:color="auto"/>
          </w:divBdr>
        </w:div>
        <w:div w:id="338000743">
          <w:marLeft w:val="0"/>
          <w:marRight w:val="0"/>
          <w:marTop w:val="180"/>
          <w:marBottom w:val="0"/>
          <w:divBdr>
            <w:top w:val="none" w:sz="0" w:space="0" w:color="auto"/>
            <w:left w:val="none" w:sz="0" w:space="0" w:color="auto"/>
            <w:bottom w:val="none" w:sz="0" w:space="0" w:color="auto"/>
            <w:right w:val="none" w:sz="0" w:space="0" w:color="auto"/>
          </w:divBdr>
        </w:div>
        <w:div w:id="1273397154">
          <w:marLeft w:val="0"/>
          <w:marRight w:val="0"/>
          <w:marTop w:val="180"/>
          <w:marBottom w:val="0"/>
          <w:divBdr>
            <w:top w:val="none" w:sz="0" w:space="0" w:color="auto"/>
            <w:left w:val="none" w:sz="0" w:space="0" w:color="auto"/>
            <w:bottom w:val="none" w:sz="0" w:space="0" w:color="auto"/>
            <w:right w:val="none" w:sz="0" w:space="0" w:color="auto"/>
          </w:divBdr>
        </w:div>
      </w:divsChild>
    </w:div>
    <w:div w:id="1510366311">
      <w:marLeft w:val="0"/>
      <w:marRight w:val="0"/>
      <w:marTop w:val="0"/>
      <w:marBottom w:val="0"/>
      <w:divBdr>
        <w:top w:val="none" w:sz="0" w:space="0" w:color="auto"/>
        <w:left w:val="none" w:sz="0" w:space="0" w:color="auto"/>
        <w:bottom w:val="none" w:sz="0" w:space="0" w:color="auto"/>
        <w:right w:val="none" w:sz="0" w:space="0" w:color="auto"/>
      </w:divBdr>
    </w:div>
    <w:div w:id="1512917063">
      <w:marLeft w:val="0"/>
      <w:marRight w:val="0"/>
      <w:marTop w:val="0"/>
      <w:marBottom w:val="0"/>
      <w:divBdr>
        <w:top w:val="none" w:sz="0" w:space="0" w:color="auto"/>
        <w:left w:val="none" w:sz="0" w:space="0" w:color="auto"/>
        <w:bottom w:val="none" w:sz="0" w:space="0" w:color="auto"/>
        <w:right w:val="none" w:sz="0" w:space="0" w:color="auto"/>
      </w:divBdr>
      <w:divsChild>
        <w:div w:id="1809011480">
          <w:marLeft w:val="0"/>
          <w:marRight w:val="0"/>
          <w:marTop w:val="0"/>
          <w:marBottom w:val="0"/>
          <w:divBdr>
            <w:top w:val="none" w:sz="0" w:space="0" w:color="auto"/>
            <w:left w:val="none" w:sz="0" w:space="0" w:color="auto"/>
            <w:bottom w:val="none" w:sz="0" w:space="0" w:color="auto"/>
            <w:right w:val="none" w:sz="0" w:space="0" w:color="auto"/>
          </w:divBdr>
        </w:div>
      </w:divsChild>
    </w:div>
    <w:div w:id="1520116637">
      <w:marLeft w:val="0"/>
      <w:marRight w:val="0"/>
      <w:marTop w:val="0"/>
      <w:marBottom w:val="120"/>
      <w:divBdr>
        <w:top w:val="none" w:sz="0" w:space="0" w:color="auto"/>
        <w:left w:val="none" w:sz="0" w:space="0" w:color="auto"/>
        <w:bottom w:val="none" w:sz="0" w:space="0" w:color="auto"/>
        <w:right w:val="none" w:sz="0" w:space="0" w:color="auto"/>
      </w:divBdr>
    </w:div>
    <w:div w:id="1529561734">
      <w:marLeft w:val="0"/>
      <w:marRight w:val="0"/>
      <w:marTop w:val="120"/>
      <w:marBottom w:val="120"/>
      <w:divBdr>
        <w:top w:val="none" w:sz="0" w:space="0" w:color="auto"/>
        <w:left w:val="none" w:sz="0" w:space="0" w:color="auto"/>
        <w:bottom w:val="none" w:sz="0" w:space="0" w:color="auto"/>
        <w:right w:val="none" w:sz="0" w:space="0" w:color="auto"/>
      </w:divBdr>
    </w:div>
    <w:div w:id="1542399935">
      <w:marLeft w:val="0"/>
      <w:marRight w:val="0"/>
      <w:marTop w:val="0"/>
      <w:marBottom w:val="120"/>
      <w:divBdr>
        <w:top w:val="none" w:sz="0" w:space="0" w:color="auto"/>
        <w:left w:val="none" w:sz="0" w:space="0" w:color="auto"/>
        <w:bottom w:val="none" w:sz="0" w:space="0" w:color="auto"/>
        <w:right w:val="none" w:sz="0" w:space="0" w:color="auto"/>
      </w:divBdr>
    </w:div>
    <w:div w:id="1543714649">
      <w:marLeft w:val="0"/>
      <w:marRight w:val="0"/>
      <w:marTop w:val="100"/>
      <w:marBottom w:val="0"/>
      <w:divBdr>
        <w:top w:val="none" w:sz="0" w:space="0" w:color="auto"/>
        <w:left w:val="none" w:sz="0" w:space="0" w:color="auto"/>
        <w:bottom w:val="none" w:sz="0" w:space="0" w:color="auto"/>
        <w:right w:val="none" w:sz="0" w:space="0" w:color="auto"/>
      </w:divBdr>
    </w:div>
    <w:div w:id="1548446360">
      <w:marLeft w:val="0"/>
      <w:marRight w:val="0"/>
      <w:marTop w:val="0"/>
      <w:marBottom w:val="0"/>
      <w:divBdr>
        <w:top w:val="none" w:sz="0" w:space="0" w:color="auto"/>
        <w:left w:val="none" w:sz="0" w:space="0" w:color="auto"/>
        <w:bottom w:val="none" w:sz="0" w:space="0" w:color="auto"/>
        <w:right w:val="none" w:sz="0" w:space="0" w:color="auto"/>
      </w:divBdr>
      <w:divsChild>
        <w:div w:id="828714270">
          <w:marLeft w:val="0"/>
          <w:marRight w:val="0"/>
          <w:marTop w:val="0"/>
          <w:marBottom w:val="0"/>
          <w:divBdr>
            <w:top w:val="none" w:sz="0" w:space="0" w:color="auto"/>
            <w:left w:val="none" w:sz="0" w:space="0" w:color="auto"/>
            <w:bottom w:val="none" w:sz="0" w:space="0" w:color="auto"/>
            <w:right w:val="none" w:sz="0" w:space="0" w:color="auto"/>
          </w:divBdr>
        </w:div>
      </w:divsChild>
    </w:div>
    <w:div w:id="1562517978">
      <w:marLeft w:val="0"/>
      <w:marRight w:val="0"/>
      <w:marTop w:val="0"/>
      <w:marBottom w:val="0"/>
      <w:divBdr>
        <w:top w:val="none" w:sz="0" w:space="0" w:color="auto"/>
        <w:left w:val="none" w:sz="0" w:space="0" w:color="auto"/>
        <w:bottom w:val="none" w:sz="0" w:space="0" w:color="auto"/>
        <w:right w:val="none" w:sz="0" w:space="0" w:color="auto"/>
      </w:divBdr>
      <w:divsChild>
        <w:div w:id="1436510648">
          <w:marLeft w:val="0"/>
          <w:marRight w:val="0"/>
          <w:marTop w:val="0"/>
          <w:marBottom w:val="0"/>
          <w:divBdr>
            <w:top w:val="none" w:sz="0" w:space="0" w:color="auto"/>
            <w:left w:val="none" w:sz="0" w:space="0" w:color="auto"/>
            <w:bottom w:val="none" w:sz="0" w:space="0" w:color="auto"/>
            <w:right w:val="none" w:sz="0" w:space="0" w:color="auto"/>
          </w:divBdr>
        </w:div>
      </w:divsChild>
    </w:div>
    <w:div w:id="1566337312">
      <w:marLeft w:val="0"/>
      <w:marRight w:val="0"/>
      <w:marTop w:val="0"/>
      <w:marBottom w:val="0"/>
      <w:divBdr>
        <w:top w:val="none" w:sz="0" w:space="0" w:color="auto"/>
        <w:left w:val="none" w:sz="0" w:space="0" w:color="auto"/>
        <w:bottom w:val="none" w:sz="0" w:space="0" w:color="auto"/>
        <w:right w:val="none" w:sz="0" w:space="0" w:color="auto"/>
      </w:divBdr>
    </w:div>
    <w:div w:id="1569804620">
      <w:marLeft w:val="0"/>
      <w:marRight w:val="0"/>
      <w:marTop w:val="100"/>
      <w:marBottom w:val="100"/>
      <w:divBdr>
        <w:top w:val="none" w:sz="0" w:space="0" w:color="auto"/>
        <w:left w:val="none" w:sz="0" w:space="0" w:color="auto"/>
        <w:bottom w:val="none" w:sz="0" w:space="0" w:color="auto"/>
        <w:right w:val="none" w:sz="0" w:space="0" w:color="auto"/>
      </w:divBdr>
    </w:div>
    <w:div w:id="1573932510">
      <w:marLeft w:val="0"/>
      <w:marRight w:val="0"/>
      <w:marTop w:val="0"/>
      <w:marBottom w:val="0"/>
      <w:divBdr>
        <w:top w:val="none" w:sz="0" w:space="0" w:color="auto"/>
        <w:left w:val="none" w:sz="0" w:space="0" w:color="auto"/>
        <w:bottom w:val="none" w:sz="0" w:space="0" w:color="auto"/>
        <w:right w:val="none" w:sz="0" w:space="0" w:color="auto"/>
      </w:divBdr>
      <w:divsChild>
        <w:div w:id="1400129333">
          <w:marLeft w:val="0"/>
          <w:marRight w:val="0"/>
          <w:marTop w:val="0"/>
          <w:marBottom w:val="0"/>
          <w:divBdr>
            <w:top w:val="none" w:sz="0" w:space="0" w:color="auto"/>
            <w:left w:val="none" w:sz="0" w:space="0" w:color="auto"/>
            <w:bottom w:val="none" w:sz="0" w:space="0" w:color="auto"/>
            <w:right w:val="none" w:sz="0" w:space="0" w:color="auto"/>
          </w:divBdr>
        </w:div>
      </w:divsChild>
    </w:div>
    <w:div w:id="1574896787">
      <w:marLeft w:val="0"/>
      <w:marRight w:val="0"/>
      <w:marTop w:val="0"/>
      <w:marBottom w:val="160"/>
      <w:divBdr>
        <w:top w:val="none" w:sz="0" w:space="0" w:color="auto"/>
        <w:left w:val="none" w:sz="0" w:space="0" w:color="auto"/>
        <w:bottom w:val="none" w:sz="0" w:space="0" w:color="auto"/>
        <w:right w:val="none" w:sz="0" w:space="0" w:color="auto"/>
      </w:divBdr>
    </w:div>
    <w:div w:id="1578589628">
      <w:marLeft w:val="0"/>
      <w:marRight w:val="0"/>
      <w:marTop w:val="180"/>
      <w:marBottom w:val="0"/>
      <w:divBdr>
        <w:top w:val="none" w:sz="0" w:space="0" w:color="auto"/>
        <w:left w:val="none" w:sz="0" w:space="0" w:color="auto"/>
        <w:bottom w:val="none" w:sz="0" w:space="0" w:color="auto"/>
        <w:right w:val="none" w:sz="0" w:space="0" w:color="auto"/>
      </w:divBdr>
    </w:div>
    <w:div w:id="1589728533">
      <w:marLeft w:val="0"/>
      <w:marRight w:val="0"/>
      <w:marTop w:val="0"/>
      <w:marBottom w:val="160"/>
      <w:divBdr>
        <w:top w:val="none" w:sz="0" w:space="0" w:color="auto"/>
        <w:left w:val="none" w:sz="0" w:space="0" w:color="auto"/>
        <w:bottom w:val="none" w:sz="0" w:space="0" w:color="auto"/>
        <w:right w:val="none" w:sz="0" w:space="0" w:color="auto"/>
      </w:divBdr>
    </w:div>
    <w:div w:id="1590233796">
      <w:marLeft w:val="0"/>
      <w:marRight w:val="0"/>
      <w:marTop w:val="0"/>
      <w:marBottom w:val="0"/>
      <w:divBdr>
        <w:top w:val="none" w:sz="0" w:space="0" w:color="auto"/>
        <w:left w:val="none" w:sz="0" w:space="0" w:color="auto"/>
        <w:bottom w:val="none" w:sz="0" w:space="0" w:color="auto"/>
        <w:right w:val="none" w:sz="0" w:space="0" w:color="auto"/>
      </w:divBdr>
      <w:divsChild>
        <w:div w:id="1559130723">
          <w:marLeft w:val="0"/>
          <w:marRight w:val="0"/>
          <w:marTop w:val="0"/>
          <w:marBottom w:val="0"/>
          <w:divBdr>
            <w:top w:val="none" w:sz="0" w:space="0" w:color="auto"/>
            <w:left w:val="none" w:sz="0" w:space="0" w:color="auto"/>
            <w:bottom w:val="none" w:sz="0" w:space="0" w:color="auto"/>
            <w:right w:val="none" w:sz="0" w:space="0" w:color="auto"/>
          </w:divBdr>
        </w:div>
      </w:divsChild>
    </w:div>
    <w:div w:id="1597789073">
      <w:marLeft w:val="0"/>
      <w:marRight w:val="0"/>
      <w:marTop w:val="0"/>
      <w:marBottom w:val="0"/>
      <w:divBdr>
        <w:top w:val="none" w:sz="0" w:space="0" w:color="auto"/>
        <w:left w:val="none" w:sz="0" w:space="0" w:color="auto"/>
        <w:bottom w:val="none" w:sz="0" w:space="0" w:color="auto"/>
        <w:right w:val="none" w:sz="0" w:space="0" w:color="auto"/>
      </w:divBdr>
    </w:div>
    <w:div w:id="1600138471">
      <w:marLeft w:val="0"/>
      <w:marRight w:val="0"/>
      <w:marTop w:val="0"/>
      <w:marBottom w:val="0"/>
      <w:divBdr>
        <w:top w:val="none" w:sz="0" w:space="0" w:color="auto"/>
        <w:left w:val="none" w:sz="0" w:space="0" w:color="auto"/>
        <w:bottom w:val="none" w:sz="0" w:space="0" w:color="auto"/>
        <w:right w:val="none" w:sz="0" w:space="0" w:color="auto"/>
      </w:divBdr>
      <w:divsChild>
        <w:div w:id="1145850737">
          <w:marLeft w:val="0"/>
          <w:marRight w:val="0"/>
          <w:marTop w:val="0"/>
          <w:marBottom w:val="0"/>
          <w:divBdr>
            <w:top w:val="none" w:sz="0" w:space="0" w:color="auto"/>
            <w:left w:val="none" w:sz="0" w:space="0" w:color="auto"/>
            <w:bottom w:val="none" w:sz="0" w:space="0" w:color="auto"/>
            <w:right w:val="none" w:sz="0" w:space="0" w:color="auto"/>
          </w:divBdr>
        </w:div>
      </w:divsChild>
    </w:div>
    <w:div w:id="1602684313">
      <w:marLeft w:val="0"/>
      <w:marRight w:val="0"/>
      <w:marTop w:val="0"/>
      <w:marBottom w:val="0"/>
      <w:divBdr>
        <w:top w:val="none" w:sz="0" w:space="0" w:color="auto"/>
        <w:left w:val="none" w:sz="0" w:space="0" w:color="auto"/>
        <w:bottom w:val="none" w:sz="0" w:space="0" w:color="auto"/>
        <w:right w:val="none" w:sz="0" w:space="0" w:color="auto"/>
      </w:divBdr>
      <w:divsChild>
        <w:div w:id="161438318">
          <w:marLeft w:val="0"/>
          <w:marRight w:val="0"/>
          <w:marTop w:val="0"/>
          <w:marBottom w:val="0"/>
          <w:divBdr>
            <w:top w:val="none" w:sz="0" w:space="0" w:color="auto"/>
            <w:left w:val="none" w:sz="0" w:space="0" w:color="auto"/>
            <w:bottom w:val="none" w:sz="0" w:space="0" w:color="auto"/>
            <w:right w:val="none" w:sz="0" w:space="0" w:color="auto"/>
          </w:divBdr>
        </w:div>
      </w:divsChild>
    </w:div>
    <w:div w:id="1604000580">
      <w:marLeft w:val="0"/>
      <w:marRight w:val="0"/>
      <w:marTop w:val="0"/>
      <w:marBottom w:val="160"/>
      <w:divBdr>
        <w:top w:val="none" w:sz="0" w:space="0" w:color="auto"/>
        <w:left w:val="none" w:sz="0" w:space="0" w:color="auto"/>
        <w:bottom w:val="none" w:sz="0" w:space="0" w:color="auto"/>
        <w:right w:val="none" w:sz="0" w:space="0" w:color="auto"/>
      </w:divBdr>
    </w:div>
    <w:div w:id="1612472213">
      <w:marLeft w:val="0"/>
      <w:marRight w:val="0"/>
      <w:marTop w:val="0"/>
      <w:marBottom w:val="120"/>
      <w:divBdr>
        <w:top w:val="none" w:sz="0" w:space="0" w:color="auto"/>
        <w:left w:val="none" w:sz="0" w:space="0" w:color="auto"/>
        <w:bottom w:val="none" w:sz="0" w:space="0" w:color="auto"/>
        <w:right w:val="none" w:sz="0" w:space="0" w:color="auto"/>
      </w:divBdr>
    </w:div>
    <w:div w:id="1614943368">
      <w:marLeft w:val="0"/>
      <w:marRight w:val="0"/>
      <w:marTop w:val="0"/>
      <w:marBottom w:val="0"/>
      <w:divBdr>
        <w:top w:val="none" w:sz="0" w:space="0" w:color="auto"/>
        <w:left w:val="none" w:sz="0" w:space="0" w:color="auto"/>
        <w:bottom w:val="none" w:sz="0" w:space="0" w:color="auto"/>
        <w:right w:val="none" w:sz="0" w:space="0" w:color="auto"/>
      </w:divBdr>
      <w:divsChild>
        <w:div w:id="1813643807">
          <w:marLeft w:val="0"/>
          <w:marRight w:val="0"/>
          <w:marTop w:val="0"/>
          <w:marBottom w:val="0"/>
          <w:divBdr>
            <w:top w:val="none" w:sz="0" w:space="0" w:color="auto"/>
            <w:left w:val="none" w:sz="0" w:space="0" w:color="auto"/>
            <w:bottom w:val="none" w:sz="0" w:space="0" w:color="auto"/>
            <w:right w:val="none" w:sz="0" w:space="0" w:color="auto"/>
          </w:divBdr>
        </w:div>
      </w:divsChild>
    </w:div>
    <w:div w:id="1615625988">
      <w:marLeft w:val="0"/>
      <w:marRight w:val="0"/>
      <w:marTop w:val="0"/>
      <w:marBottom w:val="0"/>
      <w:divBdr>
        <w:top w:val="none" w:sz="0" w:space="0" w:color="auto"/>
        <w:left w:val="none" w:sz="0" w:space="0" w:color="auto"/>
        <w:bottom w:val="none" w:sz="0" w:space="0" w:color="auto"/>
        <w:right w:val="none" w:sz="0" w:space="0" w:color="auto"/>
      </w:divBdr>
      <w:divsChild>
        <w:div w:id="572669041">
          <w:marLeft w:val="0"/>
          <w:marRight w:val="0"/>
          <w:marTop w:val="0"/>
          <w:marBottom w:val="0"/>
          <w:divBdr>
            <w:top w:val="none" w:sz="0" w:space="0" w:color="auto"/>
            <w:left w:val="none" w:sz="0" w:space="0" w:color="auto"/>
            <w:bottom w:val="none" w:sz="0" w:space="0" w:color="auto"/>
            <w:right w:val="none" w:sz="0" w:space="0" w:color="auto"/>
          </w:divBdr>
        </w:div>
      </w:divsChild>
    </w:div>
    <w:div w:id="1626153894">
      <w:marLeft w:val="0"/>
      <w:marRight w:val="0"/>
      <w:marTop w:val="0"/>
      <w:marBottom w:val="0"/>
      <w:divBdr>
        <w:top w:val="none" w:sz="0" w:space="0" w:color="auto"/>
        <w:left w:val="none" w:sz="0" w:space="0" w:color="auto"/>
        <w:bottom w:val="none" w:sz="0" w:space="0" w:color="auto"/>
        <w:right w:val="none" w:sz="0" w:space="0" w:color="auto"/>
      </w:divBdr>
    </w:div>
    <w:div w:id="1638946985">
      <w:marLeft w:val="0"/>
      <w:marRight w:val="0"/>
      <w:marTop w:val="0"/>
      <w:marBottom w:val="120"/>
      <w:divBdr>
        <w:top w:val="none" w:sz="0" w:space="0" w:color="auto"/>
        <w:left w:val="none" w:sz="0" w:space="0" w:color="auto"/>
        <w:bottom w:val="none" w:sz="0" w:space="0" w:color="auto"/>
        <w:right w:val="none" w:sz="0" w:space="0" w:color="auto"/>
      </w:divBdr>
    </w:div>
    <w:div w:id="1647466556">
      <w:marLeft w:val="0"/>
      <w:marRight w:val="0"/>
      <w:marTop w:val="180"/>
      <w:marBottom w:val="0"/>
      <w:divBdr>
        <w:top w:val="none" w:sz="0" w:space="0" w:color="auto"/>
        <w:left w:val="none" w:sz="0" w:space="0" w:color="auto"/>
        <w:bottom w:val="none" w:sz="0" w:space="0" w:color="auto"/>
        <w:right w:val="none" w:sz="0" w:space="0" w:color="auto"/>
      </w:divBdr>
    </w:div>
    <w:div w:id="1649937385">
      <w:marLeft w:val="0"/>
      <w:marRight w:val="0"/>
      <w:marTop w:val="0"/>
      <w:marBottom w:val="0"/>
      <w:divBdr>
        <w:top w:val="none" w:sz="0" w:space="0" w:color="auto"/>
        <w:left w:val="none" w:sz="0" w:space="0" w:color="auto"/>
        <w:bottom w:val="none" w:sz="0" w:space="0" w:color="auto"/>
        <w:right w:val="none" w:sz="0" w:space="0" w:color="auto"/>
      </w:divBdr>
    </w:div>
    <w:div w:id="1652367144">
      <w:marLeft w:val="0"/>
      <w:marRight w:val="0"/>
      <w:marTop w:val="0"/>
      <w:marBottom w:val="0"/>
      <w:divBdr>
        <w:top w:val="none" w:sz="0" w:space="0" w:color="auto"/>
        <w:left w:val="none" w:sz="0" w:space="0" w:color="auto"/>
        <w:bottom w:val="none" w:sz="0" w:space="0" w:color="auto"/>
        <w:right w:val="none" w:sz="0" w:space="0" w:color="auto"/>
      </w:divBdr>
    </w:div>
    <w:div w:id="1656497027">
      <w:marLeft w:val="0"/>
      <w:marRight w:val="0"/>
      <w:marTop w:val="0"/>
      <w:marBottom w:val="0"/>
      <w:divBdr>
        <w:top w:val="none" w:sz="0" w:space="0" w:color="auto"/>
        <w:left w:val="none" w:sz="0" w:space="0" w:color="auto"/>
        <w:bottom w:val="none" w:sz="0" w:space="0" w:color="auto"/>
        <w:right w:val="none" w:sz="0" w:space="0" w:color="auto"/>
      </w:divBdr>
      <w:divsChild>
        <w:div w:id="1901092713">
          <w:marLeft w:val="0"/>
          <w:marRight w:val="0"/>
          <w:marTop w:val="0"/>
          <w:marBottom w:val="0"/>
          <w:divBdr>
            <w:top w:val="none" w:sz="0" w:space="0" w:color="auto"/>
            <w:left w:val="none" w:sz="0" w:space="0" w:color="auto"/>
            <w:bottom w:val="none" w:sz="0" w:space="0" w:color="auto"/>
            <w:right w:val="none" w:sz="0" w:space="0" w:color="auto"/>
          </w:divBdr>
        </w:div>
      </w:divsChild>
    </w:div>
    <w:div w:id="1657296059">
      <w:marLeft w:val="0"/>
      <w:marRight w:val="0"/>
      <w:marTop w:val="0"/>
      <w:marBottom w:val="0"/>
      <w:divBdr>
        <w:top w:val="none" w:sz="0" w:space="0" w:color="auto"/>
        <w:left w:val="none" w:sz="0" w:space="0" w:color="auto"/>
        <w:bottom w:val="none" w:sz="0" w:space="0" w:color="auto"/>
        <w:right w:val="none" w:sz="0" w:space="0" w:color="auto"/>
      </w:divBdr>
    </w:div>
    <w:div w:id="1668098537">
      <w:marLeft w:val="0"/>
      <w:marRight w:val="0"/>
      <w:marTop w:val="100"/>
      <w:marBottom w:val="100"/>
      <w:divBdr>
        <w:top w:val="none" w:sz="0" w:space="0" w:color="auto"/>
        <w:left w:val="none" w:sz="0" w:space="0" w:color="auto"/>
        <w:bottom w:val="none" w:sz="0" w:space="0" w:color="auto"/>
        <w:right w:val="none" w:sz="0" w:space="0" w:color="auto"/>
      </w:divBdr>
    </w:div>
    <w:div w:id="1674141137">
      <w:marLeft w:val="0"/>
      <w:marRight w:val="0"/>
      <w:marTop w:val="0"/>
      <w:marBottom w:val="0"/>
      <w:divBdr>
        <w:top w:val="none" w:sz="0" w:space="0" w:color="auto"/>
        <w:left w:val="none" w:sz="0" w:space="0" w:color="auto"/>
        <w:bottom w:val="none" w:sz="0" w:space="0" w:color="auto"/>
        <w:right w:val="none" w:sz="0" w:space="0" w:color="auto"/>
      </w:divBdr>
      <w:divsChild>
        <w:div w:id="1257907612">
          <w:marLeft w:val="0"/>
          <w:marRight w:val="0"/>
          <w:marTop w:val="0"/>
          <w:marBottom w:val="0"/>
          <w:divBdr>
            <w:top w:val="none" w:sz="0" w:space="0" w:color="auto"/>
            <w:left w:val="none" w:sz="0" w:space="0" w:color="auto"/>
            <w:bottom w:val="none" w:sz="0" w:space="0" w:color="auto"/>
            <w:right w:val="none" w:sz="0" w:space="0" w:color="auto"/>
          </w:divBdr>
        </w:div>
      </w:divsChild>
    </w:div>
    <w:div w:id="1675835708">
      <w:marLeft w:val="0"/>
      <w:marRight w:val="0"/>
      <w:marTop w:val="0"/>
      <w:marBottom w:val="0"/>
      <w:divBdr>
        <w:top w:val="none" w:sz="0" w:space="0" w:color="auto"/>
        <w:left w:val="none" w:sz="0" w:space="0" w:color="auto"/>
        <w:bottom w:val="none" w:sz="0" w:space="0" w:color="auto"/>
        <w:right w:val="none" w:sz="0" w:space="0" w:color="auto"/>
      </w:divBdr>
      <w:divsChild>
        <w:div w:id="858003410">
          <w:marLeft w:val="0"/>
          <w:marRight w:val="0"/>
          <w:marTop w:val="0"/>
          <w:marBottom w:val="0"/>
          <w:divBdr>
            <w:top w:val="none" w:sz="0" w:space="0" w:color="auto"/>
            <w:left w:val="none" w:sz="0" w:space="0" w:color="auto"/>
            <w:bottom w:val="none" w:sz="0" w:space="0" w:color="auto"/>
            <w:right w:val="none" w:sz="0" w:space="0" w:color="auto"/>
          </w:divBdr>
        </w:div>
      </w:divsChild>
    </w:div>
    <w:div w:id="1677998194">
      <w:marLeft w:val="0"/>
      <w:marRight w:val="0"/>
      <w:marTop w:val="100"/>
      <w:marBottom w:val="100"/>
      <w:divBdr>
        <w:top w:val="none" w:sz="0" w:space="0" w:color="auto"/>
        <w:left w:val="none" w:sz="0" w:space="0" w:color="auto"/>
        <w:bottom w:val="none" w:sz="0" w:space="0" w:color="auto"/>
        <w:right w:val="none" w:sz="0" w:space="0" w:color="auto"/>
      </w:divBdr>
      <w:divsChild>
        <w:div w:id="1457873516">
          <w:marLeft w:val="0"/>
          <w:marRight w:val="0"/>
          <w:marTop w:val="0"/>
          <w:marBottom w:val="0"/>
          <w:divBdr>
            <w:top w:val="none" w:sz="0" w:space="0" w:color="auto"/>
            <w:left w:val="none" w:sz="0" w:space="0" w:color="auto"/>
            <w:bottom w:val="none" w:sz="0" w:space="0" w:color="auto"/>
            <w:right w:val="none" w:sz="0" w:space="0" w:color="auto"/>
          </w:divBdr>
        </w:div>
      </w:divsChild>
    </w:div>
    <w:div w:id="1703941944">
      <w:marLeft w:val="0"/>
      <w:marRight w:val="0"/>
      <w:marTop w:val="0"/>
      <w:marBottom w:val="0"/>
      <w:divBdr>
        <w:top w:val="none" w:sz="0" w:space="0" w:color="auto"/>
        <w:left w:val="none" w:sz="0" w:space="0" w:color="auto"/>
        <w:bottom w:val="none" w:sz="0" w:space="0" w:color="auto"/>
        <w:right w:val="none" w:sz="0" w:space="0" w:color="auto"/>
      </w:divBdr>
      <w:divsChild>
        <w:div w:id="1653829162">
          <w:marLeft w:val="0"/>
          <w:marRight w:val="0"/>
          <w:marTop w:val="0"/>
          <w:marBottom w:val="0"/>
          <w:divBdr>
            <w:top w:val="none" w:sz="0" w:space="0" w:color="auto"/>
            <w:left w:val="none" w:sz="0" w:space="0" w:color="auto"/>
            <w:bottom w:val="none" w:sz="0" w:space="0" w:color="auto"/>
            <w:right w:val="none" w:sz="0" w:space="0" w:color="auto"/>
          </w:divBdr>
        </w:div>
      </w:divsChild>
    </w:div>
    <w:div w:id="1704399014">
      <w:marLeft w:val="0"/>
      <w:marRight w:val="0"/>
      <w:marTop w:val="0"/>
      <w:marBottom w:val="0"/>
      <w:divBdr>
        <w:top w:val="none" w:sz="0" w:space="0" w:color="auto"/>
        <w:left w:val="none" w:sz="0" w:space="0" w:color="auto"/>
        <w:bottom w:val="none" w:sz="0" w:space="0" w:color="auto"/>
        <w:right w:val="none" w:sz="0" w:space="0" w:color="auto"/>
      </w:divBdr>
      <w:divsChild>
        <w:div w:id="1626036233">
          <w:marLeft w:val="0"/>
          <w:marRight w:val="0"/>
          <w:marTop w:val="0"/>
          <w:marBottom w:val="0"/>
          <w:divBdr>
            <w:top w:val="none" w:sz="0" w:space="0" w:color="auto"/>
            <w:left w:val="none" w:sz="0" w:space="0" w:color="auto"/>
            <w:bottom w:val="none" w:sz="0" w:space="0" w:color="auto"/>
            <w:right w:val="none" w:sz="0" w:space="0" w:color="auto"/>
          </w:divBdr>
        </w:div>
      </w:divsChild>
    </w:div>
    <w:div w:id="1720977668">
      <w:marLeft w:val="0"/>
      <w:marRight w:val="0"/>
      <w:marTop w:val="100"/>
      <w:marBottom w:val="100"/>
      <w:divBdr>
        <w:top w:val="none" w:sz="0" w:space="0" w:color="auto"/>
        <w:left w:val="none" w:sz="0" w:space="0" w:color="auto"/>
        <w:bottom w:val="none" w:sz="0" w:space="0" w:color="auto"/>
        <w:right w:val="none" w:sz="0" w:space="0" w:color="auto"/>
      </w:divBdr>
    </w:div>
    <w:div w:id="1722165577">
      <w:marLeft w:val="0"/>
      <w:marRight w:val="0"/>
      <w:marTop w:val="100"/>
      <w:marBottom w:val="100"/>
      <w:divBdr>
        <w:top w:val="none" w:sz="0" w:space="0" w:color="auto"/>
        <w:left w:val="none" w:sz="0" w:space="0" w:color="auto"/>
        <w:bottom w:val="none" w:sz="0" w:space="0" w:color="auto"/>
        <w:right w:val="none" w:sz="0" w:space="0" w:color="auto"/>
      </w:divBdr>
    </w:div>
    <w:div w:id="1724980696">
      <w:marLeft w:val="0"/>
      <w:marRight w:val="0"/>
      <w:marTop w:val="0"/>
      <w:marBottom w:val="0"/>
      <w:divBdr>
        <w:top w:val="none" w:sz="0" w:space="0" w:color="auto"/>
        <w:left w:val="none" w:sz="0" w:space="0" w:color="auto"/>
        <w:bottom w:val="none" w:sz="0" w:space="0" w:color="auto"/>
        <w:right w:val="none" w:sz="0" w:space="0" w:color="auto"/>
      </w:divBdr>
    </w:div>
    <w:div w:id="1734159722">
      <w:marLeft w:val="0"/>
      <w:marRight w:val="0"/>
      <w:marTop w:val="180"/>
      <w:marBottom w:val="180"/>
      <w:divBdr>
        <w:top w:val="none" w:sz="0" w:space="0" w:color="auto"/>
        <w:left w:val="none" w:sz="0" w:space="0" w:color="auto"/>
        <w:bottom w:val="none" w:sz="0" w:space="0" w:color="auto"/>
        <w:right w:val="none" w:sz="0" w:space="0" w:color="auto"/>
      </w:divBdr>
    </w:div>
    <w:div w:id="1737047672">
      <w:marLeft w:val="0"/>
      <w:marRight w:val="0"/>
      <w:marTop w:val="0"/>
      <w:marBottom w:val="0"/>
      <w:divBdr>
        <w:top w:val="none" w:sz="0" w:space="0" w:color="auto"/>
        <w:left w:val="none" w:sz="0" w:space="0" w:color="auto"/>
        <w:bottom w:val="none" w:sz="0" w:space="0" w:color="auto"/>
        <w:right w:val="none" w:sz="0" w:space="0" w:color="auto"/>
      </w:divBdr>
    </w:div>
    <w:div w:id="1737431417">
      <w:marLeft w:val="0"/>
      <w:marRight w:val="0"/>
      <w:marTop w:val="0"/>
      <w:marBottom w:val="0"/>
      <w:divBdr>
        <w:top w:val="none" w:sz="0" w:space="0" w:color="auto"/>
        <w:left w:val="none" w:sz="0" w:space="0" w:color="auto"/>
        <w:bottom w:val="none" w:sz="0" w:space="0" w:color="auto"/>
        <w:right w:val="none" w:sz="0" w:space="0" w:color="auto"/>
      </w:divBdr>
      <w:divsChild>
        <w:div w:id="302271589">
          <w:marLeft w:val="0"/>
          <w:marRight w:val="0"/>
          <w:marTop w:val="0"/>
          <w:marBottom w:val="0"/>
          <w:divBdr>
            <w:top w:val="none" w:sz="0" w:space="0" w:color="auto"/>
            <w:left w:val="none" w:sz="0" w:space="0" w:color="auto"/>
            <w:bottom w:val="none" w:sz="0" w:space="0" w:color="auto"/>
            <w:right w:val="none" w:sz="0" w:space="0" w:color="auto"/>
          </w:divBdr>
        </w:div>
      </w:divsChild>
    </w:div>
    <w:div w:id="1741832685">
      <w:marLeft w:val="0"/>
      <w:marRight w:val="0"/>
      <w:marTop w:val="0"/>
      <w:marBottom w:val="0"/>
      <w:divBdr>
        <w:top w:val="none" w:sz="0" w:space="0" w:color="auto"/>
        <w:left w:val="none" w:sz="0" w:space="0" w:color="auto"/>
        <w:bottom w:val="none" w:sz="0" w:space="0" w:color="auto"/>
        <w:right w:val="none" w:sz="0" w:space="0" w:color="auto"/>
      </w:divBdr>
    </w:div>
    <w:div w:id="1749688144">
      <w:marLeft w:val="0"/>
      <w:marRight w:val="0"/>
      <w:marTop w:val="0"/>
      <w:marBottom w:val="0"/>
      <w:divBdr>
        <w:top w:val="none" w:sz="0" w:space="0" w:color="auto"/>
        <w:left w:val="none" w:sz="0" w:space="0" w:color="auto"/>
        <w:bottom w:val="none" w:sz="0" w:space="0" w:color="auto"/>
        <w:right w:val="none" w:sz="0" w:space="0" w:color="auto"/>
      </w:divBdr>
      <w:divsChild>
        <w:div w:id="387071680">
          <w:marLeft w:val="0"/>
          <w:marRight w:val="0"/>
          <w:marTop w:val="0"/>
          <w:marBottom w:val="0"/>
          <w:divBdr>
            <w:top w:val="none" w:sz="0" w:space="0" w:color="auto"/>
            <w:left w:val="none" w:sz="0" w:space="0" w:color="auto"/>
            <w:bottom w:val="none" w:sz="0" w:space="0" w:color="auto"/>
            <w:right w:val="none" w:sz="0" w:space="0" w:color="auto"/>
          </w:divBdr>
        </w:div>
      </w:divsChild>
    </w:div>
    <w:div w:id="1763450014">
      <w:marLeft w:val="0"/>
      <w:marRight w:val="0"/>
      <w:marTop w:val="100"/>
      <w:marBottom w:val="100"/>
      <w:divBdr>
        <w:top w:val="none" w:sz="0" w:space="0" w:color="auto"/>
        <w:left w:val="none" w:sz="0" w:space="0" w:color="auto"/>
        <w:bottom w:val="none" w:sz="0" w:space="0" w:color="auto"/>
        <w:right w:val="none" w:sz="0" w:space="0" w:color="auto"/>
      </w:divBdr>
    </w:div>
    <w:div w:id="1766031074">
      <w:marLeft w:val="0"/>
      <w:marRight w:val="0"/>
      <w:marTop w:val="0"/>
      <w:marBottom w:val="160"/>
      <w:divBdr>
        <w:top w:val="none" w:sz="0" w:space="0" w:color="auto"/>
        <w:left w:val="none" w:sz="0" w:space="0" w:color="auto"/>
        <w:bottom w:val="none" w:sz="0" w:space="0" w:color="auto"/>
        <w:right w:val="none" w:sz="0" w:space="0" w:color="auto"/>
      </w:divBdr>
    </w:div>
    <w:div w:id="1774085521">
      <w:marLeft w:val="0"/>
      <w:marRight w:val="0"/>
      <w:marTop w:val="0"/>
      <w:marBottom w:val="0"/>
      <w:divBdr>
        <w:top w:val="none" w:sz="0" w:space="0" w:color="auto"/>
        <w:left w:val="none" w:sz="0" w:space="0" w:color="auto"/>
        <w:bottom w:val="none" w:sz="0" w:space="0" w:color="auto"/>
        <w:right w:val="none" w:sz="0" w:space="0" w:color="auto"/>
      </w:divBdr>
      <w:divsChild>
        <w:div w:id="881986707">
          <w:marLeft w:val="0"/>
          <w:marRight w:val="0"/>
          <w:marTop w:val="0"/>
          <w:marBottom w:val="0"/>
          <w:divBdr>
            <w:top w:val="none" w:sz="0" w:space="0" w:color="auto"/>
            <w:left w:val="none" w:sz="0" w:space="0" w:color="auto"/>
            <w:bottom w:val="none" w:sz="0" w:space="0" w:color="auto"/>
            <w:right w:val="none" w:sz="0" w:space="0" w:color="auto"/>
          </w:divBdr>
        </w:div>
      </w:divsChild>
    </w:div>
    <w:div w:id="1777477026">
      <w:marLeft w:val="0"/>
      <w:marRight w:val="0"/>
      <w:marTop w:val="0"/>
      <w:marBottom w:val="0"/>
      <w:divBdr>
        <w:top w:val="none" w:sz="0" w:space="0" w:color="auto"/>
        <w:left w:val="none" w:sz="0" w:space="0" w:color="auto"/>
        <w:bottom w:val="none" w:sz="0" w:space="0" w:color="auto"/>
        <w:right w:val="none" w:sz="0" w:space="0" w:color="auto"/>
      </w:divBdr>
      <w:divsChild>
        <w:div w:id="225994882">
          <w:marLeft w:val="0"/>
          <w:marRight w:val="0"/>
          <w:marTop w:val="0"/>
          <w:marBottom w:val="0"/>
          <w:divBdr>
            <w:top w:val="none" w:sz="0" w:space="0" w:color="auto"/>
            <w:left w:val="none" w:sz="0" w:space="0" w:color="auto"/>
            <w:bottom w:val="none" w:sz="0" w:space="0" w:color="auto"/>
            <w:right w:val="none" w:sz="0" w:space="0" w:color="auto"/>
          </w:divBdr>
        </w:div>
      </w:divsChild>
    </w:div>
    <w:div w:id="1787919635">
      <w:marLeft w:val="0"/>
      <w:marRight w:val="0"/>
      <w:marTop w:val="100"/>
      <w:marBottom w:val="100"/>
      <w:divBdr>
        <w:top w:val="none" w:sz="0" w:space="0" w:color="auto"/>
        <w:left w:val="none" w:sz="0" w:space="0" w:color="auto"/>
        <w:bottom w:val="none" w:sz="0" w:space="0" w:color="auto"/>
        <w:right w:val="none" w:sz="0" w:space="0" w:color="auto"/>
      </w:divBdr>
    </w:div>
    <w:div w:id="1789355087">
      <w:marLeft w:val="0"/>
      <w:marRight w:val="0"/>
      <w:marTop w:val="0"/>
      <w:marBottom w:val="0"/>
      <w:divBdr>
        <w:top w:val="none" w:sz="0" w:space="0" w:color="auto"/>
        <w:left w:val="none" w:sz="0" w:space="0" w:color="auto"/>
        <w:bottom w:val="none" w:sz="0" w:space="0" w:color="auto"/>
        <w:right w:val="none" w:sz="0" w:space="0" w:color="auto"/>
      </w:divBdr>
    </w:div>
    <w:div w:id="1792894427">
      <w:marLeft w:val="0"/>
      <w:marRight w:val="0"/>
      <w:marTop w:val="0"/>
      <w:marBottom w:val="0"/>
      <w:divBdr>
        <w:top w:val="none" w:sz="0" w:space="0" w:color="auto"/>
        <w:left w:val="none" w:sz="0" w:space="0" w:color="auto"/>
        <w:bottom w:val="none" w:sz="0" w:space="0" w:color="auto"/>
        <w:right w:val="none" w:sz="0" w:space="0" w:color="auto"/>
      </w:divBdr>
    </w:div>
    <w:div w:id="1803814687">
      <w:marLeft w:val="0"/>
      <w:marRight w:val="0"/>
      <w:marTop w:val="0"/>
      <w:marBottom w:val="0"/>
      <w:divBdr>
        <w:top w:val="none" w:sz="0" w:space="0" w:color="auto"/>
        <w:left w:val="none" w:sz="0" w:space="0" w:color="auto"/>
        <w:bottom w:val="none" w:sz="0" w:space="0" w:color="auto"/>
        <w:right w:val="none" w:sz="0" w:space="0" w:color="auto"/>
      </w:divBdr>
    </w:div>
    <w:div w:id="1804955763">
      <w:marLeft w:val="0"/>
      <w:marRight w:val="0"/>
      <w:marTop w:val="180"/>
      <w:marBottom w:val="180"/>
      <w:divBdr>
        <w:top w:val="none" w:sz="0" w:space="0" w:color="auto"/>
        <w:left w:val="none" w:sz="0" w:space="0" w:color="auto"/>
        <w:bottom w:val="none" w:sz="0" w:space="0" w:color="auto"/>
        <w:right w:val="none" w:sz="0" w:space="0" w:color="auto"/>
      </w:divBdr>
    </w:div>
    <w:div w:id="1807549760">
      <w:marLeft w:val="0"/>
      <w:marRight w:val="0"/>
      <w:marTop w:val="0"/>
      <w:marBottom w:val="0"/>
      <w:divBdr>
        <w:top w:val="none" w:sz="0" w:space="0" w:color="auto"/>
        <w:left w:val="none" w:sz="0" w:space="0" w:color="auto"/>
        <w:bottom w:val="none" w:sz="0" w:space="0" w:color="auto"/>
        <w:right w:val="none" w:sz="0" w:space="0" w:color="auto"/>
      </w:divBdr>
    </w:div>
    <w:div w:id="1807549804">
      <w:marLeft w:val="0"/>
      <w:marRight w:val="0"/>
      <w:marTop w:val="100"/>
      <w:marBottom w:val="100"/>
      <w:divBdr>
        <w:top w:val="none" w:sz="0" w:space="0" w:color="auto"/>
        <w:left w:val="none" w:sz="0" w:space="0" w:color="auto"/>
        <w:bottom w:val="none" w:sz="0" w:space="0" w:color="auto"/>
        <w:right w:val="none" w:sz="0" w:space="0" w:color="auto"/>
      </w:divBdr>
    </w:div>
    <w:div w:id="1810315934">
      <w:marLeft w:val="0"/>
      <w:marRight w:val="0"/>
      <w:marTop w:val="0"/>
      <w:marBottom w:val="0"/>
      <w:divBdr>
        <w:top w:val="none" w:sz="0" w:space="0" w:color="auto"/>
        <w:left w:val="none" w:sz="0" w:space="0" w:color="auto"/>
        <w:bottom w:val="none" w:sz="0" w:space="0" w:color="auto"/>
        <w:right w:val="none" w:sz="0" w:space="0" w:color="auto"/>
      </w:divBdr>
      <w:divsChild>
        <w:div w:id="626931098">
          <w:marLeft w:val="0"/>
          <w:marRight w:val="0"/>
          <w:marTop w:val="0"/>
          <w:marBottom w:val="0"/>
          <w:divBdr>
            <w:top w:val="none" w:sz="0" w:space="0" w:color="auto"/>
            <w:left w:val="none" w:sz="0" w:space="0" w:color="auto"/>
            <w:bottom w:val="none" w:sz="0" w:space="0" w:color="auto"/>
            <w:right w:val="none" w:sz="0" w:space="0" w:color="auto"/>
          </w:divBdr>
        </w:div>
      </w:divsChild>
    </w:div>
    <w:div w:id="1814566956">
      <w:marLeft w:val="0"/>
      <w:marRight w:val="0"/>
      <w:marTop w:val="0"/>
      <w:marBottom w:val="0"/>
      <w:divBdr>
        <w:top w:val="none" w:sz="0" w:space="0" w:color="auto"/>
        <w:left w:val="none" w:sz="0" w:space="0" w:color="auto"/>
        <w:bottom w:val="none" w:sz="0" w:space="0" w:color="auto"/>
        <w:right w:val="none" w:sz="0" w:space="0" w:color="auto"/>
      </w:divBdr>
      <w:divsChild>
        <w:div w:id="981273226">
          <w:marLeft w:val="0"/>
          <w:marRight w:val="0"/>
          <w:marTop w:val="0"/>
          <w:marBottom w:val="0"/>
          <w:divBdr>
            <w:top w:val="none" w:sz="0" w:space="0" w:color="auto"/>
            <w:left w:val="none" w:sz="0" w:space="0" w:color="auto"/>
            <w:bottom w:val="none" w:sz="0" w:space="0" w:color="auto"/>
            <w:right w:val="none" w:sz="0" w:space="0" w:color="auto"/>
          </w:divBdr>
        </w:div>
      </w:divsChild>
    </w:div>
    <w:div w:id="1816526879">
      <w:marLeft w:val="0"/>
      <w:marRight w:val="0"/>
      <w:marTop w:val="180"/>
      <w:marBottom w:val="0"/>
      <w:divBdr>
        <w:top w:val="none" w:sz="0" w:space="0" w:color="auto"/>
        <w:left w:val="none" w:sz="0" w:space="0" w:color="auto"/>
        <w:bottom w:val="none" w:sz="0" w:space="0" w:color="auto"/>
        <w:right w:val="none" w:sz="0" w:space="0" w:color="auto"/>
      </w:divBdr>
    </w:div>
    <w:div w:id="1834177369">
      <w:marLeft w:val="0"/>
      <w:marRight w:val="0"/>
      <w:marTop w:val="0"/>
      <w:marBottom w:val="0"/>
      <w:divBdr>
        <w:top w:val="none" w:sz="0" w:space="0" w:color="auto"/>
        <w:left w:val="none" w:sz="0" w:space="0" w:color="auto"/>
        <w:bottom w:val="none" w:sz="0" w:space="0" w:color="auto"/>
        <w:right w:val="none" w:sz="0" w:space="0" w:color="auto"/>
      </w:divBdr>
      <w:divsChild>
        <w:div w:id="324477360">
          <w:marLeft w:val="0"/>
          <w:marRight w:val="0"/>
          <w:marTop w:val="0"/>
          <w:marBottom w:val="0"/>
          <w:divBdr>
            <w:top w:val="none" w:sz="0" w:space="0" w:color="auto"/>
            <w:left w:val="none" w:sz="0" w:space="0" w:color="auto"/>
            <w:bottom w:val="none" w:sz="0" w:space="0" w:color="auto"/>
            <w:right w:val="none" w:sz="0" w:space="0" w:color="auto"/>
          </w:divBdr>
        </w:div>
      </w:divsChild>
    </w:div>
    <w:div w:id="1835100323">
      <w:marLeft w:val="0"/>
      <w:marRight w:val="0"/>
      <w:marTop w:val="0"/>
      <w:marBottom w:val="0"/>
      <w:divBdr>
        <w:top w:val="none" w:sz="0" w:space="0" w:color="auto"/>
        <w:left w:val="none" w:sz="0" w:space="0" w:color="auto"/>
        <w:bottom w:val="none" w:sz="0" w:space="0" w:color="auto"/>
        <w:right w:val="none" w:sz="0" w:space="0" w:color="auto"/>
      </w:divBdr>
      <w:divsChild>
        <w:div w:id="1139148606">
          <w:marLeft w:val="0"/>
          <w:marRight w:val="0"/>
          <w:marTop w:val="0"/>
          <w:marBottom w:val="0"/>
          <w:divBdr>
            <w:top w:val="none" w:sz="0" w:space="0" w:color="auto"/>
            <w:left w:val="none" w:sz="0" w:space="0" w:color="auto"/>
            <w:bottom w:val="none" w:sz="0" w:space="0" w:color="auto"/>
            <w:right w:val="none" w:sz="0" w:space="0" w:color="auto"/>
          </w:divBdr>
        </w:div>
      </w:divsChild>
    </w:div>
    <w:div w:id="1844469460">
      <w:marLeft w:val="0"/>
      <w:marRight w:val="0"/>
      <w:marTop w:val="0"/>
      <w:marBottom w:val="0"/>
      <w:divBdr>
        <w:top w:val="none" w:sz="0" w:space="0" w:color="auto"/>
        <w:left w:val="none" w:sz="0" w:space="0" w:color="auto"/>
        <w:bottom w:val="none" w:sz="0" w:space="0" w:color="auto"/>
        <w:right w:val="none" w:sz="0" w:space="0" w:color="auto"/>
      </w:divBdr>
    </w:div>
    <w:div w:id="1846745313">
      <w:marLeft w:val="0"/>
      <w:marRight w:val="0"/>
      <w:marTop w:val="0"/>
      <w:marBottom w:val="0"/>
      <w:divBdr>
        <w:top w:val="none" w:sz="0" w:space="0" w:color="auto"/>
        <w:left w:val="none" w:sz="0" w:space="0" w:color="auto"/>
        <w:bottom w:val="none" w:sz="0" w:space="0" w:color="auto"/>
        <w:right w:val="none" w:sz="0" w:space="0" w:color="auto"/>
      </w:divBdr>
      <w:divsChild>
        <w:div w:id="571886687">
          <w:marLeft w:val="0"/>
          <w:marRight w:val="0"/>
          <w:marTop w:val="0"/>
          <w:marBottom w:val="0"/>
          <w:divBdr>
            <w:top w:val="none" w:sz="0" w:space="0" w:color="auto"/>
            <w:left w:val="none" w:sz="0" w:space="0" w:color="auto"/>
            <w:bottom w:val="none" w:sz="0" w:space="0" w:color="auto"/>
            <w:right w:val="none" w:sz="0" w:space="0" w:color="auto"/>
          </w:divBdr>
        </w:div>
      </w:divsChild>
    </w:div>
    <w:div w:id="1850213916">
      <w:marLeft w:val="0"/>
      <w:marRight w:val="0"/>
      <w:marTop w:val="0"/>
      <w:marBottom w:val="0"/>
      <w:divBdr>
        <w:top w:val="none" w:sz="0" w:space="0" w:color="auto"/>
        <w:left w:val="none" w:sz="0" w:space="0" w:color="auto"/>
        <w:bottom w:val="none" w:sz="0" w:space="0" w:color="auto"/>
        <w:right w:val="none" w:sz="0" w:space="0" w:color="auto"/>
      </w:divBdr>
    </w:div>
    <w:div w:id="1853492255">
      <w:marLeft w:val="0"/>
      <w:marRight w:val="0"/>
      <w:marTop w:val="0"/>
      <w:marBottom w:val="120"/>
      <w:divBdr>
        <w:top w:val="none" w:sz="0" w:space="0" w:color="auto"/>
        <w:left w:val="none" w:sz="0" w:space="0" w:color="auto"/>
        <w:bottom w:val="none" w:sz="0" w:space="0" w:color="auto"/>
        <w:right w:val="none" w:sz="0" w:space="0" w:color="auto"/>
      </w:divBdr>
    </w:div>
    <w:div w:id="1857302947">
      <w:marLeft w:val="0"/>
      <w:marRight w:val="0"/>
      <w:marTop w:val="0"/>
      <w:marBottom w:val="0"/>
      <w:divBdr>
        <w:top w:val="none" w:sz="0" w:space="0" w:color="auto"/>
        <w:left w:val="none" w:sz="0" w:space="0" w:color="auto"/>
        <w:bottom w:val="none" w:sz="0" w:space="0" w:color="auto"/>
        <w:right w:val="none" w:sz="0" w:space="0" w:color="auto"/>
      </w:divBdr>
    </w:div>
    <w:div w:id="1866362438">
      <w:marLeft w:val="0"/>
      <w:marRight w:val="0"/>
      <w:marTop w:val="100"/>
      <w:marBottom w:val="100"/>
      <w:divBdr>
        <w:top w:val="none" w:sz="0" w:space="0" w:color="auto"/>
        <w:left w:val="none" w:sz="0" w:space="0" w:color="auto"/>
        <w:bottom w:val="none" w:sz="0" w:space="0" w:color="auto"/>
        <w:right w:val="none" w:sz="0" w:space="0" w:color="auto"/>
      </w:divBdr>
    </w:div>
    <w:div w:id="1866404651">
      <w:marLeft w:val="0"/>
      <w:marRight w:val="0"/>
      <w:marTop w:val="0"/>
      <w:marBottom w:val="0"/>
      <w:divBdr>
        <w:top w:val="none" w:sz="0" w:space="0" w:color="auto"/>
        <w:left w:val="none" w:sz="0" w:space="0" w:color="auto"/>
        <w:bottom w:val="none" w:sz="0" w:space="0" w:color="auto"/>
        <w:right w:val="none" w:sz="0" w:space="0" w:color="auto"/>
      </w:divBdr>
      <w:divsChild>
        <w:div w:id="402416616">
          <w:marLeft w:val="0"/>
          <w:marRight w:val="0"/>
          <w:marTop w:val="0"/>
          <w:marBottom w:val="0"/>
          <w:divBdr>
            <w:top w:val="none" w:sz="0" w:space="0" w:color="auto"/>
            <w:left w:val="none" w:sz="0" w:space="0" w:color="auto"/>
            <w:bottom w:val="none" w:sz="0" w:space="0" w:color="auto"/>
            <w:right w:val="none" w:sz="0" w:space="0" w:color="auto"/>
          </w:divBdr>
        </w:div>
      </w:divsChild>
    </w:div>
    <w:div w:id="1872255350">
      <w:marLeft w:val="0"/>
      <w:marRight w:val="0"/>
      <w:marTop w:val="0"/>
      <w:marBottom w:val="0"/>
      <w:divBdr>
        <w:top w:val="none" w:sz="0" w:space="0" w:color="auto"/>
        <w:left w:val="none" w:sz="0" w:space="0" w:color="auto"/>
        <w:bottom w:val="none" w:sz="0" w:space="0" w:color="auto"/>
        <w:right w:val="none" w:sz="0" w:space="0" w:color="auto"/>
      </w:divBdr>
    </w:div>
    <w:div w:id="1879125933">
      <w:marLeft w:val="0"/>
      <w:marRight w:val="0"/>
      <w:marTop w:val="0"/>
      <w:marBottom w:val="0"/>
      <w:divBdr>
        <w:top w:val="none" w:sz="0" w:space="0" w:color="auto"/>
        <w:left w:val="none" w:sz="0" w:space="0" w:color="auto"/>
        <w:bottom w:val="none" w:sz="0" w:space="0" w:color="auto"/>
        <w:right w:val="none" w:sz="0" w:space="0" w:color="auto"/>
      </w:divBdr>
    </w:div>
    <w:div w:id="1879509142">
      <w:marLeft w:val="0"/>
      <w:marRight w:val="0"/>
      <w:marTop w:val="0"/>
      <w:marBottom w:val="0"/>
      <w:divBdr>
        <w:top w:val="none" w:sz="0" w:space="0" w:color="auto"/>
        <w:left w:val="none" w:sz="0" w:space="0" w:color="auto"/>
        <w:bottom w:val="none" w:sz="0" w:space="0" w:color="auto"/>
        <w:right w:val="none" w:sz="0" w:space="0" w:color="auto"/>
      </w:divBdr>
    </w:div>
    <w:div w:id="1886795760">
      <w:marLeft w:val="0"/>
      <w:marRight w:val="0"/>
      <w:marTop w:val="0"/>
      <w:marBottom w:val="0"/>
      <w:divBdr>
        <w:top w:val="none" w:sz="0" w:space="0" w:color="auto"/>
        <w:left w:val="none" w:sz="0" w:space="0" w:color="auto"/>
        <w:bottom w:val="none" w:sz="0" w:space="0" w:color="auto"/>
        <w:right w:val="none" w:sz="0" w:space="0" w:color="auto"/>
      </w:divBdr>
    </w:div>
    <w:div w:id="1887326702">
      <w:marLeft w:val="0"/>
      <w:marRight w:val="0"/>
      <w:marTop w:val="180"/>
      <w:marBottom w:val="0"/>
      <w:divBdr>
        <w:top w:val="none" w:sz="0" w:space="0" w:color="auto"/>
        <w:left w:val="none" w:sz="0" w:space="0" w:color="auto"/>
        <w:bottom w:val="none" w:sz="0" w:space="0" w:color="auto"/>
        <w:right w:val="none" w:sz="0" w:space="0" w:color="auto"/>
      </w:divBdr>
    </w:div>
    <w:div w:id="1901165561">
      <w:marLeft w:val="0"/>
      <w:marRight w:val="0"/>
      <w:marTop w:val="0"/>
      <w:marBottom w:val="0"/>
      <w:divBdr>
        <w:top w:val="none" w:sz="0" w:space="0" w:color="auto"/>
        <w:left w:val="none" w:sz="0" w:space="0" w:color="auto"/>
        <w:bottom w:val="none" w:sz="0" w:space="0" w:color="auto"/>
        <w:right w:val="none" w:sz="0" w:space="0" w:color="auto"/>
      </w:divBdr>
      <w:divsChild>
        <w:div w:id="1027950293">
          <w:marLeft w:val="0"/>
          <w:marRight w:val="0"/>
          <w:marTop w:val="0"/>
          <w:marBottom w:val="0"/>
          <w:divBdr>
            <w:top w:val="none" w:sz="0" w:space="0" w:color="auto"/>
            <w:left w:val="none" w:sz="0" w:space="0" w:color="auto"/>
            <w:bottom w:val="none" w:sz="0" w:space="0" w:color="auto"/>
            <w:right w:val="none" w:sz="0" w:space="0" w:color="auto"/>
          </w:divBdr>
        </w:div>
      </w:divsChild>
    </w:div>
    <w:div w:id="1905483952">
      <w:marLeft w:val="0"/>
      <w:marRight w:val="0"/>
      <w:marTop w:val="0"/>
      <w:marBottom w:val="0"/>
      <w:divBdr>
        <w:top w:val="none" w:sz="0" w:space="0" w:color="auto"/>
        <w:left w:val="none" w:sz="0" w:space="0" w:color="auto"/>
        <w:bottom w:val="none" w:sz="0" w:space="0" w:color="auto"/>
        <w:right w:val="none" w:sz="0" w:space="0" w:color="auto"/>
      </w:divBdr>
      <w:divsChild>
        <w:div w:id="1686400447">
          <w:marLeft w:val="0"/>
          <w:marRight w:val="0"/>
          <w:marTop w:val="0"/>
          <w:marBottom w:val="0"/>
          <w:divBdr>
            <w:top w:val="none" w:sz="0" w:space="0" w:color="auto"/>
            <w:left w:val="none" w:sz="0" w:space="0" w:color="auto"/>
            <w:bottom w:val="none" w:sz="0" w:space="0" w:color="auto"/>
            <w:right w:val="none" w:sz="0" w:space="0" w:color="auto"/>
          </w:divBdr>
        </w:div>
      </w:divsChild>
    </w:div>
    <w:div w:id="1906724414">
      <w:marLeft w:val="0"/>
      <w:marRight w:val="0"/>
      <w:marTop w:val="0"/>
      <w:marBottom w:val="0"/>
      <w:divBdr>
        <w:top w:val="none" w:sz="0" w:space="0" w:color="auto"/>
        <w:left w:val="none" w:sz="0" w:space="0" w:color="auto"/>
        <w:bottom w:val="none" w:sz="0" w:space="0" w:color="auto"/>
        <w:right w:val="none" w:sz="0" w:space="0" w:color="auto"/>
      </w:divBdr>
    </w:div>
    <w:div w:id="1910847489">
      <w:marLeft w:val="0"/>
      <w:marRight w:val="0"/>
      <w:marTop w:val="0"/>
      <w:marBottom w:val="0"/>
      <w:divBdr>
        <w:top w:val="none" w:sz="0" w:space="0" w:color="auto"/>
        <w:left w:val="none" w:sz="0" w:space="0" w:color="auto"/>
        <w:bottom w:val="none" w:sz="0" w:space="0" w:color="auto"/>
        <w:right w:val="none" w:sz="0" w:space="0" w:color="auto"/>
      </w:divBdr>
      <w:divsChild>
        <w:div w:id="1174807601">
          <w:marLeft w:val="0"/>
          <w:marRight w:val="0"/>
          <w:marTop w:val="0"/>
          <w:marBottom w:val="0"/>
          <w:divBdr>
            <w:top w:val="none" w:sz="0" w:space="0" w:color="auto"/>
            <w:left w:val="none" w:sz="0" w:space="0" w:color="auto"/>
            <w:bottom w:val="none" w:sz="0" w:space="0" w:color="auto"/>
            <w:right w:val="none" w:sz="0" w:space="0" w:color="auto"/>
          </w:divBdr>
        </w:div>
      </w:divsChild>
    </w:div>
    <w:div w:id="1920748524">
      <w:marLeft w:val="0"/>
      <w:marRight w:val="0"/>
      <w:marTop w:val="0"/>
      <w:marBottom w:val="0"/>
      <w:divBdr>
        <w:top w:val="none" w:sz="0" w:space="0" w:color="auto"/>
        <w:left w:val="none" w:sz="0" w:space="0" w:color="auto"/>
        <w:bottom w:val="none" w:sz="0" w:space="0" w:color="auto"/>
        <w:right w:val="none" w:sz="0" w:space="0" w:color="auto"/>
      </w:divBdr>
    </w:div>
    <w:div w:id="1926576279">
      <w:marLeft w:val="0"/>
      <w:marRight w:val="0"/>
      <w:marTop w:val="0"/>
      <w:marBottom w:val="0"/>
      <w:divBdr>
        <w:top w:val="none" w:sz="0" w:space="0" w:color="auto"/>
        <w:left w:val="none" w:sz="0" w:space="0" w:color="auto"/>
        <w:bottom w:val="none" w:sz="0" w:space="0" w:color="auto"/>
        <w:right w:val="none" w:sz="0" w:space="0" w:color="auto"/>
      </w:divBdr>
    </w:div>
    <w:div w:id="1927421115">
      <w:marLeft w:val="0"/>
      <w:marRight w:val="0"/>
      <w:marTop w:val="0"/>
      <w:marBottom w:val="0"/>
      <w:divBdr>
        <w:top w:val="none" w:sz="0" w:space="0" w:color="auto"/>
        <w:left w:val="none" w:sz="0" w:space="0" w:color="auto"/>
        <w:bottom w:val="none" w:sz="0" w:space="0" w:color="auto"/>
        <w:right w:val="none" w:sz="0" w:space="0" w:color="auto"/>
      </w:divBdr>
      <w:divsChild>
        <w:div w:id="1898584219">
          <w:marLeft w:val="0"/>
          <w:marRight w:val="0"/>
          <w:marTop w:val="0"/>
          <w:marBottom w:val="0"/>
          <w:divBdr>
            <w:top w:val="none" w:sz="0" w:space="0" w:color="auto"/>
            <w:left w:val="none" w:sz="0" w:space="0" w:color="auto"/>
            <w:bottom w:val="none" w:sz="0" w:space="0" w:color="auto"/>
            <w:right w:val="none" w:sz="0" w:space="0" w:color="auto"/>
          </w:divBdr>
        </w:div>
      </w:divsChild>
    </w:div>
    <w:div w:id="1927499860">
      <w:marLeft w:val="0"/>
      <w:marRight w:val="0"/>
      <w:marTop w:val="0"/>
      <w:marBottom w:val="0"/>
      <w:divBdr>
        <w:top w:val="none" w:sz="0" w:space="0" w:color="auto"/>
        <w:left w:val="none" w:sz="0" w:space="0" w:color="auto"/>
        <w:bottom w:val="none" w:sz="0" w:space="0" w:color="auto"/>
        <w:right w:val="none" w:sz="0" w:space="0" w:color="auto"/>
      </w:divBdr>
      <w:divsChild>
        <w:div w:id="482745579">
          <w:marLeft w:val="0"/>
          <w:marRight w:val="0"/>
          <w:marTop w:val="0"/>
          <w:marBottom w:val="0"/>
          <w:divBdr>
            <w:top w:val="none" w:sz="0" w:space="0" w:color="auto"/>
            <w:left w:val="none" w:sz="0" w:space="0" w:color="auto"/>
            <w:bottom w:val="none" w:sz="0" w:space="0" w:color="auto"/>
            <w:right w:val="none" w:sz="0" w:space="0" w:color="auto"/>
          </w:divBdr>
        </w:div>
      </w:divsChild>
    </w:div>
    <w:div w:id="1931573125">
      <w:marLeft w:val="0"/>
      <w:marRight w:val="0"/>
      <w:marTop w:val="180"/>
      <w:marBottom w:val="0"/>
      <w:divBdr>
        <w:top w:val="none" w:sz="0" w:space="0" w:color="auto"/>
        <w:left w:val="none" w:sz="0" w:space="0" w:color="auto"/>
        <w:bottom w:val="none" w:sz="0" w:space="0" w:color="auto"/>
        <w:right w:val="none" w:sz="0" w:space="0" w:color="auto"/>
      </w:divBdr>
    </w:div>
    <w:div w:id="1935628478">
      <w:marLeft w:val="0"/>
      <w:marRight w:val="0"/>
      <w:marTop w:val="0"/>
      <w:marBottom w:val="0"/>
      <w:divBdr>
        <w:top w:val="none" w:sz="0" w:space="0" w:color="auto"/>
        <w:left w:val="none" w:sz="0" w:space="0" w:color="auto"/>
        <w:bottom w:val="none" w:sz="0" w:space="0" w:color="auto"/>
        <w:right w:val="none" w:sz="0" w:space="0" w:color="auto"/>
      </w:divBdr>
      <w:divsChild>
        <w:div w:id="322665764">
          <w:marLeft w:val="0"/>
          <w:marRight w:val="0"/>
          <w:marTop w:val="0"/>
          <w:marBottom w:val="0"/>
          <w:divBdr>
            <w:top w:val="none" w:sz="0" w:space="0" w:color="auto"/>
            <w:left w:val="none" w:sz="0" w:space="0" w:color="auto"/>
            <w:bottom w:val="none" w:sz="0" w:space="0" w:color="auto"/>
            <w:right w:val="none" w:sz="0" w:space="0" w:color="auto"/>
          </w:divBdr>
        </w:div>
      </w:divsChild>
    </w:div>
    <w:div w:id="1944341368">
      <w:marLeft w:val="0"/>
      <w:marRight w:val="0"/>
      <w:marTop w:val="100"/>
      <w:marBottom w:val="100"/>
      <w:divBdr>
        <w:top w:val="none" w:sz="0" w:space="0" w:color="auto"/>
        <w:left w:val="none" w:sz="0" w:space="0" w:color="auto"/>
        <w:bottom w:val="none" w:sz="0" w:space="0" w:color="auto"/>
        <w:right w:val="none" w:sz="0" w:space="0" w:color="auto"/>
      </w:divBdr>
    </w:div>
    <w:div w:id="1945267923">
      <w:marLeft w:val="0"/>
      <w:marRight w:val="0"/>
      <w:marTop w:val="0"/>
      <w:marBottom w:val="120"/>
      <w:divBdr>
        <w:top w:val="none" w:sz="0" w:space="0" w:color="auto"/>
        <w:left w:val="none" w:sz="0" w:space="0" w:color="auto"/>
        <w:bottom w:val="none" w:sz="0" w:space="0" w:color="auto"/>
        <w:right w:val="none" w:sz="0" w:space="0" w:color="auto"/>
      </w:divBdr>
    </w:div>
    <w:div w:id="1945532864">
      <w:marLeft w:val="0"/>
      <w:marRight w:val="0"/>
      <w:marTop w:val="0"/>
      <w:marBottom w:val="0"/>
      <w:divBdr>
        <w:top w:val="none" w:sz="0" w:space="0" w:color="auto"/>
        <w:left w:val="none" w:sz="0" w:space="0" w:color="auto"/>
        <w:bottom w:val="none" w:sz="0" w:space="0" w:color="auto"/>
        <w:right w:val="none" w:sz="0" w:space="0" w:color="auto"/>
      </w:divBdr>
    </w:div>
    <w:div w:id="1946771309">
      <w:marLeft w:val="0"/>
      <w:marRight w:val="0"/>
      <w:marTop w:val="0"/>
      <w:marBottom w:val="0"/>
      <w:divBdr>
        <w:top w:val="none" w:sz="0" w:space="0" w:color="auto"/>
        <w:left w:val="none" w:sz="0" w:space="0" w:color="auto"/>
        <w:bottom w:val="none" w:sz="0" w:space="0" w:color="auto"/>
        <w:right w:val="none" w:sz="0" w:space="0" w:color="auto"/>
      </w:divBdr>
      <w:divsChild>
        <w:div w:id="1918592737">
          <w:marLeft w:val="0"/>
          <w:marRight w:val="0"/>
          <w:marTop w:val="0"/>
          <w:marBottom w:val="0"/>
          <w:divBdr>
            <w:top w:val="none" w:sz="0" w:space="0" w:color="auto"/>
            <w:left w:val="none" w:sz="0" w:space="0" w:color="auto"/>
            <w:bottom w:val="none" w:sz="0" w:space="0" w:color="auto"/>
            <w:right w:val="none" w:sz="0" w:space="0" w:color="auto"/>
          </w:divBdr>
        </w:div>
      </w:divsChild>
    </w:div>
    <w:div w:id="1953317076">
      <w:marLeft w:val="0"/>
      <w:marRight w:val="0"/>
      <w:marTop w:val="0"/>
      <w:marBottom w:val="0"/>
      <w:divBdr>
        <w:top w:val="none" w:sz="0" w:space="0" w:color="auto"/>
        <w:left w:val="none" w:sz="0" w:space="0" w:color="auto"/>
        <w:bottom w:val="none" w:sz="0" w:space="0" w:color="auto"/>
        <w:right w:val="none" w:sz="0" w:space="0" w:color="auto"/>
      </w:divBdr>
    </w:div>
    <w:div w:id="1953704929">
      <w:marLeft w:val="0"/>
      <w:marRight w:val="0"/>
      <w:marTop w:val="0"/>
      <w:marBottom w:val="0"/>
      <w:divBdr>
        <w:top w:val="none" w:sz="0" w:space="0" w:color="auto"/>
        <w:left w:val="none" w:sz="0" w:space="0" w:color="auto"/>
        <w:bottom w:val="none" w:sz="0" w:space="0" w:color="auto"/>
        <w:right w:val="none" w:sz="0" w:space="0" w:color="auto"/>
      </w:divBdr>
    </w:div>
    <w:div w:id="1963144057">
      <w:marLeft w:val="0"/>
      <w:marRight w:val="0"/>
      <w:marTop w:val="0"/>
      <w:marBottom w:val="0"/>
      <w:divBdr>
        <w:top w:val="none" w:sz="0" w:space="0" w:color="auto"/>
        <w:left w:val="none" w:sz="0" w:space="0" w:color="auto"/>
        <w:bottom w:val="none" w:sz="0" w:space="0" w:color="auto"/>
        <w:right w:val="none" w:sz="0" w:space="0" w:color="auto"/>
      </w:divBdr>
      <w:divsChild>
        <w:div w:id="520440029">
          <w:marLeft w:val="0"/>
          <w:marRight w:val="0"/>
          <w:marTop w:val="0"/>
          <w:marBottom w:val="0"/>
          <w:divBdr>
            <w:top w:val="none" w:sz="0" w:space="0" w:color="auto"/>
            <w:left w:val="none" w:sz="0" w:space="0" w:color="auto"/>
            <w:bottom w:val="none" w:sz="0" w:space="0" w:color="auto"/>
            <w:right w:val="none" w:sz="0" w:space="0" w:color="auto"/>
          </w:divBdr>
        </w:div>
      </w:divsChild>
    </w:div>
    <w:div w:id="1965574731">
      <w:marLeft w:val="0"/>
      <w:marRight w:val="0"/>
      <w:marTop w:val="0"/>
      <w:marBottom w:val="0"/>
      <w:divBdr>
        <w:top w:val="none" w:sz="0" w:space="0" w:color="auto"/>
        <w:left w:val="none" w:sz="0" w:space="0" w:color="auto"/>
        <w:bottom w:val="none" w:sz="0" w:space="0" w:color="auto"/>
        <w:right w:val="none" w:sz="0" w:space="0" w:color="auto"/>
      </w:divBdr>
      <w:divsChild>
        <w:div w:id="1230114643">
          <w:marLeft w:val="0"/>
          <w:marRight w:val="0"/>
          <w:marTop w:val="0"/>
          <w:marBottom w:val="0"/>
          <w:divBdr>
            <w:top w:val="none" w:sz="0" w:space="0" w:color="auto"/>
            <w:left w:val="none" w:sz="0" w:space="0" w:color="auto"/>
            <w:bottom w:val="none" w:sz="0" w:space="0" w:color="auto"/>
            <w:right w:val="none" w:sz="0" w:space="0" w:color="auto"/>
          </w:divBdr>
        </w:div>
      </w:divsChild>
    </w:div>
    <w:div w:id="1966960502">
      <w:marLeft w:val="0"/>
      <w:marRight w:val="0"/>
      <w:marTop w:val="0"/>
      <w:marBottom w:val="0"/>
      <w:divBdr>
        <w:top w:val="none" w:sz="0" w:space="0" w:color="auto"/>
        <w:left w:val="none" w:sz="0" w:space="0" w:color="auto"/>
        <w:bottom w:val="none" w:sz="0" w:space="0" w:color="auto"/>
        <w:right w:val="none" w:sz="0" w:space="0" w:color="auto"/>
      </w:divBdr>
      <w:divsChild>
        <w:div w:id="294678729">
          <w:marLeft w:val="0"/>
          <w:marRight w:val="0"/>
          <w:marTop w:val="0"/>
          <w:marBottom w:val="0"/>
          <w:divBdr>
            <w:top w:val="none" w:sz="0" w:space="0" w:color="auto"/>
            <w:left w:val="none" w:sz="0" w:space="0" w:color="auto"/>
            <w:bottom w:val="none" w:sz="0" w:space="0" w:color="auto"/>
            <w:right w:val="none" w:sz="0" w:space="0" w:color="auto"/>
          </w:divBdr>
        </w:div>
      </w:divsChild>
    </w:div>
    <w:div w:id="1975479453">
      <w:marLeft w:val="0"/>
      <w:marRight w:val="0"/>
      <w:marTop w:val="0"/>
      <w:marBottom w:val="0"/>
      <w:divBdr>
        <w:top w:val="none" w:sz="0" w:space="0" w:color="auto"/>
        <w:left w:val="none" w:sz="0" w:space="0" w:color="auto"/>
        <w:bottom w:val="none" w:sz="0" w:space="0" w:color="auto"/>
        <w:right w:val="none" w:sz="0" w:space="0" w:color="auto"/>
      </w:divBdr>
    </w:div>
    <w:div w:id="1984234821">
      <w:marLeft w:val="0"/>
      <w:marRight w:val="0"/>
      <w:marTop w:val="0"/>
      <w:marBottom w:val="0"/>
      <w:divBdr>
        <w:top w:val="none" w:sz="0" w:space="0" w:color="auto"/>
        <w:left w:val="none" w:sz="0" w:space="0" w:color="auto"/>
        <w:bottom w:val="none" w:sz="0" w:space="0" w:color="auto"/>
        <w:right w:val="none" w:sz="0" w:space="0" w:color="auto"/>
      </w:divBdr>
      <w:divsChild>
        <w:div w:id="1918323280">
          <w:marLeft w:val="0"/>
          <w:marRight w:val="0"/>
          <w:marTop w:val="0"/>
          <w:marBottom w:val="0"/>
          <w:divBdr>
            <w:top w:val="none" w:sz="0" w:space="0" w:color="auto"/>
            <w:left w:val="none" w:sz="0" w:space="0" w:color="auto"/>
            <w:bottom w:val="none" w:sz="0" w:space="0" w:color="auto"/>
            <w:right w:val="none" w:sz="0" w:space="0" w:color="auto"/>
          </w:divBdr>
        </w:div>
      </w:divsChild>
    </w:div>
    <w:div w:id="1985349927">
      <w:marLeft w:val="0"/>
      <w:marRight w:val="0"/>
      <w:marTop w:val="180"/>
      <w:marBottom w:val="180"/>
      <w:divBdr>
        <w:top w:val="none" w:sz="0" w:space="0" w:color="auto"/>
        <w:left w:val="none" w:sz="0" w:space="0" w:color="auto"/>
        <w:bottom w:val="none" w:sz="0" w:space="0" w:color="auto"/>
        <w:right w:val="none" w:sz="0" w:space="0" w:color="auto"/>
      </w:divBdr>
    </w:div>
    <w:div w:id="1995256728">
      <w:marLeft w:val="0"/>
      <w:marRight w:val="0"/>
      <w:marTop w:val="0"/>
      <w:marBottom w:val="0"/>
      <w:divBdr>
        <w:top w:val="none" w:sz="0" w:space="0" w:color="auto"/>
        <w:left w:val="none" w:sz="0" w:space="0" w:color="auto"/>
        <w:bottom w:val="none" w:sz="0" w:space="0" w:color="auto"/>
        <w:right w:val="none" w:sz="0" w:space="0" w:color="auto"/>
      </w:divBdr>
      <w:divsChild>
        <w:div w:id="869146039">
          <w:marLeft w:val="0"/>
          <w:marRight w:val="0"/>
          <w:marTop w:val="0"/>
          <w:marBottom w:val="0"/>
          <w:divBdr>
            <w:top w:val="none" w:sz="0" w:space="0" w:color="auto"/>
            <w:left w:val="none" w:sz="0" w:space="0" w:color="auto"/>
            <w:bottom w:val="none" w:sz="0" w:space="0" w:color="auto"/>
            <w:right w:val="none" w:sz="0" w:space="0" w:color="auto"/>
          </w:divBdr>
        </w:div>
      </w:divsChild>
    </w:div>
    <w:div w:id="1997879311">
      <w:marLeft w:val="0"/>
      <w:marRight w:val="0"/>
      <w:marTop w:val="0"/>
      <w:marBottom w:val="0"/>
      <w:divBdr>
        <w:top w:val="none" w:sz="0" w:space="0" w:color="auto"/>
        <w:left w:val="none" w:sz="0" w:space="0" w:color="auto"/>
        <w:bottom w:val="none" w:sz="0" w:space="0" w:color="auto"/>
        <w:right w:val="none" w:sz="0" w:space="0" w:color="auto"/>
      </w:divBdr>
    </w:div>
    <w:div w:id="2006205397">
      <w:marLeft w:val="0"/>
      <w:marRight w:val="0"/>
      <w:marTop w:val="0"/>
      <w:marBottom w:val="0"/>
      <w:divBdr>
        <w:top w:val="none" w:sz="0" w:space="0" w:color="auto"/>
        <w:left w:val="none" w:sz="0" w:space="0" w:color="auto"/>
        <w:bottom w:val="none" w:sz="0" w:space="0" w:color="auto"/>
        <w:right w:val="none" w:sz="0" w:space="0" w:color="auto"/>
      </w:divBdr>
    </w:div>
    <w:div w:id="2012753658">
      <w:marLeft w:val="0"/>
      <w:marRight w:val="0"/>
      <w:marTop w:val="100"/>
      <w:marBottom w:val="0"/>
      <w:divBdr>
        <w:top w:val="none" w:sz="0" w:space="0" w:color="auto"/>
        <w:left w:val="none" w:sz="0" w:space="0" w:color="auto"/>
        <w:bottom w:val="none" w:sz="0" w:space="0" w:color="auto"/>
        <w:right w:val="none" w:sz="0" w:space="0" w:color="auto"/>
      </w:divBdr>
    </w:div>
    <w:div w:id="2015103849">
      <w:marLeft w:val="0"/>
      <w:marRight w:val="0"/>
      <w:marTop w:val="180"/>
      <w:marBottom w:val="0"/>
      <w:divBdr>
        <w:top w:val="none" w:sz="0" w:space="0" w:color="auto"/>
        <w:left w:val="none" w:sz="0" w:space="0" w:color="auto"/>
        <w:bottom w:val="none" w:sz="0" w:space="0" w:color="auto"/>
        <w:right w:val="none" w:sz="0" w:space="0" w:color="auto"/>
      </w:divBdr>
    </w:div>
    <w:div w:id="2032027446">
      <w:marLeft w:val="0"/>
      <w:marRight w:val="0"/>
      <w:marTop w:val="0"/>
      <w:marBottom w:val="0"/>
      <w:divBdr>
        <w:top w:val="none" w:sz="0" w:space="0" w:color="auto"/>
        <w:left w:val="none" w:sz="0" w:space="0" w:color="auto"/>
        <w:bottom w:val="none" w:sz="0" w:space="0" w:color="auto"/>
        <w:right w:val="none" w:sz="0" w:space="0" w:color="auto"/>
      </w:divBdr>
      <w:divsChild>
        <w:div w:id="1063483110">
          <w:marLeft w:val="0"/>
          <w:marRight w:val="0"/>
          <w:marTop w:val="0"/>
          <w:marBottom w:val="0"/>
          <w:divBdr>
            <w:top w:val="none" w:sz="0" w:space="0" w:color="auto"/>
            <w:left w:val="none" w:sz="0" w:space="0" w:color="auto"/>
            <w:bottom w:val="none" w:sz="0" w:space="0" w:color="auto"/>
            <w:right w:val="none" w:sz="0" w:space="0" w:color="auto"/>
          </w:divBdr>
        </w:div>
      </w:divsChild>
    </w:div>
    <w:div w:id="2040012846">
      <w:marLeft w:val="0"/>
      <w:marRight w:val="0"/>
      <w:marTop w:val="0"/>
      <w:marBottom w:val="0"/>
      <w:divBdr>
        <w:top w:val="none" w:sz="0" w:space="0" w:color="auto"/>
        <w:left w:val="none" w:sz="0" w:space="0" w:color="auto"/>
        <w:bottom w:val="none" w:sz="0" w:space="0" w:color="auto"/>
        <w:right w:val="none" w:sz="0" w:space="0" w:color="auto"/>
      </w:divBdr>
      <w:divsChild>
        <w:div w:id="583490136">
          <w:marLeft w:val="0"/>
          <w:marRight w:val="0"/>
          <w:marTop w:val="0"/>
          <w:marBottom w:val="0"/>
          <w:divBdr>
            <w:top w:val="none" w:sz="0" w:space="0" w:color="auto"/>
            <w:left w:val="none" w:sz="0" w:space="0" w:color="auto"/>
            <w:bottom w:val="none" w:sz="0" w:space="0" w:color="auto"/>
            <w:right w:val="none" w:sz="0" w:space="0" w:color="auto"/>
          </w:divBdr>
        </w:div>
      </w:divsChild>
    </w:div>
    <w:div w:id="2053144442">
      <w:marLeft w:val="0"/>
      <w:marRight w:val="0"/>
      <w:marTop w:val="0"/>
      <w:marBottom w:val="0"/>
      <w:divBdr>
        <w:top w:val="none" w:sz="0" w:space="0" w:color="auto"/>
        <w:left w:val="none" w:sz="0" w:space="0" w:color="auto"/>
        <w:bottom w:val="none" w:sz="0" w:space="0" w:color="auto"/>
        <w:right w:val="none" w:sz="0" w:space="0" w:color="auto"/>
      </w:divBdr>
      <w:divsChild>
        <w:div w:id="1970696900">
          <w:marLeft w:val="0"/>
          <w:marRight w:val="0"/>
          <w:marTop w:val="0"/>
          <w:marBottom w:val="0"/>
          <w:divBdr>
            <w:top w:val="none" w:sz="0" w:space="0" w:color="auto"/>
            <w:left w:val="none" w:sz="0" w:space="0" w:color="auto"/>
            <w:bottom w:val="none" w:sz="0" w:space="0" w:color="auto"/>
            <w:right w:val="none" w:sz="0" w:space="0" w:color="auto"/>
          </w:divBdr>
        </w:div>
      </w:divsChild>
    </w:div>
    <w:div w:id="2055811906">
      <w:marLeft w:val="0"/>
      <w:marRight w:val="0"/>
      <w:marTop w:val="0"/>
      <w:marBottom w:val="0"/>
      <w:divBdr>
        <w:top w:val="none" w:sz="0" w:space="0" w:color="auto"/>
        <w:left w:val="none" w:sz="0" w:space="0" w:color="auto"/>
        <w:bottom w:val="none" w:sz="0" w:space="0" w:color="auto"/>
        <w:right w:val="none" w:sz="0" w:space="0" w:color="auto"/>
      </w:divBdr>
    </w:div>
    <w:div w:id="2057317023">
      <w:marLeft w:val="0"/>
      <w:marRight w:val="0"/>
      <w:marTop w:val="0"/>
      <w:marBottom w:val="0"/>
      <w:divBdr>
        <w:top w:val="none" w:sz="0" w:space="0" w:color="auto"/>
        <w:left w:val="none" w:sz="0" w:space="0" w:color="auto"/>
        <w:bottom w:val="none" w:sz="0" w:space="0" w:color="auto"/>
        <w:right w:val="none" w:sz="0" w:space="0" w:color="auto"/>
      </w:divBdr>
      <w:divsChild>
        <w:div w:id="1810241307">
          <w:marLeft w:val="0"/>
          <w:marRight w:val="0"/>
          <w:marTop w:val="0"/>
          <w:marBottom w:val="0"/>
          <w:divBdr>
            <w:top w:val="none" w:sz="0" w:space="0" w:color="auto"/>
            <w:left w:val="none" w:sz="0" w:space="0" w:color="auto"/>
            <w:bottom w:val="none" w:sz="0" w:space="0" w:color="auto"/>
            <w:right w:val="none" w:sz="0" w:space="0" w:color="auto"/>
          </w:divBdr>
        </w:div>
      </w:divsChild>
    </w:div>
    <w:div w:id="2057777562">
      <w:marLeft w:val="0"/>
      <w:marRight w:val="0"/>
      <w:marTop w:val="100"/>
      <w:marBottom w:val="0"/>
      <w:divBdr>
        <w:top w:val="none" w:sz="0" w:space="0" w:color="auto"/>
        <w:left w:val="none" w:sz="0" w:space="0" w:color="auto"/>
        <w:bottom w:val="none" w:sz="0" w:space="0" w:color="auto"/>
        <w:right w:val="none" w:sz="0" w:space="0" w:color="auto"/>
      </w:divBdr>
    </w:div>
    <w:div w:id="2060278236">
      <w:marLeft w:val="0"/>
      <w:marRight w:val="0"/>
      <w:marTop w:val="0"/>
      <w:marBottom w:val="120"/>
      <w:divBdr>
        <w:top w:val="none" w:sz="0" w:space="0" w:color="auto"/>
        <w:left w:val="none" w:sz="0" w:space="0" w:color="auto"/>
        <w:bottom w:val="none" w:sz="0" w:space="0" w:color="auto"/>
        <w:right w:val="none" w:sz="0" w:space="0" w:color="auto"/>
      </w:divBdr>
    </w:div>
    <w:div w:id="2070418198">
      <w:marLeft w:val="0"/>
      <w:marRight w:val="0"/>
      <w:marTop w:val="0"/>
      <w:marBottom w:val="0"/>
      <w:divBdr>
        <w:top w:val="none" w:sz="0" w:space="0" w:color="auto"/>
        <w:left w:val="none" w:sz="0" w:space="0" w:color="auto"/>
        <w:bottom w:val="none" w:sz="0" w:space="0" w:color="auto"/>
        <w:right w:val="none" w:sz="0" w:space="0" w:color="auto"/>
      </w:divBdr>
    </w:div>
    <w:div w:id="2071028517">
      <w:marLeft w:val="0"/>
      <w:marRight w:val="0"/>
      <w:marTop w:val="0"/>
      <w:marBottom w:val="0"/>
      <w:divBdr>
        <w:top w:val="none" w:sz="0" w:space="0" w:color="auto"/>
        <w:left w:val="none" w:sz="0" w:space="0" w:color="auto"/>
        <w:bottom w:val="none" w:sz="0" w:space="0" w:color="auto"/>
        <w:right w:val="none" w:sz="0" w:space="0" w:color="auto"/>
      </w:divBdr>
    </w:div>
    <w:div w:id="2076513362">
      <w:marLeft w:val="0"/>
      <w:marRight w:val="0"/>
      <w:marTop w:val="100"/>
      <w:marBottom w:val="0"/>
      <w:divBdr>
        <w:top w:val="none" w:sz="0" w:space="0" w:color="auto"/>
        <w:left w:val="none" w:sz="0" w:space="0" w:color="auto"/>
        <w:bottom w:val="none" w:sz="0" w:space="0" w:color="auto"/>
        <w:right w:val="none" w:sz="0" w:space="0" w:color="auto"/>
      </w:divBdr>
    </w:div>
    <w:div w:id="2078358670">
      <w:marLeft w:val="0"/>
      <w:marRight w:val="0"/>
      <w:marTop w:val="100"/>
      <w:marBottom w:val="100"/>
      <w:divBdr>
        <w:top w:val="none" w:sz="0" w:space="0" w:color="auto"/>
        <w:left w:val="none" w:sz="0" w:space="0" w:color="auto"/>
        <w:bottom w:val="none" w:sz="0" w:space="0" w:color="auto"/>
        <w:right w:val="none" w:sz="0" w:space="0" w:color="auto"/>
      </w:divBdr>
    </w:div>
    <w:div w:id="2080328382">
      <w:marLeft w:val="0"/>
      <w:marRight w:val="0"/>
      <w:marTop w:val="180"/>
      <w:marBottom w:val="180"/>
      <w:divBdr>
        <w:top w:val="none" w:sz="0" w:space="0" w:color="auto"/>
        <w:left w:val="none" w:sz="0" w:space="0" w:color="auto"/>
        <w:bottom w:val="none" w:sz="0" w:space="0" w:color="auto"/>
        <w:right w:val="none" w:sz="0" w:space="0" w:color="auto"/>
      </w:divBdr>
    </w:div>
    <w:div w:id="2096366295">
      <w:marLeft w:val="0"/>
      <w:marRight w:val="0"/>
      <w:marTop w:val="0"/>
      <w:marBottom w:val="0"/>
      <w:divBdr>
        <w:top w:val="none" w:sz="0" w:space="0" w:color="auto"/>
        <w:left w:val="none" w:sz="0" w:space="0" w:color="auto"/>
        <w:bottom w:val="none" w:sz="0" w:space="0" w:color="auto"/>
        <w:right w:val="none" w:sz="0" w:space="0" w:color="auto"/>
      </w:divBdr>
    </w:div>
    <w:div w:id="2097819166">
      <w:marLeft w:val="0"/>
      <w:marRight w:val="0"/>
      <w:marTop w:val="100"/>
      <w:marBottom w:val="100"/>
      <w:divBdr>
        <w:top w:val="none" w:sz="0" w:space="0" w:color="auto"/>
        <w:left w:val="none" w:sz="0" w:space="0" w:color="auto"/>
        <w:bottom w:val="none" w:sz="0" w:space="0" w:color="auto"/>
        <w:right w:val="none" w:sz="0" w:space="0" w:color="auto"/>
      </w:divBdr>
    </w:div>
    <w:div w:id="2111973990">
      <w:marLeft w:val="0"/>
      <w:marRight w:val="0"/>
      <w:marTop w:val="180"/>
      <w:marBottom w:val="0"/>
      <w:divBdr>
        <w:top w:val="none" w:sz="0" w:space="0" w:color="auto"/>
        <w:left w:val="none" w:sz="0" w:space="0" w:color="auto"/>
        <w:bottom w:val="none" w:sz="0" w:space="0" w:color="auto"/>
        <w:right w:val="none" w:sz="0" w:space="0" w:color="auto"/>
      </w:divBdr>
    </w:div>
    <w:div w:id="2118981306">
      <w:marLeft w:val="0"/>
      <w:marRight w:val="0"/>
      <w:marTop w:val="0"/>
      <w:marBottom w:val="0"/>
      <w:divBdr>
        <w:top w:val="none" w:sz="0" w:space="0" w:color="auto"/>
        <w:left w:val="none" w:sz="0" w:space="0" w:color="auto"/>
        <w:bottom w:val="none" w:sz="0" w:space="0" w:color="auto"/>
        <w:right w:val="none" w:sz="0" w:space="0" w:color="auto"/>
      </w:divBdr>
    </w:div>
    <w:div w:id="2125535644">
      <w:marLeft w:val="0"/>
      <w:marRight w:val="0"/>
      <w:marTop w:val="0"/>
      <w:marBottom w:val="0"/>
      <w:divBdr>
        <w:top w:val="none" w:sz="0" w:space="0" w:color="auto"/>
        <w:left w:val="none" w:sz="0" w:space="0" w:color="auto"/>
        <w:bottom w:val="none" w:sz="0" w:space="0" w:color="auto"/>
        <w:right w:val="none" w:sz="0" w:space="0" w:color="auto"/>
      </w:divBdr>
    </w:div>
    <w:div w:id="2125922531">
      <w:marLeft w:val="0"/>
      <w:marRight w:val="0"/>
      <w:marTop w:val="0"/>
      <w:marBottom w:val="0"/>
      <w:divBdr>
        <w:top w:val="none" w:sz="0" w:space="0" w:color="auto"/>
        <w:left w:val="none" w:sz="0" w:space="0" w:color="auto"/>
        <w:bottom w:val="none" w:sz="0" w:space="0" w:color="auto"/>
        <w:right w:val="none" w:sz="0" w:space="0" w:color="auto"/>
      </w:divBdr>
      <w:divsChild>
        <w:div w:id="989136796">
          <w:marLeft w:val="0"/>
          <w:marRight w:val="0"/>
          <w:marTop w:val="0"/>
          <w:marBottom w:val="0"/>
          <w:divBdr>
            <w:top w:val="none" w:sz="0" w:space="0" w:color="auto"/>
            <w:left w:val="none" w:sz="0" w:space="0" w:color="auto"/>
            <w:bottom w:val="none" w:sz="0" w:space="0" w:color="auto"/>
            <w:right w:val="none" w:sz="0" w:space="0" w:color="auto"/>
          </w:divBdr>
        </w:div>
      </w:divsChild>
    </w:div>
    <w:div w:id="2129935213">
      <w:marLeft w:val="0"/>
      <w:marRight w:val="0"/>
      <w:marTop w:val="100"/>
      <w:marBottom w:val="100"/>
      <w:divBdr>
        <w:top w:val="none" w:sz="0" w:space="0" w:color="auto"/>
        <w:left w:val="none" w:sz="0" w:space="0" w:color="auto"/>
        <w:bottom w:val="none" w:sz="0" w:space="0" w:color="auto"/>
        <w:right w:val="none" w:sz="0" w:space="0" w:color="auto"/>
      </w:divBdr>
    </w:div>
    <w:div w:id="2136485716">
      <w:marLeft w:val="0"/>
      <w:marRight w:val="0"/>
      <w:marTop w:val="0"/>
      <w:marBottom w:val="0"/>
      <w:divBdr>
        <w:top w:val="none" w:sz="0" w:space="0" w:color="auto"/>
        <w:left w:val="none" w:sz="0" w:space="0" w:color="auto"/>
        <w:bottom w:val="none" w:sz="0" w:space="0" w:color="auto"/>
        <w:right w:val="none" w:sz="0" w:space="0" w:color="auto"/>
      </w:divBdr>
    </w:div>
    <w:div w:id="2146391231">
      <w:marLeft w:val="0"/>
      <w:marRight w:val="0"/>
      <w:marTop w:val="0"/>
      <w:marBottom w:val="0"/>
      <w:divBdr>
        <w:top w:val="none" w:sz="0" w:space="0" w:color="auto"/>
        <w:left w:val="none" w:sz="0" w:space="0" w:color="auto"/>
        <w:bottom w:val="none" w:sz="0" w:space="0" w:color="auto"/>
        <w:right w:val="none" w:sz="0" w:space="0" w:color="auto"/>
      </w:divBdr>
      <w:divsChild>
        <w:div w:id="15954322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103secondamendm.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70866/000119312520071042/d825867ddef14a.htm" TargetMode="External"/><Relationship Id="rId12" Type="http://schemas.openxmlformats.org/officeDocument/2006/relationships/hyperlink" Target="exhibit32sec906ceoandc.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1012020director.htm" TargetMode="External"/><Relationship Id="rId11" Type="http://schemas.openxmlformats.org/officeDocument/2006/relationships/hyperlink" Target="exhibit312sec302cfocer.htm" TargetMode="External"/><Relationship Id="rId5" Type="http://schemas.openxmlformats.org/officeDocument/2006/relationships/hyperlink" Target="http://www.sec.gov/Archives/edgar/data/70866/000119312520105327/d914999dex41.htm" TargetMode="External"/><Relationship Id="rId10" Type="http://schemas.openxmlformats.org/officeDocument/2006/relationships/hyperlink" Target="exhibit311sec302ceocer.htm" TargetMode="External"/><Relationship Id="rId4" Type="http://schemas.openxmlformats.org/officeDocument/2006/relationships/image" Target="file:///E:\projects\LLMs\new_data_collection\data_new\htm\NCR%20VOYIX%20Corp\ncr-20200630_g1.jpg" TargetMode="External"/><Relationship Id="rId9" Type="http://schemas.openxmlformats.org/officeDocument/2006/relationships/hyperlink" Target="exhibit104oliver.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40128</Words>
  <Characters>228735</Characters>
  <Application>Microsoft Office Word</Application>
  <DocSecurity>0</DocSecurity>
  <Lines>1906</Lines>
  <Paragraphs>536</Paragraphs>
  <ScaleCrop>false</ScaleCrop>
  <Company/>
  <LinksUpToDate>false</LinksUpToDate>
  <CharactersWithSpaces>268327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ncr-20200630</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