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F0EF5">
      <w:pPr>
        <w:divId w:val="721640109"/>
        <w:rPr>
          <w:rFonts w:eastAsia="Times New Roman"/>
          <w:vanish/>
        </w:rPr>
      </w:pPr>
      <w:r>
        <w:rPr>
          <w:rFonts w:eastAsia="Times New Roman"/>
          <w:vanish/>
        </w:rPr>
        <w:t>00000708662021FYFALSEP4YP3YP1Yhttp://fasb.org/us-gaap/2021-01-31#PropertyPlantAndEquipmentNethttp://fasb.org/us-gaap/2021-01-31#PropertyPlantAndEquipmentNet</w:t>
      </w:r>
      <w:r>
        <w:rPr>
          <w:rFonts w:eastAsia="Times New Roman"/>
          <w:vanish/>
        </w:rPr>
        <w:t>http://fasb.org/us-gaap/2021-01-31#OtherLiabilitiesCurrenthttp://fasb.org/us-gaap/2021-01-31#OtherLiabilitiesCurrenthttp://fasb.org/us-gaap/2021-01-31#OtherLiabilitiesCurrenthttp://fasb.org/us-gaap/2021-01-31#OtherLiabilitiesCurrenthttp://fasb.org/us-gaap/</w:t>
      </w:r>
      <w:r>
        <w:rPr>
          <w:rFonts w:eastAsia="Times New Roman"/>
          <w:vanish/>
        </w:rPr>
        <w:t>2021-01-31#OtherLiabilitiesNoncurrenthttp://fasb.org/us-gaap/2021-01-31#OtherLiabilitiesNoncurrent00000708662021-01-012021-12-3100000708662021-06-30iso4217:USD00000708662022-02-11xbrli:shares0000070866us-gaap:ProductMember2021-01-012021-12-310000070866us-g</w:t>
      </w:r>
      <w:r>
        <w:rPr>
          <w:rFonts w:eastAsia="Times New Roman"/>
          <w:vanish/>
        </w:rPr>
        <w:t>aap:ProductMember2020-01-012020-12-310000070866us-gaap:ProductMember2019-01-012019-12-310000070866us-gaap:ServiceMember2021-01-012021-12-310000070866us-gaap:ServiceMember2020-01-012020-12-310000070866us-gaap:ServiceMember2019-01-012019-12-3100000708662020-</w:t>
      </w:r>
      <w:r>
        <w:rPr>
          <w:rFonts w:eastAsia="Times New Roman"/>
          <w:vanish/>
        </w:rPr>
        <w:t>01-012020-12-3100000708662019-01-012019-12-3100000708662021-10-012021-12-31iso4217:USDxbrli:shares00000708662021-12-3100000708662020-12-3100000708662019-12-3100000708662018-12-310000070866us-gaap:CommonStockMember2018-12-310000070866us-gaap:AdditionalPaidI</w:t>
      </w:r>
      <w:r>
        <w:rPr>
          <w:rFonts w:eastAsia="Times New Roman"/>
          <w:vanish/>
        </w:rPr>
        <w:t>nCapitalMember2018-12-310000070866us-gaap:RetainedEarningsMember2018-12-310000070866us-gaap:AccumulatedOtherComprehensiveIncomeMember2018-12-310000070866us-gaap:NoncontrollingInterestMember2018-12-310000070866ncr:TotalStockholdersEquityMember2018-12-310000</w:t>
      </w:r>
      <w:r>
        <w:rPr>
          <w:rFonts w:eastAsia="Times New Roman"/>
          <w:vanish/>
        </w:rPr>
        <w:t>070866us-gaap:RetainedEarningsMember2019-01-012019-12-310000070866us-gaap:NoncontrollingInterestMember2019-01-012019-12-310000070866ncr:TotalStockholdersEquityMember2019-01-012019-12-310000070866us-gaap:AccumulatedOtherComprehensiveIncomeMember2019-01-0120</w:t>
      </w:r>
      <w:r>
        <w:rPr>
          <w:rFonts w:eastAsia="Times New Roman"/>
          <w:vanish/>
        </w:rPr>
        <w:t>19-12-310000070866us-gaap:CommonStockMember2019-01-012019-12-310000070866us-gaap:AdditionalPaidInCapitalMember2019-01-012019-12-310000070866us-gaap:CommonStockMember2019-12-310000070866us-gaap:AdditionalPaidInCapitalMember2019-12-310000070866us-gaap:Retain</w:t>
      </w:r>
      <w:r>
        <w:rPr>
          <w:rFonts w:eastAsia="Times New Roman"/>
          <w:vanish/>
        </w:rPr>
        <w:t>edEarningsMember2019-12-310000070866us-gaap:AccumulatedOtherComprehensiveIncomeMember2019-12-310000070866us-gaap:NoncontrollingInterestMember2019-12-310000070866ncr:TotalStockholdersEquityMember2019-12-310000070866us-gaap:RetainedEarningsMember2020-01-0120</w:t>
      </w:r>
      <w:r>
        <w:rPr>
          <w:rFonts w:eastAsia="Times New Roman"/>
          <w:vanish/>
        </w:rPr>
        <w:t>20-12-310000070866us-gaap:NoncontrollingInterestMember2020-01-012020-12-310000070866ncr:TotalStockholdersEquityMember2020-01-012020-12-310000070866us-gaap:AccumulatedOtherComprehensiveIncomeMember2020-01-012020-12-310000070866us-gaap:CommonStockMember2020-</w:t>
      </w:r>
      <w:r>
        <w:rPr>
          <w:rFonts w:eastAsia="Times New Roman"/>
          <w:vanish/>
        </w:rPr>
        <w:t>01-012020-12-310000070866us-gaap:AdditionalPaidInCapitalMember2020-01-012020-12-310000070866us-gaap:CommonStockMember2020-12-310000070866us-gaap:AdditionalPaidInCapitalMember2020-12-310000070866us-gaap:RetainedEarningsMember2020-12-310000070866us-gaap:Accu</w:t>
      </w:r>
      <w:r>
        <w:rPr>
          <w:rFonts w:eastAsia="Times New Roman"/>
          <w:vanish/>
        </w:rPr>
        <w:t>mulatedOtherComprehensiveIncomeMember2020-12-310000070866us-gaap:NoncontrollingInterestMember2020-12-310000070866ncr:TotalStockholdersEquityMember2020-12-310000070866us-gaap:RetainedEarningsMember2021-01-012021-12-310000070866us-gaap:NoncontrollingInterest</w:t>
      </w:r>
      <w:r>
        <w:rPr>
          <w:rFonts w:eastAsia="Times New Roman"/>
          <w:vanish/>
        </w:rPr>
        <w:t>Member2021-01-012021-12-310000070866ncr:TotalStockholdersEquityMember2021-01-012021-12-310000070866us-gaap:AccumulatedOtherComprehensiveIncomeMember2021-01-012021-12-310000070866us-gaap:CommonStockMember2021-01-012021-12-310000070866us-gaap:AdditionalPaidI</w:t>
      </w:r>
      <w:r>
        <w:rPr>
          <w:rFonts w:eastAsia="Times New Roman"/>
          <w:vanish/>
        </w:rPr>
        <w:t>nCapitalMember2021-01-012021-12-310000070866us-gaap:CommonStockMember2021-12-310000070866us-gaap:AdditionalPaidInCapitalMember2021-12-310000070866us-gaap:RetainedEarningsMember2021-12-310000070866us-gaap:AccumulatedOtherComprehensiveIncomeMember2021-12-310</w:t>
      </w:r>
      <w:r>
        <w:rPr>
          <w:rFonts w:eastAsia="Times New Roman"/>
          <w:vanish/>
        </w:rPr>
        <w:t>000070866us-gaap:NoncontrollingInterestMember2021-12-310000070866ncr:TotalStockholdersEquityMember2021-12-310000070866ncr:LibertyXMemberus-gaap:SubsequentEventMember2022-01-052022-01-050000070866us-gaap:SubsequentEventMember2022-01-180000070866us-gaap:Sale</w:t>
      </w:r>
      <w:r>
        <w:rPr>
          <w:rFonts w:eastAsia="Times New Roman"/>
          <w:vanish/>
        </w:rPr>
        <w:t>sRevenueNetMemberncr:BillAndHoldTransactionsConcentrationRiskMembersrt:MaximumMember2021-01-012021-12-31xbrli:pure0000070866us-gaap:SeriesAPreferredStockMember2021-01-012021-12-310000070866ncr:RestrictedStockUnitsRSUsandStockOptionsMember2021-01-012021-12-</w:t>
      </w:r>
      <w:r>
        <w:rPr>
          <w:rFonts w:eastAsia="Times New Roman"/>
          <w:vanish/>
        </w:rPr>
        <w:t>310000070866us-gaap:SeriesAPreferredStockMember2020-01-012020-12-310000070866ncr:RestrictedStockUnitsRSUsandStockOptionsMember2020-01-012020-12-310000070866us-gaap:SeriesAPreferredStockMember2019-01-012019-12-310000070866ncr:RestrictedStockUnitsRSUsandStoc</w:t>
      </w:r>
      <w:r>
        <w:rPr>
          <w:rFonts w:eastAsia="Times New Roman"/>
          <w:vanish/>
        </w:rPr>
        <w:t>kOptionsMember2019-01-012019-12-310000070866us-gaap:AllowanceForCreditLossMember2021-01-012021-12-310000070866ncr:SoftwareDevelopmentCostsInternalUseMembersrt:MinimumMember2021-01-012021-12-310000070866ncr:SoftwareDevelopmentCostsInternalUseMembersrt:Maxim</w:t>
      </w:r>
      <w:r>
        <w:rPr>
          <w:rFonts w:eastAsia="Times New Roman"/>
          <w:vanish/>
        </w:rPr>
        <w:t>umMember2021-01-012021-12-310000070866srt:MinimumMemberus-gaap:SoftwareAndSoftwareDevelopmentCostsMember2021-01-012021-12-310000070866srt:MaximumMemberus-gaap:SoftwareAndSoftwareDevelopmentCostsMember2021-01-012021-12-310000070866srt:MinimumMemberus-gaap:M</w:t>
      </w:r>
      <w:r>
        <w:rPr>
          <w:rFonts w:eastAsia="Times New Roman"/>
          <w:vanish/>
        </w:rPr>
        <w:t>achineryAndEquipmentMember2021-01-012021-12-310000070866srt:MaximumMemberus-gaap:MachineryAndEquipmentMember2021-01-012021-12-310000070866srt:MinimumMemberus-gaap:BuildingMember2021-01-012021-12-310000070866srt:MaximumMemberus-gaap:BuildingMember2021-01-01</w:t>
      </w:r>
      <w:r>
        <w:rPr>
          <w:rFonts w:eastAsia="Times New Roman"/>
          <w:vanish/>
        </w:rPr>
        <w:t>2021-12-310000070866ncr:BankingSegmentMember2020-12-310000070866ncr:BankingSegmentMember2021-01-012021-12-310000070866ncr:BankingSegmentMember2021-12-310000070866ncr:RetailSegmentMember2020-12-310000070866ncr:RetailSegmentMember2021-01-012021-12-3100000708</w:t>
      </w:r>
      <w:r>
        <w:rPr>
          <w:rFonts w:eastAsia="Times New Roman"/>
          <w:vanish/>
        </w:rPr>
        <w:t>66ncr:RetailSegmentMember2021-12-310000070866ncr:HospitalitySegmentMember2020-12-310000070866ncr:HospitalitySegmentMember2021-01-012021-12-310000070866ncr:HospitalitySegmentMember2021-12-310000070866us-gaap:AllOtherSegmentsMember2020-12-310000070866us-gaap</w:t>
      </w:r>
      <w:r>
        <w:rPr>
          <w:rFonts w:eastAsia="Times New Roman"/>
          <w:vanish/>
        </w:rPr>
        <w:t>:AllOtherSegmentsMember2021-01-012021-12-310000070866us-gaap:AllOtherSegmentsMember2021-12-310000070866ncr:BankingSegmentMember2019-12-310000070866ncr:BankingSegmentMember2020-01-012020-12-310000070866ncr:RetailSegmentMember2019-12-310000070866ncr:RetailSe</w:t>
      </w:r>
      <w:r>
        <w:rPr>
          <w:rFonts w:eastAsia="Times New Roman"/>
          <w:vanish/>
        </w:rPr>
        <w:t>gmentMember2020-01-012020-12-310000070866ncr:HospitalitySegmentMember2019-12-310000070866ncr:HospitalitySegmentMember2020-01-012020-12-310000070866us-gaap:AllOtherSegmentsMember2019-12-310000070866us-gaap:AllOtherSegmentsMember2020-01-012020-12-31000007086</w:t>
      </w:r>
      <w:r>
        <w:rPr>
          <w:rFonts w:eastAsia="Times New Roman"/>
          <w:vanish/>
        </w:rPr>
        <w:t>6srt:MinimumMemberus-gaap:CustomerRelationshipsMember2021-01-012021-12-310000070866srt:MaximumMemberus-gaap:CustomerRelationshipsMember2021-01-012021-12-310000070866us-gaap:CustomerRelationshipsMember2021-12-310000070866us-gaap:CustomerRelationshipsMember2</w:t>
      </w:r>
      <w:r>
        <w:rPr>
          <w:rFonts w:eastAsia="Times New Roman"/>
          <w:vanish/>
        </w:rPr>
        <w:t>020-12-310000070866srt:MinimumMemberus-gaap:IntellectualPropertyMember2021-01-012021-12-310000070866srt:MaximumMemberus-gaap:IntellectualPropertyMember2021-01-012021-12-310000070866us-gaap:IntellectualPropertyMember2021-12-310000070866us-gaap:IntellectualP</w:t>
      </w:r>
      <w:r>
        <w:rPr>
          <w:rFonts w:eastAsia="Times New Roman"/>
          <w:vanish/>
        </w:rPr>
        <w:t>ropertyMember2020-12-310000070866us-gaap:CustomerContractsMember2021-01-012021-12-310000070866us-gaap:CustomerContractsMember2021-12-310000070866us-gaap:CustomerContractsMember2020-12-310000070866srt:MinimumMemberus-gaap:TradeNamesMember2021-01-012021-12-3</w:t>
      </w:r>
      <w:r>
        <w:rPr>
          <w:rFonts w:eastAsia="Times New Roman"/>
          <w:vanish/>
        </w:rPr>
        <w:t>10000070866srt:MaximumMemberus-gaap:TradeNamesMember2021-01-012021-12-310000070866us-gaap:TradeNamesMember2021-12-310000070866us-gaap:TradeNamesMember2020-12-310000070866ncr:CardtronicsMember2021-01-250000070866ncr:CardtronicsMember2021-01-012021-12-310000</w:t>
      </w:r>
      <w:r>
        <w:rPr>
          <w:rFonts w:eastAsia="Times New Roman"/>
          <w:vanish/>
        </w:rPr>
        <w:t>070866ncr:CardtronicsMember2021-12-310000070866us-gaap:CustomerRelationshipsMemberncr:CardtronicsMember2021-12-310000070866us-gaap:CustomerRelationshipsMemberncr:CardtronicsMember2021-01-012021-12-310000070866us-gaap:PatentedTechnologyMemberncr:Cardtronics</w:t>
      </w:r>
      <w:r>
        <w:rPr>
          <w:rFonts w:eastAsia="Times New Roman"/>
          <w:vanish/>
        </w:rPr>
        <w:t>Member2021-12-310000070866us-gaap:PatentedTechnologyMemberncr:CardtronicsMember2021-01-012021-12-310000070866us-gaap:NoncompeteAgreementsMemberncr:CardtronicsMember2021-12-310000070866us-gaap:NoncompeteAgreementsMemberncr:CardtronicsMember2021-01-012021-12</w:t>
      </w:r>
      <w:r>
        <w:rPr>
          <w:rFonts w:eastAsia="Times New Roman"/>
          <w:vanish/>
        </w:rPr>
        <w:t>-310000070866us-gaap:TradeNamesMemberncr:CardtronicsMember2021-12-310000070866us-gaap:TradeNamesMemberncr:CardtronicsMember2021-01-012021-12-310000070866ncr:CardtronicsMember2021-12-3100000708662021-06-212021-12-310000070866ncr:A5125SeniorNotesDue2029Membe</w:t>
      </w:r>
      <w:r>
        <w:rPr>
          <w:rFonts w:eastAsia="Times New Roman"/>
          <w:vanish/>
        </w:rPr>
        <w:t>r2021-12-310000070866ncr:FreshopTerafinaDumacMember2021-01-012021-12-310000070866ncr:FreshopTerafinaDumacMember2021-12-310000070866us-gaap:CustomerRelationshipsMemberncr:FreshopTerafinaDumacMember2021-12-310000070866us-gaap:CustomerRelationshipsMemberncr:F</w:t>
      </w:r>
      <w:r>
        <w:rPr>
          <w:rFonts w:eastAsia="Times New Roman"/>
          <w:vanish/>
        </w:rPr>
        <w:t>reshopTerafinaDumacMember2021-01-012021-12-310000070866us-gaap:PatentedTechnologyMemberncr:FreshopTerafinaDumacMember2021-12-310000070866us-gaap:PatentedTechnologyMemberncr:FreshopTerafinaDumacMember2021-01-012021-12-310000070866us-gaap:NoncompeteAgreement</w:t>
      </w:r>
      <w:r>
        <w:rPr>
          <w:rFonts w:eastAsia="Times New Roman"/>
          <w:vanish/>
        </w:rPr>
        <w:t>sMemberncr:FreshopTerafinaDumacMember2021-12-310000070866us-gaap:NoncompeteAgreementsMemberncr:FreshopTerafinaDumacMember2021-01-012021-12-310000070866us-gaap:TradeNamesMemberncr:FreshopTerafinaDumacMember2021-12-310000070866us-gaap:TradeNamesMemberncr:Fre</w:t>
      </w:r>
      <w:r>
        <w:rPr>
          <w:rFonts w:eastAsia="Times New Roman"/>
          <w:vanish/>
        </w:rPr>
        <w:t>shopTerafinaDumacMember2021-01-012021-12-310000070866ncr:BusinessAcquisitionOKIBrasilMember2021-12-310000070866ncr:BusinessCombinationsPurchaseConsiderationsPayableTwoYearsFromAcquisitionDateMemberncr:BusinessAcquisitionOKIBrasilMember2021-01-012021-12-310</w:t>
      </w:r>
      <w:r>
        <w:rPr>
          <w:rFonts w:eastAsia="Times New Roman"/>
          <w:vanish/>
        </w:rPr>
        <w:t>000070866ncr:BusinessCombinationsPurchaseConsiderationsPayableSixYearsFromAcquisitionDateMemberncr:BusinessAcquisitionOKIBrasilMember2021-01-012021-12-310000070866ncr:BusinessAcquisitionOKIBrasilMember2021-01-012021-12-310000070866ncr:D3TechnologyMember202</w:t>
      </w:r>
      <w:r>
        <w:rPr>
          <w:rFonts w:eastAsia="Times New Roman"/>
          <w:vanish/>
        </w:rPr>
        <w:t>0-12-310000070866ncr:D3TechnologyMember2020-01-012020-12-310000070866ncr:D3TechnologyMember2021-01-012021-12-310000070866us-gaap:CustomerRelationshipsMemberncr:D3TechnologyMember2020-12-310000070866us-gaap:CustomerRelationshipsMemberncr:D3TechnologyMember2</w:t>
      </w:r>
      <w:r>
        <w:rPr>
          <w:rFonts w:eastAsia="Times New Roman"/>
          <w:vanish/>
        </w:rPr>
        <w:t>020-01-012020-12-310000070866us-gaap:PatentedTechnologyMemberncr:D3TechnologyMember2020-12-310000070866us-gaap:PatentedTechnologyMemberncr:D3TechnologyMember2020-01-012020-12-310000070866us-gaap:TradeNamesMemberncr:D3TechnologyMember2020-12-310000070866us-</w:t>
      </w:r>
      <w:r>
        <w:rPr>
          <w:rFonts w:eastAsia="Times New Roman"/>
          <w:vanish/>
        </w:rPr>
        <w:t>gaap:TradeNamesMemberncr:D3TechnologyMember2020-01-012020-12-310000070866ncr:TotalacquiredintangibleassetsMemberncr:D3TechnologyMember2020-12-310000070866ncr:ZynstraLtd.Member2020-12-310000070866ncr:ZynstraLtd.Member2020-01-012020-12-310000070866ncr:Zynstr</w:t>
      </w:r>
      <w:r>
        <w:rPr>
          <w:rFonts w:eastAsia="Times New Roman"/>
          <w:vanish/>
        </w:rPr>
        <w:t>aLtd.Member2021-01-012021-12-310000070866ncr:ZynstraLtd.Memberus-gaap:PatentedTechnologyMember2020-12-310000070866ncr:ZynstraLtd.Memberus-gaap:PatentedTechnologyMember2020-01-012020-12-310000070866ncr:ZynstraLtd.Memberus-gaap:TradeNamesMember2020-12-310000</w:t>
      </w:r>
      <w:r>
        <w:rPr>
          <w:rFonts w:eastAsia="Times New Roman"/>
          <w:vanish/>
        </w:rPr>
        <w:t>070866ncr:ZynstraLtd.Memberus-gaap:TradeNamesMember2020-01-012020-12-310000070866ncr:ZynstraLtd.Memberncr:TotalacquiredintangibleassetsMember2020-12-310000070866ncr:OtherHospitalityAcquisitionsDomain2020-12-310000070866ncr:OtherHospitalityAcquisitionsDomai</w:t>
      </w:r>
      <w:r>
        <w:rPr>
          <w:rFonts w:eastAsia="Times New Roman"/>
          <w:vanish/>
        </w:rPr>
        <w:t>n2020-01-012020-12-310000070866us-gaap:OperatingSegmentsMemberncr:BankingSegmentMemberMember2021-01-012021-12-310000070866us-gaap:OperatingSegmentsMemberncr:BankingSegmentMemberMember2020-01-012020-12-310000070866us-gaap:OperatingSegmentsMemberncr:BankingS</w:t>
      </w:r>
      <w:r>
        <w:rPr>
          <w:rFonts w:eastAsia="Times New Roman"/>
          <w:vanish/>
        </w:rPr>
        <w:t>egmentMemberMember2019-01-012019-12-310000070866us-gaap:OperatingSegmentsMemberncr:RetailSegmentMemberMember2021-01-012021-12-310000070866us-gaap:OperatingSegmentsMemberncr:RetailSegmentMemberMember2020-01-012020-12-310000070866us-gaap:OperatingSegmentsMem</w:t>
      </w:r>
      <w:r>
        <w:rPr>
          <w:rFonts w:eastAsia="Times New Roman"/>
          <w:vanish/>
        </w:rPr>
        <w:t>berncr:RetailSegmentMemberMember2019-01-012019-12-310000070866us-gaap:OperatingSegmentsMemberncr:HospitalitySegmentMember2021-01-012021-12-310000070866us-gaap:OperatingSegmentsMemberncr:HospitalitySegmentMember2020-01-012020-12-310000070866us-gaap:Operatin</w:t>
      </w:r>
      <w:r>
        <w:rPr>
          <w:rFonts w:eastAsia="Times New Roman"/>
          <w:vanish/>
        </w:rPr>
        <w:t>gSegmentsMemberncr:HospitalitySegmentMember2019-01-012019-12-310000070866us-gaap:OperatingSegmentsMemberncr:TTSegmentMember2021-01-012021-12-310000070866us-gaap:OperatingSegmentsMemberncr:TTSegmentMember2020-01-012020-12-310000070866us-gaap:OperatingSegmen</w:t>
      </w:r>
      <w:r>
        <w:rPr>
          <w:rFonts w:eastAsia="Times New Roman"/>
          <w:vanish/>
        </w:rPr>
        <w:t>tsMemberncr:TTSegmentMember2019-01-012019-12-310000070866us-gaap:OperatingSegmentsMember2021-01-012021-12-310000070866us-gaap:OperatingSegmentsMember2020-01-012020-12-310000070866us-gaap:OperatingSegmentsMember2019-01-012019-12-310000070866us-gaap:Corporat</w:t>
      </w:r>
      <w:r>
        <w:rPr>
          <w:rFonts w:eastAsia="Times New Roman"/>
          <w:vanish/>
        </w:rPr>
        <w:t>eNonSegmentMember2021-01-012021-12-310000070866us-gaap:CorporateNonSegmentMember2020-01-012020-12-310000070866us-gaap:CorporateNonSegmentMember2019-01-012019-12-310000070866ncr:RecurringRevenueMember2021-01-012021-12-310000070866ncr:RecurringRevenueMember2</w:t>
      </w:r>
      <w:r>
        <w:rPr>
          <w:rFonts w:eastAsia="Times New Roman"/>
          <w:vanish/>
        </w:rPr>
        <w:t>020-01-012020-12-310000070866ncr:RecurringRevenueMember2019-01-012019-12-310000070866ncr:AllOtherProductsAndServicesMember2021-01-012021-12-310000070866ncr:AllOtherProductsAndServicesMember2020-01-012020-12-310000070866ncr:AllOtherProductsAndServicesMember</w:t>
      </w:r>
      <w:r>
        <w:rPr>
          <w:rFonts w:eastAsia="Times New Roman"/>
          <w:vanish/>
        </w:rPr>
        <w:t>2019-01-012019-12-310000070866country:US2021-01-012021-12-310000070866country:US2020-01-012020-12-310000070866country:US2019-01-012019-12-310000070866ncr:AmericasExcludingUnitedStatesMember2021-01-012021-12-310000070866ncr:AmericasExcludingUnitedStatesMemb</w:t>
      </w:r>
      <w:r>
        <w:rPr>
          <w:rFonts w:eastAsia="Times New Roman"/>
          <w:vanish/>
        </w:rPr>
        <w:t>er2020-01-012020-12-310000070866ncr:AmericasExcludingUnitedStatesMember2019-01-012019-12-310000070866us-gaap:EMEAMember2021-01-012021-12-310000070866us-gaap:EMEAMember2020-01-012020-12-310000070866us-gaap:EMEAMember2019-01-012019-12-310000070866ncr:APJMemb</w:t>
      </w:r>
      <w:r>
        <w:rPr>
          <w:rFonts w:eastAsia="Times New Roman"/>
          <w:vanish/>
        </w:rPr>
        <w:t>er2021-01-012021-12-310000070866ncr:APJMember2020-01-012020-12-310000070866ncr:APJMember2019-01-012019-12-310000070866country:US2021-12-310000070866country:US2020-12-310000070866ncr:AmericasExcludingUnitedStatesMember2021-12-310000070866ncr:AmericasExcludi</w:t>
      </w:r>
      <w:r>
        <w:rPr>
          <w:rFonts w:eastAsia="Times New Roman"/>
          <w:vanish/>
        </w:rPr>
        <w:t>ngUnitedStatesMember2020-12-310000070866us-gaap:EMEAMember2021-12-310000070866us-gaap:EMEAMember2020-12-310000070866ncr:APJMember2021-12-310000070866ncr:APJMember2020-12-310000070866ncr:TermLoanMember2021-12-310000070866ncr:TermLoanMember2020-12-3100000708</w:t>
      </w:r>
      <w:r>
        <w:rPr>
          <w:rFonts w:eastAsia="Times New Roman"/>
          <w:vanish/>
        </w:rPr>
        <w:t>66ncr:OtherDebtMember2021-12-310000070866ncr:OtherDebtMember2020-12-310000070866ncr:TermLoanMember2021-12-310000070866ncr:TermLoanMember2020-12-310000070866us-gaap:RevolvingCreditFacilityMember2021-12-310000070866us-gaap:RevolvingCreditFacilityMember2020-1</w:t>
      </w:r>
      <w:r>
        <w:rPr>
          <w:rFonts w:eastAsia="Times New Roman"/>
          <w:vanish/>
        </w:rPr>
        <w:t>2-310000070866ncr:A8125NotesDue2025Member2021-12-310000070866ncr:A8125NotesDue2025Member2020-12-310000070866ncr:A5.750SeniorNotesdue2027Member2021-12-310000070866ncr:A5.750SeniorNotesdue2027Member2020-12-310000070866ncr:A5000SeniorNotesDue2028Member2021-12</w:t>
      </w:r>
      <w:r>
        <w:rPr>
          <w:rFonts w:eastAsia="Times New Roman"/>
          <w:vanish/>
        </w:rPr>
        <w:t>-310000070866ncr:A5000SeniorNotesDue2028Member2020-12-310000070866ncr:A5125SeniorNotesDue2029Member2020-12-310000070866ncr:A6.125SeniorNotesdue2029Member2021-12-310000070866ncr:A6.125SeniorNotesdue2029Member2020-12-310000070866ncr:A5250SeniorNotesDue2030Me</w:t>
      </w:r>
      <w:r>
        <w:rPr>
          <w:rFonts w:eastAsia="Times New Roman"/>
          <w:vanish/>
        </w:rPr>
        <w:t>mber2021-12-310000070866ncr:A5250SeniorNotesDue2030Member2020-12-310000070866ncr:OtherDebtMember2021-12-310000070866ncr:OtherDebtMember2020-12-3100000708662021-02-160000070866us-gaap:RevolvingCreditFacilityMemberus-gaap:SecuredDebtMember2021-12-31000007086</w:t>
      </w:r>
      <w:r>
        <w:rPr>
          <w:rFonts w:eastAsia="Times New Roman"/>
          <w:vanish/>
        </w:rPr>
        <w:t>6ncr:TermLoanMemberus-gaap:SecuredDebtMember2021-12-310000070866ncr:RevolvingForeignMemberus-gaap:SecuredDebtMember2021-12-310000070866ncr:FederalFundsRateMemberus-gaap:SecuredDebtMember2021-01-012021-12-310000070866us-gaap:BaseRateMemberus-gaap:SecuredDeb</w:t>
      </w:r>
      <w:r>
        <w:rPr>
          <w:rFonts w:eastAsia="Times New Roman"/>
          <w:vanish/>
        </w:rPr>
        <w:t>tMember2021-01-012021-12-310000070866srt:MinimumMemberus-gaap:SecuredDebtMemberus-gaap:LondonInterbankOfferedRateLIBORMember2021-01-012021-12-310000070866srt:MaximumMemberus-gaap:SecuredDebtMemberus-gaap:LondonInterbankOfferedRateLIBORMember2021-01-012021-</w:t>
      </w:r>
      <w:r>
        <w:rPr>
          <w:rFonts w:eastAsia="Times New Roman"/>
          <w:vanish/>
        </w:rPr>
        <w:t>12-310000070866srt:MinimumMemberncr:EURIBORMemberus-gaap:SecuredDebtMember2021-01-012021-12-310000070866srt:MaximumMemberncr:EURIBORMemberus-gaap:SecuredDebtMember2021-01-012021-12-310000070866ncr:TermLoanAAndRevolvingFacilityMemberus-gaap:SecuredDebtMembe</w:t>
      </w:r>
      <w:r>
        <w:rPr>
          <w:rFonts w:eastAsia="Times New Roman"/>
          <w:vanish/>
        </w:rPr>
        <w:t>rus-gaap:LondonInterbankOfferedRateLIBORMember2021-01-012021-12-310000070866ncr:TermLoanAAndRevolvingFacilityMemberus-gaap:SecuredDebtMember2021-01-012021-12-310000070866srt:MinimumMemberus-gaap:SecuredDebtMember2021-01-012021-12-310000070866srt:MaximumMem</w:t>
      </w:r>
      <w:r>
        <w:rPr>
          <w:rFonts w:eastAsia="Times New Roman"/>
          <w:vanish/>
        </w:rPr>
        <w:t>berus-gaap:SecuredDebtMember2021-01-012021-12-310000070866ncr:PeriodOneMember2021-12-310000070866ncr:PeriodTwoMember2021-12-310000070866ncr:PeriodThreeMember2021-12-310000070866ncr:A5.750SeniorNotesdue2027Member2019-08-210000070866ncr:A5.750SeniorNotesdue2</w:t>
      </w:r>
      <w:r>
        <w:rPr>
          <w:rFonts w:eastAsia="Times New Roman"/>
          <w:vanish/>
        </w:rPr>
        <w:t>027Memberncr:TwelvemonthperiodcommencingonSeptember12022Member2021-01-012021-12-310000070866ncr:A5.750SeniorNotesdue2027Memberncr:TwelvemonthperiodcommencingonSeptember12023Member2021-01-012021-12-310000070866ncr:A5.750SeniorNotesdue2027Memberncr:Twelvemon</w:t>
      </w:r>
      <w:r>
        <w:rPr>
          <w:rFonts w:eastAsia="Times New Roman"/>
          <w:vanish/>
        </w:rPr>
        <w:t>thperiodcommencingonSeptember12024Member2021-01-012021-12-310000070866ncr:A5.750SeniorNotesdue2027Member2021-01-012021-12-310000070866ncr:A6.125SeniorNotesdue2029Member2019-08-210000070866ncr:A6.125SeniorNotesdue2029Memberncr:TwelvemonthperiodcommencingonS</w:t>
      </w:r>
      <w:r>
        <w:rPr>
          <w:rFonts w:eastAsia="Times New Roman"/>
          <w:vanish/>
        </w:rPr>
        <w:t>eptember12024Member2021-01-012021-12-310000070866ncr:A6.125SeniorNotesdue2029Memberncr:TwelveMonthPeriodCommencingSeptember12025Member2021-01-012021-12-310000070866ncr:A6.125SeniorNotesdue2029Memberncr:TwelvemonthperiodcommencingonSeptember12026Member2021-</w:t>
      </w:r>
      <w:r>
        <w:rPr>
          <w:rFonts w:eastAsia="Times New Roman"/>
          <w:vanish/>
        </w:rPr>
        <w:t>01-012021-12-310000070866ncr:TwelvemonthperiodcommencingonSeptember12027Memberncr:A6.125SeniorNotesdue2029Member2021-01-012021-12-310000070866ncr:A5000And5250SeniorNotesMember2020-08-200000070866ncr:FromTimeToTimePriorToOctober12023Memberncr:A5000And5250Se</w:t>
      </w:r>
      <w:r>
        <w:rPr>
          <w:rFonts w:eastAsia="Times New Roman"/>
          <w:vanish/>
        </w:rPr>
        <w:t>niorNotesMember2020-08-202020-08-200000070866ncr:FromTimeToTimePriorToOctober12023Memberncr:A5000SeniorNotesDue2028Member2020-08-202020-08-200000070866ncr:FromTimeToTimePriorToOctober12023Memberncr:A5250SeniorNotesDue2030Member2020-08-202020-08-20000007086</w:t>
      </w:r>
      <w:r>
        <w:rPr>
          <w:rFonts w:eastAsia="Times New Roman"/>
          <w:vanish/>
        </w:rPr>
        <w:t>6ncr:A5000And5250SeniorNotesMember2020-08-202020-08-200000070866ncr:PriorToOctober12023Memberncr:A5000And5250SeniorNotesMember2020-08-202020-08-200000070866ncr:A5000SeniorNotesDue2028Memberncr:TwelveMonthPeriodCommencingOctober12023Member2020-08-202020-08-</w:t>
      </w:r>
      <w:r>
        <w:rPr>
          <w:rFonts w:eastAsia="Times New Roman"/>
          <w:vanish/>
        </w:rPr>
        <w:t>200000070866ncr:A5000SeniorNotesDue2028Memberncr:TwelveMonthPeriodCommencingOctober12024Member2020-08-202020-08-200000070866ncr:TwelveMonthPeriodCommencingOnOctober12025Memberncr:A5000SeniorNotesDue2028Member2020-08-202020-08-200000070866ncr:TwelveMonthPer</w:t>
      </w:r>
      <w:r>
        <w:rPr>
          <w:rFonts w:eastAsia="Times New Roman"/>
          <w:vanish/>
        </w:rPr>
        <w:t>iodCommencingOnOctober12025Memberncr:A5250SeniorNotesDue2030Member2020-08-202020-08-200000070866ncr:TwelveMonthPeriodCommencingOctober12026Memberncr:A5250SeniorNotesDue2030Member2020-08-202020-08-200000070866ncr:TwelveMonthPeriodCommencingOctober12027Membe</w:t>
      </w:r>
      <w:r>
        <w:rPr>
          <w:rFonts w:eastAsia="Times New Roman"/>
          <w:vanish/>
        </w:rPr>
        <w:t>rncr:A5250SeniorNotesDue2030Member2020-08-202020-08-200000070866ncr:A5250SeniorNotesDue2030Memberncr:TwelveMonthPeriodCommencingOctober12028Member2020-08-202020-08-200000070866ncr:AtAnyTimeAndFromTimeToTimePriorToApril152024Member2021-01-012021-12-31000007</w:t>
      </w:r>
      <w:r>
        <w:rPr>
          <w:rFonts w:eastAsia="Times New Roman"/>
          <w:vanish/>
        </w:rPr>
        <w:t>0866ncr:A5125SeniorNotesDue2029Memberncr:PriorToApril152025Member2021-01-012021-12-310000070866ncr:A5125SeniorNotesDue2029Memberncr:OnOrAfterApril15RedeemedIn2024Member2021-01-012021-12-310000070866ncr:A5125SeniorNotesDue2029Memberncr:OnOrAfterApril15Redee</w:t>
      </w:r>
      <w:r>
        <w:rPr>
          <w:rFonts w:eastAsia="Times New Roman"/>
          <w:vanish/>
        </w:rPr>
        <w:t>medIn2025Member2021-01-012021-12-310000070866ncr:A5125SeniorNotesDue2029Memberncr:OnOrAfterApril15RedeemedIn2026AndThereafterMember2021-01-012021-12-310000070866ncr:A8125NotesDue2025Membersrt:GuarantorSubsidiariesMemberncr:NCRInternationalInc.Member2021-12</w:t>
      </w:r>
      <w:r>
        <w:rPr>
          <w:rFonts w:eastAsia="Times New Roman"/>
          <w:vanish/>
        </w:rPr>
        <w:t>-310000070866ncr:LossOnRedemptionOfDebtDeferredFinancingFeesMember2021-01-012021-12-310000070866ncr:LossOnRedemptionOfDebtCashRedemptionPremiumMember2021-01-012021-12-310000070866ncr:A5NotesDue2022Member2012-09-170000070866ncr:A5NotesDue2022Membersrt:Guara</w:t>
      </w:r>
      <w:r>
        <w:rPr>
          <w:rFonts w:eastAsia="Times New Roman"/>
          <w:vanish/>
        </w:rPr>
        <w:t>ntorSubsidiariesMemberncr:NCRInternationalInc.Member2021-12-310000070866ncr:A6.375Notesdue2023Member2013-12-190000070866ncr:A6.375Notesdue2023Membersrt:GuarantorSubsidiariesMemberncr:NCRInternationalInc.Member2021-12-310000070866ncr:A5NotesDue2022Member202</w:t>
      </w:r>
      <w:r>
        <w:rPr>
          <w:rFonts w:eastAsia="Times New Roman"/>
          <w:vanish/>
        </w:rPr>
        <w:t>1-12-310000070866ncr:A5NotesDue2022Member2021-01-012021-12-310000070866ncr:A6.375Notesdue2023Member2021-01-012021-12-310000070866ncr:TradeReceivablesSecuritizationFacilityMember2021-12-310000070866ncr:ErrorCorrectionUtilizationOfForeignTaxCreditsMember2021</w:t>
      </w:r>
      <w:r>
        <w:rPr>
          <w:rFonts w:eastAsia="Times New Roman"/>
          <w:vanish/>
        </w:rPr>
        <w:t>-01-012021-12-310000070866ncr:ErrorCorrectionUtilizationOfForeignTaxCreditsMultiplePeriodsMember2021-01-012021-12-310000070866us-gaap:DomesticCountryMember2021-12-310000070866srt:MinimumMember2021-12-310000070866srt:MaximumMember2021-12-310000070866ncr:Sto</w:t>
      </w:r>
      <w:r>
        <w:rPr>
          <w:rFonts w:eastAsia="Times New Roman"/>
          <w:vanish/>
        </w:rPr>
        <w:t>ckIncentivePlan2013Member2021-01-012021-12-310000070866srt:MinimumMemberncr:RestrictedStockPerformanceBasedMember2021-01-012021-12-310000070866srt:MaximumMemberncr:RestrictedStockPerformanceBasedMember2021-01-012021-12-310000070866us-gaap:RestrictedStockMe</w:t>
      </w:r>
      <w:r>
        <w:rPr>
          <w:rFonts w:eastAsia="Times New Roman"/>
          <w:vanish/>
        </w:rPr>
        <w:t>mber2020-12-310000070866us-gaap:RestrictedStockMember2021-01-012021-12-310000070866us-gaap:RestrictedStockMember2021-12-310000070866ncr:RestrictedStockServiceBasedMember2021-01-012021-12-310000070866ncr:RestrictedStockPerformanceBasedMember2021-01-012021-1</w:t>
      </w:r>
      <w:r>
        <w:rPr>
          <w:rFonts w:eastAsia="Times New Roman"/>
          <w:vanish/>
        </w:rPr>
        <w:t>2-310000070866us-gaap:ShareBasedCompensationAwardTrancheOneMember2021-01-012021-12-310000070866us-gaap:ShareBasedCompensationAwardTrancheTwoMember2021-01-012021-12-310000070866us-gaap:PerformanceSharesMember2021-12-310000070866us-gaap:PerformanceSharesMemb</w:t>
      </w:r>
      <w:r>
        <w:rPr>
          <w:rFonts w:eastAsia="Times New Roman"/>
          <w:vanish/>
        </w:rPr>
        <w:t>erncr:RestrictedStockUnitsGrantedFebruary232021Member2021-01-012021-12-310000070866srt:MinimumMemberus-gaap:PerformanceSharesMemberncr:RestrictedStockUnitsGrantedFebruary232021Member2021-01-012021-12-310000070866srt:MaximumMemberus-gaap:PerformanceSharesMe</w:t>
      </w:r>
      <w:r>
        <w:rPr>
          <w:rFonts w:eastAsia="Times New Roman"/>
          <w:vanish/>
        </w:rPr>
        <w:t>mberncr:RestrictedStockUnitsGrantedFebruary232021Member2021-01-012021-12-310000070866ncr:RestrictedStockUnitsGrantedSeptember222021Member2021-12-310000070866ncr:RestrictedStockUnitsGrantedSeptember222021Memberus-gaap:PerformanceSharesMember2021-09-222021-0</w:t>
      </w:r>
      <w:r>
        <w:rPr>
          <w:rFonts w:eastAsia="Times New Roman"/>
          <w:vanish/>
        </w:rPr>
        <w:t>9-220000070866ncr:RestrictedStockUnitsGrantedSeptember222021Memberus-gaap:PerformanceSharesMember2021-01-012021-12-310000070866ncr:RestrictedStockUnitsGrantedSeptember222021Membersrt:MinimumMemberus-gaap:PerformanceSharesMember2021-01-012021-12-31000007086</w:t>
      </w:r>
      <w:r>
        <w:rPr>
          <w:rFonts w:eastAsia="Times New Roman"/>
          <w:vanish/>
        </w:rPr>
        <w:t>6ncr:RestrictedStockUnitsGrantedSeptember222021Membersrt:MaximumMemberus-gaap:PerformanceSharesMember2021-01-012021-12-310000070866srt:MaximumMemberus-gaap:EmployeeStockOptionMember2021-01-012021-12-310000070866us-gaap:EmployeeStockOptionMembersrt:MinimumM</w:t>
      </w:r>
      <w:r>
        <w:rPr>
          <w:rFonts w:eastAsia="Times New Roman"/>
          <w:vanish/>
        </w:rPr>
        <w:t>ember2021-01-012021-12-310000070866us-gaap:EmployeeStockOptionMember2021-01-012021-12-310000070866us-gaap:EmployeeStockOptionMember2020-12-310000070866us-gaap:EmployeeStockOptionMember2021-12-310000070866us-gaap:EmployeeStockOptionMember2020-01-012020-12-3</w:t>
      </w:r>
      <w:r>
        <w:rPr>
          <w:rFonts w:eastAsia="Times New Roman"/>
          <w:vanish/>
        </w:rPr>
        <w:t>10000070866us-gaap:EmployeeStockOptionMember2019-01-012019-12-310000070866us-gaap:EmployeeStockMember2021-01-012021-12-310000070866us-gaap:EmployeeStockMember2020-01-012020-12-310000070866us-gaap:EmployeeStockMember2019-01-012019-12-310000070866us-gaap:Emp</w:t>
      </w:r>
      <w:r>
        <w:rPr>
          <w:rFonts w:eastAsia="Times New Roman"/>
          <w:vanish/>
        </w:rPr>
        <w:t>loyeeStockMember2021-12-310000070866ncr:AmendedEmployeeStockMember2021-12-310000070866us-gaap:PensionPlansDefinedBenefitMember2021-01-012021-12-310000070866us-gaap:DomesticPlanMember2020-12-310000070866us-gaap:DomesticPlanMember2019-12-310000070866us-gaap:</w:t>
      </w:r>
      <w:r>
        <w:rPr>
          <w:rFonts w:eastAsia="Times New Roman"/>
          <w:vanish/>
        </w:rPr>
        <w:t>ForeignPlanMember2020-12-310000070866us-gaap:ForeignPlanMember2019-12-310000070866us-gaap:PensionPlansDefinedBenefitMember2020-12-310000070866us-gaap:PensionPlansDefinedBenefitMember2019-12-310000070866us-gaap:DomesticPlanMember2021-01-012021-12-3100000708</w:t>
      </w:r>
      <w:r>
        <w:rPr>
          <w:rFonts w:eastAsia="Times New Roman"/>
          <w:vanish/>
        </w:rPr>
        <w:t>66us-gaap:DomesticPlanMember2020-01-012020-12-310000070866us-gaap:ForeignPlanMember2021-01-012021-12-310000070866us-gaap:ForeignPlanMember2020-01-012020-12-310000070866us-gaap:PensionPlansDefinedBenefitMember2020-01-012020-12-310000070866us-gaap:DomesticPl</w:t>
      </w:r>
      <w:r>
        <w:rPr>
          <w:rFonts w:eastAsia="Times New Roman"/>
          <w:vanish/>
        </w:rPr>
        <w:t>anMember2021-12-310000070866us-gaap:ForeignPlanMember2021-12-310000070866us-gaap:PensionPlansDefinedBenefitMember2021-12-310000070866us-gaap:DomesticPlanMember2019-01-012019-12-310000070866us-gaap:ForeignPlanMember2019-01-012019-12-310000070866us-gaap:Pens</w:t>
      </w:r>
      <w:r>
        <w:rPr>
          <w:rFonts w:eastAsia="Times New Roman"/>
          <w:vanish/>
        </w:rPr>
        <w:t>ionPlansDefinedBenefitMember2019-01-012019-12-310000070866us-gaap:OtherPostretirementBenefitPlansDefinedBenefitMember2021-01-012021-12-310000070866us-gaap:EquitySecuritiesMemberus-gaap:DomesticPlanMember2021-12-310000070866us-gaap:EquitySecuritiesMemberus-</w:t>
      </w:r>
      <w:r>
        <w:rPr>
          <w:rFonts w:eastAsia="Times New Roman"/>
          <w:vanish/>
        </w:rPr>
        <w:t>gaap:DomesticPlanMember2020-12-310000070866srt:MinimumMemberus-gaap:EquitySecuritiesMemberus-gaap:DomesticPlanMember2021-12-310000070866srt:MaximumMemberus-gaap:EquitySecuritiesMemberus-gaap:DomesticPlanMember2021-12-310000070866us-gaap:ForeignPlanMemberus</w:t>
      </w:r>
      <w:r>
        <w:rPr>
          <w:rFonts w:eastAsia="Times New Roman"/>
          <w:vanish/>
        </w:rPr>
        <w:t>-gaap:EquitySecuritiesMember2021-12-310000070866us-gaap:ForeignPlanMemberus-gaap:EquitySecuritiesMember2020-12-310000070866us-gaap:ForeignPlanMembersrt:MinimumMemberus-gaap:EquitySecuritiesMember2021-12-310000070866us-gaap:ForeignPlanMembersrt:MaximumMembe</w:t>
      </w:r>
      <w:r>
        <w:rPr>
          <w:rFonts w:eastAsia="Times New Roman"/>
          <w:vanish/>
        </w:rPr>
        <w:t>rus-gaap:EquitySecuritiesMember2021-12-310000070866us-gaap:DebtSecuritiesMemberus-gaap:DomesticPlanMember2021-12-310000070866us-gaap:DebtSecuritiesMemberus-gaap:DomesticPlanMember2020-12-310000070866srt:MinimumMemberus-gaap:DebtSecuritiesMemberus-gaap:Dome</w:t>
      </w:r>
      <w:r>
        <w:rPr>
          <w:rFonts w:eastAsia="Times New Roman"/>
          <w:vanish/>
        </w:rPr>
        <w:t>sticPlanMember2021-12-310000070866srt:MaximumMemberus-gaap:DebtSecuritiesMemberus-gaap:DomesticPlanMember2021-12-310000070866us-gaap:ForeignPlanMemberus-gaap:DebtSecuritiesMember2021-12-310000070866us-gaap:ForeignPlanMemberus-gaap:DebtSecuritiesMember2020-</w:t>
      </w:r>
      <w:r>
        <w:rPr>
          <w:rFonts w:eastAsia="Times New Roman"/>
          <w:vanish/>
        </w:rPr>
        <w:t>12-310000070866us-gaap:ForeignPlanMembersrt:MinimumMemberus-gaap:DebtSecuritiesMember2021-12-310000070866us-gaap:ForeignPlanMembersrt:MaximumMemberus-gaap:DebtSecuritiesMember2021-12-310000070866us-gaap:RealEstateMemberus-gaap:DomesticPlanMember2021-12-310</w:t>
      </w:r>
      <w:r>
        <w:rPr>
          <w:rFonts w:eastAsia="Times New Roman"/>
          <w:vanish/>
        </w:rPr>
        <w:t>000070866us-gaap:RealEstateMemberus-gaap:DomesticPlanMember2020-12-310000070866srt:MinimumMemberus-gaap:RealEstateMemberus-gaap:DomesticPlanMember2021-12-310000070866srt:MaximumMemberus-gaap:RealEstateMemberus-gaap:DomesticPlanMember2021-12-310000070866us-</w:t>
      </w:r>
      <w:r>
        <w:rPr>
          <w:rFonts w:eastAsia="Times New Roman"/>
          <w:vanish/>
        </w:rPr>
        <w:t>gaap:ForeignPlanMemberus-gaap:RealEstateMember2021-12-310000070866us-gaap:ForeignPlanMemberus-gaap:RealEstateMember2020-12-310000070866us-gaap:ForeignPlanMembersrt:MinimumMemberus-gaap:RealEstateMember2021-12-310000070866us-gaap:ForeignPlanMembersrt:Maximu</w:t>
      </w:r>
      <w:r>
        <w:rPr>
          <w:rFonts w:eastAsia="Times New Roman"/>
          <w:vanish/>
        </w:rPr>
        <w:t>mMemberus-gaap:RealEstateMember2021-12-310000070866ncr:OtherEquitySecuritiesMemberus-gaap:DomesticPlanMember2021-12-310000070866ncr:OtherEquitySecuritiesMemberus-gaap:DomesticPlanMember2020-12-310000070866srt:MinimumMemberncr:OtherEquitySecuritiesMemberus-</w:t>
      </w:r>
      <w:r>
        <w:rPr>
          <w:rFonts w:eastAsia="Times New Roman"/>
          <w:vanish/>
        </w:rPr>
        <w:t>gaap:DomesticPlanMember2021-12-310000070866srt:MaximumMemberncr:OtherEquitySecuritiesMemberus-gaap:DomesticPlanMember2021-12-310000070866us-gaap:ForeignPlanMemberncr:OtherEquitySecuritiesMember2021-12-310000070866us-gaap:ForeignPlanMemberncr:OtherEquitySec</w:t>
      </w:r>
      <w:r>
        <w:rPr>
          <w:rFonts w:eastAsia="Times New Roman"/>
          <w:vanish/>
        </w:rPr>
        <w:t>uritiesMember2020-12-310000070866us-gaap:ForeignPlanMembersrt:MinimumMemberncr:OtherEquitySecuritiesMember2021-12-310000070866us-gaap:ForeignPlanMembersrt:MaximumMemberncr:OtherEquitySecuritiesMember2021-12-310000070866ncr:EquitySecuritiesCommonStockMember</w:t>
      </w:r>
      <w:r>
        <w:rPr>
          <w:rFonts w:eastAsia="Times New Roman"/>
          <w:vanish/>
        </w:rPr>
        <w:t>us-gaap:DomesticPlanMember2021-12-310000070866us-gaap:FairValueInputsLevel1Memberncr:EquitySecuritiesCommonStockMemberus-gaap:DomesticPlanMember2021-12-310000070866ncr:EquitySecuritiesCommonStockMemberus-gaap:FairValueInputsLevel2Memberus-gaap:DomesticPlan</w:t>
      </w:r>
      <w:r>
        <w:rPr>
          <w:rFonts w:eastAsia="Times New Roman"/>
          <w:vanish/>
        </w:rPr>
        <w:t>Member2021-12-310000070866us-gaap:FairValueInputsLevel3Memberncr:EquitySecuritiesCommonStockMemberus-gaap:DomesticPlanMember2021-12-310000070866ncr:NotSubjecttoLevelingMemberncr:EquitySecuritiesCommonStockMemberus-gaap:DomesticPlanMember2021-12-31000007086</w:t>
      </w:r>
      <w:r>
        <w:rPr>
          <w:rFonts w:eastAsia="Times New Roman"/>
          <w:vanish/>
        </w:rPr>
        <w:t>6us-gaap:ForeignPlanMemberncr:EquitySecuritiesCommonStockMember2021-12-310000070866us-gaap:FairValueInputsLevel1Memberus-gaap:ForeignPlanMemberncr:EquitySecuritiesCommonStockMember2021-12-310000070866us-gaap:ForeignPlanMemberncr:EquitySecuritiesCommonStock</w:t>
      </w:r>
      <w:r>
        <w:rPr>
          <w:rFonts w:eastAsia="Times New Roman"/>
          <w:vanish/>
        </w:rPr>
        <w:t>Memberus-gaap:FairValueInputsLevel2Member2021-12-310000070866us-gaap:ForeignPlanMemberus-gaap:FairValueInputsLevel3Memberncr:EquitySecuritiesCommonStockMember2021-12-310000070866us-gaap:ForeignPlanMemberncr:NotSubjecttoLevelingMemberncr:EquitySecuritiesCom</w:t>
      </w:r>
      <w:r>
        <w:rPr>
          <w:rFonts w:eastAsia="Times New Roman"/>
          <w:vanish/>
        </w:rPr>
        <w:t>monStockMember2021-12-310000070866ncr:GovernmentDebtSecuritiesMemberus-gaap:DomesticPlanMember2021-12-310000070866us-gaap:FairValueInputsLevel1Memberncr:GovernmentDebtSecuritiesMemberus-gaap:DomesticPlanMember2021-12-310000070866ncr:GovernmentDebtSecuritie</w:t>
      </w:r>
      <w:r>
        <w:rPr>
          <w:rFonts w:eastAsia="Times New Roman"/>
          <w:vanish/>
        </w:rPr>
        <w:t>sMemberus-gaap:FairValueInputsLevel2Memberus-gaap:DomesticPlanMember2021-12-310000070866ncr:GovernmentDebtSecuritiesMemberus-gaap:FairValueInputsLevel3Memberus-gaap:DomesticPlanMember2021-12-310000070866ncr:GovernmentDebtSecuritiesMemberncr:NotSubjecttoLev</w:t>
      </w:r>
      <w:r>
        <w:rPr>
          <w:rFonts w:eastAsia="Times New Roman"/>
          <w:vanish/>
        </w:rPr>
        <w:t>elingMemberus-gaap:DomesticPlanMember2021-12-310000070866us-gaap:ForeignPlanMemberncr:GovernmentDebtSecuritiesMember2021-12-310000070866us-gaap:FairValueInputsLevel1Memberus-gaap:ForeignPlanMemberncr:GovernmentDebtSecuritiesMember2021-12-310000070866us-gaa</w:t>
      </w:r>
      <w:r>
        <w:rPr>
          <w:rFonts w:eastAsia="Times New Roman"/>
          <w:vanish/>
        </w:rPr>
        <w:t>p:ForeignPlanMemberncr:GovernmentDebtSecuritiesMemberus-gaap:FairValueInputsLevel2Member2021-12-310000070866us-gaap:ForeignPlanMemberncr:GovernmentDebtSecuritiesMemberus-gaap:FairValueInputsLevel3Member2021-12-310000070866us-gaap:ForeignPlanMemberncr:Gover</w:t>
      </w:r>
      <w:r>
        <w:rPr>
          <w:rFonts w:eastAsia="Times New Roman"/>
          <w:vanish/>
        </w:rPr>
        <w:t>nmentDebtSecuritiesMemberncr:NotSubjecttoLevelingMember2021-12-310000070866us-gaap:CorporateDebtSecuritiesMemberus-gaap:DomesticPlanMember2021-12-310000070866us-gaap:FairValueInputsLevel1Memberus-gaap:CorporateDebtSecuritiesMemberus-gaap:DomesticPlanMember</w:t>
      </w:r>
      <w:r>
        <w:rPr>
          <w:rFonts w:eastAsia="Times New Roman"/>
          <w:vanish/>
        </w:rPr>
        <w:t>2021-12-310000070866us-gaap:CorporateDebtSecuritiesMemberus-gaap:FairValueInputsLevel2Memberus-gaap:DomesticPlanMember2021-12-310000070866us-gaap:CorporateDebtSecuritiesMemberus-gaap:FairValueInputsLevel3Memberus-gaap:DomesticPlanMember2021-12-310000070866</w:t>
      </w:r>
      <w:r>
        <w:rPr>
          <w:rFonts w:eastAsia="Times New Roman"/>
          <w:vanish/>
        </w:rPr>
        <w:t>us-gaap:CorporateDebtSecuritiesMemberncr:NotSubjecttoLevelingMemberus-gaap:DomesticPlanMember2021-12-310000070866us-gaap:ForeignPlanMemberus-gaap:CorporateDebtSecuritiesMember2021-12-310000070866us-gaap:FairValueInputsLevel1Memberus-gaap:ForeignPlanMemberu</w:t>
      </w:r>
      <w:r>
        <w:rPr>
          <w:rFonts w:eastAsia="Times New Roman"/>
          <w:vanish/>
        </w:rPr>
        <w:t>s-gaap:CorporateDebtSecuritiesMember2021-12-310000070866us-gaap:ForeignPlanMemberus-gaap:CorporateDebtSecuritiesMemberus-gaap:FairValueInputsLevel2Member2021-12-310000070866us-gaap:ForeignPlanMemberus-gaap:CorporateDebtSecuritiesMemberus-gaap:FairValueInpu</w:t>
      </w:r>
      <w:r>
        <w:rPr>
          <w:rFonts w:eastAsia="Times New Roman"/>
          <w:vanish/>
        </w:rPr>
        <w:t>tsLevel3Member2021-12-310000070866us-gaap:ForeignPlanMemberus-gaap:CorporateDebtSecuritiesMemberncr:NotSubjecttoLevelingMember2021-12-310000070866us-gaap:MoneyMarketFundsMemberus-gaap:DomesticPlanMember2021-12-310000070866us-gaap:FairValueInputsLevel1Membe</w:t>
      </w:r>
      <w:r>
        <w:rPr>
          <w:rFonts w:eastAsia="Times New Roman"/>
          <w:vanish/>
        </w:rPr>
        <w:t>rus-gaap:MoneyMarketFundsMemberus-gaap:DomesticPlanMember2021-12-310000070866us-gaap:MoneyMarketFundsMemberus-gaap:FairValueInputsLevel2Memberus-gaap:DomesticPlanMember2021-12-310000070866us-gaap:FairValueInputsLevel3Memberus-gaap:MoneyMarketFundsMemberus-</w:t>
      </w:r>
      <w:r>
        <w:rPr>
          <w:rFonts w:eastAsia="Times New Roman"/>
          <w:vanish/>
        </w:rPr>
        <w:t>gaap:DomesticPlanMember2021-12-310000070866us-gaap:MoneyMarketFundsMemberncr:NotSubjecttoLevelingMemberus-gaap:DomesticPlanMember2021-12-310000070866us-gaap:ForeignPlanMemberus-gaap:MoneyMarketFundsMember2021-12-310000070866us-gaap:FairValueInputsLevel1Mem</w:t>
      </w:r>
      <w:r>
        <w:rPr>
          <w:rFonts w:eastAsia="Times New Roman"/>
          <w:vanish/>
        </w:rPr>
        <w:t>berus-gaap:ForeignPlanMemberus-gaap:MoneyMarketFundsMember2021-12-310000070866us-gaap:ForeignPlanMemberus-gaap:MoneyMarketFundsMemberus-gaap:FairValueInputsLevel2Member2021-12-310000070866us-gaap:ForeignPlanMemberus-gaap:FairValueInputsLevel3Memberus-gaap:</w:t>
      </w:r>
      <w:r>
        <w:rPr>
          <w:rFonts w:eastAsia="Times New Roman"/>
          <w:vanish/>
        </w:rPr>
        <w:t>MoneyMarketFundsMember2021-12-310000070866us-gaap:ForeignPlanMemberus-gaap:MoneyMarketFundsMemberncr:NotSubjecttoLevelingMember2021-12-310000070866ncr:CommonAndCommingledTrustsEquitiesMemberus-gaap:DomesticPlanMember2021-12-310000070866us-gaap:FairValueInp</w:t>
      </w:r>
      <w:r>
        <w:rPr>
          <w:rFonts w:eastAsia="Times New Roman"/>
          <w:vanish/>
        </w:rPr>
        <w:t>utsLevel1Memberncr:CommonAndCommingledTrustsEquitiesMemberus-gaap:DomesticPlanMember2021-12-310000070866ncr:CommonAndCommingledTrustsEquitiesMemberus-gaap:FairValueInputsLevel2Memberus-gaap:DomesticPlanMember2021-12-310000070866us-gaap:FairValueInputsLevel</w:t>
      </w:r>
      <w:r>
        <w:rPr>
          <w:rFonts w:eastAsia="Times New Roman"/>
          <w:vanish/>
        </w:rPr>
        <w:t>3Memberncr:CommonAndCommingledTrustsEquitiesMemberus-gaap:DomesticPlanMember2021-12-310000070866ncr:NotSubjecttoLevelingMemberncr:CommonAndCommingledTrustsEquitiesMemberus-gaap:DomesticPlanMember2021-12-310000070866us-gaap:ForeignPlanMemberncr:CommonAndCom</w:t>
      </w:r>
      <w:r>
        <w:rPr>
          <w:rFonts w:eastAsia="Times New Roman"/>
          <w:vanish/>
        </w:rPr>
        <w:t>mingledTrustsEquitiesMember2021-12-310000070866us-gaap:FairValueInputsLevel1Memberus-gaap:ForeignPlanMemberncr:CommonAndCommingledTrustsEquitiesMember2021-12-310000070866us-gaap:ForeignPlanMemberncr:CommonAndCommingledTrustsEquitiesMemberus-gaap:FairValueI</w:t>
      </w:r>
      <w:r>
        <w:rPr>
          <w:rFonts w:eastAsia="Times New Roman"/>
          <w:vanish/>
        </w:rPr>
        <w:t>nputsLevel2Member2021-12-310000070866us-gaap:ForeignPlanMemberus-gaap:FairValueInputsLevel3Memberncr:CommonAndCommingledTrustsEquitiesMember2021-12-310000070866us-gaap:ForeignPlanMemberncr:NotSubjecttoLevelingMemberncr:CommonAndCommingledTrustsEquitiesMemb</w:t>
      </w:r>
      <w:r>
        <w:rPr>
          <w:rFonts w:eastAsia="Times New Roman"/>
          <w:vanish/>
        </w:rPr>
        <w:t>er2021-12-310000070866ncr:CommonAndCommingledTrustsBondsMemberus-gaap:DomesticPlanMember2021-12-310000070866us-gaap:FairValueInputsLevel1Memberncr:CommonAndCommingledTrustsBondsMemberus-gaap:DomesticPlanMember2021-12-310000070866ncr:CommonAndCommingledTrus</w:t>
      </w:r>
      <w:r>
        <w:rPr>
          <w:rFonts w:eastAsia="Times New Roman"/>
          <w:vanish/>
        </w:rPr>
        <w:t>tsBondsMemberus-gaap:FairValueInputsLevel2Memberus-gaap:DomesticPlanMember2021-12-310000070866ncr:CommonAndCommingledTrustsBondsMemberus-gaap:FairValueInputsLevel3Memberus-gaap:DomesticPlanMember2021-12-310000070866ncr:CommonAndCommingledTrustsBondsMembern</w:t>
      </w:r>
      <w:r>
        <w:rPr>
          <w:rFonts w:eastAsia="Times New Roman"/>
          <w:vanish/>
        </w:rPr>
        <w:t>cr:NotSubjecttoLevelingMemberus-gaap:DomesticPlanMember2021-12-310000070866us-gaap:ForeignPlanMemberncr:CommonAndCommingledTrustsBondsMember2021-12-310000070866us-gaap:FairValueInputsLevel1Memberus-gaap:ForeignPlanMemberncr:CommonAndCommingledTrustsBondsMe</w:t>
      </w:r>
      <w:r>
        <w:rPr>
          <w:rFonts w:eastAsia="Times New Roman"/>
          <w:vanish/>
        </w:rPr>
        <w:t>mber2021-12-310000070866us-gaap:ForeignPlanMemberncr:CommonAndCommingledTrustsBondsMemberus-gaap:FairValueInputsLevel2Member2021-12-310000070866us-gaap:ForeignPlanMemberncr:CommonAndCommingledTrustsBondsMemberus-gaap:FairValueInputsLevel3Member2021-12-3100</w:t>
      </w:r>
      <w:r>
        <w:rPr>
          <w:rFonts w:eastAsia="Times New Roman"/>
          <w:vanish/>
        </w:rPr>
        <w:t>00070866us-gaap:ForeignPlanMemberncr:CommonAndCommingledTrustsBondsMemberncr:NotSubjecttoLevelingMember2021-12-310000070866ncr:CommonAndCommingledTrustsShortTermInvestmentsMemberus-gaap:DomesticPlanMember2021-12-310000070866us-gaap:FairValueInputsLevel1Mem</w:t>
      </w:r>
      <w:r>
        <w:rPr>
          <w:rFonts w:eastAsia="Times New Roman"/>
          <w:vanish/>
        </w:rPr>
        <w:t>berncr:CommonAndCommingledTrustsShortTermInvestmentsMemberus-gaap:DomesticPlanMember2021-12-310000070866ncr:CommonAndCommingledTrustsShortTermInvestmentsMemberus-gaap:FairValueInputsLevel2Memberus-gaap:DomesticPlanMember2021-12-310000070866ncr:CommonAndCom</w:t>
      </w:r>
      <w:r>
        <w:rPr>
          <w:rFonts w:eastAsia="Times New Roman"/>
          <w:vanish/>
        </w:rPr>
        <w:t>mingledTrustsShortTermInvestmentsMemberus-gaap:FairValueInputsLevel3Memberus-gaap:DomesticPlanMember2021-12-310000070866ncr:CommonAndCommingledTrustsShortTermInvestmentsMemberncr:NotSubjecttoLevelingMemberus-gaap:DomesticPlanMember2021-12-310000070866us-ga</w:t>
      </w:r>
      <w:r>
        <w:rPr>
          <w:rFonts w:eastAsia="Times New Roman"/>
          <w:vanish/>
        </w:rPr>
        <w:t>ap:ForeignPlanMemberncr:CommonAndCommingledTrustsShortTermInvestmentsMember2021-12-310000070866us-gaap:FairValueInputsLevel1Memberus-gaap:ForeignPlanMemberncr:CommonAndCommingledTrustsShortTermInvestmentsMember2021-12-310000070866us-gaap:ForeignPlanMembern</w:t>
      </w:r>
      <w:r>
        <w:rPr>
          <w:rFonts w:eastAsia="Times New Roman"/>
          <w:vanish/>
        </w:rPr>
        <w:t>cr:CommonAndCommingledTrustsShortTermInvestmentsMemberus-gaap:FairValueInputsLevel2Member2021-12-310000070866us-gaap:ForeignPlanMemberncr:CommonAndCommingledTrustsShortTermInvestmentsMemberus-gaap:FairValueInputsLevel3Member2021-12-310000070866us-gaap:Fore</w:t>
      </w:r>
      <w:r>
        <w:rPr>
          <w:rFonts w:eastAsia="Times New Roman"/>
          <w:vanish/>
        </w:rPr>
        <w:t>ignPlanMemberncr:CommonAndCommingledTrustsShortTermInvestmentsMemberncr:NotSubjecttoLevelingMember2021-12-310000070866ncr:CommonAndCommingledTrustsBalancedMemberus-gaap:DomesticPlanMember2021-12-310000070866us-gaap:FairValueInputsLevel1Memberncr:CommonAndC</w:t>
      </w:r>
      <w:r>
        <w:rPr>
          <w:rFonts w:eastAsia="Times New Roman"/>
          <w:vanish/>
        </w:rPr>
        <w:t>ommingledTrustsBalancedMemberus-gaap:DomesticPlanMember2021-12-310000070866ncr:CommonAndCommingledTrustsBalancedMemberus-gaap:FairValueInputsLevel2Memberus-gaap:DomesticPlanMember2021-12-310000070866ncr:CommonAndCommingledTrustsBalancedMemberus-gaap:FairVa</w:t>
      </w:r>
      <w:r>
        <w:rPr>
          <w:rFonts w:eastAsia="Times New Roman"/>
          <w:vanish/>
        </w:rPr>
        <w:t>lueInputsLevel3Memberus-gaap:DomesticPlanMember2021-12-310000070866ncr:CommonAndCommingledTrustsBalancedMemberncr:NotSubjecttoLevelingMemberus-gaap:DomesticPlanMember2021-12-310000070866us-gaap:ForeignPlanMemberncr:CommonAndCommingledTrustsBalancedMember20</w:t>
      </w:r>
      <w:r>
        <w:rPr>
          <w:rFonts w:eastAsia="Times New Roman"/>
          <w:vanish/>
        </w:rPr>
        <w:t>21-12-310000070866us-gaap:FairValueInputsLevel1Memberus-gaap:ForeignPlanMemberncr:CommonAndCommingledTrustsBalancedMember2021-12-310000070866us-gaap:ForeignPlanMemberncr:CommonAndCommingledTrustsBalancedMemberus-gaap:FairValueInputsLevel2Member2021-12-3100</w:t>
      </w:r>
      <w:r>
        <w:rPr>
          <w:rFonts w:eastAsia="Times New Roman"/>
          <w:vanish/>
        </w:rPr>
        <w:t>00070866us-gaap:ForeignPlanMemberncr:CommonAndCommingledTrustsBalancedMemberus-gaap:FairValueInputsLevel3Member2021-12-310000070866us-gaap:ForeignPlanMemberncr:CommonAndCommingledTrustsBalancedMemberncr:NotSubjecttoLevelingMember2021-12-310000070866ncr:Par</w:t>
      </w:r>
      <w:r>
        <w:rPr>
          <w:rFonts w:eastAsia="Times New Roman"/>
          <w:vanish/>
        </w:rPr>
        <w:t>tnershipAndJointVentureInterestsOtherMemberus-gaap:DomesticPlanMember2021-12-310000070866us-gaap:FairValueInputsLevel1Memberncr:PartnershipAndJointVentureInterestsOtherMemberus-gaap:DomesticPlanMember2021-12-310000070866ncr:PartnershipAndJointVentureIntere</w:t>
      </w:r>
      <w:r>
        <w:rPr>
          <w:rFonts w:eastAsia="Times New Roman"/>
          <w:vanish/>
        </w:rPr>
        <w:t>stsOtherMemberus-gaap:FairValueInputsLevel2Memberus-gaap:DomesticPlanMember2021-12-310000070866ncr:PartnershipAndJointVentureInterestsOtherMemberus-gaap:FairValueInputsLevel3Memberus-gaap:DomesticPlanMember2021-12-310000070866ncr:PartnershipAndJointVenture</w:t>
      </w:r>
      <w:r>
        <w:rPr>
          <w:rFonts w:eastAsia="Times New Roman"/>
          <w:vanish/>
        </w:rPr>
        <w:t>InterestsOtherMemberncr:NotSubjecttoLevelingMemberus-gaap:DomesticPlanMember2021-12-310000070866ncr:PartnershipAndJointVentureInterestsOtherMemberus-gaap:ForeignPlanMember2021-12-310000070866us-gaap:FairValueInputsLevel1Memberncr:PartnershipAndJointVenture</w:t>
      </w:r>
      <w:r>
        <w:rPr>
          <w:rFonts w:eastAsia="Times New Roman"/>
          <w:vanish/>
        </w:rPr>
        <w:t>InterestsOtherMemberus-gaap:ForeignPlanMember2021-12-310000070866ncr:PartnershipAndJointVentureInterestsOtherMemberus-gaap:ForeignPlanMemberus-gaap:FairValueInputsLevel2Member2021-12-310000070866ncr:PartnershipAndJointVentureInterestsOtherMemberus-gaap:For</w:t>
      </w:r>
      <w:r>
        <w:rPr>
          <w:rFonts w:eastAsia="Times New Roman"/>
          <w:vanish/>
        </w:rPr>
        <w:t>eignPlanMemberus-gaap:FairValueInputsLevel3Member2021-12-310000070866ncr:PartnershipAndJointVentureInterestsOtherMemberus-gaap:ForeignPlanMemberncr:NotSubjecttoLevelingMember2021-12-310000070866ncr:MutualFundsMemberus-gaap:DomesticPlanMember2021-12-3100000</w:t>
      </w:r>
      <w:r>
        <w:rPr>
          <w:rFonts w:eastAsia="Times New Roman"/>
          <w:vanish/>
        </w:rPr>
        <w:t>70866us-gaap:FairValueInputsLevel1Memberncr:MutualFundsMemberus-gaap:DomesticPlanMember2021-12-310000070866ncr:MutualFundsMemberus-gaap:FairValueInputsLevel2Memberus-gaap:DomesticPlanMember2021-12-310000070866ncr:MutualFundsMemberus-gaap:FairValueInputsLev</w:t>
      </w:r>
      <w:r>
        <w:rPr>
          <w:rFonts w:eastAsia="Times New Roman"/>
          <w:vanish/>
        </w:rPr>
        <w:t>el3Memberus-gaap:DomesticPlanMember2021-12-310000070866ncr:MutualFundsMemberncr:NotSubjecttoLevelingMemberus-gaap:DomesticPlanMember2021-12-310000070866us-gaap:ForeignPlanMemberncr:MutualFundsMember2021-12-310000070866us-gaap:FairValueInputsLevel1Memberus-</w:t>
      </w:r>
      <w:r>
        <w:rPr>
          <w:rFonts w:eastAsia="Times New Roman"/>
          <w:vanish/>
        </w:rPr>
        <w:t>gaap:ForeignPlanMemberncr:MutualFundsMember2021-12-310000070866us-gaap:ForeignPlanMemberncr:MutualFundsMemberus-gaap:FairValueInputsLevel2Member2021-12-310000070866us-gaap:ForeignPlanMemberncr:MutualFundsMemberus-gaap:FairValueInputsLevel3Member2021-12-310</w:t>
      </w:r>
      <w:r>
        <w:rPr>
          <w:rFonts w:eastAsia="Times New Roman"/>
          <w:vanish/>
        </w:rPr>
        <w:t>000070866us-gaap:ForeignPlanMemberncr:MutualFundsMemberncr:NotSubjecttoLevelingMember2021-12-310000070866ncr:InsuranceProductsMemberus-gaap:DomesticPlanMember2021-12-310000070866us-gaap:FairValueInputsLevel1Memberncr:InsuranceProductsMemberus-gaap:Domestic</w:t>
      </w:r>
      <w:r>
        <w:rPr>
          <w:rFonts w:eastAsia="Times New Roman"/>
          <w:vanish/>
        </w:rPr>
        <w:t>PlanMember2021-12-310000070866ncr:InsuranceProductsMemberus-gaap:FairValueInputsLevel2Memberus-gaap:DomesticPlanMember2021-12-310000070866ncr:InsuranceProductsMemberus-gaap:FairValueInputsLevel3Memberus-gaap:DomesticPlanMember2021-12-310000070866ncr:Insura</w:t>
      </w:r>
      <w:r>
        <w:rPr>
          <w:rFonts w:eastAsia="Times New Roman"/>
          <w:vanish/>
        </w:rPr>
        <w:t>nceProductsMemberncr:NotSubjecttoLevelingMemberus-gaap:DomesticPlanMember2021-12-310000070866us-gaap:ForeignPlanMemberncr:InsuranceProductsMember2021-12-310000070866us-gaap:FairValueInputsLevel1Memberus-gaap:ForeignPlanMemberncr:InsuranceProductsMember2021</w:t>
      </w:r>
      <w:r>
        <w:rPr>
          <w:rFonts w:eastAsia="Times New Roman"/>
          <w:vanish/>
        </w:rPr>
        <w:t>-12-310000070866us-gaap:ForeignPlanMemberncr:InsuranceProductsMemberus-gaap:FairValueInputsLevel2Member2021-12-310000070866us-gaap:ForeignPlanMemberncr:InsuranceProductsMemberus-gaap:FairValueInputsLevel3Member2021-12-310000070866us-gaap:ForeignPlanMembern</w:t>
      </w:r>
      <w:r>
        <w:rPr>
          <w:rFonts w:eastAsia="Times New Roman"/>
          <w:vanish/>
        </w:rPr>
        <w:t>cr:InsuranceProductsMemberncr:NotSubjecttoLevelingMember2021-12-310000070866ncr:RealEstateAndOtherMemberus-gaap:DomesticPlanMember2021-12-310000070866us-gaap:FairValueInputsLevel1Memberncr:RealEstateAndOtherMemberus-gaap:DomesticPlanMember2021-12-310000070</w:t>
      </w:r>
      <w:r>
        <w:rPr>
          <w:rFonts w:eastAsia="Times New Roman"/>
          <w:vanish/>
        </w:rPr>
        <w:t>866ncr:RealEstateAndOtherMemberus-gaap:FairValueInputsLevel2Memberus-gaap:DomesticPlanMember2021-12-310000070866ncr:RealEstateAndOtherMemberus-gaap:FairValueInputsLevel3Memberus-gaap:DomesticPlanMember2021-12-310000070866ncr:RealEstateAndOtherMemberncr:Not</w:t>
      </w:r>
      <w:r>
        <w:rPr>
          <w:rFonts w:eastAsia="Times New Roman"/>
          <w:vanish/>
        </w:rPr>
        <w:t>SubjecttoLevelingMemberus-gaap:DomesticPlanMember2021-12-310000070866us-gaap:ForeignPlanMemberncr:RealEstateAndOtherMember2021-12-310000070866us-gaap:FairValueInputsLevel1Memberus-gaap:ForeignPlanMemberncr:RealEstateAndOtherMember2021-12-310000070866us-gaa</w:t>
      </w:r>
      <w:r>
        <w:rPr>
          <w:rFonts w:eastAsia="Times New Roman"/>
          <w:vanish/>
        </w:rPr>
        <w:t>p:ForeignPlanMemberncr:RealEstateAndOtherMemberus-gaap:FairValueInputsLevel2Member2021-12-310000070866us-gaap:ForeignPlanMemberncr:RealEstateAndOtherMemberus-gaap:FairValueInputsLevel3Member2021-12-310000070866us-gaap:ForeignPlanMemberncr:RealEstateAndOthe</w:t>
      </w:r>
      <w:r>
        <w:rPr>
          <w:rFonts w:eastAsia="Times New Roman"/>
          <w:vanish/>
        </w:rPr>
        <w:t>rMemberncr:NotSubjecttoLevelingMember2021-12-310000070866us-gaap:FairValueInputsLevel1Memberus-gaap:DomesticPlanMember2021-12-310000070866us-gaap:DomesticPlanMemberus-gaap:FairValueInputsLevel2Member2021-12-310000070866us-gaap:FairValueInputsLevel3Memberus</w:t>
      </w:r>
      <w:r>
        <w:rPr>
          <w:rFonts w:eastAsia="Times New Roman"/>
          <w:vanish/>
        </w:rPr>
        <w:t>-gaap:DomesticPlanMember2021-12-310000070866ncr:NotSubjecttoLevelingMemberus-gaap:DomesticPlanMember2021-12-310000070866us-gaap:FairValueInputsLevel1Memberus-gaap:ForeignPlanMember2021-12-310000070866us-gaap:ForeignPlanMemberus-gaap:FairValueInputsLevel2Me</w:t>
      </w:r>
      <w:r>
        <w:rPr>
          <w:rFonts w:eastAsia="Times New Roman"/>
          <w:vanish/>
        </w:rPr>
        <w:t>mber2021-12-310000070866us-gaap:ForeignPlanMemberus-gaap:FairValueInputsLevel3Member2021-12-310000070866us-gaap:ForeignPlanMemberncr:NotSubjecttoLevelingMember2021-12-310000070866ncr:EquitySecuritiesCommonStockMemberus-gaap:DomesticPlanMember2020-12-310000</w:t>
      </w:r>
      <w:r>
        <w:rPr>
          <w:rFonts w:eastAsia="Times New Roman"/>
          <w:vanish/>
        </w:rPr>
        <w:t>070866us-gaap:FairValueInputsLevel1Memberncr:EquitySecuritiesCommonStockMemberus-gaap:DomesticPlanMember2020-12-310000070866ncr:EquitySecuritiesCommonStockMemberus-gaap:FairValueInputsLevel2Memberus-gaap:DomesticPlanMember2020-12-310000070866us-gaap:FairVa</w:t>
      </w:r>
      <w:r>
        <w:rPr>
          <w:rFonts w:eastAsia="Times New Roman"/>
          <w:vanish/>
        </w:rPr>
        <w:t>lueInputsLevel3Memberncr:EquitySecuritiesCommonStockMemberus-gaap:DomesticPlanMember2020-12-310000070866ncr:NotSubjecttoLevelingMemberncr:EquitySecuritiesCommonStockMemberus-gaap:DomesticPlanMember2020-12-310000070866us-gaap:ForeignPlanMemberncr:EquitySecu</w:t>
      </w:r>
      <w:r>
        <w:rPr>
          <w:rFonts w:eastAsia="Times New Roman"/>
          <w:vanish/>
        </w:rPr>
        <w:t>ritiesCommonStockMember2020-12-310000070866us-gaap:FairValueInputsLevel1Memberus-gaap:ForeignPlanMemberncr:EquitySecuritiesCommonStockMember2020-12-310000070866us-gaap:ForeignPlanMemberncr:EquitySecuritiesCommonStockMemberus-gaap:FairValueInputsLevel2Membe</w:t>
      </w:r>
      <w:r>
        <w:rPr>
          <w:rFonts w:eastAsia="Times New Roman"/>
          <w:vanish/>
        </w:rPr>
        <w:t>r2020-12-310000070866us-gaap:ForeignPlanMemberus-gaap:FairValueInputsLevel3Memberncr:EquitySecuritiesCommonStockMember2020-12-310000070866us-gaap:ForeignPlanMemberncr:NotSubjecttoLevelingMemberncr:EquitySecuritiesCommonStockMember2020-12-310000070866ncr:Go</w:t>
      </w:r>
      <w:r>
        <w:rPr>
          <w:rFonts w:eastAsia="Times New Roman"/>
          <w:vanish/>
        </w:rPr>
        <w:t>vernmentDebtSecuritiesMemberus-gaap:DomesticPlanMember2020-12-310000070866us-gaap:FairValueInputsLevel1Memberncr:GovernmentDebtSecuritiesMemberus-gaap:DomesticPlanMember2020-12-310000070866ncr:GovernmentDebtSecuritiesMemberus-gaap:FairValueInputsLevel2Memb</w:t>
      </w:r>
      <w:r>
        <w:rPr>
          <w:rFonts w:eastAsia="Times New Roman"/>
          <w:vanish/>
        </w:rPr>
        <w:t>erus-gaap:DomesticPlanMember2020-12-310000070866ncr:GovernmentDebtSecuritiesMemberus-gaap:FairValueInputsLevel3Memberus-gaap:DomesticPlanMember2020-12-310000070866ncr:GovernmentDebtSecuritiesMemberncr:NotSubjecttoLevelingMemberus-gaap:DomesticPlanMember202</w:t>
      </w:r>
      <w:r>
        <w:rPr>
          <w:rFonts w:eastAsia="Times New Roman"/>
          <w:vanish/>
        </w:rPr>
        <w:t>0-12-310000070866us-gaap:ForeignPlanMemberncr:GovernmentDebtSecuritiesMember2020-12-310000070866us-gaap:FairValueInputsLevel1Memberus-gaap:ForeignPlanMemberncr:GovernmentDebtSecuritiesMember2020-12-310000070866us-gaap:ForeignPlanMemberncr:GovernmentDebtSec</w:t>
      </w:r>
      <w:r>
        <w:rPr>
          <w:rFonts w:eastAsia="Times New Roman"/>
          <w:vanish/>
        </w:rPr>
        <w:t>uritiesMemberus-gaap:FairValueInputsLevel2Member2020-12-310000070866us-gaap:ForeignPlanMemberncr:GovernmentDebtSecuritiesMemberus-gaap:FairValueInputsLevel3Member2020-12-310000070866us-gaap:ForeignPlanMemberncr:GovernmentDebtSecuritiesMemberncr:NotSubjectt</w:t>
      </w:r>
      <w:r>
        <w:rPr>
          <w:rFonts w:eastAsia="Times New Roman"/>
          <w:vanish/>
        </w:rPr>
        <w:t>oLevelingMember2020-12-310000070866us-gaap:CorporateDebtSecuritiesMemberus-gaap:DomesticPlanMember2020-12-310000070866us-gaap:FairValueInputsLevel1Memberus-gaap:CorporateDebtSecuritiesMemberus-gaap:DomesticPlanMember2020-12-310000070866us-gaap:CorporateDeb</w:t>
      </w:r>
      <w:r>
        <w:rPr>
          <w:rFonts w:eastAsia="Times New Roman"/>
          <w:vanish/>
        </w:rPr>
        <w:t>tSecuritiesMemberus-gaap:FairValueInputsLevel2Memberus-gaap:DomesticPlanMember2020-12-310000070866us-gaap:CorporateDebtSecuritiesMemberus-gaap:FairValueInputsLevel3Memberus-gaap:DomesticPlanMember2020-12-310000070866us-gaap:CorporateDebtSecuritiesMemberncr</w:t>
      </w:r>
      <w:r>
        <w:rPr>
          <w:rFonts w:eastAsia="Times New Roman"/>
          <w:vanish/>
        </w:rPr>
        <w:t>:NotSubjecttoLevelingMemberus-gaap:DomesticPlanMember2020-12-310000070866us-gaap:ForeignPlanMemberus-gaap:CorporateDebtSecuritiesMember2020-12-310000070866us-gaap:FairValueInputsLevel1Memberus-gaap:ForeignPlanMemberus-gaap:CorporateDebtSecuritiesMember2020</w:t>
      </w:r>
      <w:r>
        <w:rPr>
          <w:rFonts w:eastAsia="Times New Roman"/>
          <w:vanish/>
        </w:rPr>
        <w:t>-12-310000070866us-gaap:ForeignPlanMemberus-gaap:CorporateDebtSecuritiesMemberus-gaap:FairValueInputsLevel2Member2020-12-310000070866us-gaap:ForeignPlanMemberus-gaap:CorporateDebtSecuritiesMemberus-gaap:FairValueInputsLevel3Member2020-12-310000070866us-gaa</w:t>
      </w:r>
      <w:r>
        <w:rPr>
          <w:rFonts w:eastAsia="Times New Roman"/>
          <w:vanish/>
        </w:rPr>
        <w:t>p:ForeignPlanMemberus-gaap:CorporateDebtSecuritiesMemberncr:NotSubjecttoLevelingMember2020-12-310000070866us-gaap:MoneyMarketFundsMemberus-gaap:DomesticPlanMember2020-12-310000070866us-gaap:FairValueInputsLevel1Memberus-gaap:MoneyMarketFundsMemberus-gaap:D</w:t>
      </w:r>
      <w:r>
        <w:rPr>
          <w:rFonts w:eastAsia="Times New Roman"/>
          <w:vanish/>
        </w:rPr>
        <w:t>omesticPlanMember2020-12-310000070866us-gaap:MoneyMarketFundsMemberus-gaap:FairValueInputsLevel2Memberus-gaap:DomesticPlanMember2020-12-310000070866us-gaap:FairValueInputsLevel3Memberus-gaap:MoneyMarketFundsMemberus-gaap:DomesticPlanMember2020-12-310000070</w:t>
      </w:r>
      <w:r>
        <w:rPr>
          <w:rFonts w:eastAsia="Times New Roman"/>
          <w:vanish/>
        </w:rPr>
        <w:t>866us-gaap:MoneyMarketFundsMemberncr:NotSubjecttoLevelingMemberus-gaap:DomesticPlanMember2020-12-310000070866us-gaap:ForeignPlanMemberus-gaap:MoneyMarketFundsMember2020-12-310000070866us-gaap:FairValueInputsLevel1Memberus-gaap:ForeignPlanMemberus-gaap:Mone</w:t>
      </w:r>
      <w:r>
        <w:rPr>
          <w:rFonts w:eastAsia="Times New Roman"/>
          <w:vanish/>
        </w:rPr>
        <w:t>yMarketFundsMember2020-12-310000070866us-gaap:ForeignPlanMemberus-gaap:MoneyMarketFundsMemberus-gaap:FairValueInputsLevel2Member2020-12-310000070866us-gaap:ForeignPlanMemberus-gaap:FairValueInputsLevel3Memberus-gaap:MoneyMarketFundsMember2020-12-3100000708</w:t>
      </w:r>
      <w:r>
        <w:rPr>
          <w:rFonts w:eastAsia="Times New Roman"/>
          <w:vanish/>
        </w:rPr>
        <w:t>66us-gaap:ForeignPlanMemberus-gaap:MoneyMarketFundsMemberncr:NotSubjecttoLevelingMember2020-12-310000070866ncr:CommonAndCommingledTrustsEquitiesMemberus-gaap:DomesticPlanMember2020-12-310000070866us-gaap:FairValueInputsLevel1Memberncr:CommonAndCommingledTr</w:t>
      </w:r>
      <w:r>
        <w:rPr>
          <w:rFonts w:eastAsia="Times New Roman"/>
          <w:vanish/>
        </w:rPr>
        <w:t>ustsEquitiesMemberus-gaap:DomesticPlanMember2020-12-310000070866ncr:CommonAndCommingledTrustsEquitiesMemberus-gaap:FairValueInputsLevel2Memberus-gaap:DomesticPlanMember2020-12-310000070866us-gaap:FairValueInputsLevel3Memberncr:CommonAndCommingledTrustsEqui</w:t>
      </w:r>
      <w:r>
        <w:rPr>
          <w:rFonts w:eastAsia="Times New Roman"/>
          <w:vanish/>
        </w:rPr>
        <w:t>tiesMemberus-gaap:DomesticPlanMember2020-12-310000070866ncr:NotSubjecttoLevelingMemberncr:CommonAndCommingledTrustsEquitiesMemberus-gaap:DomesticPlanMember2020-12-310000070866us-gaap:ForeignPlanMemberncr:CommonAndCommingledTrustsEquitiesMember2020-12-31000</w:t>
      </w:r>
      <w:r>
        <w:rPr>
          <w:rFonts w:eastAsia="Times New Roman"/>
          <w:vanish/>
        </w:rPr>
        <w:t>0070866us-gaap:FairValueInputsLevel1Memberus-gaap:ForeignPlanMemberncr:CommonAndCommingledTrustsEquitiesMember2020-12-310000070866us-gaap:ForeignPlanMemberncr:CommonAndCommingledTrustsEquitiesMemberus-gaap:FairValueInputsLevel2Member2020-12-310000070866us-</w:t>
      </w:r>
      <w:r>
        <w:rPr>
          <w:rFonts w:eastAsia="Times New Roman"/>
          <w:vanish/>
        </w:rPr>
        <w:t>gaap:ForeignPlanMemberus-gaap:FairValueInputsLevel3Memberncr:CommonAndCommingledTrustsEquitiesMember2020-12-310000070866us-gaap:ForeignPlanMemberncr:NotSubjecttoLevelingMemberncr:CommonAndCommingledTrustsEquitiesMember2020-12-310000070866ncr:CommonAndCommi</w:t>
      </w:r>
      <w:r>
        <w:rPr>
          <w:rFonts w:eastAsia="Times New Roman"/>
          <w:vanish/>
        </w:rPr>
        <w:t>ngledTrustsBondsMemberus-gaap:DomesticPlanMember2020-12-310000070866us-gaap:FairValueInputsLevel1Memberncr:CommonAndCommingledTrustsBondsMemberus-gaap:DomesticPlanMember2020-12-310000070866ncr:CommonAndCommingledTrustsBondsMemberus-gaap:FairValueInputsLeve</w:t>
      </w:r>
      <w:r>
        <w:rPr>
          <w:rFonts w:eastAsia="Times New Roman"/>
          <w:vanish/>
        </w:rPr>
        <w:t>l2Memberus-gaap:DomesticPlanMember2020-12-310000070866ncr:CommonAndCommingledTrustsBondsMemberus-gaap:FairValueInputsLevel3Memberus-gaap:DomesticPlanMember2020-12-310000070866ncr:CommonAndCommingledTrustsBondsMemberncr:NotSubjecttoLevelingMemberus-gaap:Dom</w:t>
      </w:r>
      <w:r>
        <w:rPr>
          <w:rFonts w:eastAsia="Times New Roman"/>
          <w:vanish/>
        </w:rPr>
        <w:t>esticPlanMember2020-12-310000070866us-gaap:ForeignPlanMemberncr:CommonAndCommingledTrustsBondsMember2020-12-310000070866us-gaap:FairValueInputsLevel1Memberus-gaap:ForeignPlanMemberncr:CommonAndCommingledTrustsBondsMember2020-12-310000070866us-gaap:ForeignP</w:t>
      </w:r>
      <w:r>
        <w:rPr>
          <w:rFonts w:eastAsia="Times New Roman"/>
          <w:vanish/>
        </w:rPr>
        <w:t>lanMemberncr:CommonAndCommingledTrustsBondsMemberus-gaap:FairValueInputsLevel2Member2020-12-310000070866us-gaap:ForeignPlanMemberncr:CommonAndCommingledTrustsBondsMemberus-gaap:FairValueInputsLevel3Member2020-12-310000070866us-gaap:ForeignPlanMemberncr:Com</w:t>
      </w:r>
      <w:r>
        <w:rPr>
          <w:rFonts w:eastAsia="Times New Roman"/>
          <w:vanish/>
        </w:rPr>
        <w:t>monAndCommingledTrustsBondsMemberncr:NotSubjecttoLevelingMember2020-12-310000070866ncr:CommonAndCommingledTrustsShortTermInvestmentsMemberus-gaap:DomesticPlanMember2020-12-310000070866us-gaap:FairValueInputsLevel1Memberncr:CommonAndCommingledTrustsShortTer</w:t>
      </w:r>
      <w:r>
        <w:rPr>
          <w:rFonts w:eastAsia="Times New Roman"/>
          <w:vanish/>
        </w:rPr>
        <w:t>mInvestmentsMemberus-gaap:DomesticPlanMember2020-12-310000070866ncr:CommonAndCommingledTrustsShortTermInvestmentsMemberus-gaap:FairValueInputsLevel2Memberus-gaap:DomesticPlanMember2020-12-310000070866ncr:CommonAndCommingledTrustsShortTermInvestmentsMemberu</w:t>
      </w:r>
      <w:r>
        <w:rPr>
          <w:rFonts w:eastAsia="Times New Roman"/>
          <w:vanish/>
        </w:rPr>
        <w:t>s-gaap:FairValueInputsLevel3Memberus-gaap:DomesticPlanMember2020-12-310000070866ncr:CommonAndCommingledTrustsShortTermInvestmentsMemberncr:NotSubjecttoLevelingMemberus-gaap:DomesticPlanMember2020-12-310000070866us-gaap:ForeignPlanMemberncr:CommonAndComming</w:t>
      </w:r>
      <w:r>
        <w:rPr>
          <w:rFonts w:eastAsia="Times New Roman"/>
          <w:vanish/>
        </w:rPr>
        <w:t>ledTrustsShortTermInvestmentsMember2020-12-310000070866us-gaap:FairValueInputsLevel1Memberus-gaap:ForeignPlanMemberncr:CommonAndCommingledTrustsShortTermInvestmentsMember2020-12-310000070866us-gaap:ForeignPlanMemberncr:CommonAndCommingledTrustsShortTermInv</w:t>
      </w:r>
      <w:r>
        <w:rPr>
          <w:rFonts w:eastAsia="Times New Roman"/>
          <w:vanish/>
        </w:rPr>
        <w:t>estmentsMemberus-gaap:FairValueInputsLevel2Member2020-12-310000070866us-gaap:ForeignPlanMemberncr:CommonAndCommingledTrustsShortTermInvestmentsMemberus-gaap:FairValueInputsLevel3Member2020-12-310000070866us-gaap:ForeignPlanMemberncr:CommonAndCommingledTrus</w:t>
      </w:r>
      <w:r>
        <w:rPr>
          <w:rFonts w:eastAsia="Times New Roman"/>
          <w:vanish/>
        </w:rPr>
        <w:t>tsShortTermInvestmentsMemberncr:NotSubjecttoLevelingMember2020-12-310000070866ncr:CommonAndCommingledTrustsBalancedMemberus-gaap:DomesticPlanMember2020-12-310000070866us-gaap:FairValueInputsLevel1Memberncr:CommonAndCommingledTrustsBalancedMemberus-gaap:Dom</w:t>
      </w:r>
      <w:r>
        <w:rPr>
          <w:rFonts w:eastAsia="Times New Roman"/>
          <w:vanish/>
        </w:rPr>
        <w:t>esticPlanMember2020-12-310000070866ncr:CommonAndCommingledTrustsBalancedMemberus-gaap:FairValueInputsLevel2Memberus-gaap:DomesticPlanMember2020-12-310000070866ncr:CommonAndCommingledTrustsBalancedMemberus-gaap:FairValueInputsLevel3Memberus-gaap:DomesticPla</w:t>
      </w:r>
      <w:r>
        <w:rPr>
          <w:rFonts w:eastAsia="Times New Roman"/>
          <w:vanish/>
        </w:rPr>
        <w:t>nMember2020-12-310000070866ncr:CommonAndCommingledTrustsBalancedMemberncr:NotSubjecttoLevelingMemberus-gaap:DomesticPlanMember2020-12-310000070866us-gaap:ForeignPlanMemberncr:CommonAndCommingledTrustsBalancedMember2020-12-310000070866us-gaap:FairValueInput</w:t>
      </w:r>
      <w:r>
        <w:rPr>
          <w:rFonts w:eastAsia="Times New Roman"/>
          <w:vanish/>
        </w:rPr>
        <w:t>sLevel1Memberus-gaap:ForeignPlanMemberncr:CommonAndCommingledTrustsBalancedMember2020-12-310000070866us-gaap:ForeignPlanMemberncr:CommonAndCommingledTrustsBalancedMemberus-gaap:FairValueInputsLevel2Member2020-12-310000070866us-gaap:ForeignPlanMemberncr:Com</w:t>
      </w:r>
      <w:r>
        <w:rPr>
          <w:rFonts w:eastAsia="Times New Roman"/>
          <w:vanish/>
        </w:rPr>
        <w:t>monAndCommingledTrustsBalancedMemberus-gaap:FairValueInputsLevel3Member2020-12-310000070866us-gaap:ForeignPlanMemberncr:CommonAndCommingledTrustsBalancedMemberncr:NotSubjecttoLevelingMember2020-12-310000070866ncr:PartnershipAndJointVentureInterestsOtherMem</w:t>
      </w:r>
      <w:r>
        <w:rPr>
          <w:rFonts w:eastAsia="Times New Roman"/>
          <w:vanish/>
        </w:rPr>
        <w:t>berus-gaap:DomesticPlanMember2020-12-310000070866us-gaap:FairValueInputsLevel1Memberncr:PartnershipAndJointVentureInterestsOtherMemberus-gaap:DomesticPlanMember2020-12-310000070866ncr:PartnershipAndJointVentureInterestsOtherMemberus-gaap:FairValueInputsLev</w:t>
      </w:r>
      <w:r>
        <w:rPr>
          <w:rFonts w:eastAsia="Times New Roman"/>
          <w:vanish/>
        </w:rPr>
        <w:t>el2Memberus-gaap:DomesticPlanMember2020-12-310000070866ncr:PartnershipAndJointVentureInterestsOtherMemberus-gaap:FairValueInputsLevel3Memberus-gaap:DomesticPlanMember2020-12-310000070866ncr:PartnershipAndJointVentureInterestsOtherMemberncr:NotSubjecttoLeve</w:t>
      </w:r>
      <w:r>
        <w:rPr>
          <w:rFonts w:eastAsia="Times New Roman"/>
          <w:vanish/>
        </w:rPr>
        <w:t>lingMemberus-gaap:DomesticPlanMember2020-12-310000070866ncr:PartnershipAndJointVentureInterestsOtherMemberus-gaap:ForeignPlanMember2020-12-310000070866us-gaap:FairValueInputsLevel1Memberncr:PartnershipAndJointVentureInterestsOtherMemberus-gaap:ForeignPlanM</w:t>
      </w:r>
      <w:r>
        <w:rPr>
          <w:rFonts w:eastAsia="Times New Roman"/>
          <w:vanish/>
        </w:rPr>
        <w:t>ember2020-12-310000070866ncr:PartnershipAndJointVentureInterestsOtherMemberus-gaap:ForeignPlanMemberus-gaap:FairValueInputsLevel2Member2020-12-310000070866ncr:PartnershipAndJointVentureInterestsOtherMemberus-gaap:ForeignPlanMemberus-gaap:FairValueInputsLev</w:t>
      </w:r>
      <w:r>
        <w:rPr>
          <w:rFonts w:eastAsia="Times New Roman"/>
          <w:vanish/>
        </w:rPr>
        <w:t>el3Member2020-12-310000070866ncr:PartnershipAndJointVentureInterestsOtherMemberus-gaap:ForeignPlanMemberncr:NotSubjecttoLevelingMember2020-12-310000070866ncr:MutualFundsMemberus-gaap:DomesticPlanMember2020-12-310000070866us-gaap:FairValueInputsLevel1Member</w:t>
      </w:r>
      <w:r>
        <w:rPr>
          <w:rFonts w:eastAsia="Times New Roman"/>
          <w:vanish/>
        </w:rPr>
        <w:t>ncr:MutualFundsMemberus-gaap:DomesticPlanMember2020-12-310000070866ncr:MutualFundsMemberus-gaap:FairValueInputsLevel2Memberus-gaap:DomesticPlanMember2020-12-310000070866ncr:MutualFundsMemberus-gaap:FairValueInputsLevel3Memberus-gaap:DomesticPlanMember2020-</w:t>
      </w:r>
      <w:r>
        <w:rPr>
          <w:rFonts w:eastAsia="Times New Roman"/>
          <w:vanish/>
        </w:rPr>
        <w:t>12-310000070866ncr:MutualFundsMemberncr:NotSubjecttoLevelingMemberus-gaap:DomesticPlanMember2020-12-310000070866us-gaap:ForeignPlanMemberncr:MutualFundsMember2020-12-310000070866us-gaap:FairValueInputsLevel1Memberus-gaap:ForeignPlanMemberncr:MutualFundsMem</w:t>
      </w:r>
      <w:r>
        <w:rPr>
          <w:rFonts w:eastAsia="Times New Roman"/>
          <w:vanish/>
        </w:rPr>
        <w:t>ber2020-12-310000070866us-gaap:ForeignPlanMemberncr:MutualFundsMemberus-gaap:FairValueInputsLevel2Member2020-12-310000070866us-gaap:ForeignPlanMemberncr:MutualFundsMemberus-gaap:FairValueInputsLevel3Member2020-12-310000070866us-gaap:ForeignPlanMemberncr:Mu</w:t>
      </w:r>
      <w:r>
        <w:rPr>
          <w:rFonts w:eastAsia="Times New Roman"/>
          <w:vanish/>
        </w:rPr>
        <w:t>tualFundsMemberncr:NotSubjecttoLevelingMember2020-12-310000070866ncr:InsuranceProductsMemberus-gaap:DomesticPlanMember2020-12-310000070866us-gaap:FairValueInputsLevel1Memberncr:InsuranceProductsMemberus-gaap:DomesticPlanMember2020-12-310000070866ncr:Insura</w:t>
      </w:r>
      <w:r>
        <w:rPr>
          <w:rFonts w:eastAsia="Times New Roman"/>
          <w:vanish/>
        </w:rPr>
        <w:t>nceProductsMemberus-gaap:FairValueInputsLevel2Memberus-gaap:DomesticPlanMember2020-12-310000070866ncr:InsuranceProductsMemberus-gaap:FairValueInputsLevel3Memberus-gaap:DomesticPlanMember2020-12-310000070866ncr:InsuranceProductsMemberncr:NotSubjecttoLevelin</w:t>
      </w:r>
      <w:r>
        <w:rPr>
          <w:rFonts w:eastAsia="Times New Roman"/>
          <w:vanish/>
        </w:rPr>
        <w:t>gMemberus-gaap:DomesticPlanMember2020-12-310000070866us-gaap:ForeignPlanMemberncr:InsuranceProductsMember2020-12-310000070866us-gaap:FairValueInputsLevel1Memberus-gaap:ForeignPlanMemberncr:InsuranceProductsMember2020-12-310000070866us-gaap:ForeignPlanMembe</w:t>
      </w:r>
      <w:r>
        <w:rPr>
          <w:rFonts w:eastAsia="Times New Roman"/>
          <w:vanish/>
        </w:rPr>
        <w:t>rncr:InsuranceProductsMemberus-gaap:FairValueInputsLevel2Member2020-12-310000070866us-gaap:ForeignPlanMemberncr:InsuranceProductsMemberus-gaap:FairValueInputsLevel3Member2020-12-310000070866us-gaap:ForeignPlanMemberncr:InsuranceProductsMemberncr:NotSubject</w:t>
      </w:r>
      <w:r>
        <w:rPr>
          <w:rFonts w:eastAsia="Times New Roman"/>
          <w:vanish/>
        </w:rPr>
        <w:t>toLevelingMember2020-12-310000070866ncr:RealEstateAndOtherMemberus-gaap:DomesticPlanMember2020-12-310000070866us-gaap:FairValueInputsLevel1Memberncr:RealEstateAndOtherMemberus-gaap:DomesticPlanMember2020-12-310000070866ncr:RealEstateAndOtherMemberus-gaap:F</w:t>
      </w:r>
      <w:r>
        <w:rPr>
          <w:rFonts w:eastAsia="Times New Roman"/>
          <w:vanish/>
        </w:rPr>
        <w:t>airValueInputsLevel2Memberus-gaap:DomesticPlanMember2020-12-310000070866ncr:RealEstateAndOtherMemberus-gaap:FairValueInputsLevel3Memberus-gaap:DomesticPlanMember2020-12-310000070866ncr:RealEstateAndOtherMemberncr:NotSubjecttoLevelingMemberus-gaap:DomesticP</w:t>
      </w:r>
      <w:r>
        <w:rPr>
          <w:rFonts w:eastAsia="Times New Roman"/>
          <w:vanish/>
        </w:rPr>
        <w:t>lanMember2020-12-310000070866us-gaap:ForeignPlanMemberncr:RealEstateAndOtherMember2020-12-310000070866us-gaap:FairValueInputsLevel1Memberus-gaap:ForeignPlanMemberncr:RealEstateAndOtherMember2020-12-310000070866us-gaap:ForeignPlanMemberncr:RealEstateAndOthe</w:t>
      </w:r>
      <w:r>
        <w:rPr>
          <w:rFonts w:eastAsia="Times New Roman"/>
          <w:vanish/>
        </w:rPr>
        <w:t>rMemberus-gaap:FairValueInputsLevel2Member2020-12-310000070866us-gaap:ForeignPlanMemberncr:RealEstateAndOtherMemberus-gaap:FairValueInputsLevel3Member2020-12-310000070866us-gaap:ForeignPlanMemberncr:RealEstateAndOtherMemberncr:NotSubjecttoLevelingMember202</w:t>
      </w:r>
      <w:r>
        <w:rPr>
          <w:rFonts w:eastAsia="Times New Roman"/>
          <w:vanish/>
        </w:rPr>
        <w:t>0-12-310000070866us-gaap:FairValueInputsLevel1Memberus-gaap:DomesticPlanMember2020-12-310000070866us-gaap:DomesticPlanMemberus-gaap:FairValueInputsLevel2Member2020-12-310000070866us-gaap:FairValueInputsLevel3Memberus-gaap:DomesticPlanMember2020-12-31000007</w:t>
      </w:r>
      <w:r>
        <w:rPr>
          <w:rFonts w:eastAsia="Times New Roman"/>
          <w:vanish/>
        </w:rPr>
        <w:t>0866ncr:NotSubjecttoLevelingMemberus-gaap:DomesticPlanMember2020-12-310000070866us-gaap:FairValueInputsLevel1Memberus-gaap:ForeignPlanMember2020-12-310000070866us-gaap:ForeignPlanMemberus-gaap:FairValueInputsLevel2Member2020-12-310000070866us-gaap:ForeignP</w:t>
      </w:r>
      <w:r>
        <w:rPr>
          <w:rFonts w:eastAsia="Times New Roman"/>
          <w:vanish/>
        </w:rPr>
        <w:t>lanMemberus-gaap:FairValueInputsLevel3Member2020-12-310000070866us-gaap:ForeignPlanMemberncr:NotSubjecttoLevelingMember2020-12-310000070866us-gaap:ForeignPlanMemberus-gaap:FairValueInputsLevel3Member2019-12-310000070866us-gaap:ForeignPlanMemberus-gaap:Fair</w:t>
      </w:r>
      <w:r>
        <w:rPr>
          <w:rFonts w:eastAsia="Times New Roman"/>
          <w:vanish/>
        </w:rPr>
        <w:t>ValueInputsLevel3Member2020-01-012020-12-310000070866us-gaap:ForeignPlanMemberus-gaap:FairValueInputsLevel3Member2021-01-012021-12-310000070866us-gaap:OtherPostretirementBenefitPlansDefinedBenefitMember2020-12-310000070866us-gaap:OtherPostretirementBenefit</w:t>
      </w:r>
      <w:r>
        <w:rPr>
          <w:rFonts w:eastAsia="Times New Roman"/>
          <w:vanish/>
        </w:rPr>
        <w:t>PlansDefinedBenefitMember2019-12-310000070866us-gaap:OtherPostretirementBenefitPlansDefinedBenefitMember2020-01-012020-12-310000070866us-gaap:OtherPostretirementBenefitPlansDefinedBenefitMember2021-12-310000070866us-gaap:OtherPostretirementBenefitPlansDefi</w:t>
      </w:r>
      <w:r>
        <w:rPr>
          <w:rFonts w:eastAsia="Times New Roman"/>
          <w:vanish/>
        </w:rPr>
        <w:t>nedBenefitMember2019-01-012019-12-310000070866us-gaap:OtherPostretirementBenefitPlansDefinedBenefitMemberncr:BeforeAge65Member2021-12-310000070866us-gaap:OtherPostretirementBenefitPlansDefinedBenefitMemberncr:AfterAge65Member2021-12-310000070866us-gaap:Oth</w:t>
      </w:r>
      <w:r>
        <w:rPr>
          <w:rFonts w:eastAsia="Times New Roman"/>
          <w:vanish/>
        </w:rPr>
        <w:t>erPostretirementBenefitPlansDefinedBenefitMemberncr:BeforeAge65Member2020-12-310000070866us-gaap:OtherPostretirementBenefitPlansDefinedBenefitMemberncr:AfterAge65Member2020-12-310000070866ncr:PostemploymentBenefitPlansDefinedBenefitMember2021-01-012021-12-</w:t>
      </w:r>
      <w:r>
        <w:rPr>
          <w:rFonts w:eastAsia="Times New Roman"/>
          <w:vanish/>
        </w:rPr>
        <w:t>310000070866ncr:PostemploymentBenefitPlansDefinedBenefitMember2021-12-310000070866ncr:PostemploymentBenefitPlansDefinedBenefitMember2019-12-310000070866ncr:PostemploymentBenefitPlansDefinedBenefitMember2020-01-012020-12-310000070866ncr:PostemploymentBenefi</w:t>
      </w:r>
      <w:r>
        <w:rPr>
          <w:rFonts w:eastAsia="Times New Roman"/>
          <w:vanish/>
        </w:rPr>
        <w:t>tPlansDefinedBenefitMember2020-12-310000070866ncr:PostemploymentBenefitPlansDefinedBenefitMember2019-01-012019-12-310000070866ncr:DefinedContributionUSPlanMember2021-01-012021-12-310000070866ncr:DefinedContributionUSPlanMember2020-01-012020-12-310000070866</w:t>
      </w:r>
      <w:r>
        <w:rPr>
          <w:rFonts w:eastAsia="Times New Roman"/>
          <w:vanish/>
        </w:rPr>
        <w:t>ncr:DefinedContributionUSPlanMember2019-01-012019-12-310000070866ncr:DefinedContributionAllOtherPlansMember2021-01-012021-12-310000070866ncr:DefinedContributionAllOtherPlansMember2020-01-012020-12-310000070866ncr:DefinedContributionAllOtherPlansMember2019-</w:t>
      </w:r>
      <w:r>
        <w:rPr>
          <w:rFonts w:eastAsia="Times New Roman"/>
          <w:vanish/>
        </w:rPr>
        <w:t>01-012019-12-310000070866ncr:FoxRiverSiteMember2021-12-31ncr:entityncr:facility0000070866ncr:FoxRiverSiteMember2021-12-310000070866ncr:FoxRiverSiteMember2020-12-310000070866ncr:GeneralContractorArbitrationMembersrt:MinimumMemberncr:FoxRiverSiteMember2021-1</w:t>
      </w:r>
      <w:r>
        <w:rPr>
          <w:rFonts w:eastAsia="Times New Roman"/>
          <w:vanish/>
        </w:rPr>
        <w:t>2-310000070866ncr:GeneralContractorArbitrationMembersrt:MaximumMemberncr:FoxRiverSiteMember2021-12-310000070866ncr:GeneralContractorArbitrationMemberncr:FoxRiverSiteMember2021-12-310000070866ncr:FoxRiverSiteMemberncr:FoxRiverLlcMember2020-12-310000070866nc</w:t>
      </w:r>
      <w:r>
        <w:rPr>
          <w:rFonts w:eastAsia="Times New Roman"/>
          <w:vanish/>
        </w:rPr>
        <w:t>r:FoxRiverSiteMemberncr:FoxRiverLlcMember2021-12-310000070866ncr:KalamazooRiverSiteMember2021-12-31ncr:number_of_companiesncr:defendantncr:affiliate_corporations0000070866ncr:KalamazooRiverSiteMember2018-03-292018-03-290000070866ncr:KalamazooRiverSiteMembe</w:t>
      </w:r>
      <w:r>
        <w:rPr>
          <w:rFonts w:eastAsia="Times New Roman"/>
          <w:vanish/>
        </w:rPr>
        <w:t>r2020-12-310000070866srt:MinimumMemberncr:KalamazooRiverSiteMember2021-12-310000070866srt:MaximumMemberncr:KalamazooRiverSiteMember2021-12-310000070866ncr:EbinaMember2021-12-310000070866ncr:EbinaMember2020-12-310000070866us-gaap:ConvertiblePreferredStockMe</w:t>
      </w:r>
      <w:r>
        <w:rPr>
          <w:rFonts w:eastAsia="Times New Roman"/>
          <w:vanish/>
        </w:rPr>
        <w:t>mber2015-12-040000070866us-gaap:ConvertiblePreferredStockMember2020-12-310000070866us-gaap:ConvertiblePreferredStockMember2017-03-170000070866us-gaap:ConvertiblePreferredStockMember2019-09-180000070866us-gaap:ConvertiblePreferredStockMember2021-01-012021-1</w:t>
      </w:r>
      <w:r>
        <w:rPr>
          <w:rFonts w:eastAsia="Times New Roman"/>
          <w:vanish/>
        </w:rPr>
        <w:t>2-310000070866us-gaap:ConvertiblePreferredStockMember2020-10-060000070866us-gaap:ConvertiblePreferredStockMember2020-10-12utr:Rate0000070866us-gaap:ConvertiblePreferredStockMember2021-12-31ncr:currency0000070866us-gaap:ForeignExchangeContractMemberus-gaap:</w:t>
      </w:r>
      <w:r>
        <w:rPr>
          <w:rFonts w:eastAsia="Times New Roman"/>
          <w:vanish/>
        </w:rPr>
        <w:t>AccumulatedGainLossCashFlowHedgeIncludingNoncontrollingInterestMember2021-12-310000070866ncr:AOCIAttributableToInterestRateDerivativesMember2021-12-310000070866us-gaap:OtherAssetsMemberus-gaap:InterestRateContractMemberus-gaap:DesignatedAsHedgingInstrument</w:t>
      </w:r>
      <w:r>
        <w:rPr>
          <w:rFonts w:eastAsia="Times New Roman"/>
          <w:vanish/>
        </w:rPr>
        <w:t>Member2021-12-310000070866us-gaap:OtherLiabilitiesMemberus-gaap:InterestRateContractMemberus-gaap:DesignatedAsHedgingInstrumentMember2021-12-310000070866us-gaap:DesignatedAsHedgingInstrumentMember2021-12-310000070866us-gaap:ForeignExchangeContractMemberus-</w:t>
      </w:r>
      <w:r>
        <w:rPr>
          <w:rFonts w:eastAsia="Times New Roman"/>
          <w:vanish/>
        </w:rPr>
        <w:t>gaap:NondesignatedMemberus-gaap:OtherCurrentAssetsMember2021-12-310000070866us-gaap:ForeignExchangeContractMemberus-gaap:NondesignatedMemberus-gaap:OtherCurrentLiabilitiesMember2021-12-310000070866us-gaap:NondesignatedMember2021-12-310000070866us-gaap:Fore</w:t>
      </w:r>
      <w:r>
        <w:rPr>
          <w:rFonts w:eastAsia="Times New Roman"/>
          <w:vanish/>
        </w:rPr>
        <w:t>ignExchangeContractMemberus-gaap:OtherCurrentAssetsMemberus-gaap:DesignatedAsHedgingInstrumentMember2020-12-310000070866us-gaap:ForeignExchangeContractMemberus-gaap:OtherCurrentLiabilitiesMemberus-gaap:DesignatedAsHedgingInstrumentMember2020-12-31000007086</w:t>
      </w:r>
      <w:r>
        <w:rPr>
          <w:rFonts w:eastAsia="Times New Roman"/>
          <w:vanish/>
        </w:rPr>
        <w:t>6us-gaap:InterestRateSwapMemberus-gaap:OtherCurrentLiabilitiesMemberus-gaap:DesignatedAsHedgingInstrumentMember2020-12-310000070866us-gaap:DesignatedAsHedgingInstrumentMember2020-12-310000070866us-gaap:ForeignExchangeContractMemberus-gaap:NondesignatedMemb</w:t>
      </w:r>
      <w:r>
        <w:rPr>
          <w:rFonts w:eastAsia="Times New Roman"/>
          <w:vanish/>
        </w:rPr>
        <w:t>erus-gaap:OtherCurrentAssetsMember2020-12-310000070866us-gaap:NondesignatedMemberus-gaap:OtherCurrentAssetsMember2020-12-310000070866us-gaap:ForeignExchangeContractMemberus-gaap:NondesignatedMemberus-gaap:OtherCurrentLiabilitiesMember2020-12-310000070866us</w:t>
      </w:r>
      <w:r>
        <w:rPr>
          <w:rFonts w:eastAsia="Times New Roman"/>
          <w:vanish/>
        </w:rPr>
        <w:t>-gaap:NondesignatedMember2020-12-310000070866us-gaap:CashFlowHedgingMemberus-gaap:InterestRateContractMember2021-01-012021-12-310000070866us-gaap:CashFlowHedgingMemberus-gaap:InterestRateContractMember2020-01-012020-12-310000070866us-gaap:CashFlowHedgingMe</w:t>
      </w:r>
      <w:r>
        <w:rPr>
          <w:rFonts w:eastAsia="Times New Roman"/>
          <w:vanish/>
        </w:rPr>
        <w:t>mberus-gaap:InterestRateContractMember2019-01-012019-12-310000070866us-gaap:CashFlowHedgingMemberncr:CostOfProductsMemberus-gaap:InterestRateContractMember2021-01-012021-12-310000070866us-gaap:CashFlowHedgingMemberncr:CostOfProductsMemberus-gaap:InterestRa</w:t>
      </w:r>
      <w:r>
        <w:rPr>
          <w:rFonts w:eastAsia="Times New Roman"/>
          <w:vanish/>
        </w:rPr>
        <w:t>teContractMember2020-01-012020-12-310000070866us-gaap:CashFlowHedgingMemberncr:CostOfProductsMemberus-gaap:InterestRateContractMember2019-01-012019-12-310000070866us-gaap:CashFlowHedgingMemberncr:ForeignExchangeDerivativeMember2021-01-012021-12-31000007086</w:t>
      </w:r>
      <w:r>
        <w:rPr>
          <w:rFonts w:eastAsia="Times New Roman"/>
          <w:vanish/>
        </w:rPr>
        <w:t>6us-gaap:CashFlowHedgingMemberncr:ForeignExchangeDerivativeMember2020-01-012020-12-310000070866us-gaap:CashFlowHedgingMemberncr:ForeignExchangeDerivativeMember2019-01-012019-12-310000070866us-gaap:CashFlowHedgingMemberncr:CostOfProductsMemberncr:ForeignExc</w:t>
      </w:r>
      <w:r>
        <w:rPr>
          <w:rFonts w:eastAsia="Times New Roman"/>
          <w:vanish/>
        </w:rPr>
        <w:t>hangeDerivativeMember2021-01-012021-12-310000070866us-gaap:CashFlowHedgingMemberncr:CostOfProductsMemberncr:ForeignExchangeDerivativeMember2020-01-012020-12-310000070866us-gaap:CashFlowHedgingMemberncr:CostOfProductsMemberncr:ForeignExchangeDerivativeMembe</w:t>
      </w:r>
      <w:r>
        <w:rPr>
          <w:rFonts w:eastAsia="Times New Roman"/>
          <w:vanish/>
        </w:rPr>
        <w:t>r2019-01-012019-12-310000070866ncr:OtherIncomeExpenseMemberncr:ForeignExchangeDerivativeMember2021-01-012021-12-310000070866ncr:OtherIncomeExpenseMemberncr:ForeignExchangeDerivativeMember2020-01-012020-12-310000070866ncr:OtherIncomeExpenseMemberncr:Foreign</w:t>
      </w:r>
      <w:r>
        <w:rPr>
          <w:rFonts w:eastAsia="Times New Roman"/>
          <w:vanish/>
        </w:rPr>
        <w:t>ExchangeDerivativeMember2019-01-012019-12-310000070866us-gaap:EstimateOfFairValueFairValueDisclosureMemberus-gaap:FairValueMeasurementsRecurringMember2021-12-310000070866us-gaap:FairValueInputsLevel1Memberus-gaap:FairValueMeasurementsRecurringMember2021-12</w:t>
      </w:r>
      <w:r>
        <w:rPr>
          <w:rFonts w:eastAsia="Times New Roman"/>
          <w:vanish/>
        </w:rPr>
        <w:t>-310000070866us-gaap:FairValueMeasurementsRecurringMemberus-gaap:FairValueInputsLevel2Member2021-12-310000070866us-gaap:FairValueMeasurementsRecurringMemberus-gaap:FairValueInputsLevel3Member2021-12-310000070866us-gaap:EstimateOfFairValueFairValueDisclosur</w:t>
      </w:r>
      <w:r>
        <w:rPr>
          <w:rFonts w:eastAsia="Times New Roman"/>
          <w:vanish/>
        </w:rPr>
        <w:t>eMemberus-gaap:FairValueMeasurementsRecurringMember2020-12-310000070866us-gaap:FairValueInputsLevel1Memberus-gaap:FairValueMeasurementsRecurringMember2020-12-310000070866us-gaap:FairValueMeasurementsRecurringMemberus-gaap:FairValueInputsLevel2Member2020-12</w:t>
      </w:r>
      <w:r>
        <w:rPr>
          <w:rFonts w:eastAsia="Times New Roman"/>
          <w:vanish/>
        </w:rPr>
        <w:t>-310000070866us-gaap:FairValueMeasurementsRecurringMemberus-gaap:FairValueInputsLevel3Member2020-12-310000070866us-gaap:AccumulatedTranslationAdjustmentMember2018-12-310000070866us-gaap:AccumulatedDefinedBenefitPlansAdjustmentMember2018-12-310000070866us-g</w:t>
      </w:r>
      <w:r>
        <w:rPr>
          <w:rFonts w:eastAsia="Times New Roman"/>
          <w:vanish/>
        </w:rPr>
        <w:t>aap:AccumulatedNetGainLossFromDesignatedOrQualifyingCashFlowHedgesMember2018-12-310000070866us-gaap:AccumulatedTranslationAdjustmentMember2019-01-012019-12-310000070866us-gaap:AccumulatedDefinedBenefitPlansAdjustmentMember2019-01-012019-12-310000070866us-g</w:t>
      </w:r>
      <w:r>
        <w:rPr>
          <w:rFonts w:eastAsia="Times New Roman"/>
          <w:vanish/>
        </w:rPr>
        <w:t>aap:AccumulatedNetGainLossFromDesignatedOrQualifyingCashFlowHedgesMember2019-01-012019-12-310000070866us-gaap:AccumulatedTranslationAdjustmentMember2019-12-310000070866us-gaap:AccumulatedDefinedBenefitPlansAdjustmentMember2019-12-310000070866us-gaap:Accumu</w:t>
      </w:r>
      <w:r>
        <w:rPr>
          <w:rFonts w:eastAsia="Times New Roman"/>
          <w:vanish/>
        </w:rPr>
        <w:t>latedNetGainLossFromDesignatedOrQualifyingCashFlowHedgesMember2019-12-310000070866us-gaap:AccumulatedTranslationAdjustmentMember2020-01-012020-12-310000070866us-gaap:AccumulatedDefinedBenefitPlansAdjustmentMember2020-01-012020-12-310000070866us-gaap:Accumu</w:t>
      </w:r>
      <w:r>
        <w:rPr>
          <w:rFonts w:eastAsia="Times New Roman"/>
          <w:vanish/>
        </w:rPr>
        <w:t>latedNetGainLossFromDesignatedOrQualifyingCashFlowHedgesMember2020-01-012020-12-310000070866us-gaap:AccumulatedTranslationAdjustmentMember2020-12-310000070866us-gaap:AccumulatedDefinedBenefitPlansAdjustmentMember2020-12-310000070866us-gaap:AccumulatedNetGa</w:t>
      </w:r>
      <w:r>
        <w:rPr>
          <w:rFonts w:eastAsia="Times New Roman"/>
          <w:vanish/>
        </w:rPr>
        <w:t>inLossFromDesignatedOrQualifyingCashFlowHedgesMember2020-12-310000070866us-gaap:AccumulatedTranslationAdjustmentMember2021-01-012021-12-310000070866us-gaap:AccumulatedDefinedBenefitPlansAdjustmentMember2021-01-012021-12-310000070866us-gaap:AccumulatedNetGa</w:t>
      </w:r>
      <w:r>
        <w:rPr>
          <w:rFonts w:eastAsia="Times New Roman"/>
          <w:vanish/>
        </w:rPr>
        <w:t>inLossFromDesignatedOrQualifyingCashFlowHedgesMember2021-01-012021-12-310000070866us-gaap:AccumulatedTranslationAdjustmentMember2021-12-310000070866us-gaap:AccumulatedDefinedBenefitPlansAdjustmentMember2021-12-310000070866us-gaap:AccumulatedNetGainLossFrom</w:t>
      </w:r>
      <w:r>
        <w:rPr>
          <w:rFonts w:eastAsia="Times New Roman"/>
          <w:vanish/>
        </w:rPr>
        <w:t>DesignatedOrQualifyingCashFlowHedgesMember2021-12-310000070866us-gaap:ProductMemberus-gaap:AccumulatedDefinedBenefitPlansAdjustmentNetUnamortizedGainLossMemberus-gaap:ReclassificationOutOfAccumulatedOtherComprehensiveIncomeMember2021-01-012021-12-310000070</w:t>
      </w:r>
      <w:r>
        <w:rPr>
          <w:rFonts w:eastAsia="Times New Roman"/>
          <w:vanish/>
        </w:rPr>
        <w:t>866us-gaap:AccumulatedDefinedBenefitPlansAdjustmentNetPriorServiceCostCreditMemberus-gaap:ProductMemberus-gaap:ReclassificationOutOfAccumulatedOtherComprehensiveIncomeMember2021-01-012021-12-310000070866us-gaap:AccumulatedNetGainLossFromDesignatedOrQualify</w:t>
      </w:r>
      <w:r>
        <w:rPr>
          <w:rFonts w:eastAsia="Times New Roman"/>
          <w:vanish/>
        </w:rPr>
        <w:t>ingCashFlowHedgesMemberus-gaap:ProductMemberus-gaap:ReclassificationOutOfAccumulatedOtherComprehensiveIncomeMember2021-01-012021-12-310000070866us-gaap:ProductMemberus-gaap:ReclassificationOutOfAccumulatedOtherComprehensiveIncomeMember2021-01-012021-12-310</w:t>
      </w:r>
      <w:r>
        <w:rPr>
          <w:rFonts w:eastAsia="Times New Roman"/>
          <w:vanish/>
        </w:rPr>
        <w:t>000070866us-gaap:ServiceMemberus-gaap:AccumulatedDefinedBenefitPlansAdjustmentNetUnamortizedGainLossMemberus-gaap:ReclassificationOutOfAccumulatedOtherComprehensiveIncomeMember2021-01-012021-12-310000070866us-gaap:AccumulatedDefinedBenefitPlansAdjustmentNe</w:t>
      </w:r>
      <w:r>
        <w:rPr>
          <w:rFonts w:eastAsia="Times New Roman"/>
          <w:vanish/>
        </w:rPr>
        <w:t>tPriorServiceCostCreditMemberus-gaap:ServiceMemberus-gaap:ReclassificationOutOfAccumulatedOtherComprehensiveIncomeMember2021-01-012021-12-310000070866us-gaap:AccumulatedNetGainLossFromDesignatedOrQualifyingCashFlowHedgesMemberus-gaap:ServiceMemberus-gaap:R</w:t>
      </w:r>
      <w:r>
        <w:rPr>
          <w:rFonts w:eastAsia="Times New Roman"/>
          <w:vanish/>
        </w:rPr>
        <w:t>eclassificationOutOfAccumulatedOtherComprehensiveIncomeMember2021-01-012021-12-310000070866us-gaap:ServiceMemberus-gaap:ReclassificationOutOfAccumulatedOtherComprehensiveIncomeMember2021-01-012021-12-310000070866us-gaap:AccumulatedDefinedBenefitPlansAdjust</w:t>
      </w:r>
      <w:r>
        <w:rPr>
          <w:rFonts w:eastAsia="Times New Roman"/>
          <w:vanish/>
        </w:rPr>
        <w:t>mentNetUnamortizedGainLossMemberus-gaap:ReclassificationOutOfAccumulatedOtherComprehensiveIncomeMember2021-01-012021-12-310000070866us-gaap:AccumulatedDefinedBenefitPlansAdjustmentNetPriorServiceCostCreditMemberus-gaap:ReclassificationOutOfAccumulatedOther</w:t>
      </w:r>
      <w:r>
        <w:rPr>
          <w:rFonts w:eastAsia="Times New Roman"/>
          <w:vanish/>
        </w:rPr>
        <w:t>ComprehensiveIncomeMember2021-01-012021-12-310000070866us-gaap:AccumulatedNetGainLossFromDesignatedOrQualifyingCashFlowHedgesMemberus-gaap:ReclassificationOutOfAccumulatedOtherComprehensiveIncomeMember2021-01-012021-12-310000070866us-gaap:ReclassificationO</w:t>
      </w:r>
      <w:r>
        <w:rPr>
          <w:rFonts w:eastAsia="Times New Roman"/>
          <w:vanish/>
        </w:rPr>
        <w:t>utOfAccumulatedOtherComprehensiveIncomeMember2021-01-012021-12-310000070866us-gaap:ProductMemberus-gaap:AccumulatedDefinedBenefitPlansAdjustmentNetUnamortizedGainLossMemberus-gaap:ReclassificationOutOfAccumulatedOtherComprehensiveIncomeMember2020-01-012020</w:t>
      </w:r>
      <w:r>
        <w:rPr>
          <w:rFonts w:eastAsia="Times New Roman"/>
          <w:vanish/>
        </w:rPr>
        <w:t>-12-310000070866us-gaap:AccumulatedDefinedBenefitPlansAdjustmentNetPriorServiceCostCreditMemberus-gaap:ProductMemberus-gaap:ReclassificationOutOfAccumulatedOtherComprehensiveIncomeMember2020-01-012020-12-310000070866us-gaap:AccumulatedNetGainLossFromDesign</w:t>
      </w:r>
      <w:r>
        <w:rPr>
          <w:rFonts w:eastAsia="Times New Roman"/>
          <w:vanish/>
        </w:rPr>
        <w:t>atedOrQualifyingCashFlowHedgesMemberus-gaap:ProductMemberus-gaap:ReclassificationOutOfAccumulatedOtherComprehensiveIncomeMember2020-01-012020-12-310000070866us-gaap:ProductMemberus-gaap:ReclassificationOutOfAccumulatedOtherComprehensiveIncomeMember2020-01-</w:t>
      </w:r>
      <w:r>
        <w:rPr>
          <w:rFonts w:eastAsia="Times New Roman"/>
          <w:vanish/>
        </w:rPr>
        <w:t>012020-12-310000070866us-gaap:ServiceMemberus-gaap:AccumulatedDefinedBenefitPlansAdjustmentNetUnamortizedGainLossMemberus-gaap:ReclassificationOutOfAccumulatedOtherComprehensiveIncomeMember2020-01-012020-12-310000070866us-gaap:AccumulatedDefinedBenefitPlan</w:t>
      </w:r>
      <w:r>
        <w:rPr>
          <w:rFonts w:eastAsia="Times New Roman"/>
          <w:vanish/>
        </w:rPr>
        <w:t>sAdjustmentNetPriorServiceCostCreditMemberus-gaap:ServiceMemberus-gaap:ReclassificationOutOfAccumulatedOtherComprehensiveIncomeMember2020-01-012020-12-310000070866us-gaap:AccumulatedNetGainLossFromDesignatedOrQualifyingCashFlowHedgesMemberus-gaap:ServiceMe</w:t>
      </w:r>
      <w:r>
        <w:rPr>
          <w:rFonts w:eastAsia="Times New Roman"/>
          <w:vanish/>
        </w:rPr>
        <w:t>mberus-gaap:ReclassificationOutOfAccumulatedOtherComprehensiveIncomeMember2020-01-012020-12-310000070866us-gaap:ServiceMemberus-gaap:ReclassificationOutOfAccumulatedOtherComprehensiveIncomeMember2020-01-012020-12-310000070866us-gaap:AccumulatedDefinedBenef</w:t>
      </w:r>
      <w:r>
        <w:rPr>
          <w:rFonts w:eastAsia="Times New Roman"/>
          <w:vanish/>
        </w:rPr>
        <w:t>itPlansAdjustmentNetUnamortizedGainLossMemberus-gaap:ReclassificationOutOfAccumulatedOtherComprehensiveIncomeMember2020-01-012020-12-310000070866us-gaap:AccumulatedDefinedBenefitPlansAdjustmentNetPriorServiceCostCreditMemberus-gaap:ReclassificationOutOfAcc</w:t>
      </w:r>
      <w:r>
        <w:rPr>
          <w:rFonts w:eastAsia="Times New Roman"/>
          <w:vanish/>
        </w:rPr>
        <w:t>umulatedOtherComprehensiveIncomeMember2020-01-012020-12-310000070866us-gaap:AccumulatedNetGainLossFromDesignatedOrQualifyingCashFlowHedgesMemberus-gaap:ReclassificationOutOfAccumulatedOtherComprehensiveIncomeMember2020-01-012020-12-310000070866us-gaap:Recl</w:t>
      </w:r>
      <w:r>
        <w:rPr>
          <w:rFonts w:eastAsia="Times New Roman"/>
          <w:vanish/>
        </w:rPr>
        <w:t>assificationOutOfAccumulatedOtherComprehensiveIncomeMember2020-01-012020-12-310000070866us-gaap:ProductMemberus-gaap:AccumulatedDefinedBenefitPlansAdjustmentNetUnamortizedGainLossMemberus-gaap:ReclassificationOutOfAccumulatedOtherComprehensiveIncomeMember2</w:t>
      </w:r>
      <w:r>
        <w:rPr>
          <w:rFonts w:eastAsia="Times New Roman"/>
          <w:vanish/>
        </w:rPr>
        <w:t>019-01-012019-12-310000070866us-gaap:AccumulatedDefinedBenefitPlansAdjustmentNetPriorServiceCostCreditMemberus-gaap:ProductMemberus-gaap:ReclassificationOutOfAccumulatedOtherComprehensiveIncomeMember2019-01-012019-12-310000070866us-gaap:AccumulatedNetGainL</w:t>
      </w:r>
      <w:r>
        <w:rPr>
          <w:rFonts w:eastAsia="Times New Roman"/>
          <w:vanish/>
        </w:rPr>
        <w:t>ossFromDesignatedOrQualifyingCashFlowHedgesMemberus-gaap:ProductMemberus-gaap:ReclassificationOutOfAccumulatedOtherComprehensiveIncomeMember2019-01-012019-12-310000070866us-gaap:ProductMemberus-gaap:ReclassificationOutOfAccumulatedOtherComprehensiveIncomeM</w:t>
      </w:r>
      <w:r>
        <w:rPr>
          <w:rFonts w:eastAsia="Times New Roman"/>
          <w:vanish/>
        </w:rPr>
        <w:t>ember2019-01-012019-12-310000070866us-gaap:ServiceMemberus-gaap:AccumulatedDefinedBenefitPlansAdjustmentNetUnamortizedGainLossMemberus-gaap:ReclassificationOutOfAccumulatedOtherComprehensiveIncomeMember2019-01-012019-12-310000070866us-gaap:AccumulatedDefin</w:t>
      </w:r>
      <w:r>
        <w:rPr>
          <w:rFonts w:eastAsia="Times New Roman"/>
          <w:vanish/>
        </w:rPr>
        <w:t>edBenefitPlansAdjustmentNetPriorServiceCostCreditMemberus-gaap:ServiceMemberus-gaap:ReclassificationOutOfAccumulatedOtherComprehensiveIncomeMember2019-01-012019-12-310000070866us-gaap:AccumulatedNetGainLossFromDesignatedOrQualifyingCashFlowHedgesMemberus-g</w:t>
      </w:r>
      <w:r>
        <w:rPr>
          <w:rFonts w:eastAsia="Times New Roman"/>
          <w:vanish/>
        </w:rPr>
        <w:t>aap:ServiceMemberus-gaap:ReclassificationOutOfAccumulatedOtherComprehensiveIncomeMember2019-01-012019-12-310000070866us-gaap:ServiceMemberus-gaap:ReclassificationOutOfAccumulatedOtherComprehensiveIncomeMember2019-01-012019-12-310000070866us-gaap:Accumulate</w:t>
      </w:r>
      <w:r>
        <w:rPr>
          <w:rFonts w:eastAsia="Times New Roman"/>
          <w:vanish/>
        </w:rPr>
        <w:t>dDefinedBenefitPlansAdjustmentNetUnamortizedGainLossMemberus-gaap:ReclassificationOutOfAccumulatedOtherComprehensiveIncomeMember2019-01-012019-12-310000070866us-gaap:AccumulatedDefinedBenefitPlansAdjustmentNetPriorServiceCostCreditMemberus-gaap:Reclassific</w:t>
      </w:r>
      <w:r>
        <w:rPr>
          <w:rFonts w:eastAsia="Times New Roman"/>
          <w:vanish/>
        </w:rPr>
        <w:t>ationOutOfAccumulatedOtherComprehensiveIncomeMember2019-01-012019-12-310000070866us-gaap:AccumulatedNetGainLossFromDesignatedOrQualifyingCashFlowHedgesMemberus-gaap:ReclassificationOutOfAccumulatedOtherComprehensiveIncomeMember2019-01-012019-12-31000007086</w:t>
      </w:r>
      <w:r>
        <w:rPr>
          <w:rFonts w:eastAsia="Times New Roman"/>
          <w:vanish/>
        </w:rPr>
        <w:t>6us-gaap:AccumulatedDefinedBenefitPlansAdjustmentNetPriorServiceIncludingPortionAttributableToNoncontrollingInterestMemberus-gaap:ReclassificationOutOfAccumulatedOtherComprehensiveIncomeMember2019-01-012019-12-310000070866us-gaap:ReclassificationOutOfAccum</w:t>
      </w:r>
      <w:r>
        <w:rPr>
          <w:rFonts w:eastAsia="Times New Roman"/>
          <w:vanish/>
        </w:rPr>
        <w:t>ulatedOtherComprehensiveIncomeMember2019-01-012019-12-310000070866us-gaap:TradeAccountsReceivableMember2021-12-310000070866us-gaap:TradeAccountsReceivableMember2020-12-310000070866ncr:OtherReceivablesMember2021-12-310000070866ncr:OtherReceivablesMember2020</w:t>
      </w:r>
      <w:r>
        <w:rPr>
          <w:rFonts w:eastAsia="Times New Roman"/>
          <w:vanish/>
        </w:rPr>
        <w:t>-12-310000070866us-gaap:LandAndLandImprovementsMember2021-12-310000070866us-gaap:LandAndLandImprovementsMember2020-12-310000070866us-gaap:BuildingAndBuildingImprovementsMember2021-12-310000070866us-gaap:BuildingAndBuildingImprovementsMember2020-12-31000007</w:t>
      </w:r>
      <w:r>
        <w:rPr>
          <w:rFonts w:eastAsia="Times New Roman"/>
          <w:vanish/>
        </w:rPr>
        <w:t>0866us-gaap:MachineryAndEquipmentMember2021-12-310000070866us-gaap:MachineryAndEquipmentMember2020-12-310000070866us-gaap:AllowanceForCreditLossMember2020-12-310000070866us-gaap:AllowanceForCreditLossMember2021-12-310000070866us-gaap:ValuationAllowanceOfDe</w:t>
      </w:r>
      <w:r>
        <w:rPr>
          <w:rFonts w:eastAsia="Times New Roman"/>
          <w:vanish/>
        </w:rPr>
        <w:t>ferredTaxAssetsMember2020-12-310000070866us-gaap:ValuationAllowanceOfDeferredTaxAssetsMember2021-01-012021-12-310000070866us-gaap:ValuationAllowanceOfDeferredTaxAssetsMember2021-12-310000070866us-gaap:AllowanceForCreditLossMember2019-12-310000070866us-gaap</w:t>
      </w:r>
      <w:r>
        <w:rPr>
          <w:rFonts w:eastAsia="Times New Roman"/>
          <w:vanish/>
        </w:rPr>
        <w:t>:AllowanceForCreditLossMember2020-01-012020-12-310000070866us-gaap:ValuationAllowanceOfDeferredTaxAssetsMember2019-12-310000070866us-gaap:ValuationAllowanceOfDeferredTaxAssetsMember2020-01-012020-12-310000070866us-gaap:AllowanceForCreditLossMember2018-12-3</w:t>
      </w:r>
      <w:r>
        <w:rPr>
          <w:rFonts w:eastAsia="Times New Roman"/>
          <w:vanish/>
        </w:rPr>
        <w:t>10000070866us-gaap:AllowanceForCreditLossMember2019-01-012019-12-310000070866us-gaap:ValuationAllowanceOfDeferredTaxAssetsMember2018-12-310000070866us-gaap:ValuationAllowanceOfDeferredTaxAssetsMember2019-01-012019-12-31</w:t>
      </w:r>
    </w:p>
    <w:p w:rsidR="00000000" w:rsidRDefault="006F0EF5">
      <w:pPr>
        <w:divId w:val="94673541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339966725"/>
        <w:rPr>
          <w:rFonts w:eastAsia="Times New Roman"/>
        </w:rPr>
      </w:pPr>
    </w:p>
    <w:p w:rsidR="00000000" w:rsidRDefault="006F0EF5">
      <w:pPr>
        <w:ind w:firstLine="720"/>
        <w:jc w:val="center"/>
        <w:rPr>
          <w:rFonts w:eastAsia="Times New Roman"/>
        </w:rPr>
      </w:pPr>
    </w:p>
    <w:tbl>
      <w:tblPr>
        <w:tblW w:w="4279" w:type="pct"/>
        <w:jc w:val="center"/>
        <w:tblCellMar>
          <w:top w:w="15" w:type="dxa"/>
          <w:left w:w="15" w:type="dxa"/>
          <w:bottom w:w="15" w:type="dxa"/>
          <w:right w:w="15" w:type="dxa"/>
        </w:tblCellMar>
        <w:tblLook w:val="04A0" w:firstRow="1" w:lastRow="0" w:firstColumn="1" w:lastColumn="0" w:noHBand="0" w:noVBand="1"/>
      </w:tblPr>
      <w:tblGrid>
        <w:gridCol w:w="56"/>
        <w:gridCol w:w="7016"/>
        <w:gridCol w:w="36"/>
      </w:tblGrid>
      <w:tr w:rsidR="00000000">
        <w:trPr>
          <w:jc w:val="center"/>
        </w:trPr>
        <w:tc>
          <w:tcPr>
            <w:tcW w:w="50" w:type="pct"/>
            <w:vAlign w:val="center"/>
            <w:hideMark/>
          </w:tcPr>
          <w:p w:rsidR="00000000" w:rsidRDefault="006F0EF5">
            <w:pPr>
              <w:ind w:firstLine="720"/>
              <w:jc w:val="center"/>
              <w:rPr>
                <w:rFonts w:eastAsia="Times New Roman"/>
              </w:rPr>
            </w:pPr>
          </w:p>
        </w:tc>
        <w:tc>
          <w:tcPr>
            <w:tcW w:w="494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jc w:val="center"/>
        <w:rPr>
          <w:rFonts w:eastAsia="Times New Roman"/>
        </w:rPr>
      </w:pPr>
      <w:r>
        <w:rPr>
          <w:rFonts w:eastAsia="Times New Roman"/>
          <w:b/>
          <w:bCs/>
          <w:color w:val="000000"/>
          <w:sz w:val="36"/>
          <w:szCs w:val="36"/>
        </w:rPr>
        <w:t>UNITED STATES</w:t>
      </w:r>
    </w:p>
    <w:p w:rsidR="00000000" w:rsidRDefault="006F0EF5">
      <w:pPr>
        <w:jc w:val="center"/>
        <w:rPr>
          <w:rFonts w:eastAsia="Times New Roman"/>
        </w:rPr>
      </w:pPr>
      <w:r>
        <w:rPr>
          <w:rFonts w:eastAsia="Times New Roman"/>
          <w:b/>
          <w:bCs/>
          <w:color w:val="000000"/>
          <w:sz w:val="36"/>
          <w:szCs w:val="36"/>
        </w:rPr>
        <w:t>SECURITIES AND EXCHANGE COMMISSION</w:t>
      </w:r>
    </w:p>
    <w:p w:rsidR="00000000" w:rsidRDefault="006F0EF5">
      <w:pPr>
        <w:jc w:val="center"/>
        <w:rPr>
          <w:rFonts w:eastAsia="Times New Roman"/>
        </w:rPr>
      </w:pPr>
      <w:r>
        <w:rPr>
          <w:rFonts w:eastAsia="Times New Roman"/>
          <w:b/>
          <w:bCs/>
          <w:color w:val="000000"/>
        </w:rPr>
        <w:t>Washington, D.C. 20549</w:t>
      </w:r>
    </w:p>
    <w:p w:rsidR="00000000" w:rsidRDefault="006F0EF5">
      <w:pPr>
        <w:jc w:val="center"/>
        <w:divId w:val="2091849551"/>
        <w:rPr>
          <w:rFonts w:eastAsia="Times New Roman"/>
        </w:rPr>
      </w:pPr>
      <w:r>
        <w:rPr>
          <w:rFonts w:eastAsia="Times New Roman"/>
          <w:color w:val="000000"/>
          <w:sz w:val="20"/>
          <w:szCs w:val="20"/>
        </w:rPr>
        <w:t>________________________</w:t>
      </w:r>
    </w:p>
    <w:p w:rsidR="00000000" w:rsidRDefault="006F0EF5">
      <w:pPr>
        <w:jc w:val="center"/>
        <w:divId w:val="934509409"/>
        <w:rPr>
          <w:rFonts w:eastAsia="Times New Roman"/>
        </w:rPr>
      </w:pPr>
      <w:r>
        <w:rPr>
          <w:rFonts w:eastAsia="Times New Roman"/>
          <w:b/>
          <w:bCs/>
          <w:color w:val="000000"/>
          <w:sz w:val="36"/>
          <w:szCs w:val="36"/>
        </w:rPr>
        <w:t xml:space="preserve">FORM 10-K </w:t>
      </w:r>
    </w:p>
    <w:p w:rsidR="00000000" w:rsidRDefault="006F0EF5">
      <w:pPr>
        <w:jc w:val="center"/>
        <w:divId w:val="1511993680"/>
        <w:rPr>
          <w:rFonts w:eastAsia="Times New Roman"/>
        </w:rPr>
      </w:pPr>
      <w:r>
        <w:rPr>
          <w:rFonts w:eastAsia="Times New Roman"/>
          <w:color w:val="000000"/>
          <w:sz w:val="20"/>
          <w:szCs w:val="20"/>
        </w:rPr>
        <w:t>________________________</w:t>
      </w:r>
    </w:p>
    <w:p w:rsidR="00000000" w:rsidRDefault="006F0EF5">
      <w:pPr>
        <w:divId w:val="1543788278"/>
        <w:rPr>
          <w:rFonts w:eastAsia="Times New Roman"/>
        </w:rPr>
      </w:pPr>
      <w:r>
        <w:rPr>
          <w:rFonts w:eastAsia="Times New Roman"/>
          <w:b/>
          <w:bCs/>
          <w:color w:val="000000"/>
          <w:sz w:val="20"/>
          <w:szCs w:val="20"/>
        </w:rPr>
        <w:t>(Mark One)</w:t>
      </w:r>
    </w:p>
    <w:tbl>
      <w:tblPr>
        <w:tblW w:w="11055" w:type="dxa"/>
        <w:tblCellMar>
          <w:top w:w="15" w:type="dxa"/>
          <w:left w:w="15" w:type="dxa"/>
          <w:bottom w:w="15" w:type="dxa"/>
          <w:right w:w="15" w:type="dxa"/>
        </w:tblCellMar>
        <w:tblLook w:val="04A0" w:firstRow="1" w:lastRow="0" w:firstColumn="1" w:lastColumn="0" w:noHBand="0" w:noVBand="1"/>
      </w:tblPr>
      <w:tblGrid>
        <w:gridCol w:w="36"/>
        <w:gridCol w:w="379"/>
        <w:gridCol w:w="36"/>
        <w:gridCol w:w="36"/>
        <w:gridCol w:w="10532"/>
        <w:gridCol w:w="36"/>
      </w:tblGrid>
      <w:tr w:rsidR="00000000">
        <w:trPr>
          <w:divId w:val="295914133"/>
        </w:trPr>
        <w:tc>
          <w:tcPr>
            <w:tcW w:w="20" w:type="dxa"/>
            <w:vAlign w:val="center"/>
            <w:hideMark/>
          </w:tcPr>
          <w:p w:rsidR="00000000" w:rsidRDefault="006F0EF5">
            <w:pPr>
              <w:rPr>
                <w:rFonts w:eastAsia="Times New Roman"/>
              </w:rPr>
            </w:pPr>
          </w:p>
        </w:tc>
        <w:tc>
          <w:tcPr>
            <w:tcW w:w="380" w:type="dxa"/>
            <w:vAlign w:val="center"/>
            <w:hideMark/>
          </w:tcPr>
          <w:p w:rsidR="00000000" w:rsidRDefault="006F0EF5">
            <w:pPr>
              <w:spacing w:after="100"/>
              <w:rPr>
                <w:rFonts w:eastAsia="Times New Roman"/>
                <w:sz w:val="20"/>
                <w:szCs w:val="20"/>
              </w:rPr>
            </w:pPr>
          </w:p>
        </w:tc>
        <w:tc>
          <w:tcPr>
            <w:tcW w:w="20" w:type="dxa"/>
            <w:vAlign w:val="center"/>
            <w:hideMark/>
          </w:tcPr>
          <w:p w:rsidR="00000000" w:rsidRDefault="006F0EF5">
            <w:pPr>
              <w:spacing w:after="100"/>
              <w:rPr>
                <w:rFonts w:eastAsia="Times New Roman"/>
                <w:sz w:val="20"/>
                <w:szCs w:val="20"/>
              </w:rPr>
            </w:pPr>
          </w:p>
        </w:tc>
        <w:tc>
          <w:tcPr>
            <w:tcW w:w="20" w:type="dxa"/>
            <w:vAlign w:val="center"/>
            <w:hideMark/>
          </w:tcPr>
          <w:p w:rsidR="00000000" w:rsidRDefault="006F0EF5">
            <w:pPr>
              <w:spacing w:after="100"/>
              <w:rPr>
                <w:rFonts w:eastAsia="Times New Roman"/>
                <w:sz w:val="20"/>
                <w:szCs w:val="20"/>
              </w:rPr>
            </w:pPr>
          </w:p>
        </w:tc>
        <w:tc>
          <w:tcPr>
            <w:tcW w:w="10595" w:type="dxa"/>
            <w:vAlign w:val="center"/>
            <w:hideMark/>
          </w:tcPr>
          <w:p w:rsidR="00000000" w:rsidRDefault="006F0EF5">
            <w:pPr>
              <w:spacing w:after="100"/>
              <w:rPr>
                <w:rFonts w:eastAsia="Times New Roman"/>
                <w:sz w:val="20"/>
                <w:szCs w:val="20"/>
              </w:rPr>
            </w:pPr>
          </w:p>
        </w:tc>
        <w:tc>
          <w:tcPr>
            <w:tcW w:w="20" w:type="dxa"/>
            <w:vAlign w:val="center"/>
            <w:hideMark/>
          </w:tcPr>
          <w:p w:rsidR="00000000" w:rsidRDefault="006F0EF5">
            <w:pPr>
              <w:spacing w:after="100"/>
              <w:rPr>
                <w:rFonts w:eastAsia="Times New Roman"/>
                <w:sz w:val="20"/>
                <w:szCs w:val="20"/>
              </w:rPr>
            </w:pPr>
          </w:p>
        </w:tc>
      </w:tr>
      <w:tr w:rsidR="00000000">
        <w:trPr>
          <w:divId w:val="295914133"/>
          <w:trHeight w:val="300"/>
        </w:trPr>
        <w:tc>
          <w:tcPr>
            <w:tcW w:w="0" w:type="auto"/>
            <w:gridSpan w:val="3"/>
            <w:tcMar>
              <w:top w:w="30" w:type="dxa"/>
              <w:left w:w="20" w:type="dxa"/>
              <w:bottom w:w="30" w:type="dxa"/>
              <w:right w:w="20" w:type="dxa"/>
            </w:tcMar>
            <w:hideMark/>
          </w:tcPr>
          <w:p w:rsidR="00000000" w:rsidRDefault="006F0EF5">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ANNUAL REPORT PURSUANT TO SECTION 13 OR 15(d) OF THE SECURITIES EXCHANGE ACT OF 1934</w:t>
            </w:r>
          </w:p>
        </w:tc>
      </w:tr>
    </w:tbl>
    <w:tbl>
      <w:tblPr>
        <w:tblW w:w="4855" w:type="pct"/>
        <w:tblCellMar>
          <w:top w:w="15" w:type="dxa"/>
          <w:left w:w="15" w:type="dxa"/>
          <w:bottom w:w="15" w:type="dxa"/>
          <w:right w:w="15" w:type="dxa"/>
        </w:tblCellMar>
        <w:tblLook w:val="04A0" w:firstRow="1" w:lastRow="0" w:firstColumn="1" w:lastColumn="0" w:noHBand="0" w:noVBand="1"/>
      </w:tblPr>
      <w:tblGrid>
        <w:gridCol w:w="66"/>
        <w:gridCol w:w="188"/>
        <w:gridCol w:w="36"/>
        <w:gridCol w:w="67"/>
        <w:gridCol w:w="7672"/>
        <w:gridCol w:w="36"/>
      </w:tblGrid>
      <w:tr w:rsidR="00000000">
        <w:tc>
          <w:tcPr>
            <w:tcW w:w="50" w:type="pct"/>
            <w:vAlign w:val="center"/>
            <w:hideMark/>
          </w:tcPr>
          <w:p w:rsidR="00000000" w:rsidRDefault="006F0EF5">
            <w:pPr>
              <w:rPr>
                <w:rFonts w:eastAsia="Times New Roman"/>
              </w:rPr>
            </w:pPr>
          </w:p>
        </w:tc>
        <w:tc>
          <w:tcPr>
            <w:tcW w:w="1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76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divId w:val="1348094471"/>
              <w:rPr>
                <w:rFonts w:eastAsia="Times New Roman"/>
              </w:rPr>
            </w:pPr>
            <w:r>
              <w:rPr>
                <w:rFonts w:eastAsia="Times New Roman"/>
                <w:b/>
                <w:bCs/>
                <w:color w:val="000000"/>
                <w:sz w:val="20"/>
                <w:szCs w:val="20"/>
              </w:rPr>
              <w:t>For the fiscal year ended December 31, 2021</w:t>
            </w:r>
          </w:p>
        </w:tc>
      </w:tr>
    </w:tbl>
    <w:p w:rsidR="00000000" w:rsidRDefault="006F0EF5">
      <w:pPr>
        <w:divId w:val="3986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4048"/>
        <w:gridCol w:w="37"/>
        <w:gridCol w:w="69"/>
        <w:gridCol w:w="4048"/>
        <w:gridCol w:w="36"/>
      </w:tblGrid>
      <w:tr w:rsidR="00000000">
        <w:trPr>
          <w:divId w:val="398688"/>
        </w:trPr>
        <w:tc>
          <w:tcPr>
            <w:tcW w:w="50" w:type="pct"/>
            <w:vAlign w:val="center"/>
            <w:hideMark/>
          </w:tcPr>
          <w:p w:rsidR="00000000" w:rsidRDefault="006F0EF5">
            <w:pPr>
              <w:rPr>
                <w:rFonts w:eastAsia="Times New Roman"/>
              </w:rPr>
            </w:pPr>
          </w:p>
        </w:tc>
        <w:tc>
          <w:tcPr>
            <w:tcW w:w="244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4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398688"/>
        </w:trPr>
        <w:tc>
          <w:tcPr>
            <w:tcW w:w="0" w:type="auto"/>
            <w:gridSpan w:val="6"/>
            <w:tcMar>
              <w:top w:w="30" w:type="dxa"/>
              <w:left w:w="20" w:type="dxa"/>
              <w:bottom w:w="30" w:type="dxa"/>
              <w:right w:w="20" w:type="dxa"/>
            </w:tcMar>
            <w:hideMark/>
          </w:tcPr>
          <w:p w:rsidR="00000000" w:rsidRDefault="006F0EF5">
            <w:pPr>
              <w:spacing w:after="100"/>
              <w:jc w:val="center"/>
              <w:rPr>
                <w:rFonts w:eastAsia="Times New Roman"/>
              </w:rPr>
            </w:pPr>
            <w:r>
              <w:rPr>
                <w:rFonts w:eastAsia="Times New Roman"/>
                <w:b/>
                <w:bCs/>
                <w:color w:val="000000"/>
                <w:sz w:val="20"/>
                <w:szCs w:val="20"/>
              </w:rPr>
              <w:t>or</w:t>
            </w:r>
          </w:p>
        </w:tc>
      </w:tr>
    </w:tbl>
    <w:tbl>
      <w:tblPr>
        <w:tblW w:w="4617" w:type="pct"/>
        <w:tblCellMar>
          <w:top w:w="15" w:type="dxa"/>
          <w:left w:w="15" w:type="dxa"/>
          <w:bottom w:w="15" w:type="dxa"/>
          <w:right w:w="15" w:type="dxa"/>
        </w:tblCellMar>
        <w:tblLook w:val="04A0" w:firstRow="1" w:lastRow="0" w:firstColumn="1" w:lastColumn="0" w:noHBand="0" w:noVBand="1"/>
      </w:tblPr>
      <w:tblGrid>
        <w:gridCol w:w="62"/>
        <w:gridCol w:w="191"/>
        <w:gridCol w:w="36"/>
        <w:gridCol w:w="63"/>
        <w:gridCol w:w="7282"/>
        <w:gridCol w:w="36"/>
      </w:tblGrid>
      <w:tr w:rsidR="00000000">
        <w:tc>
          <w:tcPr>
            <w:tcW w:w="50" w:type="pct"/>
            <w:vAlign w:val="center"/>
            <w:hideMark/>
          </w:tcPr>
          <w:p w:rsidR="00000000" w:rsidRDefault="006F0EF5">
            <w:pPr>
              <w:rPr>
                <w:rFonts w:eastAsia="Times New Roman"/>
              </w:rPr>
            </w:pPr>
          </w:p>
        </w:tc>
        <w:tc>
          <w:tcPr>
            <w:tcW w:w="13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75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579409027"/>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TRANSITION REPORT PURSUANT TO SECTION 13 OR 15(d) OF THE SECURITIES EXCHANGE ACT OF 1934</w:t>
            </w:r>
            <w:r>
              <w:rPr>
                <w:rFonts w:eastAsia="Times New Roman"/>
                <w:b/>
                <w:bCs/>
                <w:color w:val="000000"/>
                <w:sz w:val="20"/>
                <w:szCs w:val="20"/>
              </w:rPr>
              <w:br/>
            </w:r>
            <w:r>
              <w:rPr>
                <w:rFonts w:eastAsia="Times New Roman"/>
                <w:b/>
                <w:bCs/>
                <w:color w:val="000000"/>
                <w:sz w:val="20"/>
                <w:szCs w:val="20"/>
              </w:rPr>
              <w:br/>
              <w:t>For the transition period from ____________ to ____________</w:t>
            </w:r>
          </w:p>
        </w:tc>
      </w:tr>
    </w:tbl>
    <w:p w:rsidR="00000000" w:rsidRDefault="006F0EF5">
      <w:pPr>
        <w:divId w:val="1578787878"/>
        <w:rPr>
          <w:rFonts w:eastAsia="Times New Roman"/>
        </w:rPr>
      </w:pPr>
    </w:p>
    <w:tbl>
      <w:tblPr>
        <w:tblW w:w="4786" w:type="pct"/>
        <w:tblCellMar>
          <w:top w:w="15" w:type="dxa"/>
          <w:left w:w="15" w:type="dxa"/>
          <w:bottom w:w="15" w:type="dxa"/>
          <w:right w:w="15" w:type="dxa"/>
        </w:tblCellMar>
        <w:tblLook w:val="04A0" w:firstRow="1" w:lastRow="0" w:firstColumn="1" w:lastColumn="0" w:noHBand="0" w:noVBand="1"/>
      </w:tblPr>
      <w:tblGrid>
        <w:gridCol w:w="36"/>
        <w:gridCol w:w="132"/>
        <w:gridCol w:w="36"/>
        <w:gridCol w:w="52"/>
        <w:gridCol w:w="7659"/>
        <w:gridCol w:w="36"/>
      </w:tblGrid>
      <w:tr w:rsidR="00000000">
        <w:trPr>
          <w:divId w:val="811365147"/>
        </w:trPr>
        <w:tc>
          <w:tcPr>
            <w:tcW w:w="5" w:type="pct"/>
            <w:vAlign w:val="center"/>
            <w:hideMark/>
          </w:tcPr>
          <w:p w:rsidR="00000000" w:rsidRDefault="006F0EF5">
            <w:pPr>
              <w:rPr>
                <w:rFonts w:eastAsia="Times New Roman"/>
              </w:rPr>
            </w:pPr>
          </w:p>
        </w:tc>
        <w:tc>
          <w:tcPr>
            <w:tcW w:w="10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83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811365147"/>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divId w:val="687482832"/>
              <w:rPr>
                <w:rFonts w:eastAsia="Times New Roman"/>
              </w:rPr>
            </w:pPr>
            <w:r>
              <w:rPr>
                <w:rFonts w:eastAsia="Times New Roman"/>
                <w:b/>
                <w:bCs/>
                <w:color w:val="000000"/>
                <w:sz w:val="20"/>
                <w:szCs w:val="20"/>
              </w:rPr>
              <w:t>Commission File Number: 001-00395</w:t>
            </w:r>
          </w:p>
        </w:tc>
      </w:tr>
    </w:tbl>
    <w:p w:rsidR="00000000" w:rsidRDefault="006F0EF5">
      <w:pPr>
        <w:jc w:val="center"/>
        <w:divId w:val="144318903"/>
        <w:rPr>
          <w:rFonts w:eastAsia="Times New Roman"/>
        </w:rPr>
      </w:pPr>
      <w:r>
        <w:rPr>
          <w:rFonts w:eastAsia="Times New Roman"/>
          <w:color w:val="000000"/>
          <w:sz w:val="20"/>
          <w:szCs w:val="20"/>
        </w:rPr>
        <w:t> ________________________</w:t>
      </w:r>
    </w:p>
    <w:p w:rsidR="00000000" w:rsidRDefault="006F0EF5">
      <w:pPr>
        <w:jc w:val="center"/>
        <w:divId w:val="215630626"/>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F0EF5">
      <w:pPr>
        <w:jc w:val="center"/>
        <w:divId w:val="263463694"/>
        <w:rPr>
          <w:rFonts w:eastAsia="Times New Roman"/>
        </w:rPr>
      </w:pPr>
      <w:r>
        <w:rPr>
          <w:rFonts w:eastAsia="Times New Roman"/>
          <w:b/>
          <w:bCs/>
          <w:color w:val="54B948"/>
          <w:sz w:val="28"/>
          <w:szCs w:val="28"/>
        </w:rPr>
        <w:t xml:space="preserve">NCR CORPORATION </w:t>
      </w:r>
    </w:p>
    <w:p w:rsidR="00000000" w:rsidRDefault="006F0EF5">
      <w:pPr>
        <w:jc w:val="center"/>
        <w:rPr>
          <w:rFonts w:eastAsia="Times New Roman"/>
        </w:rPr>
      </w:pPr>
      <w:r>
        <w:rPr>
          <w:rFonts w:eastAsia="Times New Roman"/>
          <w:b/>
          <w:bCs/>
          <w:color w:val="000000"/>
          <w:sz w:val="20"/>
          <w:szCs w:val="20"/>
        </w:rPr>
        <w:t>(Exact name of registrant as specified in its charter)</w:t>
      </w:r>
    </w:p>
    <w:p w:rsidR="00000000" w:rsidRDefault="006F0EF5">
      <w:pPr>
        <w:jc w:val="center"/>
        <w:rPr>
          <w:rFonts w:eastAsia="Times New Roman"/>
        </w:rPr>
      </w:pPr>
    </w:p>
    <w:p w:rsidR="00000000" w:rsidRDefault="006F0EF5">
      <w:pPr>
        <w:jc w:val="center"/>
        <w:divId w:val="1359772118"/>
        <w:rPr>
          <w:rFonts w:eastAsia="Times New Roman"/>
        </w:rPr>
      </w:pPr>
      <w:r>
        <w:rPr>
          <w:rFonts w:eastAsia="Times New Roman"/>
          <w:color w:val="000000"/>
          <w:sz w:val="20"/>
          <w:szCs w:val="20"/>
        </w:rPr>
        <w:t>________________________</w:t>
      </w:r>
    </w:p>
    <w:p w:rsidR="00000000" w:rsidRDefault="006F0EF5">
      <w:pPr>
        <w:jc w:val="center"/>
        <w:divId w:val="1034648344"/>
        <w:rPr>
          <w:rFonts w:eastAsia="Times New Roman"/>
        </w:rPr>
      </w:pPr>
      <w:r>
        <w:rPr>
          <w:rFonts w:eastAsia="Times New Roman"/>
          <w:color w:val="000000"/>
          <w:sz w:val="20"/>
          <w:szCs w:val="20"/>
        </w:rPr>
        <w:t> </w:t>
      </w:r>
    </w:p>
    <w:tbl>
      <w:tblPr>
        <w:tblW w:w="4580" w:type="pct"/>
        <w:jc w:val="center"/>
        <w:tblCellMar>
          <w:top w:w="15" w:type="dxa"/>
          <w:left w:w="15" w:type="dxa"/>
          <w:bottom w:w="15" w:type="dxa"/>
          <w:right w:w="15" w:type="dxa"/>
        </w:tblCellMar>
        <w:tblLook w:val="04A0" w:firstRow="1" w:lastRow="0" w:firstColumn="1" w:lastColumn="0" w:noHBand="0" w:noVBand="1"/>
      </w:tblPr>
      <w:tblGrid>
        <w:gridCol w:w="61"/>
        <w:gridCol w:w="3690"/>
        <w:gridCol w:w="36"/>
        <w:gridCol w:w="62"/>
        <w:gridCol w:w="182"/>
        <w:gridCol w:w="36"/>
        <w:gridCol w:w="62"/>
        <w:gridCol w:w="3442"/>
        <w:gridCol w:w="37"/>
      </w:tblGrid>
      <w:tr w:rsidR="00000000">
        <w:trPr>
          <w:divId w:val="1216425965"/>
          <w:jc w:val="center"/>
        </w:trPr>
        <w:tc>
          <w:tcPr>
            <w:tcW w:w="50" w:type="pct"/>
            <w:vAlign w:val="center"/>
            <w:hideMark/>
          </w:tcPr>
          <w:p w:rsidR="00000000" w:rsidRDefault="006F0EF5">
            <w:pPr>
              <w:jc w:val="center"/>
              <w:rPr>
                <w:rFonts w:eastAsia="Times New Roman"/>
              </w:rPr>
            </w:pPr>
          </w:p>
        </w:tc>
        <w:tc>
          <w:tcPr>
            <w:tcW w:w="243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27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216425965"/>
          <w:jc w:val="center"/>
        </w:trPr>
        <w:tc>
          <w:tcPr>
            <w:tcW w:w="0" w:type="auto"/>
            <w:gridSpan w:val="3"/>
            <w:tcMar>
              <w:top w:w="30" w:type="dxa"/>
              <w:left w:w="20" w:type="dxa"/>
              <w:bottom w:w="30" w:type="dxa"/>
              <w:right w:w="20" w:type="dxa"/>
            </w:tcMar>
            <w:hideMark/>
          </w:tcPr>
          <w:p w:rsidR="00000000" w:rsidRDefault="006F0EF5">
            <w:pPr>
              <w:spacing w:after="100"/>
              <w:jc w:val="center"/>
              <w:rPr>
                <w:rFonts w:eastAsia="Times New Roman"/>
              </w:rPr>
            </w:pPr>
            <w:r>
              <w:rPr>
                <w:rFonts w:eastAsia="Times New Roman"/>
                <w:b/>
                <w:bCs/>
                <w:color w:val="000000"/>
                <w:sz w:val="20"/>
                <w:szCs w:val="20"/>
              </w:rPr>
              <w:t>Maryland</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6F0EF5">
            <w:pPr>
              <w:spacing w:after="100"/>
              <w:jc w:val="center"/>
              <w:rPr>
                <w:rFonts w:eastAsia="Times New Roman"/>
              </w:rPr>
            </w:pPr>
            <w:r>
              <w:rPr>
                <w:rFonts w:eastAsia="Times New Roman"/>
                <w:b/>
                <w:bCs/>
                <w:color w:val="000000"/>
                <w:sz w:val="20"/>
                <w:szCs w:val="20"/>
              </w:rPr>
              <w:t>31-0387920</w:t>
            </w:r>
          </w:p>
        </w:tc>
      </w:tr>
      <w:tr w:rsidR="00000000">
        <w:trPr>
          <w:divId w:val="1216425965"/>
          <w:jc w:val="center"/>
        </w:trPr>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bl>
    <w:p w:rsidR="00000000" w:rsidRDefault="006F0EF5">
      <w:pPr>
        <w:jc w:val="center"/>
        <w:rPr>
          <w:rFonts w:eastAsia="Times New Roman"/>
        </w:rPr>
      </w:pPr>
      <w:r>
        <w:rPr>
          <w:rFonts w:eastAsia="Times New Roman"/>
          <w:b/>
          <w:bCs/>
          <w:color w:val="000000"/>
          <w:sz w:val="20"/>
          <w:szCs w:val="20"/>
        </w:rPr>
        <w:t xml:space="preserve">864 Spring Street NW </w:t>
      </w:r>
    </w:p>
    <w:p w:rsidR="00000000" w:rsidRDefault="006F0EF5">
      <w:pPr>
        <w:jc w:val="center"/>
        <w:rPr>
          <w:rFonts w:eastAsia="Times New Roman"/>
        </w:rPr>
      </w:pPr>
      <w:r>
        <w:rPr>
          <w:rFonts w:eastAsia="Times New Roman"/>
          <w:b/>
          <w:bCs/>
          <w:color w:val="000000"/>
          <w:sz w:val="20"/>
          <w:szCs w:val="20"/>
        </w:rPr>
        <w:t xml:space="preserve">Atlanta, GA 30308 </w:t>
      </w:r>
    </w:p>
    <w:p w:rsidR="00000000" w:rsidRDefault="006F0EF5">
      <w:pPr>
        <w:jc w:val="center"/>
        <w:rPr>
          <w:rFonts w:eastAsia="Times New Roman"/>
        </w:rPr>
      </w:pPr>
      <w:r>
        <w:rPr>
          <w:rFonts w:eastAsia="Times New Roman"/>
          <w:b/>
          <w:bCs/>
          <w:color w:val="000000"/>
          <w:sz w:val="16"/>
          <w:szCs w:val="16"/>
        </w:rPr>
        <w:t>(Address of principal executive offices) (Zip Code)</w:t>
      </w:r>
    </w:p>
    <w:p w:rsidR="00000000" w:rsidRDefault="006F0EF5">
      <w:pPr>
        <w:jc w:val="center"/>
        <w:divId w:val="1070426264"/>
        <w:rPr>
          <w:rFonts w:eastAsia="Times New Roman"/>
        </w:rPr>
      </w:pPr>
      <w:r>
        <w:rPr>
          <w:rFonts w:eastAsia="Times New Roman"/>
          <w:b/>
          <w:bCs/>
          <w:color w:val="000000"/>
          <w:sz w:val="20"/>
          <w:szCs w:val="20"/>
        </w:rPr>
        <w:t>Registrant’</w:t>
      </w:r>
      <w:r>
        <w:rPr>
          <w:rFonts w:eastAsia="Times New Roman"/>
          <w:b/>
          <w:bCs/>
          <w:color w:val="000000"/>
          <w:sz w:val="20"/>
          <w:szCs w:val="20"/>
        </w:rPr>
        <w:t xml:space="preserve">s telephone number, including area code: (937) 445-1936 </w:t>
      </w:r>
    </w:p>
    <w:p w:rsidR="00000000" w:rsidRDefault="006F0EF5">
      <w:pPr>
        <w:divId w:val="1115490475"/>
        <w:rPr>
          <w:rFonts w:eastAsia="Times New Roman"/>
        </w:rPr>
      </w:pPr>
      <w:r>
        <w:rPr>
          <w:rFonts w:eastAsia="Times New Roman"/>
          <w:b/>
          <w:bCs/>
          <w:color w:val="000000"/>
          <w:sz w:val="20"/>
          <w:szCs w:val="20"/>
        </w:rPr>
        <w:t>Securities registered pursuant to Section 12(b) of the Act:</w:t>
      </w:r>
    </w:p>
    <w:tbl>
      <w:tblPr>
        <w:tblW w:w="4843" w:type="pct"/>
        <w:jc w:val="center"/>
        <w:tblCellMar>
          <w:top w:w="15" w:type="dxa"/>
          <w:left w:w="15" w:type="dxa"/>
          <w:bottom w:w="15" w:type="dxa"/>
          <w:right w:w="15" w:type="dxa"/>
        </w:tblCellMar>
        <w:tblLook w:val="04A0" w:firstRow="1" w:lastRow="0" w:firstColumn="1" w:lastColumn="0" w:noHBand="0" w:noVBand="1"/>
      </w:tblPr>
      <w:tblGrid>
        <w:gridCol w:w="66"/>
        <w:gridCol w:w="3384"/>
        <w:gridCol w:w="37"/>
        <w:gridCol w:w="66"/>
        <w:gridCol w:w="1093"/>
        <w:gridCol w:w="36"/>
        <w:gridCol w:w="66"/>
        <w:gridCol w:w="3261"/>
        <w:gridCol w:w="36"/>
      </w:tblGrid>
      <w:tr w:rsidR="00000000">
        <w:trPr>
          <w:divId w:val="1544098394"/>
          <w:jc w:val="center"/>
        </w:trPr>
        <w:tc>
          <w:tcPr>
            <w:tcW w:w="50" w:type="pct"/>
            <w:vAlign w:val="center"/>
            <w:hideMark/>
          </w:tcPr>
          <w:p w:rsidR="00000000" w:rsidRDefault="006F0EF5">
            <w:pPr>
              <w:rPr>
                <w:rFonts w:eastAsia="Times New Roman"/>
              </w:rPr>
            </w:pPr>
          </w:p>
        </w:tc>
        <w:tc>
          <w:tcPr>
            <w:tcW w:w="211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8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03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544098394"/>
          <w:jc w:val="center"/>
        </w:trPr>
        <w:tc>
          <w:tcPr>
            <w:tcW w:w="0" w:type="auto"/>
            <w:gridSpan w:val="3"/>
            <w:tcMar>
              <w:top w:w="30" w:type="dxa"/>
              <w:left w:w="20" w:type="dxa"/>
              <w:bottom w:w="30" w:type="dxa"/>
              <w:right w:w="20" w:type="dxa"/>
            </w:tcMar>
            <w:hideMark/>
          </w:tcPr>
          <w:p w:rsidR="00000000" w:rsidRDefault="006F0EF5">
            <w:pPr>
              <w:spacing w:after="100"/>
              <w:jc w:val="center"/>
              <w:rPr>
                <w:rFonts w:eastAsia="Times New Roman"/>
              </w:rPr>
            </w:pPr>
            <w:r>
              <w:rPr>
                <w:rFonts w:eastAsia="Times New Roman"/>
                <w:b/>
                <w:bCs/>
                <w:color w:val="000000"/>
                <w:sz w:val="20"/>
                <w:szCs w:val="20"/>
              </w:rPr>
              <w:t>Title of each class</w:t>
            </w:r>
          </w:p>
        </w:tc>
        <w:tc>
          <w:tcPr>
            <w:tcW w:w="0" w:type="auto"/>
            <w:gridSpan w:val="3"/>
            <w:tcMar>
              <w:top w:w="30" w:type="dxa"/>
              <w:left w:w="20" w:type="dxa"/>
              <w:bottom w:w="30" w:type="dxa"/>
              <w:right w:w="20" w:type="dxa"/>
            </w:tcMar>
            <w:hideMark/>
          </w:tcPr>
          <w:p w:rsidR="00000000" w:rsidRDefault="006F0EF5">
            <w:pPr>
              <w:spacing w:after="100"/>
              <w:jc w:val="center"/>
              <w:rPr>
                <w:rFonts w:eastAsia="Times New Roman"/>
              </w:rPr>
            </w:pPr>
            <w:r>
              <w:rPr>
                <w:rFonts w:eastAsia="Times New Roman"/>
                <w:b/>
                <w:bCs/>
                <w:color w:val="000000"/>
                <w:sz w:val="20"/>
                <w:szCs w:val="20"/>
              </w:rPr>
              <w:t>Trading Symbol(s)</w:t>
            </w:r>
          </w:p>
        </w:tc>
        <w:tc>
          <w:tcPr>
            <w:tcW w:w="0" w:type="auto"/>
            <w:gridSpan w:val="3"/>
            <w:tcMar>
              <w:top w:w="30" w:type="dxa"/>
              <w:left w:w="20" w:type="dxa"/>
              <w:bottom w:w="30" w:type="dxa"/>
              <w:right w:w="20" w:type="dxa"/>
            </w:tcMar>
            <w:hideMark/>
          </w:tcPr>
          <w:p w:rsidR="00000000" w:rsidRDefault="006F0EF5">
            <w:pPr>
              <w:spacing w:after="100"/>
              <w:jc w:val="center"/>
              <w:rPr>
                <w:rFonts w:eastAsia="Times New Roman"/>
              </w:rPr>
            </w:pPr>
            <w:r>
              <w:rPr>
                <w:rFonts w:eastAsia="Times New Roman"/>
                <w:b/>
                <w:bCs/>
                <w:color w:val="000000"/>
                <w:sz w:val="20"/>
                <w:szCs w:val="20"/>
              </w:rPr>
              <w:t>Name of each exchange on which registered</w:t>
            </w:r>
          </w:p>
        </w:tc>
      </w:tr>
      <w:tr w:rsidR="00000000">
        <w:trPr>
          <w:divId w:val="1544098394"/>
          <w:jc w:val="center"/>
        </w:trPr>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Common Stock, par value $0.01 per share</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NCR</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New York Stock Exchange</w:t>
            </w:r>
          </w:p>
        </w:tc>
      </w:tr>
    </w:tbl>
    <w:p w:rsidR="00000000" w:rsidRDefault="006F0EF5">
      <w:pPr>
        <w:jc w:val="center"/>
        <w:divId w:val="154611222"/>
        <w:rPr>
          <w:rFonts w:eastAsia="Times New Roman"/>
        </w:rPr>
      </w:pPr>
      <w:r>
        <w:rPr>
          <w:rFonts w:eastAsia="Times New Roman"/>
          <w:b/>
          <w:bCs/>
          <w:color w:val="000000"/>
          <w:sz w:val="20"/>
          <w:szCs w:val="20"/>
        </w:rPr>
        <w:t xml:space="preserve">Securities registered pursuant to Section 12(g) of the Act: </w:t>
      </w:r>
      <w:r>
        <w:rPr>
          <w:rFonts w:eastAsia="Times New Roman"/>
          <w:color w:val="000000"/>
          <w:sz w:val="20"/>
          <w:szCs w:val="20"/>
        </w:rPr>
        <w:t>None</w:t>
      </w:r>
    </w:p>
    <w:p w:rsidR="00000000" w:rsidRDefault="006F0EF5">
      <w:pPr>
        <w:jc w:val="center"/>
        <w:rPr>
          <w:rFonts w:eastAsia="Times New Roman"/>
        </w:rPr>
      </w:pPr>
      <w:r>
        <w:rPr>
          <w:rFonts w:eastAsia="Times New Roman"/>
          <w:color w:val="000000"/>
          <w:sz w:val="20"/>
          <w:szCs w:val="20"/>
        </w:rPr>
        <w:t>________________________</w:t>
      </w:r>
    </w:p>
    <w:p w:rsidR="00000000" w:rsidRDefault="006F0EF5">
      <w:pPr>
        <w:divId w:val="497619968"/>
        <w:rPr>
          <w:rFonts w:eastAsia="Times New Roman"/>
        </w:rPr>
      </w:pPr>
      <w:r>
        <w:rPr>
          <w:rFonts w:eastAsia="Times New Roman"/>
          <w:color w:val="000000"/>
          <w:sz w:val="20"/>
          <w:szCs w:val="20"/>
        </w:rPr>
        <w:t>    </w:t>
      </w:r>
      <w:r>
        <w:rPr>
          <w:rFonts w:eastAsia="Times New Roman"/>
          <w:color w:val="000000"/>
          <w:sz w:val="20"/>
          <w:szCs w:val="20"/>
        </w:rPr>
        <w:t xml:space="preserve">Indicate by check mark if the registrant is a well-known seasoned issuer, as defined in Rule 405 of the Securities Act. </w:t>
      </w:r>
      <w:r>
        <w:rPr>
          <w:rFonts w:ascii="Arial Unicode MS" w:eastAsia="Times New Roman" w:hAnsi="Arial Unicode MS"/>
          <w:color w:val="000000"/>
          <w:sz w:val="20"/>
          <w:szCs w:val="20"/>
        </w:rPr>
        <w:t>Yes</w:t>
      </w:r>
      <w:r>
        <w:rPr>
          <w:rFonts w:eastAsia="Times New Roman"/>
          <w:color w:val="000000"/>
          <w:sz w:val="20"/>
          <w:szCs w:val="20"/>
        </w:rPr>
        <w:t>  </w:t>
      </w:r>
      <w:r>
        <w:rPr>
          <w:rFonts w:ascii="Wingdings" w:eastAsia="Times New Roman" w:hAnsi="Wingdings"/>
          <w:color w:val="000000"/>
          <w:sz w:val="20"/>
          <w:szCs w:val="20"/>
        </w:rPr>
        <w:t>þ</w:t>
      </w:r>
      <w:r>
        <w:rPr>
          <w:rFonts w:eastAsia="Times New Roman"/>
          <w:color w:val="000000"/>
          <w:sz w:val="20"/>
          <w:szCs w:val="20"/>
        </w:rPr>
        <w:t>    No  </w:t>
      </w:r>
      <w:r>
        <w:rPr>
          <w:rFonts w:ascii="Wingdings" w:eastAsia="Times New Roman" w:hAnsi="Wingdings"/>
          <w:color w:val="000000"/>
          <w:sz w:val="20"/>
          <w:szCs w:val="20"/>
        </w:rPr>
        <w:t>o</w:t>
      </w:r>
    </w:p>
    <w:p w:rsidR="00000000" w:rsidRDefault="006F0EF5">
      <w:pPr>
        <w:divId w:val="1109424426"/>
        <w:rPr>
          <w:rFonts w:eastAsia="Times New Roman"/>
        </w:rPr>
      </w:pPr>
      <w:r>
        <w:rPr>
          <w:rFonts w:ascii="Arial" w:eastAsia="Times New Roman" w:hAnsi="Arial" w:cs="Arial"/>
          <w:color w:val="000000"/>
          <w:sz w:val="20"/>
          <w:szCs w:val="20"/>
        </w:rPr>
        <w:lastRenderedPageBreak/>
        <w:t>    </w:t>
      </w:r>
      <w:r>
        <w:rPr>
          <w:rFonts w:eastAsia="Times New Roman"/>
          <w:color w:val="000000"/>
          <w:sz w:val="20"/>
          <w:szCs w:val="20"/>
        </w:rPr>
        <w:t xml:space="preserve">Indicate by check mark if the registrant is not required to file reports pursuant to Section 13 or Section 15(d) of </w:t>
      </w:r>
      <w:r>
        <w:rPr>
          <w:rFonts w:eastAsia="Times New Roman"/>
          <w:color w:val="000000"/>
          <w:sz w:val="20"/>
          <w:szCs w:val="20"/>
        </w:rPr>
        <w:t>the Act. Yes  </w:t>
      </w:r>
      <w:r>
        <w:rPr>
          <w:rFonts w:ascii="Wingdings" w:eastAsia="Times New Roman" w:hAnsi="Wingdings"/>
          <w:color w:val="000000"/>
          <w:sz w:val="20"/>
          <w:szCs w:val="20"/>
        </w:rPr>
        <w:t>o</w:t>
      </w:r>
      <w:r>
        <w:rPr>
          <w:rFonts w:eastAsia="Times New Roman"/>
          <w:color w:val="000000"/>
          <w:sz w:val="20"/>
          <w:szCs w:val="20"/>
        </w:rPr>
        <w:t>    No </w:t>
      </w:r>
      <w:r>
        <w:rPr>
          <w:rFonts w:eastAsia="Times New Roman"/>
          <w:color w:val="000000"/>
          <w:sz w:val="22"/>
          <w:szCs w:val="22"/>
        </w:rPr>
        <w:t> </w:t>
      </w:r>
      <w:r>
        <w:rPr>
          <w:rFonts w:ascii="Wingdings" w:eastAsia="Times New Roman" w:hAnsi="Wingdings"/>
          <w:color w:val="000000"/>
          <w:sz w:val="20"/>
          <w:szCs w:val="20"/>
        </w:rPr>
        <w:t>þ</w:t>
      </w:r>
    </w:p>
    <w:p w:rsidR="00000000" w:rsidRDefault="006F0EF5">
      <w:pPr>
        <w:divId w:val="2099056512"/>
        <w:rPr>
          <w:rFonts w:eastAsia="Times New Roman"/>
        </w:rPr>
      </w:pPr>
      <w:r>
        <w:rPr>
          <w:rFonts w:eastAsia="Times New Roman"/>
          <w:color w:val="000000"/>
          <w:sz w:val="20"/>
          <w:szCs w:val="20"/>
        </w:rPr>
        <w:t>    Indicate by check mark whether the registrant (1) has filed all reports required to be filed by Section 13 or 15(d) of the Securities Exchange Act of 1934 during the preceding 12 months (or for such shorter period that the regi</w:t>
      </w:r>
      <w:r>
        <w:rPr>
          <w:rFonts w:eastAsia="Times New Roman"/>
          <w:color w:val="000000"/>
          <w:sz w:val="20"/>
          <w:szCs w:val="20"/>
        </w:rPr>
        <w:t>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No  </w:t>
      </w:r>
      <w:r>
        <w:rPr>
          <w:rFonts w:ascii="Wingdings" w:eastAsia="Times New Roman" w:hAnsi="Wingdings"/>
          <w:color w:val="000000"/>
          <w:sz w:val="20"/>
          <w:szCs w:val="20"/>
        </w:rPr>
        <w:t>o</w:t>
      </w:r>
    </w:p>
    <w:p w:rsidR="00000000" w:rsidRDefault="006F0EF5">
      <w:pPr>
        <w:divId w:val="812715680"/>
        <w:rPr>
          <w:rFonts w:eastAsia="Times New Roman"/>
        </w:rPr>
      </w:pPr>
      <w:r>
        <w:rPr>
          <w:rFonts w:eastAsia="Times New Roman"/>
          <w:color w:val="000000"/>
          <w:sz w:val="20"/>
          <w:szCs w:val="20"/>
        </w:rPr>
        <w:t>    Indicate by check mark whether the registrant has submitted electronically every Interactive Data File required to b</w:t>
      </w:r>
      <w:r>
        <w:rPr>
          <w:rFonts w:eastAsia="Times New Roman"/>
          <w:color w:val="000000"/>
          <w:sz w:val="20"/>
          <w:szCs w:val="20"/>
        </w:rPr>
        <w:t>e submitted pursuant to Rule 405 of Regulation S-T (§ 232.405 of this chapter) during the preceding 12 months (or for such shorter period that the registrant was required to submit such files).    Yes  </w:t>
      </w:r>
      <w:r>
        <w:rPr>
          <w:rFonts w:ascii="Wingdings" w:eastAsia="Times New Roman" w:hAnsi="Wingdings"/>
          <w:color w:val="000000"/>
          <w:sz w:val="20"/>
          <w:szCs w:val="20"/>
        </w:rPr>
        <w:t>þ</w:t>
      </w:r>
      <w:r>
        <w:rPr>
          <w:rFonts w:eastAsia="Times New Roman"/>
          <w:color w:val="000000"/>
          <w:sz w:val="20"/>
          <w:szCs w:val="20"/>
        </w:rPr>
        <w:t>    No  </w:t>
      </w:r>
      <w:r>
        <w:rPr>
          <w:rFonts w:ascii="Wingdings" w:eastAsia="Times New Roman" w:hAnsi="Wingdings"/>
          <w:color w:val="000000"/>
          <w:sz w:val="20"/>
          <w:szCs w:val="20"/>
        </w:rPr>
        <w:t>o</w:t>
      </w:r>
    </w:p>
    <w:p w:rsidR="00000000" w:rsidRDefault="006F0EF5">
      <w:pPr>
        <w:divId w:val="579561010"/>
        <w:rPr>
          <w:rFonts w:eastAsia="Times New Roman"/>
        </w:rPr>
      </w:pPr>
      <w:r>
        <w:rPr>
          <w:rFonts w:eastAsia="Times New Roman"/>
          <w:color w:val="000000"/>
          <w:sz w:val="20"/>
          <w:szCs w:val="20"/>
        </w:rPr>
        <w:t>    Indicate by check mark whether the regi</w:t>
      </w:r>
      <w:r>
        <w:rPr>
          <w:rFonts w:eastAsia="Times New Roman"/>
          <w:color w:val="000000"/>
          <w:sz w:val="20"/>
          <w:szCs w:val="20"/>
        </w:rPr>
        <w:t>strant is a large accelerated filer, an accelerated filer, a non-accelerated filer, a smaller reporting company, or an emerging growth company. See the definitions of “large accelerated filer,” “accelerated filer,” “smaller reporting company,” and “emergin</w:t>
      </w:r>
      <w:r>
        <w:rPr>
          <w:rFonts w:eastAsia="Times New Roman"/>
          <w:color w:val="000000"/>
          <w:sz w:val="20"/>
          <w:szCs w:val="20"/>
        </w:rPr>
        <w:t>g growth company” in Rule 12b-2 of the Exchange Act.</w:t>
      </w:r>
    </w:p>
    <w:tbl>
      <w:tblPr>
        <w:tblW w:w="3872" w:type="pct"/>
        <w:jc w:val="center"/>
        <w:tblCellMar>
          <w:top w:w="15" w:type="dxa"/>
          <w:left w:w="15" w:type="dxa"/>
          <w:bottom w:w="15" w:type="dxa"/>
          <w:right w:w="15" w:type="dxa"/>
        </w:tblCellMar>
        <w:tblLook w:val="04A0" w:firstRow="1" w:lastRow="0" w:firstColumn="1" w:lastColumn="0" w:noHBand="0" w:noVBand="1"/>
      </w:tblPr>
      <w:tblGrid>
        <w:gridCol w:w="45"/>
        <w:gridCol w:w="1262"/>
        <w:gridCol w:w="36"/>
        <w:gridCol w:w="69"/>
        <w:gridCol w:w="144"/>
        <w:gridCol w:w="36"/>
        <w:gridCol w:w="39"/>
        <w:gridCol w:w="2643"/>
        <w:gridCol w:w="36"/>
        <w:gridCol w:w="39"/>
        <w:gridCol w:w="111"/>
        <w:gridCol w:w="36"/>
        <w:gridCol w:w="39"/>
        <w:gridCol w:w="1612"/>
        <w:gridCol w:w="36"/>
        <w:gridCol w:w="69"/>
        <w:gridCol w:w="144"/>
        <w:gridCol w:w="36"/>
      </w:tblGrid>
      <w:tr w:rsidR="00000000">
        <w:trPr>
          <w:divId w:val="2061708476"/>
          <w:jc w:val="center"/>
        </w:trPr>
        <w:tc>
          <w:tcPr>
            <w:tcW w:w="50" w:type="pct"/>
            <w:vAlign w:val="center"/>
            <w:hideMark/>
          </w:tcPr>
          <w:p w:rsidR="00000000" w:rsidRDefault="006F0EF5">
            <w:pPr>
              <w:rPr>
                <w:rFonts w:eastAsia="Times New Roman"/>
              </w:rPr>
            </w:pPr>
          </w:p>
        </w:tc>
        <w:tc>
          <w:tcPr>
            <w:tcW w:w="100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0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07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0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27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0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061708476"/>
          <w:jc w:val="center"/>
        </w:trPr>
        <w:tc>
          <w:tcPr>
            <w:tcW w:w="0" w:type="auto"/>
            <w:gridSpan w:val="3"/>
            <w:tcMar>
              <w:top w:w="30" w:type="dxa"/>
              <w:left w:w="20" w:type="dxa"/>
              <w:bottom w:w="30" w:type="dxa"/>
              <w:right w:w="20" w:type="dxa"/>
            </w:tcMar>
            <w:hideMark/>
          </w:tcPr>
          <w:p w:rsidR="00000000" w:rsidRDefault="006F0EF5">
            <w:pPr>
              <w:spacing w:after="100"/>
              <w:jc w:val="right"/>
              <w:divId w:val="673073207"/>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6F0EF5">
            <w:pPr>
              <w:spacing w:after="100"/>
              <w:divId w:val="137259596"/>
              <w:rPr>
                <w:rFonts w:eastAsia="Times New Roman"/>
              </w:rPr>
            </w:pPr>
            <w:r>
              <w:rPr>
                <w:rFonts w:ascii="Wingdings" w:eastAsia="Times New Roman" w:hAnsi="Wingdings"/>
                <w:color w:val="000000"/>
                <w:sz w:val="20"/>
                <w:szCs w:val="20"/>
              </w:rPr>
              <w:t>þ</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6F0EF5">
            <w:pPr>
              <w:spacing w:after="100"/>
              <w:jc w:val="right"/>
              <w:divId w:val="446970236"/>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6F0EF5">
            <w:pPr>
              <w:spacing w:after="100"/>
              <w:divId w:val="1953320888"/>
              <w:rPr>
                <w:rFonts w:eastAsia="Times New Roman"/>
              </w:rPr>
            </w:pPr>
            <w:r>
              <w:rPr>
                <w:rFonts w:ascii="Wingdings" w:eastAsia="Times New Roman" w:hAnsi="Wingdings"/>
                <w:color w:val="000000"/>
                <w:sz w:val="20"/>
                <w:szCs w:val="20"/>
              </w:rPr>
              <w:t>o</w:t>
            </w:r>
          </w:p>
        </w:tc>
      </w:tr>
      <w:tr w:rsidR="00000000">
        <w:trPr>
          <w:divId w:val="2061708476"/>
          <w:jc w:val="center"/>
        </w:trPr>
        <w:tc>
          <w:tcPr>
            <w:tcW w:w="0" w:type="auto"/>
            <w:gridSpan w:val="3"/>
            <w:tcMar>
              <w:top w:w="30" w:type="dxa"/>
              <w:left w:w="20" w:type="dxa"/>
              <w:bottom w:w="30" w:type="dxa"/>
              <w:right w:w="20" w:type="dxa"/>
            </w:tcMar>
            <w:hideMark/>
          </w:tcPr>
          <w:p w:rsidR="00000000" w:rsidRDefault="006F0EF5">
            <w:pPr>
              <w:spacing w:after="100"/>
              <w:jc w:val="right"/>
              <w:divId w:val="1882743079"/>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6F0EF5">
            <w:pPr>
              <w:spacing w:after="100"/>
              <w:divId w:val="998537326"/>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6F0EF5">
            <w:pPr>
              <w:spacing w:after="100"/>
              <w:jc w:val="right"/>
              <w:divId w:val="1307122372"/>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6F0EF5">
            <w:pPr>
              <w:spacing w:after="100"/>
              <w:divId w:val="1801533692"/>
              <w:rPr>
                <w:rFonts w:eastAsia="Times New Roman"/>
              </w:rPr>
            </w:pPr>
            <w:r>
              <w:rPr>
                <w:rFonts w:ascii="Segoe UI Symbol" w:eastAsia="Times New Roman" w:hAnsi="Segoe UI Symbol" w:cs="Segoe UI Symbol"/>
                <w:color w:val="000000"/>
                <w:sz w:val="20"/>
                <w:szCs w:val="20"/>
              </w:rPr>
              <w:t>☐</w:t>
            </w:r>
          </w:p>
        </w:tc>
      </w:tr>
      <w:tr w:rsidR="00000000">
        <w:trPr>
          <w:divId w:val="2061708476"/>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6F0EF5">
            <w:pPr>
              <w:spacing w:after="100"/>
              <w:jc w:val="right"/>
              <w:divId w:val="1041443255"/>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6F0EF5">
            <w:pPr>
              <w:spacing w:after="100"/>
              <w:divId w:val="1762220192"/>
              <w:rPr>
                <w:rFonts w:eastAsia="Times New Roman"/>
              </w:rPr>
            </w:pPr>
            <w:r>
              <w:rPr>
                <w:rFonts w:ascii="Segoe UI Symbol" w:eastAsia="Times New Roman" w:hAnsi="Segoe UI Symbol" w:cs="Segoe UI Symbol"/>
                <w:color w:val="000000"/>
                <w:sz w:val="20"/>
                <w:szCs w:val="20"/>
              </w:rPr>
              <w:t>☐</w:t>
            </w:r>
          </w:p>
        </w:tc>
      </w:tr>
    </w:tbl>
    <w:p w:rsidR="00000000" w:rsidRDefault="006F0EF5">
      <w:pPr>
        <w:ind w:firstLine="720"/>
        <w:divId w:val="947391472"/>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rsidR="00000000" w:rsidRDefault="006F0EF5">
      <w:pPr>
        <w:ind w:firstLine="720"/>
        <w:divId w:val="2077506961"/>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eastAsia="Times New Roman"/>
          <w:color w:val="000000"/>
          <w:sz w:val="20"/>
          <w:szCs w:val="20"/>
        </w:rPr>
        <w:t xml:space="preserve">registered public accounting firm that prepared or issued its audit report. Yes </w:t>
      </w:r>
      <w:r>
        <w:rPr>
          <w:rFonts w:ascii="Wingdings" w:eastAsia="Times New Roman" w:hAnsi="Wingdings"/>
          <w:color w:val="000000"/>
          <w:sz w:val="20"/>
          <w:szCs w:val="20"/>
        </w:rPr>
        <w:t>þ</w:t>
      </w:r>
      <w:r>
        <w:rPr>
          <w:rFonts w:ascii="Wingdings" w:eastAsia="Times New Roman" w:hAnsi="Wingdings"/>
          <w:color w:val="000000"/>
          <w:sz w:val="20"/>
          <w:szCs w:val="20"/>
        </w:rPr>
        <w:t xml:space="preserve"> </w:t>
      </w:r>
      <w:r>
        <w:rPr>
          <w:rFonts w:eastAsia="Times New Roman"/>
          <w:color w:val="000000"/>
          <w:sz w:val="20"/>
          <w:szCs w:val="20"/>
        </w:rPr>
        <w:t> No  </w:t>
      </w:r>
      <w:r>
        <w:rPr>
          <w:rFonts w:ascii="Wingdings" w:eastAsia="Times New Roman" w:hAnsi="Wingdings"/>
          <w:color w:val="000000"/>
          <w:sz w:val="20"/>
          <w:szCs w:val="20"/>
        </w:rPr>
        <w:t>o</w:t>
      </w:r>
    </w:p>
    <w:p w:rsidR="00000000" w:rsidRDefault="006F0EF5">
      <w:pPr>
        <w:divId w:val="1933737933"/>
        <w:rPr>
          <w:rFonts w:eastAsia="Times New Roman"/>
        </w:rPr>
      </w:pPr>
      <w:r>
        <w:rPr>
          <w:rFonts w:eastAsia="Times New Roman"/>
          <w:color w:val="000000"/>
          <w:sz w:val="20"/>
          <w:szCs w:val="20"/>
        </w:rPr>
        <w:t>    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Wingdings" w:eastAsia="Times New Roman" w:hAnsi="Wingdings"/>
          <w:color w:val="000000"/>
          <w:sz w:val="20"/>
          <w:szCs w:val="20"/>
        </w:rPr>
        <w:t>þ</w:t>
      </w:r>
    </w:p>
    <w:p w:rsidR="00000000" w:rsidRDefault="006F0EF5">
      <w:pPr>
        <w:ind w:firstLine="720"/>
        <w:divId w:val="2011518337"/>
        <w:rPr>
          <w:rFonts w:eastAsia="Times New Roman"/>
        </w:rPr>
      </w:pPr>
      <w:r>
        <w:rPr>
          <w:rFonts w:eastAsia="Times New Roman"/>
          <w:color w:val="000000"/>
          <w:sz w:val="20"/>
          <w:szCs w:val="20"/>
        </w:rPr>
        <w:t>The aggregate market value of voting and no</w:t>
      </w:r>
      <w:r>
        <w:rPr>
          <w:rFonts w:eastAsia="Times New Roman"/>
          <w:color w:val="000000"/>
          <w:sz w:val="20"/>
          <w:szCs w:val="20"/>
        </w:rPr>
        <w:t xml:space="preserve">n-voting common equity held by non-affiliates of the registrant as of as of June 30, 2021, the last business day of NCR Corporation's most recently completed second fiscal quarter, was approximately $6.0 billion. </w:t>
      </w:r>
    </w:p>
    <w:p w:rsidR="00000000" w:rsidRDefault="006F0EF5">
      <w:pPr>
        <w:ind w:firstLine="720"/>
        <w:divId w:val="1169247103"/>
        <w:rPr>
          <w:rFonts w:eastAsia="Times New Roman"/>
        </w:rPr>
      </w:pPr>
      <w:r>
        <w:rPr>
          <w:rFonts w:eastAsia="Times New Roman"/>
          <w:color w:val="000000"/>
          <w:sz w:val="20"/>
          <w:szCs w:val="20"/>
        </w:rPr>
        <w:t>As of February 11, 2022, there were approx</w:t>
      </w:r>
      <w:r>
        <w:rPr>
          <w:rFonts w:eastAsia="Times New Roman"/>
          <w:color w:val="000000"/>
          <w:sz w:val="20"/>
          <w:szCs w:val="20"/>
        </w:rPr>
        <w:t>imately 135.9 million shares of common stock issued and outstanding.</w:t>
      </w:r>
    </w:p>
    <w:tbl>
      <w:tblPr>
        <w:tblW w:w="4279" w:type="pct"/>
        <w:jc w:val="center"/>
        <w:tblCellMar>
          <w:top w:w="15" w:type="dxa"/>
          <w:left w:w="15" w:type="dxa"/>
          <w:bottom w:w="15" w:type="dxa"/>
          <w:right w:w="15" w:type="dxa"/>
        </w:tblCellMar>
        <w:tblLook w:val="04A0" w:firstRow="1" w:lastRow="0" w:firstColumn="1" w:lastColumn="0" w:noHBand="0" w:noVBand="1"/>
      </w:tblPr>
      <w:tblGrid>
        <w:gridCol w:w="56"/>
        <w:gridCol w:w="7016"/>
        <w:gridCol w:w="36"/>
      </w:tblGrid>
      <w:tr w:rsidR="00000000">
        <w:trPr>
          <w:divId w:val="571239400"/>
          <w:jc w:val="center"/>
        </w:trPr>
        <w:tc>
          <w:tcPr>
            <w:tcW w:w="50" w:type="pct"/>
            <w:vAlign w:val="center"/>
            <w:hideMark/>
          </w:tcPr>
          <w:p w:rsidR="00000000" w:rsidRDefault="006F0EF5">
            <w:pPr>
              <w:ind w:firstLine="720"/>
              <w:rPr>
                <w:rFonts w:eastAsia="Times New Roman"/>
              </w:rPr>
            </w:pPr>
          </w:p>
        </w:tc>
        <w:tc>
          <w:tcPr>
            <w:tcW w:w="494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571239400"/>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ind w:firstLine="495"/>
        <w:divId w:val="1207989726"/>
        <w:rPr>
          <w:rFonts w:eastAsia="Times New Roman"/>
        </w:rPr>
      </w:pPr>
    </w:p>
    <w:p w:rsidR="00000000" w:rsidRDefault="006F0EF5">
      <w:pPr>
        <w:divId w:val="1855997240"/>
        <w:rPr>
          <w:rFonts w:eastAsia="Times New Roman"/>
        </w:rPr>
      </w:pPr>
    </w:p>
    <w:p w:rsidR="00000000" w:rsidRDefault="006F0EF5">
      <w:pPr>
        <w:rPr>
          <w:rFonts w:eastAsia="Times New Roman"/>
        </w:rPr>
      </w:pPr>
      <w:r>
        <w:rPr>
          <w:rFonts w:eastAsia="Times New Roman"/>
        </w:rPr>
        <w:pict>
          <v:rect id="_x0000_i1026" style="width:0;height:1.5pt" o:hralign="center" o:hrstd="t" o:hr="t" fillcolor="#a0a0a0" stroked="f"/>
        </w:pict>
      </w:r>
    </w:p>
    <w:p w:rsidR="00000000" w:rsidRDefault="006F0EF5">
      <w:pPr>
        <w:divId w:val="156232413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246382614"/>
        <w:rPr>
          <w:rFonts w:eastAsia="Times New Roman"/>
        </w:rPr>
      </w:pPr>
    </w:p>
    <w:p w:rsidR="00000000" w:rsidRDefault="006F0EF5">
      <w:pPr>
        <w:jc w:val="center"/>
        <w:divId w:val="1742099011"/>
        <w:rPr>
          <w:rFonts w:eastAsia="Times New Roman"/>
        </w:rPr>
      </w:pPr>
      <w:r>
        <w:rPr>
          <w:rFonts w:eastAsia="Times New Roman"/>
          <w:b/>
          <w:bCs/>
          <w:color w:val="000000"/>
          <w:sz w:val="20"/>
          <w:szCs w:val="20"/>
        </w:rPr>
        <w:t xml:space="preserve">DOCUMENTS INCORPORATED BY REFERENCE </w:t>
      </w:r>
    </w:p>
    <w:tbl>
      <w:tblPr>
        <w:tblW w:w="4844" w:type="pct"/>
        <w:jc w:val="center"/>
        <w:tblCellMar>
          <w:top w:w="15" w:type="dxa"/>
          <w:left w:w="15" w:type="dxa"/>
          <w:bottom w:w="15" w:type="dxa"/>
          <w:right w:w="15" w:type="dxa"/>
        </w:tblCellMar>
        <w:tblLook w:val="04A0" w:firstRow="1" w:lastRow="0" w:firstColumn="1" w:lastColumn="0" w:noHBand="0" w:noVBand="1"/>
      </w:tblPr>
      <w:tblGrid>
        <w:gridCol w:w="66"/>
        <w:gridCol w:w="754"/>
        <w:gridCol w:w="36"/>
        <w:gridCol w:w="66"/>
        <w:gridCol w:w="7089"/>
        <w:gridCol w:w="36"/>
      </w:tblGrid>
      <w:tr w:rsidR="00000000">
        <w:trPr>
          <w:divId w:val="1314216897"/>
          <w:jc w:val="center"/>
        </w:trPr>
        <w:tc>
          <w:tcPr>
            <w:tcW w:w="50" w:type="pct"/>
            <w:vAlign w:val="center"/>
            <w:hideMark/>
          </w:tcPr>
          <w:p w:rsidR="00000000" w:rsidRDefault="006F0EF5">
            <w:pPr>
              <w:jc w:val="center"/>
              <w:rPr>
                <w:rFonts w:eastAsia="Times New Roman"/>
              </w:rPr>
            </w:pPr>
          </w:p>
        </w:tc>
        <w:tc>
          <w:tcPr>
            <w:tcW w:w="47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41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314216897"/>
          <w:jc w:val="center"/>
        </w:trPr>
        <w:tc>
          <w:tcPr>
            <w:tcW w:w="0" w:type="auto"/>
            <w:gridSpan w:val="3"/>
            <w:tcMar>
              <w:top w:w="30" w:type="dxa"/>
              <w:left w:w="20" w:type="dxa"/>
              <w:bottom w:w="30" w:type="dxa"/>
              <w:right w:w="20" w:type="dxa"/>
            </w:tcMar>
            <w:hideMark/>
          </w:tcPr>
          <w:p w:rsidR="00000000" w:rsidRDefault="006F0EF5">
            <w:pPr>
              <w:spacing w:after="100"/>
              <w:jc w:val="right"/>
              <w:rPr>
                <w:rFonts w:eastAsia="Times New Roman"/>
              </w:rPr>
            </w:pPr>
            <w:r>
              <w:rPr>
                <w:rFonts w:eastAsia="Times New Roman"/>
                <w:color w:val="000000"/>
                <w:sz w:val="20"/>
                <w:szCs w:val="20"/>
              </w:rPr>
              <w:t>Part III:</w:t>
            </w:r>
          </w:p>
        </w:tc>
        <w:tc>
          <w:tcPr>
            <w:tcW w:w="0" w:type="auto"/>
            <w:gridSpan w:val="3"/>
            <w:tcMar>
              <w:top w:w="30" w:type="dxa"/>
              <w:left w:w="20" w:type="dxa"/>
              <w:bottom w:w="30" w:type="dxa"/>
              <w:right w:w="20" w:type="dxa"/>
            </w:tcMar>
            <w:vAlign w:val="bottom"/>
            <w:hideMark/>
          </w:tcPr>
          <w:p w:rsidR="00000000" w:rsidRDefault="006F0EF5">
            <w:pPr>
              <w:spacing w:after="100"/>
              <w:divId w:val="72047029"/>
              <w:rPr>
                <w:rFonts w:eastAsia="Times New Roman"/>
              </w:rPr>
            </w:pPr>
            <w:r>
              <w:rPr>
                <w:rFonts w:eastAsia="Times New Roman"/>
                <w:color w:val="000000"/>
                <w:sz w:val="20"/>
                <w:szCs w:val="20"/>
              </w:rPr>
              <w:t>Portions of the Registrant’</w:t>
            </w:r>
            <w:r>
              <w:rPr>
                <w:rFonts w:eastAsia="Times New Roman"/>
                <w:color w:val="000000"/>
                <w:sz w:val="20"/>
                <w:szCs w:val="20"/>
              </w:rPr>
              <w:t>s Definitive Proxy Statement for its Annual Meeting of Stockholders to be filed pursuant to Regulation 14A within 120 days after the Registrant’s fiscal year end of December 31, 2021 are incorporated by reference into Part III of this Report.</w:t>
            </w:r>
          </w:p>
        </w:tc>
      </w:tr>
    </w:tbl>
    <w:p w:rsidR="00000000" w:rsidRDefault="006F0EF5">
      <w:pPr>
        <w:divId w:val="737284211"/>
        <w:rPr>
          <w:rFonts w:eastAsia="Times New Roman"/>
        </w:rPr>
      </w:pPr>
    </w:p>
    <w:p w:rsidR="00000000" w:rsidRDefault="006F0EF5">
      <w:pPr>
        <w:jc w:val="center"/>
        <w:rPr>
          <w:rFonts w:eastAsia="Times New Roman"/>
        </w:rPr>
      </w:pPr>
      <w:r>
        <w:rPr>
          <w:rFonts w:eastAsia="Times New Roman"/>
          <w:b/>
          <w:bCs/>
          <w:color w:val="000000"/>
          <w:sz w:val="20"/>
          <w:szCs w:val="20"/>
        </w:rPr>
        <w:lastRenderedPageBreak/>
        <w:t>TABLE OF CONTENTS</w:t>
      </w:r>
    </w:p>
    <w:p w:rsidR="00000000" w:rsidRDefault="006F0EF5">
      <w:pPr>
        <w:divId w:val="494613566"/>
        <w:rPr>
          <w:rFonts w:eastAsia="Times New Roman"/>
        </w:rPr>
      </w:pPr>
      <w:r>
        <w:rPr>
          <w:rFonts w:eastAsia="Times New Roman"/>
          <w:color w:val="000000"/>
          <w:sz w:val="18"/>
          <w:szCs w:val="18"/>
        </w:rPr>
        <w:t> </w:t>
      </w:r>
    </w:p>
    <w:tbl>
      <w:tblPr>
        <w:tblW w:w="4823" w:type="pct"/>
        <w:tblCellMar>
          <w:top w:w="15" w:type="dxa"/>
          <w:left w:w="15" w:type="dxa"/>
          <w:bottom w:w="15" w:type="dxa"/>
          <w:right w:w="15" w:type="dxa"/>
        </w:tblCellMar>
        <w:tblLook w:val="04A0" w:firstRow="1" w:lastRow="0" w:firstColumn="1" w:lastColumn="0" w:noHBand="0" w:noVBand="1"/>
      </w:tblPr>
      <w:tblGrid>
        <w:gridCol w:w="65"/>
        <w:gridCol w:w="552"/>
        <w:gridCol w:w="36"/>
        <w:gridCol w:w="66"/>
        <w:gridCol w:w="6787"/>
        <w:gridCol w:w="38"/>
        <w:gridCol w:w="66"/>
        <w:gridCol w:w="366"/>
        <w:gridCol w:w="36"/>
      </w:tblGrid>
      <w:tr w:rsidR="00000000">
        <w:trPr>
          <w:divId w:val="2119794687"/>
        </w:trPr>
        <w:tc>
          <w:tcPr>
            <w:tcW w:w="50" w:type="pct"/>
            <w:vAlign w:val="center"/>
            <w:hideMark/>
          </w:tcPr>
          <w:p w:rsidR="00000000" w:rsidRDefault="006F0EF5">
            <w:pPr>
              <w:rPr>
                <w:rFonts w:eastAsia="Times New Roman"/>
              </w:rPr>
            </w:pPr>
          </w:p>
        </w:tc>
        <w:tc>
          <w:tcPr>
            <w:tcW w:w="35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24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3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119794687"/>
          <w:trHeight w:val="300"/>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u w:val="single"/>
              </w:rPr>
              <w:t>Item</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u w:val="single"/>
              </w:rPr>
              <w:t>Description</w:t>
            </w:r>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16"/>
                <w:szCs w:val="16"/>
                <w:u w:val="single"/>
              </w:rPr>
              <w:t>Page</w:t>
            </w:r>
          </w:p>
        </w:tc>
      </w:tr>
      <w:tr w:rsidR="00000000">
        <w:trPr>
          <w:divId w:val="2119794687"/>
          <w:trHeight w:val="240"/>
        </w:trPr>
        <w:tc>
          <w:tcPr>
            <w:tcW w:w="0" w:type="auto"/>
            <w:gridSpan w:val="3"/>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19794687"/>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divId w:val="1419062748"/>
              <w:rPr>
                <w:rFonts w:eastAsia="Times New Roman"/>
              </w:rPr>
            </w:pPr>
            <w:hyperlink w:anchor="i820834c26f61401cb1d426994ba52a61_13" w:history="1">
              <w:r>
                <w:rPr>
                  <w:rStyle w:val="a3"/>
                  <w:rFonts w:eastAsia="Times New Roman"/>
                  <w:sz w:val="20"/>
                  <w:szCs w:val="20"/>
                </w:rPr>
                <w:t>Forward-Looking Statements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3" w:history="1">
              <w:r>
                <w:rPr>
                  <w:rStyle w:val="a3"/>
                  <w:rFonts w:eastAsia="Times New Roman"/>
                  <w:sz w:val="20"/>
                  <w:szCs w:val="20"/>
                </w:rPr>
                <w:t>i</w:t>
              </w:r>
            </w:hyperlink>
          </w:p>
        </w:tc>
      </w:tr>
      <w:tr w:rsidR="00000000">
        <w:trPr>
          <w:divId w:val="2119794687"/>
          <w:trHeight w:val="240"/>
        </w:trPr>
        <w:tc>
          <w:tcPr>
            <w:tcW w:w="0" w:type="auto"/>
            <w:gridSpan w:val="3"/>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19794687"/>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divId w:val="2119794687"/>
        </w:trPr>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6F0EF5">
            <w:pPr>
              <w:spacing w:after="100"/>
              <w:divId w:val="1646080075"/>
              <w:rPr>
                <w:rFonts w:eastAsia="Times New Roman"/>
              </w:rPr>
            </w:pPr>
            <w:hyperlink w:anchor="i820834c26f61401cb1d426994ba52a61_19"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9" w:history="1">
              <w:r>
                <w:rPr>
                  <w:rStyle w:val="a3"/>
                  <w:rFonts w:eastAsia="Times New Roman"/>
                  <w:sz w:val="20"/>
                  <w:szCs w:val="20"/>
                </w:rPr>
                <w:t>1</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1A.</w:t>
            </w:r>
          </w:p>
        </w:tc>
        <w:tc>
          <w:tcPr>
            <w:tcW w:w="0" w:type="auto"/>
            <w:gridSpan w:val="3"/>
            <w:tcMar>
              <w:top w:w="30" w:type="dxa"/>
              <w:left w:w="20" w:type="dxa"/>
              <w:bottom w:w="30" w:type="dxa"/>
              <w:right w:w="20" w:type="dxa"/>
            </w:tcMar>
            <w:vAlign w:val="bottom"/>
            <w:hideMark/>
          </w:tcPr>
          <w:p w:rsidR="00000000" w:rsidRDefault="006F0EF5">
            <w:pPr>
              <w:spacing w:after="100"/>
              <w:divId w:val="1109007849"/>
              <w:rPr>
                <w:rFonts w:eastAsia="Times New Roman"/>
              </w:rPr>
            </w:pPr>
            <w:hyperlink w:anchor="i820834c26f61401cb1d426994ba52a61_22"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2" w:history="1">
              <w:r>
                <w:rPr>
                  <w:rStyle w:val="a3"/>
                  <w:rFonts w:eastAsia="Times New Roman"/>
                  <w:sz w:val="20"/>
                  <w:szCs w:val="20"/>
                </w:rPr>
                <w:t>13</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1B.</w:t>
            </w:r>
          </w:p>
        </w:tc>
        <w:tc>
          <w:tcPr>
            <w:tcW w:w="0" w:type="auto"/>
            <w:gridSpan w:val="3"/>
            <w:tcMar>
              <w:top w:w="30" w:type="dxa"/>
              <w:left w:w="20" w:type="dxa"/>
              <w:bottom w:w="30" w:type="dxa"/>
              <w:right w:w="20" w:type="dxa"/>
            </w:tcMar>
            <w:vAlign w:val="bottom"/>
            <w:hideMark/>
          </w:tcPr>
          <w:p w:rsidR="00000000" w:rsidRDefault="006F0EF5">
            <w:pPr>
              <w:spacing w:after="100"/>
              <w:divId w:val="2119255729"/>
              <w:rPr>
                <w:rFonts w:eastAsia="Times New Roman"/>
              </w:rPr>
            </w:pPr>
            <w:hyperlink w:anchor="i820834c26f61401cb1d426994ba52a61_25"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5" w:history="1">
              <w:r>
                <w:rPr>
                  <w:rStyle w:val="a3"/>
                  <w:rFonts w:eastAsia="Times New Roman"/>
                  <w:sz w:val="20"/>
                  <w:szCs w:val="20"/>
                </w:rPr>
                <w:t>27</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6F0EF5">
            <w:pPr>
              <w:spacing w:after="100"/>
              <w:divId w:val="4721009"/>
              <w:rPr>
                <w:rFonts w:eastAsia="Times New Roman"/>
              </w:rPr>
            </w:pPr>
            <w:hyperlink w:anchor="i820834c26f61401cb1d426994ba52a61_28"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8" w:history="1">
              <w:r>
                <w:rPr>
                  <w:rStyle w:val="a3"/>
                  <w:rFonts w:eastAsia="Times New Roman"/>
                  <w:sz w:val="20"/>
                  <w:szCs w:val="20"/>
                </w:rPr>
                <w:t>27</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6F0EF5">
            <w:pPr>
              <w:spacing w:after="100"/>
              <w:divId w:val="923337227"/>
              <w:rPr>
                <w:rFonts w:eastAsia="Times New Roman"/>
              </w:rPr>
            </w:pPr>
            <w:hyperlink w:anchor="i820834c26f61401cb1d426994ba52a61_3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31" w:history="1">
              <w:r>
                <w:rPr>
                  <w:rStyle w:val="a3"/>
                  <w:rFonts w:eastAsia="Times New Roman"/>
                  <w:sz w:val="20"/>
                  <w:szCs w:val="20"/>
                </w:rPr>
                <w:t>27</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rsidR="00000000" w:rsidRDefault="006F0EF5">
            <w:pPr>
              <w:spacing w:after="100"/>
              <w:divId w:val="2021737283"/>
              <w:rPr>
                <w:rFonts w:eastAsia="Times New Roman"/>
              </w:rPr>
            </w:pPr>
            <w:hyperlink w:anchor="i820834c26f61401cb1d426994ba52a61_3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34" w:history="1">
              <w:r>
                <w:rPr>
                  <w:rStyle w:val="a3"/>
                  <w:rFonts w:eastAsia="Times New Roman"/>
                  <w:sz w:val="20"/>
                  <w:szCs w:val="20"/>
                </w:rPr>
                <w:t>27</w:t>
              </w:r>
            </w:hyperlink>
          </w:p>
        </w:tc>
      </w:tr>
      <w:tr w:rsidR="00000000">
        <w:trPr>
          <w:divId w:val="2119794687"/>
          <w:trHeight w:val="160"/>
        </w:trPr>
        <w:tc>
          <w:tcPr>
            <w:tcW w:w="0" w:type="auto"/>
            <w:gridSpan w:val="3"/>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19794687"/>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divId w:val="2119794687"/>
          <w:trHeight w:val="180"/>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19794687"/>
        </w:trPr>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rsidR="00000000" w:rsidRDefault="006F0EF5">
            <w:pPr>
              <w:spacing w:after="100"/>
              <w:divId w:val="2129159504"/>
              <w:rPr>
                <w:rFonts w:eastAsia="Times New Roman"/>
              </w:rPr>
            </w:pPr>
            <w:hyperlink w:anchor="i820834c26f61401cb1d426994ba52a61_40" w:history="1">
              <w:r>
                <w:rPr>
                  <w:rStyle w:val="a3"/>
                  <w:rFonts w:eastAsia="Times New Roman"/>
                  <w:sz w:val="20"/>
                  <w:szCs w:val="20"/>
                </w:rPr>
                <w:t>Market for the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40" w:history="1">
              <w:r>
                <w:rPr>
                  <w:rStyle w:val="a3"/>
                  <w:rFonts w:eastAsia="Times New Roman"/>
                  <w:sz w:val="20"/>
                  <w:szCs w:val="20"/>
                </w:rPr>
                <w:t>28</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rsidR="00000000" w:rsidRDefault="006F0EF5">
            <w:pPr>
              <w:spacing w:after="100"/>
              <w:divId w:val="1190143724"/>
              <w:rPr>
                <w:rFonts w:eastAsia="Times New Roman"/>
              </w:rPr>
            </w:pPr>
            <w:hyperlink w:anchor="i820834c26f61401cb1d426994ba52a61_43" w:history="1">
              <w:r>
                <w:rPr>
                  <w:rStyle w:val="a3"/>
                  <w:rFonts w:eastAsia="Times New Roman"/>
                  <w:sz w:val="20"/>
                  <w:szCs w:val="20"/>
                </w:rPr>
                <w:t>Reserved</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43" w:history="1">
              <w:r>
                <w:rPr>
                  <w:rStyle w:val="a3"/>
                  <w:rFonts w:eastAsia="Times New Roman"/>
                  <w:sz w:val="20"/>
                  <w:szCs w:val="20"/>
                </w:rPr>
                <w:t>30</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rsidR="00000000" w:rsidRDefault="006F0EF5">
            <w:pPr>
              <w:spacing w:after="100"/>
              <w:divId w:val="1027869976"/>
              <w:rPr>
                <w:rFonts w:eastAsia="Times New Roman"/>
              </w:rPr>
            </w:pPr>
            <w:hyperlink w:anchor="i820834c26f61401cb1d426994ba52a61_49"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46" w:history="1">
              <w:r>
                <w:rPr>
                  <w:rStyle w:val="a3"/>
                  <w:rFonts w:eastAsia="Times New Roman"/>
                  <w:sz w:val="20"/>
                  <w:szCs w:val="20"/>
                </w:rPr>
                <w:t>30</w:t>
              </w:r>
            </w:hyperlink>
          </w:p>
        </w:tc>
      </w:tr>
      <w:tr w:rsidR="00000000">
        <w:trPr>
          <w:divId w:val="2119794687"/>
        </w:trPr>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7A.</w:t>
            </w:r>
          </w:p>
        </w:tc>
        <w:tc>
          <w:tcPr>
            <w:tcW w:w="0" w:type="auto"/>
            <w:gridSpan w:val="3"/>
            <w:tcMar>
              <w:top w:w="30" w:type="dxa"/>
              <w:left w:w="20" w:type="dxa"/>
              <w:bottom w:w="30" w:type="dxa"/>
              <w:right w:w="20" w:type="dxa"/>
            </w:tcMar>
            <w:vAlign w:val="bottom"/>
            <w:hideMark/>
          </w:tcPr>
          <w:p w:rsidR="00000000" w:rsidRDefault="006F0EF5">
            <w:pPr>
              <w:spacing w:after="100"/>
              <w:divId w:val="1836610535"/>
              <w:rPr>
                <w:rFonts w:eastAsia="Times New Roman"/>
              </w:rPr>
            </w:pPr>
            <w:hyperlink w:anchor="i820834c26f61401cb1d426994ba52a61_127" w:history="1">
              <w:r>
                <w:rPr>
                  <w:rStyle w:val="a3"/>
                  <w:rFonts w:eastAsia="Times New Roman"/>
                  <w:sz w:val="20"/>
                  <w:szCs w:val="20"/>
                </w:rPr>
                <w:t>Quantitative and Qualitative Disclosu</w:t>
              </w:r>
              <w:r>
                <w:rPr>
                  <w:rStyle w:val="a3"/>
                  <w:rFonts w:eastAsia="Times New Roman"/>
                  <w:sz w:val="20"/>
                  <w:szCs w:val="20"/>
                </w:rPr>
                <w:t>res about Market Risk</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27" w:history="1">
              <w:r>
                <w:rPr>
                  <w:rStyle w:val="a3"/>
                  <w:rFonts w:eastAsia="Times New Roman"/>
                  <w:sz w:val="20"/>
                  <w:szCs w:val="20"/>
                </w:rPr>
                <w:t>48</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rsidR="00000000" w:rsidRDefault="006F0EF5">
            <w:pPr>
              <w:spacing w:after="100"/>
              <w:divId w:val="378356017"/>
              <w:rPr>
                <w:rFonts w:eastAsia="Times New Roman"/>
              </w:rPr>
            </w:pPr>
            <w:hyperlink w:anchor="i820834c26f61401cb1d426994ba52a61_130"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33" w:history="1">
              <w:r>
                <w:rPr>
                  <w:rStyle w:val="a3"/>
                  <w:rFonts w:eastAsia="Times New Roman"/>
                  <w:sz w:val="20"/>
                  <w:szCs w:val="20"/>
                </w:rPr>
                <w:t>49</w:t>
              </w:r>
            </w:hyperlink>
          </w:p>
        </w:tc>
      </w:tr>
      <w:tr w:rsidR="00000000">
        <w:trPr>
          <w:divId w:val="2119794687"/>
          <w:trHeight w:val="240"/>
        </w:trPr>
        <w:tc>
          <w:tcPr>
            <w:tcW w:w="0" w:type="auto"/>
            <w:gridSpan w:val="3"/>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rsidR="00000000" w:rsidRDefault="006F0EF5">
            <w:pPr>
              <w:spacing w:after="100"/>
              <w:divId w:val="152063179"/>
              <w:rPr>
                <w:rFonts w:eastAsia="Times New Roman"/>
              </w:rPr>
            </w:pPr>
            <w:hyperlink w:anchor="i820834c26f61401cb1d426994ba52a61_214"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14" w:history="1">
              <w:r>
                <w:rPr>
                  <w:rStyle w:val="a3"/>
                  <w:rFonts w:eastAsia="Times New Roman"/>
                  <w:sz w:val="20"/>
                  <w:szCs w:val="20"/>
                </w:rPr>
                <w:t>122</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9A.</w:t>
            </w:r>
          </w:p>
        </w:tc>
        <w:tc>
          <w:tcPr>
            <w:tcW w:w="0" w:type="auto"/>
            <w:gridSpan w:val="3"/>
            <w:tcMar>
              <w:top w:w="30" w:type="dxa"/>
              <w:left w:w="20" w:type="dxa"/>
              <w:bottom w:w="30" w:type="dxa"/>
              <w:right w:w="20" w:type="dxa"/>
            </w:tcMar>
            <w:vAlign w:val="bottom"/>
            <w:hideMark/>
          </w:tcPr>
          <w:p w:rsidR="00000000" w:rsidRDefault="006F0EF5">
            <w:pPr>
              <w:spacing w:after="100"/>
              <w:divId w:val="394551968"/>
              <w:rPr>
                <w:rFonts w:eastAsia="Times New Roman"/>
              </w:rPr>
            </w:pPr>
            <w:hyperlink w:anchor="i820834c26f61401cb1d426994ba52a61_217"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17" w:history="1">
              <w:r>
                <w:rPr>
                  <w:rStyle w:val="a3"/>
                  <w:rFonts w:eastAsia="Times New Roman"/>
                  <w:sz w:val="20"/>
                  <w:szCs w:val="20"/>
                </w:rPr>
                <w:t>123</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9B.</w:t>
            </w:r>
          </w:p>
        </w:tc>
        <w:tc>
          <w:tcPr>
            <w:tcW w:w="0" w:type="auto"/>
            <w:gridSpan w:val="3"/>
            <w:tcMar>
              <w:top w:w="30" w:type="dxa"/>
              <w:left w:w="20" w:type="dxa"/>
              <w:bottom w:w="30" w:type="dxa"/>
              <w:right w:w="20" w:type="dxa"/>
            </w:tcMar>
            <w:vAlign w:val="bottom"/>
            <w:hideMark/>
          </w:tcPr>
          <w:p w:rsidR="00000000" w:rsidRDefault="006F0EF5">
            <w:pPr>
              <w:spacing w:after="100"/>
              <w:divId w:val="800924294"/>
              <w:rPr>
                <w:rFonts w:eastAsia="Times New Roman"/>
              </w:rPr>
            </w:pPr>
            <w:hyperlink w:anchor="i820834c26f61401cb1d426994ba52a61_220"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20" w:history="1">
              <w:r>
                <w:rPr>
                  <w:rStyle w:val="a3"/>
                  <w:rFonts w:eastAsia="Times New Roman"/>
                  <w:sz w:val="20"/>
                  <w:szCs w:val="20"/>
                </w:rPr>
                <w:t>124</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xml:space="preserve">9C. </w:t>
            </w:r>
          </w:p>
        </w:tc>
        <w:tc>
          <w:tcPr>
            <w:tcW w:w="0" w:type="auto"/>
            <w:gridSpan w:val="3"/>
            <w:tcMar>
              <w:top w:w="30" w:type="dxa"/>
              <w:left w:w="20" w:type="dxa"/>
              <w:bottom w:w="30" w:type="dxa"/>
              <w:right w:w="20" w:type="dxa"/>
            </w:tcMar>
            <w:vAlign w:val="bottom"/>
            <w:hideMark/>
          </w:tcPr>
          <w:p w:rsidR="00000000" w:rsidRDefault="006F0EF5">
            <w:pPr>
              <w:spacing w:after="100"/>
              <w:divId w:val="2100441262"/>
              <w:rPr>
                <w:rFonts w:eastAsia="Times New Roman"/>
              </w:rPr>
            </w:pPr>
            <w:hyperlink w:anchor="i820834c26f61401cb1d426994ba52a61_1944" w:history="1">
              <w:r>
                <w:rPr>
                  <w:rStyle w:val="a3"/>
                  <w:rFonts w:eastAsia="Times New Roman"/>
                  <w:sz w:val="20"/>
                  <w:szCs w:val="20"/>
                </w:rPr>
                <w:t>Disclosure Regarding Foreign Jurisdiction That Prevent Inspections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944" w:history="1">
              <w:r>
                <w:rPr>
                  <w:rStyle w:val="a3"/>
                  <w:rFonts w:eastAsia="Times New Roman"/>
                  <w:sz w:val="20"/>
                  <w:szCs w:val="20"/>
                </w:rPr>
                <w:t>124</w:t>
              </w:r>
            </w:hyperlink>
          </w:p>
        </w:tc>
      </w:tr>
      <w:tr w:rsidR="00000000">
        <w:trPr>
          <w:divId w:val="2119794687"/>
          <w:trHeight w:val="120"/>
        </w:trPr>
        <w:tc>
          <w:tcPr>
            <w:tcW w:w="0" w:type="auto"/>
            <w:gridSpan w:val="3"/>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19794687"/>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PART III</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divId w:val="2119794687"/>
          <w:trHeight w:val="180"/>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19794687"/>
        </w:trPr>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rsidR="00000000" w:rsidRDefault="006F0EF5">
            <w:pPr>
              <w:spacing w:after="100"/>
              <w:divId w:val="582568202"/>
              <w:rPr>
                <w:rFonts w:eastAsia="Times New Roman"/>
              </w:rPr>
            </w:pPr>
            <w:hyperlink w:anchor="i820834c26f61401cb1d426994ba52a61_226"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26" w:history="1">
              <w:r>
                <w:rPr>
                  <w:rStyle w:val="a3"/>
                  <w:rFonts w:eastAsia="Times New Roman"/>
                  <w:sz w:val="20"/>
                  <w:szCs w:val="20"/>
                </w:rPr>
                <w:t>125</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rsidR="00000000" w:rsidRDefault="006F0EF5">
            <w:pPr>
              <w:spacing w:after="100"/>
              <w:divId w:val="416559089"/>
              <w:rPr>
                <w:rFonts w:eastAsia="Times New Roman"/>
              </w:rPr>
            </w:pPr>
            <w:hyperlink w:anchor="i820834c26f61401cb1d426994ba52a61_229"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29" w:history="1">
              <w:r>
                <w:rPr>
                  <w:rStyle w:val="a3"/>
                  <w:rFonts w:eastAsia="Times New Roman"/>
                  <w:sz w:val="20"/>
                  <w:szCs w:val="20"/>
                </w:rPr>
                <w:t>125</w:t>
              </w:r>
            </w:hyperlink>
          </w:p>
        </w:tc>
      </w:tr>
      <w:tr w:rsidR="00000000">
        <w:trPr>
          <w:divId w:val="2119794687"/>
        </w:trPr>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rsidR="00000000" w:rsidRDefault="006F0EF5">
            <w:pPr>
              <w:spacing w:after="100"/>
              <w:divId w:val="1210729073"/>
              <w:rPr>
                <w:rFonts w:eastAsia="Times New Roman"/>
              </w:rPr>
            </w:pPr>
            <w:hyperlink w:anchor="i820834c26f61401cb1d426994ba52a61_232" w:history="1">
              <w:r>
                <w:rPr>
                  <w:rStyle w:val="a3"/>
                  <w:rFonts w:eastAsia="Times New Roman"/>
                  <w:sz w:val="20"/>
                  <w:szCs w:val="20"/>
                </w:rPr>
                <w:t>Security Ownership of Certain Beneficia</w:t>
              </w:r>
              <w:r>
                <w:rPr>
                  <w:rStyle w:val="a3"/>
                  <w:rFonts w:eastAsia="Times New Roman"/>
                  <w:sz w:val="20"/>
                  <w:szCs w:val="20"/>
                </w:rPr>
                <w:t>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32" w:history="1">
              <w:r>
                <w:rPr>
                  <w:rStyle w:val="a3"/>
                  <w:rFonts w:eastAsia="Times New Roman"/>
                  <w:sz w:val="20"/>
                  <w:szCs w:val="20"/>
                </w:rPr>
                <w:t>125</w:t>
              </w:r>
            </w:hyperlink>
          </w:p>
        </w:tc>
      </w:tr>
      <w:tr w:rsidR="00000000">
        <w:trPr>
          <w:divId w:val="2119794687"/>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13</w:t>
            </w:r>
          </w:p>
        </w:tc>
        <w:tc>
          <w:tcPr>
            <w:tcW w:w="0" w:type="auto"/>
            <w:gridSpan w:val="3"/>
            <w:tcMar>
              <w:top w:w="30" w:type="dxa"/>
              <w:left w:w="20" w:type="dxa"/>
              <w:bottom w:w="30" w:type="dxa"/>
              <w:right w:w="20" w:type="dxa"/>
            </w:tcMar>
            <w:vAlign w:val="bottom"/>
            <w:hideMark/>
          </w:tcPr>
          <w:p w:rsidR="00000000" w:rsidRDefault="006F0EF5">
            <w:pPr>
              <w:spacing w:after="100"/>
              <w:divId w:val="160974887"/>
              <w:rPr>
                <w:rFonts w:eastAsia="Times New Roman"/>
              </w:rPr>
            </w:pPr>
            <w:hyperlink w:anchor="i820834c26f61401cb1d426994ba52a61_235"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35" w:history="1">
              <w:r>
                <w:rPr>
                  <w:rStyle w:val="a3"/>
                  <w:rFonts w:eastAsia="Times New Roman"/>
                  <w:sz w:val="20"/>
                  <w:szCs w:val="20"/>
                </w:rPr>
                <w:t>125</w:t>
              </w:r>
            </w:hyperlink>
          </w:p>
        </w:tc>
      </w:tr>
      <w:tr w:rsidR="00000000">
        <w:trPr>
          <w:divId w:val="2119794687"/>
        </w:trPr>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rsidR="00000000" w:rsidRDefault="006F0EF5">
            <w:pPr>
              <w:spacing w:after="100"/>
              <w:divId w:val="542904591"/>
              <w:rPr>
                <w:rFonts w:eastAsia="Times New Roman"/>
              </w:rPr>
            </w:pPr>
            <w:hyperlink w:anchor="i820834c26f61401cb1d426994ba52a61_238"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38" w:history="1">
              <w:r>
                <w:rPr>
                  <w:rStyle w:val="a3"/>
                  <w:rFonts w:eastAsia="Times New Roman"/>
                  <w:sz w:val="20"/>
                  <w:szCs w:val="20"/>
                </w:rPr>
                <w:t>125</w:t>
              </w:r>
            </w:hyperlink>
          </w:p>
        </w:tc>
      </w:tr>
      <w:tr w:rsidR="00000000">
        <w:trPr>
          <w:divId w:val="2119794687"/>
          <w:trHeight w:val="180"/>
        </w:trPr>
        <w:tc>
          <w:tcPr>
            <w:tcW w:w="0" w:type="auto"/>
            <w:gridSpan w:val="3"/>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19794687"/>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PART IV</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divId w:val="2119794687"/>
          <w:trHeight w:val="180"/>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19794687"/>
        </w:trPr>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lastRenderedPageBreak/>
              <w:t>15</w:t>
            </w:r>
          </w:p>
        </w:tc>
        <w:tc>
          <w:tcPr>
            <w:tcW w:w="0" w:type="auto"/>
            <w:gridSpan w:val="3"/>
            <w:tcMar>
              <w:top w:w="30" w:type="dxa"/>
              <w:left w:w="20" w:type="dxa"/>
              <w:bottom w:w="30" w:type="dxa"/>
              <w:right w:w="20" w:type="dxa"/>
            </w:tcMar>
            <w:vAlign w:val="bottom"/>
            <w:hideMark/>
          </w:tcPr>
          <w:p w:rsidR="00000000" w:rsidRDefault="006F0EF5">
            <w:pPr>
              <w:spacing w:after="100"/>
              <w:divId w:val="1717774358"/>
              <w:rPr>
                <w:rFonts w:eastAsia="Times New Roman"/>
              </w:rPr>
            </w:pPr>
            <w:hyperlink w:anchor="i820834c26f61401cb1d426994ba52a61_244" w:history="1">
              <w:r>
                <w:rPr>
                  <w:rStyle w:val="a3"/>
                  <w:rFonts w:eastAsia="Times New Roman"/>
                  <w:sz w:val="20"/>
                  <w:szCs w:val="20"/>
                </w:rPr>
                <w:t>Exhibits and Financial Statement Schedule</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44" w:history="1">
              <w:r>
                <w:rPr>
                  <w:rStyle w:val="a3"/>
                  <w:rFonts w:eastAsia="Times New Roman"/>
                  <w:sz w:val="20"/>
                  <w:szCs w:val="20"/>
                </w:rPr>
                <w:t>126</w:t>
              </w:r>
            </w:hyperlink>
          </w:p>
        </w:tc>
      </w:tr>
      <w:tr w:rsidR="00000000">
        <w:trPr>
          <w:divId w:val="2119794687"/>
        </w:trPr>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16</w:t>
            </w:r>
          </w:p>
        </w:tc>
        <w:tc>
          <w:tcPr>
            <w:tcW w:w="0" w:type="auto"/>
            <w:gridSpan w:val="3"/>
            <w:tcMar>
              <w:top w:w="30" w:type="dxa"/>
              <w:left w:w="20" w:type="dxa"/>
              <w:bottom w:w="30" w:type="dxa"/>
              <w:right w:w="20" w:type="dxa"/>
            </w:tcMar>
            <w:vAlign w:val="bottom"/>
            <w:hideMark/>
          </w:tcPr>
          <w:p w:rsidR="00000000" w:rsidRDefault="006F0EF5">
            <w:pPr>
              <w:spacing w:after="100"/>
              <w:divId w:val="2041398675"/>
              <w:rPr>
                <w:rFonts w:eastAsia="Times New Roman"/>
              </w:rPr>
            </w:pPr>
            <w:hyperlink w:anchor="i820834c26f61401cb1d426994ba52a61_247"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47" w:history="1">
              <w:r>
                <w:rPr>
                  <w:rStyle w:val="a3"/>
                  <w:rFonts w:eastAsia="Times New Roman"/>
                  <w:sz w:val="20"/>
                  <w:szCs w:val="20"/>
                </w:rPr>
                <w:t>132</w:t>
              </w:r>
            </w:hyperlink>
          </w:p>
        </w:tc>
      </w:tr>
    </w:tbl>
    <w:p w:rsidR="00000000" w:rsidRDefault="006F0EF5">
      <w:pPr>
        <w:divId w:val="2047219005"/>
        <w:rPr>
          <w:rFonts w:eastAsia="Times New Roman"/>
        </w:rPr>
      </w:pPr>
    </w:p>
    <w:p w:rsidR="00000000" w:rsidRDefault="006F0EF5">
      <w:pPr>
        <w:jc w:val="both"/>
        <w:rPr>
          <w:rFonts w:eastAsia="Times New Roman"/>
        </w:rPr>
      </w:pPr>
      <w:r>
        <w:rPr>
          <w:rFonts w:eastAsia="Times New Roman"/>
          <w:color w:val="000000"/>
          <w:sz w:val="20"/>
          <w:szCs w:val="20"/>
        </w:rPr>
        <w:t>This Report contains trademarks, service marks and registered marks of NCR Corporation and its subsidiaries, and of other companies, as indicated. Unless otherwise indicated, the terms “NCR,” the “Company,” “we,” “us,” and “our” refer to NCR Corporation an</w:t>
      </w:r>
      <w:r>
        <w:rPr>
          <w:rFonts w:eastAsia="Times New Roman"/>
          <w:color w:val="000000"/>
          <w:sz w:val="20"/>
          <w:szCs w:val="20"/>
        </w:rPr>
        <w:t>d its subsidiaries.</w:t>
      </w:r>
    </w:p>
    <w:p w:rsidR="00000000" w:rsidRDefault="006F0EF5">
      <w:pPr>
        <w:divId w:val="1571502154"/>
        <w:rPr>
          <w:rFonts w:eastAsia="Times New Roman"/>
        </w:rPr>
      </w:pPr>
    </w:p>
    <w:p w:rsidR="00000000" w:rsidRDefault="006F0EF5">
      <w:pPr>
        <w:divId w:val="96559027"/>
        <w:rPr>
          <w:rFonts w:eastAsia="Times New Roman"/>
        </w:rPr>
      </w:pPr>
    </w:p>
    <w:p w:rsidR="00000000" w:rsidRDefault="006F0EF5">
      <w:pPr>
        <w:divId w:val="1793330621"/>
        <w:rPr>
          <w:rFonts w:eastAsia="Times New Roman"/>
        </w:rPr>
      </w:pPr>
    </w:p>
    <w:p w:rsidR="00000000" w:rsidRDefault="006F0EF5">
      <w:pPr>
        <w:rPr>
          <w:rFonts w:eastAsia="Times New Roman"/>
        </w:rPr>
      </w:pPr>
      <w:r>
        <w:rPr>
          <w:rFonts w:eastAsia="Times New Roman"/>
        </w:rPr>
        <w:pict>
          <v:rect id="_x0000_i1027" style="width:0;height:1.5pt" o:hralign="center" o:hrstd="t" o:hr="t" fillcolor="#a0a0a0" stroked="f"/>
        </w:pict>
      </w:r>
    </w:p>
    <w:p w:rsidR="00000000" w:rsidRDefault="006F0EF5">
      <w:pPr>
        <w:divId w:val="32035154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210726785"/>
        <w:rPr>
          <w:rFonts w:eastAsia="Times New Roman"/>
        </w:rPr>
      </w:pPr>
    </w:p>
    <w:p w:rsidR="00000000" w:rsidRDefault="006F0EF5">
      <w:pPr>
        <w:divId w:val="1682664766"/>
        <w:rPr>
          <w:rFonts w:eastAsia="Times New Roman"/>
        </w:rPr>
      </w:pPr>
      <w:r>
        <w:rPr>
          <w:rFonts w:eastAsia="Times New Roman"/>
          <w:b/>
          <w:bCs/>
          <w:color w:val="000000"/>
          <w:sz w:val="20"/>
          <w:szCs w:val="20"/>
        </w:rPr>
        <w:t>FORWARD-LOOKING STATEMENTS</w:t>
      </w:r>
    </w:p>
    <w:p w:rsidR="00000000" w:rsidRDefault="006F0EF5">
      <w:pPr>
        <w:jc w:val="both"/>
        <w:rPr>
          <w:rFonts w:eastAsia="Times New Roman"/>
        </w:rPr>
      </w:pPr>
      <w:r>
        <w:rPr>
          <w:rFonts w:eastAsia="Times New Roman"/>
          <w:color w:val="000000"/>
          <w:sz w:val="20"/>
          <w:szCs w:val="20"/>
        </w:rPr>
        <w:t xml:space="preserve">This Annual Report on Form 10-K contains “forward-looking statements” </w:t>
      </w:r>
      <w:r>
        <w:rPr>
          <w:rFonts w:eastAsia="Times New Roman"/>
          <w:color w:val="000000"/>
          <w:sz w:val="20"/>
          <w:szCs w:val="20"/>
        </w:rPr>
        <w:t>within the meaning of Section 27A of the Securities Act of 1933, as amended, and Section 21E of the Securities Exchange Act of 1934, as amended, pursuant to the safe harbor provisions of the Private Securities Litigation Reform Act of 1995 (the “Act”). For</w:t>
      </w:r>
      <w:r>
        <w:rPr>
          <w:rFonts w:eastAsia="Times New Roman"/>
          <w:color w:val="000000"/>
          <w:sz w:val="20"/>
          <w:szCs w:val="20"/>
        </w:rPr>
        <w:t xml:space="preserve">ward-looking statements use words such as “expect,” “anticipate,” “outlook,” “intend,” “plan,” “confident,” “believe,” “will,” “should,” “would,” “potential,” “positioning,” “proposed,” “objective,” “could,” “may,” and words of similar meaning, as well as </w:t>
      </w:r>
      <w:r>
        <w:rPr>
          <w:rFonts w:eastAsia="Times New Roman"/>
          <w:color w:val="000000"/>
          <w:sz w:val="20"/>
          <w:szCs w:val="20"/>
        </w:rPr>
        <w:t>other words or expressions referencing future events, conditions or circumstances. We intend these forward-looking statements to be covered by the safe harbor provisions for forward-looking statements contained in the Act. Statements that describe or relat</w:t>
      </w:r>
      <w:r>
        <w:rPr>
          <w:rFonts w:eastAsia="Times New Roman"/>
          <w:color w:val="000000"/>
          <w:sz w:val="20"/>
          <w:szCs w:val="20"/>
        </w:rPr>
        <w:t>e to NCR’s plans, goals, intentions, strategies, or financial outlook, and statements that do not relate to historical or current fact, are examples of forward-looking statements. The forward-looking statements in this Annual Report include statements rega</w:t>
      </w:r>
      <w:r>
        <w:rPr>
          <w:rFonts w:eastAsia="Times New Roman"/>
          <w:color w:val="000000"/>
          <w:sz w:val="20"/>
          <w:szCs w:val="20"/>
        </w:rPr>
        <w:t xml:space="preserve">rding: the Company’s business and financial strategy; the Company’s future plans relating to its workforce talent and diversity, equity and inclusion initiatives; the Company’s plans and ability to manage its business through the COVID-19 pandemic and the </w:t>
      </w:r>
      <w:r>
        <w:rPr>
          <w:rFonts w:eastAsia="Times New Roman"/>
          <w:color w:val="000000"/>
          <w:sz w:val="20"/>
          <w:szCs w:val="20"/>
        </w:rPr>
        <w:t>impact of the pandemic; expectations regarding cost and non-price revenue synergies; expectations regarding our cash flow generation, cash reserve, liquidity, financial flexibility and impact of the COVID-19 pandemic on our employee base; expectations rega</w:t>
      </w:r>
      <w:r>
        <w:rPr>
          <w:rFonts w:eastAsia="Times New Roman"/>
          <w:color w:val="000000"/>
          <w:sz w:val="20"/>
          <w:szCs w:val="20"/>
        </w:rPr>
        <w:t>rding our ability to capitalize on market opportunities; Company revenue and financial growth expectations; and expectations regarding our continued focus on our long-term fundamentals, including, but, not limited to, execution of NCR's recurring revenue s</w:t>
      </w:r>
      <w:r>
        <w:rPr>
          <w:rFonts w:eastAsia="Times New Roman"/>
          <w:color w:val="000000"/>
          <w:sz w:val="20"/>
          <w:szCs w:val="20"/>
        </w:rPr>
        <w:t>trategy and accelerated growth including its transformation to a software platform and payments company focusing on as-a-service offers and its aspirational five-year goals for 2026 (which include annual recurring revenue of 80 percent, annual non-GAAP ear</w:t>
      </w:r>
      <w:r>
        <w:rPr>
          <w:rFonts w:eastAsia="Times New Roman"/>
          <w:color w:val="000000"/>
          <w:sz w:val="20"/>
          <w:szCs w:val="20"/>
        </w:rPr>
        <w:t>nings per share growth of 15 percent, and annual non-GAAP free cash flow of $1 billion). Forward-looking statements are based on our current beliefs, expectations and assumptions, which may not prove to be accurate, and involve a number of known and unknow</w:t>
      </w:r>
      <w:r>
        <w:rPr>
          <w:rFonts w:eastAsia="Times New Roman"/>
          <w:color w:val="000000"/>
          <w:sz w:val="20"/>
          <w:szCs w:val="20"/>
        </w:rPr>
        <w:t>n risks and uncertainties, many of which are out of our control. Forward-looking statements are not guarantees of future performance, and there are a number of important factors that could cause actual outcomes and results to differ materially from the res</w:t>
      </w:r>
      <w:r>
        <w:rPr>
          <w:rFonts w:eastAsia="Times New Roman"/>
          <w:color w:val="000000"/>
          <w:sz w:val="20"/>
          <w:szCs w:val="20"/>
        </w:rPr>
        <w:t>ults contemplated by such forward-looking statements, including those factors listed in Item 1A “Risk Factors” and Item 7 “Management's Discussion and Analysis of Financial Condition and Results of Operations,” of this Annual Report on Form 10-K, including</w:t>
      </w:r>
      <w:r>
        <w:rPr>
          <w:rFonts w:eastAsia="Times New Roman"/>
          <w:color w:val="000000"/>
          <w:sz w:val="20"/>
          <w:szCs w:val="20"/>
        </w:rPr>
        <w:t xml:space="preserve"> factors relating to: </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 xml:space="preserve">•Strategy and Technology: transforming our business model; development and introduction of new solutions; competition in the technology industry; integration of acquisitions and management of alliance activities; our multinational </w:t>
      </w:r>
      <w:r>
        <w:rPr>
          <w:rFonts w:eastAsia="Times New Roman"/>
          <w:color w:val="000000"/>
          <w:sz w:val="20"/>
          <w:szCs w:val="20"/>
        </w:rPr>
        <w:t xml:space="preserve">operations; and our strategic review announced on February 8, 2022 </w:t>
      </w:r>
    </w:p>
    <w:p w:rsidR="00000000" w:rsidRDefault="006F0EF5">
      <w:pPr>
        <w:ind w:hanging="360"/>
        <w:jc w:val="both"/>
        <w:rPr>
          <w:rFonts w:eastAsia="Times New Roman"/>
        </w:rPr>
      </w:pPr>
      <w:r>
        <w:rPr>
          <w:rFonts w:eastAsia="Times New Roman"/>
          <w:color w:val="000000"/>
          <w:sz w:val="20"/>
          <w:szCs w:val="20"/>
        </w:rPr>
        <w:t>•Business Operations: domestic and global economic and credit conditions; risks and uncertainties from the payments-related business and industry; disruptions in our data center hosting an</w:t>
      </w:r>
      <w:r>
        <w:rPr>
          <w:rFonts w:eastAsia="Times New Roman"/>
          <w:color w:val="000000"/>
          <w:sz w:val="20"/>
          <w:szCs w:val="20"/>
        </w:rPr>
        <w:t>d public cloud facilities; retention and attraction of key employees; defects, errors, installation difficulties or development delays; failure of third-party suppliers; the impact of the coronavirus (COVID-19) pandemic; environmental exposures from histor</w:t>
      </w:r>
      <w:r>
        <w:rPr>
          <w:rFonts w:eastAsia="Times New Roman"/>
          <w:color w:val="000000"/>
          <w:sz w:val="20"/>
          <w:szCs w:val="20"/>
        </w:rPr>
        <w:t xml:space="preserve">ical and ongoing manufacturing activities; and climate change </w:t>
      </w:r>
    </w:p>
    <w:p w:rsidR="00000000" w:rsidRDefault="006F0EF5">
      <w:pPr>
        <w:ind w:hanging="360"/>
        <w:jc w:val="both"/>
        <w:rPr>
          <w:rFonts w:eastAsia="Times New Roman"/>
        </w:rPr>
      </w:pPr>
      <w:r>
        <w:rPr>
          <w:rFonts w:eastAsia="Times New Roman"/>
          <w:color w:val="000000"/>
          <w:sz w:val="20"/>
          <w:szCs w:val="20"/>
        </w:rPr>
        <w:t xml:space="preserve">•Data Privacy &amp; Security: impact of data protection, cybersecurity and data privacy including any related issues </w:t>
      </w:r>
    </w:p>
    <w:p w:rsidR="00000000" w:rsidRDefault="006F0EF5">
      <w:pPr>
        <w:ind w:hanging="360"/>
        <w:jc w:val="both"/>
        <w:rPr>
          <w:rFonts w:eastAsia="Times New Roman"/>
        </w:rPr>
      </w:pPr>
      <w:r>
        <w:rPr>
          <w:rFonts w:eastAsia="Times New Roman"/>
          <w:color w:val="000000"/>
          <w:sz w:val="20"/>
          <w:szCs w:val="20"/>
        </w:rPr>
        <w:lastRenderedPageBreak/>
        <w:t>•Finance and Accounting: our level of indebtedness; the terms governing our ind</w:t>
      </w:r>
      <w:r>
        <w:rPr>
          <w:rFonts w:eastAsia="Times New Roman"/>
          <w:color w:val="000000"/>
          <w:sz w:val="20"/>
          <w:szCs w:val="20"/>
        </w:rPr>
        <w:t>ebtedness; incurrence of additional debt or similar liabilities or obligations; access or renewal of financing sources; our cash flow sufficiency to service our indebtedness; interest rate risks; the terms governing our trade receivables facility; the impa</w:t>
      </w:r>
      <w:r>
        <w:rPr>
          <w:rFonts w:eastAsia="Times New Roman"/>
          <w:color w:val="000000"/>
          <w:sz w:val="20"/>
          <w:szCs w:val="20"/>
        </w:rPr>
        <w:t>ct of certain changes in control relating to acceleration of our indebtedness, our obligations under other financing arrangements, or required repurchase of our senior unsecured notes; and any lowering or withdrawal of the ratings assigned to our debt secu</w:t>
      </w:r>
      <w:r>
        <w:rPr>
          <w:rFonts w:eastAsia="Times New Roman"/>
          <w:color w:val="000000"/>
          <w:sz w:val="20"/>
          <w:szCs w:val="20"/>
        </w:rPr>
        <w:t>rities by rating agencies; our pension liabilities; and write down of the value of certain significant assets</w:t>
      </w:r>
    </w:p>
    <w:p w:rsidR="00000000" w:rsidRDefault="006F0EF5">
      <w:pPr>
        <w:ind w:hanging="360"/>
        <w:jc w:val="both"/>
        <w:rPr>
          <w:rFonts w:eastAsia="Times New Roman"/>
        </w:rPr>
      </w:pPr>
      <w:r>
        <w:rPr>
          <w:rFonts w:eastAsia="Times New Roman"/>
          <w:color w:val="000000"/>
          <w:sz w:val="20"/>
          <w:szCs w:val="20"/>
        </w:rPr>
        <w:t>•Law and Compliance: protection of our intellectual property; changes to our tax rates and additional income tax liabilities; uncertainties regard</w:t>
      </w:r>
      <w:r>
        <w:rPr>
          <w:rFonts w:eastAsia="Times New Roman"/>
          <w:color w:val="000000"/>
          <w:sz w:val="20"/>
          <w:szCs w:val="20"/>
        </w:rPr>
        <w:t>ing regulations, lawsuits and other related matters; and changes to cryptocurrency regulations</w:t>
      </w:r>
    </w:p>
    <w:p w:rsidR="00000000" w:rsidRDefault="006F0EF5">
      <w:pPr>
        <w:ind w:hanging="360"/>
        <w:jc w:val="both"/>
        <w:rPr>
          <w:rFonts w:eastAsia="Times New Roman"/>
        </w:rPr>
      </w:pPr>
      <w:r>
        <w:rPr>
          <w:rFonts w:eastAsia="Times New Roman"/>
          <w:color w:val="000000"/>
          <w:sz w:val="20"/>
          <w:szCs w:val="20"/>
        </w:rPr>
        <w:t>•Governance: impact of the terms of our Series A Convertible Preferred (“Series A”) Stock relating to voting power, share dilution and market price of our common</w:t>
      </w:r>
      <w:r>
        <w:rPr>
          <w:rFonts w:eastAsia="Times New Roman"/>
          <w:color w:val="000000"/>
          <w:sz w:val="20"/>
          <w:szCs w:val="20"/>
        </w:rPr>
        <w:t xml:space="preserve"> stock; rights, preferences and privileges of Series A stockholders compared to the rights of our common stockholders; and actions or proposals from stockholders that do not align with our business strategies or the interests of our other stockholders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An</w:t>
      </w:r>
      <w:r>
        <w:rPr>
          <w:rFonts w:eastAsia="Times New Roman"/>
          <w:color w:val="000000"/>
          <w:sz w:val="20"/>
          <w:szCs w:val="20"/>
        </w:rPr>
        <w:t>y forward-looking statement speaks only as of the date on which it is made. The Company does not undertake any obligation to publicly update or revise any forward-looking statements, whether as a result of new information, future events or otherwise, excep</w:t>
      </w:r>
      <w:r>
        <w:rPr>
          <w:rFonts w:eastAsia="Times New Roman"/>
          <w:color w:val="000000"/>
          <w:sz w:val="20"/>
          <w:szCs w:val="20"/>
        </w:rPr>
        <w:t>t as required by law.</w:t>
      </w:r>
    </w:p>
    <w:p w:rsidR="00000000" w:rsidRDefault="006F0EF5">
      <w:pPr>
        <w:jc w:val="center"/>
        <w:divId w:val="2044210910"/>
        <w:rPr>
          <w:rFonts w:eastAsia="Times New Roman"/>
        </w:rPr>
      </w:pPr>
      <w:r>
        <w:rPr>
          <w:rFonts w:eastAsia="Times New Roman"/>
          <w:color w:val="000000"/>
          <w:sz w:val="20"/>
          <w:szCs w:val="20"/>
        </w:rPr>
        <w:t>i</w:t>
      </w:r>
    </w:p>
    <w:p w:rsidR="00000000" w:rsidRDefault="006F0EF5">
      <w:pPr>
        <w:rPr>
          <w:rFonts w:eastAsia="Times New Roman"/>
        </w:rPr>
      </w:pPr>
      <w:r>
        <w:rPr>
          <w:rFonts w:eastAsia="Times New Roman"/>
        </w:rPr>
        <w:pict>
          <v:rect id="_x0000_i1028" style="width:0;height:1.5pt" o:hralign="center" o:hrstd="t" o:hr="t" fillcolor="#a0a0a0" stroked="f"/>
        </w:pict>
      </w:r>
    </w:p>
    <w:p w:rsidR="00000000" w:rsidRDefault="006F0EF5">
      <w:pPr>
        <w:divId w:val="783383030"/>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26096430"/>
        <w:rPr>
          <w:rFonts w:eastAsia="Times New Roman"/>
        </w:rPr>
      </w:pPr>
    </w:p>
    <w:p w:rsidR="00000000" w:rsidRDefault="006F0EF5">
      <w:pPr>
        <w:jc w:val="center"/>
        <w:rPr>
          <w:rFonts w:eastAsia="Times New Roman"/>
        </w:rPr>
      </w:pPr>
      <w:r>
        <w:rPr>
          <w:rFonts w:eastAsia="Times New Roman"/>
          <w:b/>
          <w:bCs/>
          <w:color w:val="000000"/>
          <w:sz w:val="20"/>
          <w:szCs w:val="20"/>
        </w:rPr>
        <w:t>PART I</w:t>
      </w:r>
    </w:p>
    <w:p w:rsidR="00000000" w:rsidRDefault="006F0EF5">
      <w:pPr>
        <w:jc w:val="center"/>
        <w:rPr>
          <w:rFonts w:eastAsia="Times New Roman"/>
        </w:rPr>
      </w:pPr>
    </w:p>
    <w:p w:rsidR="00000000" w:rsidRDefault="006F0EF5">
      <w:pPr>
        <w:divId w:val="1528985812"/>
        <w:rPr>
          <w:rFonts w:eastAsia="Times New Roman"/>
        </w:rPr>
      </w:pPr>
    </w:p>
    <w:p w:rsidR="00000000" w:rsidRDefault="006F0EF5">
      <w:pPr>
        <w:divId w:val="53360184"/>
        <w:rPr>
          <w:rFonts w:eastAsia="Times New Roman"/>
        </w:rPr>
      </w:pPr>
      <w:r>
        <w:rPr>
          <w:rFonts w:eastAsia="Times New Roman"/>
          <w:i/>
          <w:iCs/>
          <w:color w:val="000000"/>
          <w:sz w:val="20"/>
          <w:szCs w:val="20"/>
        </w:rPr>
        <w:t xml:space="preserve">All references in this Report to “NCR,” “we,” “us,” “our,” the “Company” or the “registrant” refer to NCR </w:t>
      </w:r>
      <w:r>
        <w:rPr>
          <w:rFonts w:eastAsia="Times New Roman"/>
          <w:i/>
          <w:iCs/>
          <w:color w:val="000000"/>
          <w:sz w:val="20"/>
          <w:szCs w:val="20"/>
        </w:rPr>
        <w:t>Corporation, a Maryland corporation, and, unless otherwise stated or the context otherwise requires, its consolidated subsidiaries.</w:t>
      </w:r>
    </w:p>
    <w:p w:rsidR="00000000" w:rsidRDefault="006F0EF5">
      <w:pPr>
        <w:divId w:val="728964539"/>
        <w:rPr>
          <w:rFonts w:eastAsia="Times New Roman"/>
        </w:rPr>
      </w:pPr>
    </w:p>
    <w:p w:rsidR="00000000" w:rsidRDefault="006F0EF5">
      <w:pPr>
        <w:divId w:val="640886069"/>
        <w:rPr>
          <w:rFonts w:eastAsia="Times New Roman"/>
        </w:rPr>
      </w:pPr>
    </w:p>
    <w:p w:rsidR="00000000" w:rsidRDefault="006F0EF5">
      <w:pPr>
        <w:jc w:val="both"/>
        <w:rPr>
          <w:rFonts w:eastAsia="Times New Roman"/>
        </w:rPr>
      </w:pPr>
      <w:r>
        <w:rPr>
          <w:rFonts w:eastAsia="Times New Roman"/>
          <w:b/>
          <w:bCs/>
          <w:color w:val="000000"/>
          <w:sz w:val="20"/>
          <w:szCs w:val="20"/>
        </w:rPr>
        <w:t>Item 1.        BUSINESS</w:t>
      </w:r>
    </w:p>
    <w:p w:rsidR="00000000" w:rsidRDefault="006F0EF5">
      <w:pPr>
        <w:jc w:val="both"/>
        <w:divId w:val="2127461940"/>
        <w:rPr>
          <w:rFonts w:eastAsia="Times New Roman"/>
        </w:rPr>
      </w:pPr>
      <w:r>
        <w:rPr>
          <w:rFonts w:eastAsia="Times New Roman"/>
          <w:b/>
          <w:bCs/>
          <w:color w:val="000000"/>
          <w:sz w:val="20"/>
          <w:szCs w:val="20"/>
        </w:rPr>
        <w:t xml:space="preserve">General </w:t>
      </w:r>
    </w:p>
    <w:p w:rsidR="00000000" w:rsidRDefault="006F0EF5">
      <w:pPr>
        <w:jc w:val="both"/>
        <w:divId w:val="1237203313"/>
        <w:rPr>
          <w:rFonts w:eastAsia="Times New Roman"/>
        </w:rPr>
      </w:pPr>
      <w:r>
        <w:rPr>
          <w:rFonts w:eastAsia="Times New Roman"/>
          <w:i/>
          <w:iCs/>
          <w:color w:val="000000"/>
          <w:sz w:val="20"/>
          <w:szCs w:val="20"/>
        </w:rPr>
        <w:t>General Development of the Business</w:t>
      </w:r>
    </w:p>
    <w:p w:rsidR="00000000" w:rsidRDefault="006F0EF5">
      <w:pPr>
        <w:jc w:val="both"/>
        <w:rPr>
          <w:rFonts w:eastAsia="Times New Roman"/>
        </w:rPr>
      </w:pPr>
      <w:r>
        <w:rPr>
          <w:rFonts w:eastAsia="Times New Roman"/>
          <w:color w:val="000000"/>
          <w:sz w:val="20"/>
          <w:szCs w:val="20"/>
        </w:rPr>
        <w:t xml:space="preserve">NCR was originally incorporated in 1884 and is a software- and services-led enterprise technology provider that runs stores, restaurants and self-directed banking for our customers, which includes businesses of all sizes. Our software platform, which runs </w:t>
      </w:r>
      <w:r>
        <w:rPr>
          <w:rFonts w:eastAsia="Times New Roman"/>
          <w:color w:val="000000"/>
          <w:sz w:val="20"/>
          <w:szCs w:val="20"/>
        </w:rPr>
        <w:t>in the cloud and includes microservices and APIs that integrate with our customers' systems, and our NCR-as-a-Service solutions bring together all of the capabilities and competencies of NCR to power the technology to run our customers’ operations. Our por</w:t>
      </w:r>
      <w:r>
        <w:rPr>
          <w:rFonts w:eastAsia="Times New Roman"/>
          <w:color w:val="000000"/>
          <w:sz w:val="20"/>
          <w:szCs w:val="20"/>
        </w:rPr>
        <w:t>tfolio includes digital first software and services offerings for banking, retailers and restaurants, as well as payments processing and networks, multi-vendor connected device services, automated teller machines (“ATMs”), self-checkout (“SCO”), point of s</w:t>
      </w:r>
      <w:r>
        <w:rPr>
          <w:rFonts w:eastAsia="Times New Roman"/>
          <w:color w:val="000000"/>
          <w:sz w:val="20"/>
          <w:szCs w:val="20"/>
        </w:rPr>
        <w:t>ale (“POS”) terminals and other self-service technologies. We also resell third-party networking products and provide related service offerings in the telecommunications and technology sector. Our solutions are designed to support our transition to becomin</w:t>
      </w:r>
      <w:r>
        <w:rPr>
          <w:rFonts w:eastAsia="Times New Roman"/>
          <w:color w:val="000000"/>
          <w:sz w:val="20"/>
          <w:szCs w:val="20"/>
        </w:rPr>
        <w:t>g a software platform and payments company.</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NCR has grown organically, as well as through acquisitions, to add software, services and other capabilities that complement or enhance our existing offer portfolio, including, but not limited to, acquisitions </w:t>
      </w:r>
      <w:r>
        <w:rPr>
          <w:rFonts w:eastAsia="Times New Roman"/>
          <w:color w:val="000000"/>
          <w:sz w:val="20"/>
          <w:szCs w:val="20"/>
        </w:rPr>
        <w:t>relating to payments and cryptocurrency, digital banking, ATM-as-a-Service, and commerce platform offerings. NCR continuously evaluates potential acquisitions and develops new solutions intended to support the Company’s long-term strategy. In 2021, NCR com</w:t>
      </w:r>
      <w:r>
        <w:rPr>
          <w:rFonts w:eastAsia="Times New Roman"/>
          <w:color w:val="000000"/>
          <w:sz w:val="20"/>
          <w:szCs w:val="20"/>
        </w:rPr>
        <w:t>pleted the acquisition, among others, of Cardtronics plc (“Cardtronics”) to accelerate our NCR-as-a-Service strategy adding the Allpoint debit network, which is highly complementary to our payments platform and we expect will enable us to connect retail an</w:t>
      </w:r>
      <w:r>
        <w:rPr>
          <w:rFonts w:eastAsia="Times New Roman"/>
          <w:color w:val="000000"/>
          <w:sz w:val="20"/>
          <w:szCs w:val="20"/>
        </w:rPr>
        <w:t>d bank customers. In early 2022, NCR completed the acquisition of LibertyX, with the goal of enabling NCR to provide a complete digital currency solution, including the ability to buy and sell cryptocurrency, conduct cross-border remittance, and accept dig</w:t>
      </w:r>
      <w:r>
        <w:rPr>
          <w:rFonts w:eastAsia="Times New Roman"/>
          <w:color w:val="000000"/>
          <w:sz w:val="20"/>
          <w:szCs w:val="20"/>
        </w:rPr>
        <w:t>ital currency payments across digital and physical channels.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lastRenderedPageBreak/>
        <w:t>NCR Corporation’s common stock is listed on the New York Stock Exchange and trades under the symbol “NCR.” NCR is a global company that is headquartered in Atlanta, Georgia.</w:t>
      </w:r>
    </w:p>
    <w:p w:rsidR="00000000" w:rsidRDefault="006F0EF5">
      <w:pPr>
        <w:jc w:val="both"/>
        <w:divId w:val="1083528085"/>
        <w:rPr>
          <w:rFonts w:eastAsia="Times New Roman"/>
        </w:rPr>
      </w:pPr>
      <w:r>
        <w:rPr>
          <w:rFonts w:eastAsia="Times New Roman"/>
          <w:i/>
          <w:iCs/>
          <w:color w:val="000000"/>
          <w:sz w:val="20"/>
          <w:szCs w:val="20"/>
        </w:rPr>
        <w:t xml:space="preserve">Operating Segments </w:t>
      </w:r>
    </w:p>
    <w:p w:rsidR="00000000" w:rsidRDefault="006F0EF5">
      <w:pPr>
        <w:jc w:val="both"/>
        <w:divId w:val="660279550"/>
        <w:rPr>
          <w:rFonts w:eastAsia="Times New Roman"/>
        </w:rPr>
      </w:pPr>
      <w:r>
        <w:rPr>
          <w:rFonts w:eastAsia="Times New Roman"/>
          <w:color w:val="000000"/>
          <w:sz w:val="20"/>
          <w:szCs w:val="20"/>
        </w:rPr>
        <w:t>In this Report, we categorize our operations into the following segments: Banking, Retail, Hospitality and Telecommunications and Technology (“T&amp;T”). The information required by Item 1 with respect to our reportable segments and financial information rega</w:t>
      </w:r>
      <w:r>
        <w:rPr>
          <w:rFonts w:eastAsia="Times New Roman"/>
          <w:color w:val="000000"/>
          <w:sz w:val="20"/>
          <w:szCs w:val="20"/>
        </w:rPr>
        <w:t>rding our geographic areas and those reportable segments can be found in Item 7 of Part II of this Report under “Revenue and Operating Income by Segment” as well as in Item 8 of Part II of this Report as part of Note 4, “Segment Information and Concentrati</w:t>
      </w:r>
      <w:r>
        <w:rPr>
          <w:rFonts w:eastAsia="Times New Roman"/>
          <w:color w:val="000000"/>
          <w:sz w:val="20"/>
          <w:szCs w:val="20"/>
        </w:rPr>
        <w:t xml:space="preserve">ons”, of the Notes to Consolidated Financial Statements and is incorporated herein by reference. </w:t>
      </w:r>
    </w:p>
    <w:p w:rsidR="00000000" w:rsidRDefault="006F0EF5">
      <w:pPr>
        <w:jc w:val="both"/>
        <w:divId w:val="2063869253"/>
        <w:rPr>
          <w:rFonts w:eastAsia="Times New Roman"/>
        </w:rPr>
      </w:pPr>
      <w:r>
        <w:rPr>
          <w:rFonts w:eastAsia="Times New Roman"/>
          <w:color w:val="000000"/>
          <w:sz w:val="20"/>
          <w:szCs w:val="20"/>
        </w:rPr>
        <w:t>Effective January 1, 2022, the Company realigned its reportable segments to correspond with changes to its operating model, management structure and organizat</w:t>
      </w:r>
      <w:r>
        <w:rPr>
          <w:rFonts w:eastAsia="Times New Roman"/>
          <w:color w:val="000000"/>
          <w:sz w:val="20"/>
          <w:szCs w:val="20"/>
        </w:rPr>
        <w:t>ional responsibilities. The reportable segments effective January 1, 2022 include: Payments &amp; Network, Digital Banking, Self-Service Banking, Retail, and Hospitality. Additionally, effective January 1, 2022, the expenses related to corporate functions that</w:t>
      </w:r>
      <w:r>
        <w:rPr>
          <w:rFonts w:eastAsia="Times New Roman"/>
          <w:color w:val="000000"/>
          <w:sz w:val="20"/>
          <w:szCs w:val="20"/>
        </w:rPr>
        <w:t xml:space="preserve"> are not specifically attributable to an individual reportable segment along with any immaterial operating segment(s) are included in Corporate &amp; Other.</w:t>
      </w:r>
    </w:p>
    <w:p w:rsidR="00000000" w:rsidRDefault="006F0EF5">
      <w:pPr>
        <w:jc w:val="both"/>
        <w:rPr>
          <w:rFonts w:eastAsia="Times New Roman"/>
        </w:rPr>
      </w:pPr>
    </w:p>
    <w:p w:rsidR="00000000" w:rsidRDefault="006F0EF5">
      <w:pPr>
        <w:jc w:val="both"/>
        <w:divId w:val="1748192193"/>
        <w:rPr>
          <w:rFonts w:eastAsia="Times New Roman"/>
        </w:rPr>
      </w:pPr>
      <w:r>
        <w:rPr>
          <w:rFonts w:eastAsia="Times New Roman"/>
          <w:b/>
          <w:bCs/>
          <w:color w:val="000000"/>
          <w:sz w:val="20"/>
          <w:szCs w:val="20"/>
        </w:rPr>
        <w:t>Our Strategy</w:t>
      </w:r>
    </w:p>
    <w:p w:rsidR="00000000" w:rsidRDefault="006F0EF5">
      <w:pPr>
        <w:jc w:val="both"/>
        <w:divId w:val="1032800307"/>
        <w:rPr>
          <w:rFonts w:eastAsia="Times New Roman"/>
        </w:rPr>
      </w:pPr>
      <w:r>
        <w:rPr>
          <w:rFonts w:eastAsia="Times New Roman"/>
          <w:color w:val="000000"/>
          <w:sz w:val="20"/>
          <w:szCs w:val="20"/>
        </w:rPr>
        <w:t>In order to provide long-term value to all our stakeholders, we set complementary busine</w:t>
      </w:r>
      <w:r>
        <w:rPr>
          <w:rFonts w:eastAsia="Times New Roman"/>
          <w:color w:val="000000"/>
          <w:sz w:val="20"/>
          <w:szCs w:val="20"/>
        </w:rPr>
        <w:t>ss goals and financial strategies. NCR is continuing its transition to become a software platform and payments company with a shift to a higher level of recurring revenue. Our business goal is to be a leading enterprise technology provider that runs stores</w:t>
      </w:r>
      <w:r>
        <w:rPr>
          <w:rFonts w:eastAsia="Times New Roman"/>
          <w:color w:val="000000"/>
          <w:sz w:val="20"/>
          <w:szCs w:val="20"/>
        </w:rPr>
        <w:t>, restaurants and self-directed banking through our software platform and our NCR-as-a-Service solutions. By helping our customers run stores, restaurants and banks better, they have more time to create customer experiences that drive lasting success. In l</w:t>
      </w:r>
      <w:r>
        <w:rPr>
          <w:rFonts w:eastAsia="Times New Roman"/>
          <w:color w:val="000000"/>
          <w:sz w:val="20"/>
          <w:szCs w:val="20"/>
        </w:rPr>
        <w:t>ate 2018, we set five-year strategic goals, originally set as 2024 targets. These goals include transitioning our revenue mix so that 80 percent of our total revenue is comprised of software and services, 60 percent of our total revenue is comprised of rec</w:t>
      </w:r>
      <w:r>
        <w:rPr>
          <w:rFonts w:eastAsia="Times New Roman"/>
          <w:color w:val="000000"/>
          <w:sz w:val="20"/>
          <w:szCs w:val="20"/>
        </w:rPr>
        <w:t xml:space="preserve">urring revenue, and our adjusted EBITDA margin rate increases to 20 percent. Since we were near achieving those goals, in late 2021, we established aspirational five-year goals for 2026, which include annual recurring revenue of 80 percent by 2026, annual </w:t>
      </w:r>
      <w:r>
        <w:rPr>
          <w:rFonts w:eastAsia="Times New Roman"/>
          <w:color w:val="000000"/>
          <w:sz w:val="20"/>
          <w:szCs w:val="20"/>
        </w:rPr>
        <w:t>non-GAAP diluted earnings per share (“non-GAAP EPS”</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growth </w:t>
      </w:r>
    </w:p>
    <w:p w:rsidR="00000000" w:rsidRDefault="006F0EF5">
      <w:pPr>
        <w:jc w:val="center"/>
        <w:divId w:val="2047749985"/>
        <w:rPr>
          <w:rFonts w:eastAsia="Times New Roman"/>
        </w:rPr>
      </w:pPr>
      <w:r>
        <w:rPr>
          <w:rFonts w:eastAsia="Times New Roman"/>
          <w:color w:val="000000"/>
          <w:sz w:val="20"/>
          <w:szCs w:val="20"/>
        </w:rPr>
        <w:t>1</w:t>
      </w:r>
    </w:p>
    <w:p w:rsidR="00000000" w:rsidRDefault="006F0EF5">
      <w:pPr>
        <w:rPr>
          <w:rFonts w:eastAsia="Times New Roman"/>
        </w:rPr>
      </w:pPr>
      <w:r>
        <w:rPr>
          <w:rFonts w:eastAsia="Times New Roman"/>
        </w:rPr>
        <w:pict>
          <v:rect id="_x0000_i1029" style="width:0;height:1.5pt" o:hralign="center" o:hrstd="t" o:hr="t" fillcolor="#a0a0a0" stroked="f"/>
        </w:pict>
      </w:r>
    </w:p>
    <w:p w:rsidR="00000000" w:rsidRDefault="006F0EF5">
      <w:pPr>
        <w:divId w:val="126465293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273710703"/>
        <w:rPr>
          <w:rFonts w:eastAsia="Times New Roman"/>
        </w:rPr>
      </w:pPr>
    </w:p>
    <w:p w:rsidR="00000000" w:rsidRDefault="006F0EF5">
      <w:pPr>
        <w:jc w:val="both"/>
        <w:divId w:val="606280729"/>
        <w:rPr>
          <w:rFonts w:eastAsia="Times New Roman"/>
        </w:rPr>
      </w:pPr>
      <w:r>
        <w:rPr>
          <w:rFonts w:eastAsia="Times New Roman"/>
          <w:color w:val="000000"/>
          <w:sz w:val="20"/>
          <w:szCs w:val="20"/>
        </w:rPr>
        <w:t>of 15 percent, and annual free cash flo</w:t>
      </w:r>
      <w:r>
        <w:rPr>
          <w:rFonts w:eastAsia="Times New Roman"/>
          <w:color w:val="000000"/>
          <w:sz w:val="20"/>
          <w:szCs w:val="20"/>
        </w:rPr>
        <w:t>w</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of $1 billion in 2026. Additionally, in February 2022, NCR announced that its Board of Directors </w:t>
      </w:r>
      <w:r>
        <w:rPr>
          <w:rFonts w:eastAsia="Times New Roman"/>
          <w:color w:val="000000"/>
          <w:sz w:val="20"/>
          <w:szCs w:val="20"/>
        </w:rPr>
        <w:t>approved commencing a comprehensive strategic review, with the assistance of outside advisors, which will evaluate a full range of strategic alternatives available to NCR to enhance value for all shareholders. Additional details are included in Item 7 “Man</w:t>
      </w:r>
      <w:r>
        <w:rPr>
          <w:rFonts w:eastAsia="Times New Roman"/>
          <w:color w:val="000000"/>
          <w:sz w:val="20"/>
          <w:szCs w:val="20"/>
        </w:rPr>
        <w:t xml:space="preserve">agement's Discussion and Analysis of Financial Condition and Results of Operations.”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Execution of our business goals and financial strategies is driven by the following key pillars:</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w:t>
      </w:r>
      <w:r>
        <w:rPr>
          <w:rFonts w:eastAsia="Times New Roman"/>
          <w:i/>
          <w:iCs/>
          <w:color w:val="000000"/>
          <w:sz w:val="20"/>
          <w:szCs w:val="20"/>
        </w:rPr>
        <w:t>Focus on our customers</w:t>
      </w:r>
      <w:r>
        <w:rPr>
          <w:rFonts w:eastAsia="Times New Roman"/>
          <w:color w:val="000000"/>
          <w:sz w:val="20"/>
          <w:szCs w:val="20"/>
        </w:rPr>
        <w:t>. We encourage our employees to treat every cu</w:t>
      </w:r>
      <w:r>
        <w:rPr>
          <w:rFonts w:eastAsia="Times New Roman"/>
          <w:color w:val="000000"/>
          <w:sz w:val="20"/>
          <w:szCs w:val="20"/>
        </w:rPr>
        <w:t>stomer as if they are our only customer. If we provide better service and better quality products than our competitors, it is our belief that our customers will likely buy more from NCR. We are increasingly becoming active, strategic advisors to our client</w:t>
      </w:r>
      <w:r>
        <w:rPr>
          <w:rFonts w:eastAsia="Times New Roman"/>
          <w:color w:val="000000"/>
          <w:sz w:val="20"/>
          <w:szCs w:val="20"/>
        </w:rPr>
        <w:t>s, helping them retool and reinvent their business, and this is reflected in a significant increase in our Net Promoter Score from 14 in 2018 to 48 in 2021. We believe this focus has or will lead to increased access to higher level customer contacts, earli</w:t>
      </w:r>
      <w:r>
        <w:rPr>
          <w:rFonts w:eastAsia="Times New Roman"/>
          <w:color w:val="000000"/>
          <w:sz w:val="20"/>
          <w:szCs w:val="20"/>
        </w:rPr>
        <w:t>er entrance into the sales cycles, and additional opportunities for upselling and cross-selling as a software- and services- led company.</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Take care of our employees. </w:t>
      </w:r>
      <w:r>
        <w:rPr>
          <w:rFonts w:eastAsia="Times New Roman"/>
          <w:color w:val="000000"/>
          <w:sz w:val="20"/>
          <w:szCs w:val="20"/>
        </w:rPr>
        <w:t>Our employees are the direct face of NCR to our clients. NCR has actively worked to inc</w:t>
      </w:r>
      <w:r>
        <w:rPr>
          <w:rFonts w:eastAsia="Times New Roman"/>
          <w:color w:val="000000"/>
          <w:sz w:val="20"/>
          <w:szCs w:val="20"/>
        </w:rPr>
        <w:t>rease employee engagement and satisfaction, as well as to create a culture of performance and innovation focused on software and services.</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w:t>
      </w:r>
      <w:r>
        <w:rPr>
          <w:rFonts w:eastAsia="Times New Roman"/>
          <w:i/>
          <w:iCs/>
          <w:color w:val="000000"/>
          <w:sz w:val="20"/>
          <w:szCs w:val="20"/>
        </w:rPr>
        <w:t>Bring high-quality, innovative products to market.</w:t>
      </w:r>
      <w:r>
        <w:rPr>
          <w:rFonts w:eastAsia="Times New Roman"/>
          <w:color w:val="000000"/>
          <w:sz w:val="20"/>
          <w:szCs w:val="20"/>
        </w:rPr>
        <w:t xml:space="preserve"> NCR focuses its research and development investments on elevati</w:t>
      </w:r>
      <w:r>
        <w:rPr>
          <w:rFonts w:eastAsia="Times New Roman"/>
          <w:color w:val="000000"/>
          <w:sz w:val="20"/>
          <w:szCs w:val="20"/>
        </w:rPr>
        <w:t>ng product quality and bringing new solutions to market in our key focus areas of digital banking, our next-generation retail architecture, including our NCR Emeral</w:t>
      </w:r>
      <w:r>
        <w:rPr>
          <w:rFonts w:eastAsia="Times New Roman"/>
          <w:color w:val="000000"/>
          <w:sz w:val="20"/>
          <w:szCs w:val="20"/>
        </w:rPr>
        <w:t>d</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xml:space="preserve"> cloud-based point of sale product, our Aloh</w:t>
      </w:r>
      <w:r>
        <w:rPr>
          <w:rFonts w:eastAsia="Times New Roman"/>
          <w:color w:val="000000"/>
          <w:sz w:val="20"/>
          <w:szCs w:val="20"/>
        </w:rPr>
        <w:t>a</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xml:space="preserve"> Essentials solution bundle, payments and </w:t>
      </w:r>
      <w:r>
        <w:rPr>
          <w:rFonts w:eastAsia="Times New Roman"/>
          <w:color w:val="000000"/>
          <w:sz w:val="20"/>
          <w:szCs w:val="20"/>
        </w:rPr>
        <w:t>self-service banking solutions. Additionally, we have placed an increasing priority on improvements in how we go to market with NCR-as-a-Service, as well as how we package and deliver our solutions as all-in-one bundles designed around a software platform,</w:t>
      </w:r>
      <w:r>
        <w:rPr>
          <w:rFonts w:eastAsia="Times New Roman"/>
          <w:color w:val="000000"/>
          <w:sz w:val="20"/>
          <w:szCs w:val="20"/>
        </w:rPr>
        <w:t xml:space="preserve"> making it easier for our customers to buy and for our teams to sell.</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w:t>
      </w:r>
      <w:r>
        <w:rPr>
          <w:rFonts w:eastAsia="Times New Roman"/>
          <w:i/>
          <w:iCs/>
          <w:color w:val="000000"/>
          <w:sz w:val="20"/>
          <w:szCs w:val="20"/>
        </w:rPr>
        <w:t>Leverage our brand.</w:t>
      </w:r>
      <w:r>
        <w:rPr>
          <w:rFonts w:eastAsia="Times New Roman"/>
          <w:color w:val="000000"/>
          <w:sz w:val="20"/>
          <w:szCs w:val="20"/>
        </w:rPr>
        <w:t xml:space="preserve"> </w:t>
      </w:r>
      <w:r>
        <w:rPr>
          <w:rFonts w:eastAsia="Times New Roman"/>
          <w:color w:val="000000"/>
          <w:sz w:val="20"/>
          <w:szCs w:val="20"/>
        </w:rPr>
        <w:t>We believe NCR has one of the best-known and respected brands in the industries we serve. We consider this to be a strong competitive differentiation with significant equity in our worldwide markets.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With respect to our goals of free cash flow and no</w:t>
      </w:r>
      <w:r>
        <w:rPr>
          <w:rFonts w:eastAsia="Times New Roman"/>
          <w:color w:val="000000"/>
          <w:sz w:val="14"/>
          <w:szCs w:val="14"/>
        </w:rPr>
        <w:t>n-GAAP EPS growth, we are not providing a reconciliation to the respective GAAP measure because we are unable to predict with reasonable certainty the reconciling items that may affect GAAP EPS and Cash flow from operations without unreasonable effort. For</w:t>
      </w:r>
      <w:r>
        <w:rPr>
          <w:rFonts w:eastAsia="Times New Roman"/>
          <w:color w:val="000000"/>
          <w:sz w:val="14"/>
          <w:szCs w:val="14"/>
        </w:rPr>
        <w:t xml:space="preserve"> our definition of free cash flow, see the financial condition, liquidity and capital resources section within Part II, Item 7 “Management's Discussion and Analysis of Financial Condition and Results of Operations” of this Report. NCR’s non-GAAP EPS is det</w:t>
      </w:r>
      <w:r>
        <w:rPr>
          <w:rFonts w:eastAsia="Times New Roman"/>
          <w:color w:val="000000"/>
          <w:sz w:val="14"/>
          <w:szCs w:val="14"/>
        </w:rPr>
        <w:t>ermined by excluding, as applicable, pension mark-to-market adjustments, pension settlements, pension curtailments and pension special termination benefits, as well as other special items, including amortization of acquisition related intangibles and trans</w:t>
      </w:r>
      <w:r>
        <w:rPr>
          <w:rFonts w:eastAsia="Times New Roman"/>
          <w:color w:val="000000"/>
          <w:sz w:val="14"/>
          <w:szCs w:val="14"/>
        </w:rPr>
        <w:t>formation and restructuring activities, from NCR’s GAAP earnings per share. Due to the non-operational nature of these pension and other special items, NCR's management uses this non-GAAP measure to evaluate year-over-year operating performance. NCR believ</w:t>
      </w:r>
      <w:r>
        <w:rPr>
          <w:rFonts w:eastAsia="Times New Roman"/>
          <w:color w:val="000000"/>
          <w:sz w:val="14"/>
          <w:szCs w:val="14"/>
        </w:rPr>
        <w:t xml:space="preserve">es this measure is useful for investors because it provides a more complete understanding of NCR's underlying operational performance, as well as consistency and comparability with NCR's past reports of financial results. </w:t>
      </w:r>
    </w:p>
    <w:p w:rsidR="00000000" w:rsidRDefault="006F0EF5">
      <w:pPr>
        <w:jc w:val="both"/>
        <w:rPr>
          <w:rFonts w:eastAsia="Times New Roman"/>
        </w:rPr>
      </w:pPr>
    </w:p>
    <w:p w:rsidR="00000000" w:rsidRDefault="006F0EF5">
      <w:pPr>
        <w:jc w:val="both"/>
        <w:divId w:val="1906137716"/>
        <w:rPr>
          <w:rFonts w:eastAsia="Times New Roman"/>
        </w:rPr>
      </w:pPr>
      <w:r>
        <w:rPr>
          <w:rFonts w:eastAsia="Times New Roman"/>
          <w:b/>
          <w:bCs/>
          <w:color w:val="000000"/>
          <w:sz w:val="20"/>
          <w:szCs w:val="20"/>
        </w:rPr>
        <w:t xml:space="preserve">Products and Services </w:t>
      </w:r>
    </w:p>
    <w:p w:rsidR="00000000" w:rsidRDefault="006F0EF5">
      <w:pPr>
        <w:jc w:val="both"/>
        <w:divId w:val="833644946"/>
        <w:rPr>
          <w:rFonts w:eastAsia="Times New Roman"/>
        </w:rPr>
      </w:pPr>
      <w:r>
        <w:rPr>
          <w:rFonts w:eastAsia="Times New Roman"/>
          <w:color w:val="000000"/>
          <w:sz w:val="20"/>
          <w:szCs w:val="20"/>
        </w:rPr>
        <w:t>We are a</w:t>
      </w:r>
      <w:r>
        <w:rPr>
          <w:rFonts w:eastAsia="Times New Roman"/>
          <w:color w:val="000000"/>
          <w:sz w:val="20"/>
          <w:szCs w:val="20"/>
        </w:rPr>
        <w:t xml:space="preserve">n enterprise technology provider selling a portfolio of digital-first software, as-a-service offers, services, payments and hardware. Our offerings fall into the following categories: </w:t>
      </w:r>
    </w:p>
    <w:p w:rsidR="00000000" w:rsidRDefault="006F0EF5">
      <w:pPr>
        <w:jc w:val="both"/>
        <w:divId w:val="999774093"/>
        <w:rPr>
          <w:rFonts w:eastAsia="Times New Roman"/>
        </w:rPr>
      </w:pPr>
      <w:r>
        <w:rPr>
          <w:rFonts w:eastAsia="Times New Roman"/>
          <w:i/>
          <w:iCs/>
          <w:color w:val="000000"/>
          <w:sz w:val="20"/>
          <w:szCs w:val="20"/>
        </w:rPr>
        <w:t>Banking</w:t>
      </w:r>
    </w:p>
    <w:p w:rsidR="00000000" w:rsidRDefault="006F0EF5">
      <w:pPr>
        <w:jc w:val="both"/>
        <w:rPr>
          <w:rFonts w:eastAsia="Times New Roman"/>
        </w:rPr>
      </w:pPr>
      <w:r>
        <w:rPr>
          <w:rFonts w:eastAsia="Times New Roman"/>
          <w:color w:val="000000"/>
          <w:sz w:val="20"/>
          <w:szCs w:val="20"/>
        </w:rPr>
        <w:t>We offer solutions to customers in the financial services indus</w:t>
      </w:r>
      <w:r>
        <w:rPr>
          <w:rFonts w:eastAsia="Times New Roman"/>
          <w:color w:val="000000"/>
          <w:sz w:val="20"/>
          <w:szCs w:val="20"/>
        </w:rPr>
        <w:t>try that power their digital transformation through software, services and hardware to deliver differentiated experiences for their customers and improve efficiency for the financial institution. NCR's digital banking solutions enable anytime-anywhere conv</w:t>
      </w:r>
      <w:r>
        <w:rPr>
          <w:rFonts w:eastAsia="Times New Roman"/>
          <w:color w:val="000000"/>
          <w:sz w:val="20"/>
          <w:szCs w:val="20"/>
        </w:rPr>
        <w:t>enience for a financial institution’s consumer and business customers. Our account opening software unifies the sales and onboarding experience across digital, branch and call center channels for mid-market community banks and credit unions. We also help f</w:t>
      </w:r>
      <w:r>
        <w:rPr>
          <w:rFonts w:eastAsia="Times New Roman"/>
          <w:color w:val="000000"/>
          <w:sz w:val="20"/>
          <w:szCs w:val="20"/>
        </w:rPr>
        <w:t>inancial institutions implement their digital first platform strategy by providing solutions for banking channel services, transaction processing, imaging, and branch services. We also offer credit unions, banks, digital banks, Fintechs, stored-value debit</w:t>
      </w:r>
      <w:r>
        <w:rPr>
          <w:rFonts w:eastAsia="Times New Roman"/>
          <w:color w:val="000000"/>
          <w:sz w:val="20"/>
          <w:szCs w:val="20"/>
        </w:rPr>
        <w:t xml:space="preserve"> card issuers, and other consumer financial services providers access to our Allpoint retail-based ATM network, providing convenient and surcharge-free cash withdrawal and deposit access to their customers and cardholders. We also provide branding opportun</w:t>
      </w:r>
      <w:r>
        <w:rPr>
          <w:rFonts w:eastAsia="Times New Roman"/>
          <w:color w:val="000000"/>
          <w:sz w:val="20"/>
          <w:szCs w:val="20"/>
        </w:rPr>
        <w:t>ities for financial institutions on our extensive ATM network, providing a cost-effective way for banks to expand their presence and customer service and experience. Our managed services and ATM-as-a-Service help banks run their end-to-end ATM channel, inc</w:t>
      </w:r>
      <w:r>
        <w:rPr>
          <w:rFonts w:eastAsia="Times New Roman"/>
          <w:color w:val="000000"/>
          <w:sz w:val="20"/>
          <w:szCs w:val="20"/>
        </w:rPr>
        <w:t xml:space="preserve">luding transaction processing, managing cash and cash delivery, supplies, and telecommunications as well as routine and technical maintenance, positioning NCR as a strategic partner. We augment these solutions by offering a full line of software, services </w:t>
      </w:r>
      <w:r>
        <w:rPr>
          <w:rFonts w:eastAsia="Times New Roman"/>
          <w:color w:val="000000"/>
          <w:sz w:val="20"/>
          <w:szCs w:val="20"/>
        </w:rPr>
        <w:t xml:space="preserve">and hardware. </w:t>
      </w:r>
    </w:p>
    <w:p w:rsidR="00000000" w:rsidRDefault="006F0EF5">
      <w:pPr>
        <w:jc w:val="both"/>
        <w:divId w:val="1272467353"/>
        <w:rPr>
          <w:rFonts w:eastAsia="Times New Roman"/>
        </w:rPr>
      </w:pPr>
      <w:r>
        <w:rPr>
          <w:rFonts w:eastAsia="Times New Roman"/>
          <w:i/>
          <w:iCs/>
          <w:color w:val="000000"/>
          <w:sz w:val="20"/>
          <w:szCs w:val="20"/>
        </w:rPr>
        <w:t xml:space="preserve">Retail </w:t>
      </w:r>
    </w:p>
    <w:p w:rsidR="00000000" w:rsidRDefault="006F0EF5">
      <w:pPr>
        <w:jc w:val="both"/>
        <w:divId w:val="895437807"/>
        <w:rPr>
          <w:rFonts w:eastAsia="Times New Roman"/>
        </w:rPr>
      </w:pPr>
      <w:r>
        <w:rPr>
          <w:rFonts w:eastAsia="Times New Roman"/>
          <w:color w:val="000000"/>
          <w:sz w:val="20"/>
          <w:szCs w:val="20"/>
        </w:rPr>
        <w:t>We offer software-led solutions to customers in the retail industry, leading with digital to connect retail operations end to end to integrate all aspects of a customer’s operations in indoor and outdoor settings from POS, to payment</w:t>
      </w:r>
      <w:r>
        <w:rPr>
          <w:rFonts w:eastAsia="Times New Roman"/>
          <w:color w:val="000000"/>
          <w:sz w:val="20"/>
          <w:szCs w:val="20"/>
        </w:rPr>
        <w:t xml:space="preserve">s, inventory management, fraud </w:t>
      </w:r>
    </w:p>
    <w:p w:rsidR="00000000" w:rsidRDefault="006F0EF5">
      <w:pPr>
        <w:jc w:val="center"/>
        <w:divId w:val="604847563"/>
        <w:rPr>
          <w:rFonts w:eastAsia="Times New Roman"/>
        </w:rPr>
      </w:pPr>
      <w:r>
        <w:rPr>
          <w:rFonts w:eastAsia="Times New Roman"/>
          <w:color w:val="000000"/>
          <w:sz w:val="20"/>
          <w:szCs w:val="20"/>
        </w:rPr>
        <w:t>2</w:t>
      </w:r>
    </w:p>
    <w:p w:rsidR="00000000" w:rsidRDefault="006F0EF5">
      <w:pPr>
        <w:rPr>
          <w:rFonts w:eastAsia="Times New Roman"/>
        </w:rPr>
      </w:pPr>
      <w:r>
        <w:rPr>
          <w:rFonts w:eastAsia="Times New Roman"/>
        </w:rPr>
        <w:pict>
          <v:rect id="_x0000_i1030" style="width:0;height:1.5pt" o:hralign="center" o:hrstd="t" o:hr="t" fillcolor="#a0a0a0" stroked="f"/>
        </w:pict>
      </w:r>
    </w:p>
    <w:p w:rsidR="00000000" w:rsidRDefault="006F0EF5">
      <w:pPr>
        <w:divId w:val="61040494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066798422"/>
        <w:rPr>
          <w:rFonts w:eastAsia="Times New Roman"/>
        </w:rPr>
      </w:pPr>
    </w:p>
    <w:p w:rsidR="00000000" w:rsidRDefault="006F0EF5">
      <w:pPr>
        <w:jc w:val="both"/>
        <w:divId w:val="36243124"/>
        <w:rPr>
          <w:rFonts w:eastAsia="Times New Roman"/>
        </w:rPr>
      </w:pPr>
      <w:r>
        <w:rPr>
          <w:rFonts w:eastAsia="Times New Roman"/>
          <w:color w:val="000000"/>
          <w:sz w:val="20"/>
          <w:szCs w:val="20"/>
        </w:rPr>
        <w:t>and loss prevention applications, loyalty and consumer engagement. These solutions are designed to improve operational efficiency, selling pr</w:t>
      </w:r>
      <w:r>
        <w:rPr>
          <w:rFonts w:eastAsia="Times New Roman"/>
          <w:color w:val="000000"/>
          <w:sz w:val="20"/>
          <w:szCs w:val="20"/>
        </w:rPr>
        <w:t>oductivity, customer satisfaction and purchasing decisions; provide secure checkout processes and payment systems; and increase service levels. Solutions include retail-oriented technologies such as comprehensive API-point of sale retail software platforms</w:t>
      </w:r>
      <w:r>
        <w:rPr>
          <w:rFonts w:eastAsia="Times New Roman"/>
          <w:color w:val="000000"/>
          <w:sz w:val="20"/>
          <w:szCs w:val="20"/>
        </w:rPr>
        <w:t xml:space="preserve"> and applications, SCO, other hardware terminals and peripherals, payment processing solutions, consumer engagement solutions like eCommerce and loyalty programs, along with consulting, implementation, support and managed services to meet our customers' ne</w:t>
      </w:r>
      <w:r>
        <w:rPr>
          <w:rFonts w:eastAsia="Times New Roman"/>
          <w:color w:val="000000"/>
          <w:sz w:val="20"/>
          <w:szCs w:val="20"/>
        </w:rPr>
        <w:t xml:space="preserve">eds. </w:t>
      </w:r>
    </w:p>
    <w:p w:rsidR="00000000" w:rsidRDefault="006F0EF5">
      <w:pPr>
        <w:jc w:val="both"/>
        <w:divId w:val="536509072"/>
        <w:rPr>
          <w:rFonts w:eastAsia="Times New Roman"/>
        </w:rPr>
      </w:pPr>
      <w:r>
        <w:rPr>
          <w:rFonts w:eastAsia="Times New Roman"/>
          <w:i/>
          <w:iCs/>
          <w:color w:val="000000"/>
          <w:sz w:val="20"/>
          <w:szCs w:val="20"/>
        </w:rPr>
        <w:t>Hospitality</w:t>
      </w:r>
      <w:r>
        <w:rPr>
          <w:rFonts w:eastAsia="Times New Roman"/>
          <w:color w:val="000000"/>
          <w:sz w:val="20"/>
          <w:szCs w:val="20"/>
        </w:rPr>
        <w:t xml:space="preserve"> </w:t>
      </w:r>
    </w:p>
    <w:p w:rsidR="00000000" w:rsidRDefault="006F0EF5">
      <w:pPr>
        <w:jc w:val="both"/>
        <w:rPr>
          <w:rFonts w:eastAsia="Times New Roman"/>
        </w:rPr>
      </w:pPr>
      <w:r>
        <w:rPr>
          <w:rFonts w:eastAsia="Times New Roman"/>
          <w:color w:val="000000"/>
          <w:sz w:val="20"/>
          <w:szCs w:val="20"/>
        </w:rPr>
        <w:t>We offer technology solutions to customers in the hospitality industry, including table-service, quick-service and fast casual restaurants of all sizes, that are designed to improve operational efficiency, increase customer satisfaction,</w:t>
      </w:r>
      <w:r>
        <w:rPr>
          <w:rFonts w:eastAsia="Times New Roman"/>
          <w:color w:val="000000"/>
          <w:sz w:val="20"/>
          <w:szCs w:val="20"/>
        </w:rPr>
        <w:t xml:space="preserve"> streamline order and transaction processing and reduce operating costs. Our portfolio includes cloud-based and cloud-enabled software applications for point-of-sale, back office, payment processing, kitchen production, restaurant management, eCommerce and</w:t>
      </w:r>
      <w:r>
        <w:rPr>
          <w:rFonts w:eastAsia="Times New Roman"/>
          <w:color w:val="000000"/>
          <w:sz w:val="20"/>
          <w:szCs w:val="20"/>
        </w:rPr>
        <w:t xml:space="preserve"> consumer marketing and loyalty. We also provide hospitality-oriented hardware products such as POS terminals, kitchen display systems, handheld devices, printers and peripherals. And finally, we seek to help reduce the complexities of running restaurants </w:t>
      </w:r>
      <w:r>
        <w:rPr>
          <w:rFonts w:eastAsia="Times New Roman"/>
          <w:color w:val="000000"/>
          <w:sz w:val="20"/>
          <w:szCs w:val="20"/>
        </w:rPr>
        <w:t>through our services capabilities, including strategic consulting, technology deployment and implementation, support and managed services.</w:t>
      </w:r>
    </w:p>
    <w:p w:rsidR="00000000" w:rsidRDefault="006F0EF5">
      <w:pPr>
        <w:divId w:val="406657239"/>
        <w:rPr>
          <w:rFonts w:eastAsia="Times New Roman"/>
        </w:rPr>
      </w:pPr>
    </w:p>
    <w:p w:rsidR="00000000" w:rsidRDefault="006F0EF5">
      <w:pPr>
        <w:jc w:val="both"/>
        <w:divId w:val="297608005"/>
        <w:rPr>
          <w:rFonts w:eastAsia="Times New Roman"/>
        </w:rPr>
      </w:pPr>
      <w:r>
        <w:rPr>
          <w:rFonts w:eastAsia="Times New Roman"/>
          <w:i/>
          <w:iCs/>
          <w:color w:val="000000"/>
          <w:sz w:val="20"/>
          <w:szCs w:val="20"/>
        </w:rPr>
        <w:t>Telecommunications &amp; Technology</w:t>
      </w:r>
    </w:p>
    <w:p w:rsidR="00000000" w:rsidRDefault="006F0EF5">
      <w:pPr>
        <w:jc w:val="both"/>
        <w:rPr>
          <w:rFonts w:eastAsia="Times New Roman"/>
        </w:rPr>
      </w:pPr>
      <w:r>
        <w:rPr>
          <w:rFonts w:eastAsia="Times New Roman"/>
          <w:color w:val="000000"/>
          <w:sz w:val="20"/>
          <w:szCs w:val="20"/>
        </w:rPr>
        <w:t>We offer managed network and infrastructure services to enterprise clients across a</w:t>
      </w:r>
      <w:r>
        <w:rPr>
          <w:rFonts w:eastAsia="Times New Roman"/>
          <w:color w:val="000000"/>
          <w:sz w:val="20"/>
          <w:szCs w:val="20"/>
        </w:rPr>
        <w:t>ll industries via direct relationships with communications service providers and technology manufacturers. Our customers rely on us as a strategic partner to help them reduce complexity, improve cost efficiency, and enable global geographical reach. We del</w:t>
      </w:r>
      <w:r>
        <w:rPr>
          <w:rFonts w:eastAsia="Times New Roman"/>
          <w:color w:val="000000"/>
          <w:sz w:val="20"/>
          <w:szCs w:val="20"/>
        </w:rPr>
        <w:t>iver expert professional, field, and remote services for modern network technologies including Software-Defined Wide Area Networking, Network Functions Virtualization, Wireless Local Area Networks, Optical Networking, and Cloud Computing.</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Target Markets </w:t>
      </w:r>
      <w:r>
        <w:rPr>
          <w:rFonts w:eastAsia="Times New Roman"/>
          <w:b/>
          <w:bCs/>
          <w:color w:val="000000"/>
          <w:sz w:val="20"/>
          <w:szCs w:val="20"/>
        </w:rPr>
        <w:t xml:space="preserve">and Distribution Channels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NCR provides solutions to customers of varying sizes in the banking, retail, hospitality and T&amp;T industries.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provide the technology that helps customers run self-directed banking, which primarily centers around our digita</w:t>
      </w:r>
      <w:r>
        <w:rPr>
          <w:rFonts w:eastAsia="Times New Roman"/>
          <w:color w:val="000000"/>
          <w:sz w:val="20"/>
          <w:szCs w:val="20"/>
        </w:rPr>
        <w:t xml:space="preserve">l banking and ATM businesses, including software and services, as well as our Allpoint retail-based and surcharge-free ATM network. Our solutions also serve the retail markets through convenience banking products for retailers designed to complement their </w:t>
      </w:r>
      <w:r>
        <w:rPr>
          <w:rFonts w:eastAsia="Times New Roman"/>
          <w:color w:val="000000"/>
          <w:sz w:val="20"/>
          <w:szCs w:val="20"/>
        </w:rPr>
        <w:t>core businesses. Our financial solutions customers are located throughout the world in both developed and emerging markets. We have historically sold the majority of our Banking segment solutions through a direct sales channel, and have augmented our prese</w:t>
      </w:r>
      <w:r>
        <w:rPr>
          <w:rFonts w:eastAsia="Times New Roman"/>
          <w:color w:val="000000"/>
          <w:sz w:val="20"/>
          <w:szCs w:val="20"/>
        </w:rPr>
        <w:t>nce through distributors and value-added resellers.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provide solutions to the retail and hospitality industries that run the store and run the restaurant including, but not limited to, POS software and hardware, SCO software and hardware, loyalty software, supply chain and payment solutions. We also provi</w:t>
      </w:r>
      <w:r>
        <w:rPr>
          <w:rFonts w:eastAsia="Times New Roman"/>
          <w:color w:val="000000"/>
          <w:sz w:val="20"/>
          <w:szCs w:val="20"/>
        </w:rPr>
        <w:t>de store virtualization, Internet of Things (“IoT”), and micro-services platform solutions to modernize store and restaurant IT infrastructure. Our Retail segment customers include all sizes of food, drug and mass merchandisers, which includes grocery stor</w:t>
      </w:r>
      <w:r>
        <w:rPr>
          <w:rFonts w:eastAsia="Times New Roman"/>
          <w:color w:val="000000"/>
          <w:sz w:val="20"/>
          <w:szCs w:val="20"/>
        </w:rPr>
        <w:t>es, drug stores, and big box retailers, as well as department and specialty retail stores, convenience and fuel retailers across the globe. Our Hospitality segment customers include quick service, table service and fast casual restaurants, small and medium</w:t>
      </w:r>
      <w:r>
        <w:rPr>
          <w:rFonts w:eastAsia="Times New Roman"/>
          <w:color w:val="000000"/>
          <w:sz w:val="20"/>
          <w:szCs w:val="20"/>
        </w:rPr>
        <w:t xml:space="preserve"> size restaurants across independent restaurant operators, emerging and national chains, and large global brands. Our solutions are sold through a direct sales force and through relationships with value-added resellers, distributors, dealers and other indi</w:t>
      </w:r>
      <w:r>
        <w:rPr>
          <w:rFonts w:eastAsia="Times New Roman"/>
          <w:color w:val="000000"/>
          <w:sz w:val="20"/>
          <w:szCs w:val="20"/>
        </w:rPr>
        <w:t>rect sales channels.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provide service and support for our products and solutions through services contracts with our customers. We have also established managed services contracts with key customers and continue to pursue additional managed services re</w:t>
      </w:r>
      <w:r>
        <w:rPr>
          <w:rFonts w:eastAsia="Times New Roman"/>
          <w:color w:val="000000"/>
          <w:sz w:val="20"/>
          <w:szCs w:val="20"/>
        </w:rPr>
        <w:t>lationships. We believe that longer term managed services arrangements can help improve the efficiency and performance of a customer’s business, and also increase the strategic and financial importance of its relationship with NCR. We also service competin</w:t>
      </w:r>
      <w:r>
        <w:rPr>
          <w:rFonts w:eastAsia="Times New Roman"/>
          <w:color w:val="000000"/>
          <w:sz w:val="20"/>
          <w:szCs w:val="20"/>
        </w:rPr>
        <w:t>g technologies and third-party products. The primary sales channel for our services is our direct sales teams, which exist across all geographies where we operate around the world. Our services professionals provide these services directly to end customers</w:t>
      </w:r>
      <w:r>
        <w:rPr>
          <w:rFonts w:eastAsia="Times New Roman"/>
          <w:color w:val="000000"/>
          <w:sz w:val="20"/>
          <w:szCs w:val="20"/>
        </w:rPr>
        <w:t xml:space="preserve">.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Competition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face a diverse group of competitors in the banking, retail, hospitality and other industries, including the T&amp;T industry, in which we sell our digital-first portfolio of software, services and hardware. The primary competitive factor</w:t>
      </w:r>
      <w:r>
        <w:rPr>
          <w:rFonts w:eastAsia="Times New Roman"/>
          <w:color w:val="000000"/>
          <w:sz w:val="20"/>
          <w:szCs w:val="20"/>
        </w:rPr>
        <w:t>s can vary by geographic area where we operate around the world, but typically include: value and quality of the solutions or products; total cost of ownership; industry knowledge of the vendor; the vendor’s ability to provide and support a total end-to-en</w:t>
      </w:r>
      <w:r>
        <w:rPr>
          <w:rFonts w:eastAsia="Times New Roman"/>
          <w:color w:val="000000"/>
          <w:sz w:val="20"/>
          <w:szCs w:val="20"/>
        </w:rPr>
        <w:t xml:space="preserve">d solution; the vendor’s ability to </w:t>
      </w:r>
    </w:p>
    <w:p w:rsidR="00000000" w:rsidRDefault="006F0EF5">
      <w:pPr>
        <w:jc w:val="center"/>
        <w:divId w:val="400713385"/>
        <w:rPr>
          <w:rFonts w:eastAsia="Times New Roman"/>
        </w:rPr>
      </w:pPr>
      <w:r>
        <w:rPr>
          <w:rFonts w:eastAsia="Times New Roman"/>
          <w:color w:val="000000"/>
          <w:sz w:val="20"/>
          <w:szCs w:val="20"/>
        </w:rPr>
        <w:t>3</w:t>
      </w:r>
    </w:p>
    <w:p w:rsidR="00000000" w:rsidRDefault="006F0EF5">
      <w:pPr>
        <w:rPr>
          <w:rFonts w:eastAsia="Times New Roman"/>
        </w:rPr>
      </w:pPr>
      <w:r>
        <w:rPr>
          <w:rFonts w:eastAsia="Times New Roman"/>
        </w:rPr>
        <w:pict>
          <v:rect id="_x0000_i1031" style="width:0;height:1.5pt" o:hralign="center" o:hrstd="t" o:hr="t" fillcolor="#a0a0a0" stroked="f"/>
        </w:pict>
      </w:r>
    </w:p>
    <w:p w:rsidR="00000000" w:rsidRDefault="006F0EF5">
      <w:pPr>
        <w:divId w:val="79806327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982073431"/>
        <w:rPr>
          <w:rFonts w:eastAsia="Times New Roman"/>
        </w:rPr>
      </w:pPr>
    </w:p>
    <w:p w:rsidR="00000000" w:rsidRDefault="006F0EF5">
      <w:pPr>
        <w:jc w:val="both"/>
        <w:rPr>
          <w:rFonts w:eastAsia="Times New Roman"/>
        </w:rPr>
      </w:pPr>
      <w:r>
        <w:rPr>
          <w:rFonts w:eastAsia="Times New Roman"/>
          <w:color w:val="000000"/>
          <w:sz w:val="20"/>
          <w:szCs w:val="20"/>
        </w:rPr>
        <w:t>integrate new and existing systems; fit of the vendor’s strategic vision with the customer’s strategi</w:t>
      </w:r>
      <w:r>
        <w:rPr>
          <w:rFonts w:eastAsia="Times New Roman"/>
          <w:color w:val="000000"/>
          <w:sz w:val="20"/>
          <w:szCs w:val="20"/>
        </w:rPr>
        <w:t>c direction; and quality of the vendor’s consulting, deployment and support services.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the financial industry, our Banking segment faces a variety of competitors offering financial services and software including, among others, Fidelity National Inform</w:t>
      </w:r>
      <w:r>
        <w:rPr>
          <w:rFonts w:eastAsia="Times New Roman"/>
          <w:color w:val="000000"/>
          <w:sz w:val="20"/>
          <w:szCs w:val="20"/>
        </w:rPr>
        <w:t xml:space="preserve">ation Services, Inc., Fiserv, Inc., Q2 Holdings, Inc., Temenos AG, Infosys Ltd., Alkami Technology, Inc. and ACI Worldwide, Inc. In addition, we face competition from ATM manufacturers including Diebold Nixdorf, Inc., and Hyosung TNS Inc., and ATM network </w:t>
      </w:r>
      <w:r>
        <w:rPr>
          <w:rFonts w:eastAsia="Times New Roman"/>
          <w:color w:val="000000"/>
          <w:sz w:val="20"/>
          <w:szCs w:val="20"/>
        </w:rPr>
        <w:t>operators including Euronet Worldwide, Inc., as well as regional firms across all geographies where we operate around the world.</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the retail and hospitality industries, our Retail and Hospitality segments face a variety of competitors across all geogra</w:t>
      </w:r>
      <w:r>
        <w:rPr>
          <w:rFonts w:eastAsia="Times New Roman"/>
          <w:color w:val="000000"/>
          <w:sz w:val="20"/>
          <w:szCs w:val="20"/>
        </w:rPr>
        <w:t>phies where we operate around the world. Our competitors vary by market segment, product, service offering and geographic area, and include Toshiba Tec Corporation, Flooid, Oracle Corporation, GK Software SE, PAR Technology Corporation, Olo Inc., Aptos, In</w:t>
      </w:r>
      <w:r>
        <w:rPr>
          <w:rFonts w:eastAsia="Times New Roman"/>
          <w:color w:val="000000"/>
          <w:sz w:val="20"/>
          <w:szCs w:val="20"/>
        </w:rPr>
        <w:t xml:space="preserve">c., Lightspeed, Diebold Nixdorf, Inc., Fujitsu Limited, SAP and HP Inc., among others. In addition, we face new competitors including Toast, Inc., Revel Systems, Inc., Square, Inc., and Upserve, Inc., among others.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primary services competitors are t</w:t>
      </w:r>
      <w:r>
        <w:rPr>
          <w:rFonts w:eastAsia="Times New Roman"/>
          <w:color w:val="000000"/>
          <w:sz w:val="20"/>
          <w:szCs w:val="20"/>
        </w:rPr>
        <w:t>he companies identified above, as well as other regional and local independent services firms across all geographies where we operate around the world. We also face services competition from global enterprise technology companies including IBM Corporation,</w:t>
      </w:r>
      <w:r>
        <w:rPr>
          <w:rFonts w:eastAsia="Times New Roman"/>
          <w:color w:val="000000"/>
          <w:sz w:val="20"/>
          <w:szCs w:val="20"/>
        </w:rPr>
        <w:t xml:space="preserve"> and CompuCom (owned by Variant Equity Advisors) among others, as these firms continue to focus on services as a core business strategy.</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Research and Development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remain focused on designing and developing solutions that anticipate our customers’ ch</w:t>
      </w:r>
      <w:r>
        <w:rPr>
          <w:rFonts w:eastAsia="Times New Roman"/>
          <w:color w:val="000000"/>
          <w:sz w:val="20"/>
          <w:szCs w:val="20"/>
        </w:rPr>
        <w:t>anging technological needs as well as consumer preferences. Our expenses for research and development were $268 million in 2021, $234 million in 2020, and $259 million in 2019. We anticipate that we will continue to have significant research and developmen</w:t>
      </w:r>
      <w:r>
        <w:rPr>
          <w:rFonts w:eastAsia="Times New Roman"/>
          <w:color w:val="000000"/>
          <w:sz w:val="20"/>
          <w:szCs w:val="20"/>
        </w:rPr>
        <w:t>t expenditures in the future in order to provide a continuing flow of innovative, high-quality products and services and to help maintain and enhance our competitive position. Information regarding the accounting and costs included in research and developm</w:t>
      </w:r>
      <w:r>
        <w:rPr>
          <w:rFonts w:eastAsia="Times New Roman"/>
          <w:color w:val="000000"/>
          <w:sz w:val="20"/>
          <w:szCs w:val="20"/>
        </w:rPr>
        <w:t>ent activities is included in Note 1, “Basis of Presentation and Significant Accounting Policies”, of the Notes to Consolidated Financial Statements in Item 8 of Part II of this Report under “Research and Development Costs,” and is incorporated herein by r</w:t>
      </w:r>
      <w:r>
        <w:rPr>
          <w:rFonts w:eastAsia="Times New Roman"/>
          <w:color w:val="000000"/>
          <w:sz w:val="20"/>
          <w:szCs w:val="20"/>
        </w:rPr>
        <w:t xml:space="preserve">eference.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Patents and Trademarks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seeks patent protection for its innovations (including improvements), associated with its software, services, product, solutions, creations and developments (including hardware), where such protection is likely to</w:t>
      </w:r>
      <w:r>
        <w:rPr>
          <w:rFonts w:eastAsia="Times New Roman"/>
          <w:color w:val="000000"/>
          <w:sz w:val="20"/>
          <w:szCs w:val="20"/>
        </w:rPr>
        <w:t xml:space="preserve"> provide, especially strategic value to NCR. NCR owns approximately 1,325 patents in the United States and numerous other patents in foreign countries. The foreign patents are generally counterparts of NCR’s United States patents. Many of the patents owned</w:t>
      </w:r>
      <w:r>
        <w:rPr>
          <w:rFonts w:eastAsia="Times New Roman"/>
          <w:color w:val="000000"/>
          <w:sz w:val="20"/>
          <w:szCs w:val="20"/>
        </w:rPr>
        <w:t xml:space="preserve"> by NCR are licensed to others, and NCR is licensed under certain patents owned by others. As appropriate, NCR looks to monetize its patents to drive additional value from its patent portfolio. NCR also has numerous patent applications pending in the Unite</w:t>
      </w:r>
      <w:r>
        <w:rPr>
          <w:rFonts w:eastAsia="Times New Roman"/>
          <w:color w:val="000000"/>
          <w:sz w:val="20"/>
          <w:szCs w:val="20"/>
        </w:rPr>
        <w:t xml:space="preserve">d States and in foreign countries. NCR’s portfolio of patents and patent applications is of significant value to NCR.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NCR has registered certain trademarks, including service marks, in the United States and in foreign countries. NCR considers the “NCR” and NCR logo marks, as well as its other trademarks (including service marks), to have significant value to NCR. Loss of </w:t>
      </w:r>
      <w:r>
        <w:rPr>
          <w:rFonts w:eastAsia="Times New Roman"/>
          <w:color w:val="000000"/>
          <w:sz w:val="20"/>
          <w:szCs w:val="20"/>
        </w:rPr>
        <w:t>NCR’s right to use the NCR trademark could be material. However, the NCR trademark has been used and owned by NCR for at least 100 years, and NCR expects to maintain its rights in and to the NCR trademark for years to come.</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Seasonality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sales have been historically seasonal, with lower revenue in the first quarter and higher revenue in the fourth quarter of each year. Such seasonality also causes our working capital cash flow requirements to vary from quarter to quarter depending on v</w:t>
      </w:r>
      <w:r>
        <w:rPr>
          <w:rFonts w:eastAsia="Times New Roman"/>
          <w:color w:val="000000"/>
          <w:sz w:val="20"/>
          <w:szCs w:val="20"/>
        </w:rPr>
        <w:t>ariability in the volume, timing and mix of sales. In addition, revenue in the third month of each quarter is typically higher than in the first and second months. However, with the transition of our revenue mix to comprise a higher mix of recurring softwa</w:t>
      </w:r>
      <w:r>
        <w:rPr>
          <w:rFonts w:eastAsia="Times New Roman"/>
          <w:color w:val="000000"/>
          <w:sz w:val="20"/>
          <w:szCs w:val="20"/>
        </w:rPr>
        <w:t>re and services revenue, we expect that our sales will continue to become more linear over time.</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Manufacturing and Raw Materials </w:t>
      </w:r>
    </w:p>
    <w:p w:rsidR="00000000" w:rsidRDefault="006F0EF5">
      <w:pPr>
        <w:jc w:val="both"/>
        <w:rPr>
          <w:rFonts w:eastAsia="Times New Roman"/>
        </w:rPr>
      </w:pPr>
    </w:p>
    <w:p w:rsidR="00000000" w:rsidRDefault="006F0EF5">
      <w:pPr>
        <w:jc w:val="both"/>
        <w:divId w:val="16396934"/>
        <w:rPr>
          <w:rFonts w:eastAsia="Times New Roman"/>
        </w:rPr>
      </w:pPr>
      <w:r>
        <w:rPr>
          <w:rFonts w:eastAsia="Times New Roman"/>
          <w:color w:val="000000"/>
          <w:sz w:val="20"/>
          <w:szCs w:val="20"/>
        </w:rPr>
        <w:t>In most cases, there are a number of vendors providing the services and producing the parts and components that we utilize</w:t>
      </w:r>
      <w:r>
        <w:rPr>
          <w:rFonts w:eastAsia="Times New Roman"/>
          <w:color w:val="000000"/>
          <w:sz w:val="20"/>
          <w:szCs w:val="20"/>
        </w:rPr>
        <w:t>. However, there are some services and components that are purchased from single sources due to price, quality, technology or other reasons. In the past, we have been able to obtain an adequate supply of raw materials and components for virtually all mater</w:t>
      </w:r>
      <w:r>
        <w:rPr>
          <w:rFonts w:eastAsia="Times New Roman"/>
          <w:color w:val="000000"/>
          <w:sz w:val="20"/>
          <w:szCs w:val="20"/>
        </w:rPr>
        <w:t xml:space="preserve">ials used </w:t>
      </w:r>
    </w:p>
    <w:p w:rsidR="00000000" w:rsidRDefault="006F0EF5">
      <w:pPr>
        <w:jc w:val="center"/>
        <w:divId w:val="1547255320"/>
        <w:rPr>
          <w:rFonts w:eastAsia="Times New Roman"/>
        </w:rPr>
      </w:pPr>
      <w:r>
        <w:rPr>
          <w:rFonts w:eastAsia="Times New Roman"/>
          <w:color w:val="000000"/>
          <w:sz w:val="20"/>
          <w:szCs w:val="20"/>
        </w:rPr>
        <w:t>4</w:t>
      </w:r>
    </w:p>
    <w:p w:rsidR="00000000" w:rsidRDefault="006F0EF5">
      <w:pPr>
        <w:rPr>
          <w:rFonts w:eastAsia="Times New Roman"/>
        </w:rPr>
      </w:pPr>
      <w:r>
        <w:rPr>
          <w:rFonts w:eastAsia="Times New Roman"/>
        </w:rPr>
        <w:pict>
          <v:rect id="_x0000_i1032" style="width:0;height:1.5pt" o:hralign="center" o:hrstd="t" o:hr="t" fillcolor="#a0a0a0" stroked="f"/>
        </w:pict>
      </w:r>
    </w:p>
    <w:p w:rsidR="00000000" w:rsidRDefault="006F0EF5">
      <w:pPr>
        <w:divId w:val="139161348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690573523"/>
        <w:rPr>
          <w:rFonts w:eastAsia="Times New Roman"/>
        </w:rPr>
      </w:pPr>
    </w:p>
    <w:p w:rsidR="00000000" w:rsidRDefault="006F0EF5">
      <w:pPr>
        <w:jc w:val="both"/>
        <w:divId w:val="1761950012"/>
        <w:rPr>
          <w:rFonts w:eastAsia="Times New Roman"/>
        </w:rPr>
      </w:pPr>
      <w:r>
        <w:rPr>
          <w:rFonts w:eastAsia="Times New Roman"/>
          <w:color w:val="000000"/>
          <w:sz w:val="20"/>
          <w:szCs w:val="20"/>
        </w:rPr>
        <w:t>in the production process. We currently believe we have adequate resources of raw materials and components and that our portfol</w:t>
      </w:r>
      <w:r>
        <w:rPr>
          <w:rFonts w:eastAsia="Times New Roman"/>
          <w:color w:val="000000"/>
          <w:sz w:val="20"/>
          <w:szCs w:val="20"/>
        </w:rPr>
        <w:t>io of vendors providing services and producing parts has the resources and facilities to overcome most unforeseen interruptions of supply. As of December 31, 2021, NCR leverages a network of internal and third-party partner facilities across the globe to m</w:t>
      </w:r>
      <w:r>
        <w:rPr>
          <w:rFonts w:eastAsia="Times New Roman"/>
          <w:color w:val="000000"/>
          <w:sz w:val="20"/>
          <w:szCs w:val="20"/>
        </w:rPr>
        <w:t xml:space="preserve">anufacture its products in Manaus, Brazil, Budapest, Hungary, Chennai, India and partner facilities located in Guadalajara, Mexico, Chihuahua, Mexico, and Xiamen, China. </w:t>
      </w:r>
    </w:p>
    <w:p w:rsidR="00000000" w:rsidRDefault="006F0EF5">
      <w:pPr>
        <w:jc w:val="both"/>
        <w:divId w:val="1233660739"/>
        <w:rPr>
          <w:rFonts w:eastAsia="Times New Roman"/>
        </w:rPr>
      </w:pPr>
      <w:r>
        <w:rPr>
          <w:rFonts w:eastAsia="Times New Roman"/>
          <w:color w:val="000000"/>
          <w:sz w:val="20"/>
          <w:szCs w:val="20"/>
        </w:rPr>
        <w:t>Further information regarding the potential impact of these relationships on our busi</w:t>
      </w:r>
      <w:r>
        <w:rPr>
          <w:rFonts w:eastAsia="Times New Roman"/>
          <w:color w:val="000000"/>
          <w:sz w:val="20"/>
          <w:szCs w:val="20"/>
        </w:rPr>
        <w:t>ness operations, and regarding sources and availability of raw materials, is also included in Item 1A of this Report under the caption “Business Operations,” and is incorporated herein by reference.</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Product Backlog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Backlog includes orders confirmed fo</w:t>
      </w:r>
      <w:r>
        <w:rPr>
          <w:rFonts w:eastAsia="Times New Roman"/>
          <w:color w:val="000000"/>
          <w:sz w:val="20"/>
          <w:szCs w:val="20"/>
        </w:rPr>
        <w:t xml:space="preserve">r products scheduled to be shipped as well as certain professional and transaction services to be provided. Although we believe that the orders included in the backlog are firm, we may allow some orders to be canceled by the customer without penalty. Even </w:t>
      </w:r>
      <w:r>
        <w:rPr>
          <w:rFonts w:eastAsia="Times New Roman"/>
          <w:color w:val="000000"/>
          <w:sz w:val="20"/>
          <w:szCs w:val="20"/>
        </w:rPr>
        <w:t>when penalties for cancellation are provided for in a customer contract, we may elect to permit cancellation of orders without penalty where management believes it is in our best interests to do so. Further, we have a significant portion of product revenue</w:t>
      </w:r>
      <w:r>
        <w:rPr>
          <w:rFonts w:eastAsia="Times New Roman"/>
          <w:color w:val="000000"/>
          <w:sz w:val="20"/>
          <w:szCs w:val="20"/>
        </w:rPr>
        <w:t xml:space="preserve"> derived from term-based software license arrangements that include customer termination rights and services revenue that is recurring or transaction based business, which backlog information has not historically been measured. Therefore, we do not believe</w:t>
      </w:r>
      <w:r>
        <w:rPr>
          <w:rFonts w:eastAsia="Times New Roman"/>
          <w:color w:val="000000"/>
          <w:sz w:val="20"/>
          <w:szCs w:val="20"/>
        </w:rPr>
        <w:t xml:space="preserve"> that our backlog, as of any particular date, is necessarily indicative of revenue for any future period. However, backlog is included as a component of our remaining performance obligation to the extent we determine that the orders are non-cancelable. Ref</w:t>
      </w:r>
      <w:r>
        <w:rPr>
          <w:rFonts w:eastAsia="Times New Roman"/>
          <w:color w:val="000000"/>
          <w:sz w:val="20"/>
          <w:szCs w:val="20"/>
        </w:rPr>
        <w:t>er to Note 1, “Basis of Presentation and Significant Accounting Policies”, of the Notes to Consolidated Financial Statements in Item 8 of Part II of this Report for additional information on remaining performance obligations.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Risk Management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At the Boa</w:t>
      </w:r>
      <w:r>
        <w:rPr>
          <w:rFonts w:eastAsia="Times New Roman"/>
          <w:color w:val="000000"/>
          <w:sz w:val="20"/>
          <w:szCs w:val="20"/>
        </w:rPr>
        <w:t>rd of Directors level, NCR has a standing Risk Committee. The Risk Committee assists NCR’s Board of Directors with its oversight of executive management’s responsibilities to design, implement and maintain an effective enterprise risk management (“ERM”) fr</w:t>
      </w:r>
      <w:r>
        <w:rPr>
          <w:rFonts w:eastAsia="Times New Roman"/>
          <w:color w:val="000000"/>
          <w:sz w:val="20"/>
          <w:szCs w:val="20"/>
        </w:rPr>
        <w:t>amework for the Company’s overall operational, information security, strategic, reputational, technology, environmental, social and governance (“ESG”), and other risks. The Risk Committee also assists the Board of Directors with its oversight responsibilit</w:t>
      </w:r>
      <w:r>
        <w:rPr>
          <w:rFonts w:eastAsia="Times New Roman"/>
          <w:color w:val="000000"/>
          <w:sz w:val="20"/>
          <w:szCs w:val="20"/>
        </w:rPr>
        <w:t>ies for matters relating to diversity, equity and inclusion (“DE&amp;I”), environment, health and safety (“EHS”), sustainability, and the security of our personnel and physical assets. At the management level, NCR's Office of Risk Management and Chief Risk Off</w:t>
      </w:r>
      <w:r>
        <w:rPr>
          <w:rFonts w:eastAsia="Times New Roman"/>
          <w:color w:val="000000"/>
          <w:sz w:val="20"/>
          <w:szCs w:val="20"/>
        </w:rPr>
        <w:t>icer assist NCR and the Risk Committee in fulfilling its objectives relating to ERM, ESG, third-party risk management (“TPRM”) and business continuity planning (BCP). The Company’s Chief Risk Officer is responsible for developing and managing formal ERM, E</w:t>
      </w:r>
      <w:r>
        <w:rPr>
          <w:rFonts w:eastAsia="Times New Roman"/>
          <w:color w:val="000000"/>
          <w:sz w:val="20"/>
          <w:szCs w:val="20"/>
        </w:rPr>
        <w:t>SG, TPRM and BCP programs designed to identify, assess and respond to material and emerging risks and opportunities that may impact the achievement of the Company’s strategic objectives. NCR has also established an Executive Risk Committee that meets routi</w:t>
      </w:r>
      <w:r>
        <w:rPr>
          <w:rFonts w:eastAsia="Times New Roman"/>
          <w:color w:val="000000"/>
          <w:sz w:val="20"/>
          <w:szCs w:val="20"/>
        </w:rPr>
        <w:t>nely to monitor material risks, opportunities and NCR's response plans thereto.</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ESG</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At NCR, we remain committed to creating positive change that supports an innovative and sustainable future in a responsible way. Our NCR business strategy directly alig</w:t>
      </w:r>
      <w:r>
        <w:rPr>
          <w:rFonts w:eastAsia="Times New Roman"/>
          <w:color w:val="000000"/>
          <w:sz w:val="20"/>
          <w:szCs w:val="20"/>
        </w:rPr>
        <w:t>ns with the ESG priorities that we established in 2020. NCR’s business strategy to change from a hardware-led to a software-and services-led company offers us a new and different environmental footprint profile. To successfully become a software company, t</w:t>
      </w:r>
      <w:r>
        <w:rPr>
          <w:rFonts w:eastAsia="Times New Roman"/>
          <w:color w:val="000000"/>
          <w:sz w:val="20"/>
          <w:szCs w:val="20"/>
        </w:rPr>
        <w:t>he NCR business strategy is dependent on customer satisfaction and harnessing our culture of innovation. NCR's focus on customer satisfaction is two-fold: we intend to represent the ESG qualities our customers are looking for; and we intend for our employe</w:t>
      </w:r>
      <w:r>
        <w:rPr>
          <w:rFonts w:eastAsia="Times New Roman"/>
          <w:color w:val="000000"/>
          <w:sz w:val="20"/>
          <w:szCs w:val="20"/>
        </w:rPr>
        <w:t>es to fulfill and answer these expectations.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ESG Oversight.</w:t>
      </w:r>
      <w:r>
        <w:rPr>
          <w:rFonts w:eastAsia="Times New Roman"/>
          <w:color w:val="000000"/>
          <w:sz w:val="20"/>
          <w:szCs w:val="20"/>
        </w:rPr>
        <w:t xml:space="preserve"> NCR is committed to a strong oversight mechanism of ESG issues. NCR’</w:t>
      </w:r>
      <w:r>
        <w:rPr>
          <w:rFonts w:eastAsia="Times New Roman"/>
          <w:color w:val="000000"/>
          <w:sz w:val="20"/>
          <w:szCs w:val="20"/>
        </w:rPr>
        <w:t>s Board of Directors has direct oversight of ESG activities through its Risk Committee. The Risk Committee and other Board committees oversee components of ESG, including, business ethics and integrity, data protection, privacy and security, our people, DE</w:t>
      </w:r>
      <w:r>
        <w:rPr>
          <w:rFonts w:eastAsia="Times New Roman"/>
          <w:color w:val="000000"/>
          <w:sz w:val="20"/>
          <w:szCs w:val="20"/>
        </w:rPr>
        <w:t>&amp;I, environmental management, product innovation and management, and supplier responsibility.</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Business Ethics and Integrity</w:t>
      </w:r>
      <w:r>
        <w:rPr>
          <w:rFonts w:eastAsia="Times New Roman"/>
          <w:color w:val="000000"/>
          <w:sz w:val="20"/>
          <w:szCs w:val="20"/>
        </w:rPr>
        <w:t>. Our Code of Conduct sets forth standards designed to uphold our values and foster integrity in our relationships with one another</w:t>
      </w:r>
      <w:r>
        <w:rPr>
          <w:rFonts w:eastAsia="Times New Roman"/>
          <w:color w:val="000000"/>
          <w:sz w:val="20"/>
          <w:szCs w:val="20"/>
        </w:rPr>
        <w:t xml:space="preserve"> and our valued stakeholders. Our Code of Conduct is available at https://www.ncr.com/company/corporate-governance/code-of-conduct.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All our employees are required to complete Code of Conduct training during the onboarding period. All employees are requir</w:t>
      </w:r>
      <w:r>
        <w:rPr>
          <w:rFonts w:eastAsia="Times New Roman"/>
          <w:color w:val="000000"/>
          <w:sz w:val="20"/>
          <w:szCs w:val="20"/>
        </w:rPr>
        <w:t>ed to complete annual refresher Code of Conduct training. The Code of Conduct training is revised annually, taking into account the prior year’s compliance matters and the Company’s compliance risks.</w:t>
      </w:r>
    </w:p>
    <w:p w:rsidR="00000000" w:rsidRDefault="006F0EF5">
      <w:pPr>
        <w:jc w:val="center"/>
        <w:divId w:val="1039166759"/>
        <w:rPr>
          <w:rFonts w:eastAsia="Times New Roman"/>
        </w:rPr>
      </w:pPr>
      <w:r>
        <w:rPr>
          <w:rFonts w:eastAsia="Times New Roman"/>
          <w:color w:val="000000"/>
          <w:sz w:val="20"/>
          <w:szCs w:val="20"/>
        </w:rPr>
        <w:t>5</w:t>
      </w:r>
    </w:p>
    <w:p w:rsidR="00000000" w:rsidRDefault="006F0EF5">
      <w:pPr>
        <w:rPr>
          <w:rFonts w:eastAsia="Times New Roman"/>
        </w:rPr>
      </w:pPr>
      <w:r>
        <w:rPr>
          <w:rFonts w:eastAsia="Times New Roman"/>
        </w:rPr>
        <w:pict>
          <v:rect id="_x0000_i1033" style="width:0;height:1.5pt" o:hralign="center" o:hrstd="t" o:hr="t" fillcolor="#a0a0a0" stroked="f"/>
        </w:pict>
      </w:r>
    </w:p>
    <w:p w:rsidR="00000000" w:rsidRDefault="006F0EF5">
      <w:pPr>
        <w:divId w:val="187199167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708068029"/>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Ethics and Compliance Program is responsible for managing the Company’s adherence to the Code of Conduct. Further, our Chief Ethics &amp; Compliance Officer oversees investigations pertaining t</w:t>
      </w:r>
      <w:r>
        <w:rPr>
          <w:rFonts w:eastAsia="Times New Roman"/>
          <w:color w:val="000000"/>
          <w:sz w:val="20"/>
          <w:szCs w:val="20"/>
        </w:rPr>
        <w:t>o fraud, conflicts of interest, violations of laws, and other similar matters, and reports on those activities to one or more Committees of the Board.</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Data Protection, Privacy and Security.</w:t>
      </w:r>
      <w:r>
        <w:rPr>
          <w:rFonts w:eastAsia="Times New Roman"/>
          <w:color w:val="000000"/>
          <w:sz w:val="20"/>
          <w:szCs w:val="20"/>
        </w:rPr>
        <w:t xml:space="preserve"> At NCR, we are proud of our data protection, cybersecurity, and </w:t>
      </w:r>
      <w:r>
        <w:rPr>
          <w:rFonts w:eastAsia="Times New Roman"/>
          <w:color w:val="000000"/>
          <w:sz w:val="20"/>
          <w:szCs w:val="20"/>
        </w:rPr>
        <w:t>privacy programs. These initiatives receive oversight from the Board’s Risk Committee, as well as several members of our executive leadership team including the Chief Operations Officer, General Counsel, Chief Security Officer, Chief Information Officer, a</w:t>
      </w:r>
      <w:r>
        <w:rPr>
          <w:rFonts w:eastAsia="Times New Roman"/>
          <w:color w:val="000000"/>
          <w:sz w:val="20"/>
          <w:szCs w:val="20"/>
        </w:rPr>
        <w:t xml:space="preserve">nd Chief Technology Officer. NCR’s Chief Information Security Officer and Chief Privacy Officer are responsible for management of these programs. Additional support is provided by our Chief Ethics &amp; Compliance Officer.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supports appropriate privacy p</w:t>
      </w:r>
      <w:r>
        <w:rPr>
          <w:rFonts w:eastAsia="Times New Roman"/>
          <w:color w:val="000000"/>
          <w:sz w:val="20"/>
          <w:szCs w:val="20"/>
        </w:rPr>
        <w:t>rotections for those with whom we interact. We foster a culture that values the privacy rights of individuals. Under the direction of NCR’s Chief Privacy Officer, the program offers thought leadership, advice and guidance on privacy practices such as: comp</w:t>
      </w:r>
      <w:r>
        <w:rPr>
          <w:rFonts w:eastAsia="Times New Roman"/>
          <w:color w:val="000000"/>
          <w:sz w:val="20"/>
          <w:szCs w:val="20"/>
        </w:rPr>
        <w:t>lying with privacy laws and regulations; designing solutions with privacy in mind; implementing contracts governing intracompany activities; minimizing the collection of data; providing meaningful notice and choice; and safeguarding information. The progra</w:t>
      </w:r>
      <w:r>
        <w:rPr>
          <w:rFonts w:eastAsia="Times New Roman"/>
          <w:color w:val="000000"/>
          <w:sz w:val="20"/>
          <w:szCs w:val="20"/>
        </w:rPr>
        <w:t>m is supported by privacy attorneys, privacy program managers within the business, and data protection officers in various locations internationally. Many of these privacy professionals have industry recognized privacy certifications from the International</w:t>
      </w:r>
      <w:r>
        <w:rPr>
          <w:rFonts w:eastAsia="Times New Roman"/>
          <w:color w:val="000000"/>
          <w:sz w:val="20"/>
          <w:szCs w:val="20"/>
        </w:rPr>
        <w:t xml:space="preserve"> Association of Privacy Professionals.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Under the direction of NCR’s Chief Security Officer and Chief Information Security Officer, the Global Information Security organization is responsible for implementing and maintaining an information security progr</w:t>
      </w:r>
      <w:r>
        <w:rPr>
          <w:rFonts w:eastAsia="Times New Roman"/>
          <w:color w:val="000000"/>
          <w:sz w:val="20"/>
          <w:szCs w:val="20"/>
        </w:rPr>
        <w:t>am with the goal to protect information technology resources and protect the confidentiality and integrity of data gathered on our people, partners, customers, and business assets. Also, we employ various information technology and protection methods desig</w:t>
      </w:r>
      <w:r>
        <w:rPr>
          <w:rFonts w:eastAsia="Times New Roman"/>
          <w:color w:val="000000"/>
          <w:sz w:val="20"/>
          <w:szCs w:val="20"/>
        </w:rPr>
        <w:t>ned to promote data security including firewalls, intrusion prevention systems, denial of service detection, anomaly-based detection, anti-virus/anti-malware, endpoint encryption and detection and response software, Security Information and Event Managemen</w:t>
      </w:r>
      <w:r>
        <w:rPr>
          <w:rFonts w:eastAsia="Times New Roman"/>
          <w:color w:val="000000"/>
          <w:sz w:val="20"/>
          <w:szCs w:val="20"/>
        </w:rPr>
        <w:t>t system, identity management technology, security analytics, multi-factor authentication and encryption. To further our commitment to data privacy and cybersecurity: NCR maintains the ISO 27001 certification for certain NCR locations throughout the United</w:t>
      </w:r>
      <w:r>
        <w:rPr>
          <w:rFonts w:eastAsia="Times New Roman"/>
          <w:color w:val="000000"/>
          <w:sz w:val="20"/>
          <w:szCs w:val="20"/>
        </w:rPr>
        <w:t xml:space="preserve"> States, Europe, and India; third party audits for PCI-DSS, PA-DSS and SSAE-18 SOC2 are conducted for certain service offerings; NCR maintains a robust information security awareness and training program pursuant to which employees are required to complete</w:t>
      </w:r>
      <w:r>
        <w:rPr>
          <w:rFonts w:eastAsia="Times New Roman"/>
          <w:color w:val="000000"/>
          <w:sz w:val="20"/>
          <w:szCs w:val="20"/>
        </w:rPr>
        <w:t xml:space="preserve"> training within 30 days of hire, as well as an annual refresher course, and NCR performs regular testing to help ensure employees can identify email “phishing” attacks; NCR's corporate insurance policies include certain information security risk policies </w:t>
      </w:r>
      <w:r>
        <w:rPr>
          <w:rFonts w:eastAsia="Times New Roman"/>
          <w:color w:val="000000"/>
          <w:sz w:val="20"/>
          <w:szCs w:val="20"/>
        </w:rPr>
        <w:t>that cover network security, privacy and cyber events; and we maintain the NCR Privacy Policy that can be found at https://www.ncr.com/privacy.</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Our People. </w:t>
      </w:r>
      <w:r>
        <w:rPr>
          <w:rFonts w:eastAsia="Times New Roman"/>
          <w:color w:val="000000"/>
          <w:sz w:val="20"/>
          <w:szCs w:val="20"/>
        </w:rPr>
        <w:t>At NCR, we believe that investment in our employees has a positive impact on our employees and our customers. We put that into action with several employee development and engagement programs, including those described under the caption “Human Capital Reso</w:t>
      </w:r>
      <w:r>
        <w:rPr>
          <w:rFonts w:eastAsia="Times New Roman"/>
          <w:color w:val="000000"/>
          <w:sz w:val="20"/>
          <w:szCs w:val="20"/>
        </w:rPr>
        <w:t>urces” in Item 1 of this Report.</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Diversity, Equity and Inclusion (DE&amp;I).</w:t>
      </w:r>
      <w:r>
        <w:rPr>
          <w:rFonts w:eastAsia="Times New Roman"/>
          <w:color w:val="000000"/>
          <w:sz w:val="20"/>
          <w:szCs w:val="20"/>
        </w:rPr>
        <w:t xml:space="preserve"> NCR believes in the power and value of diversity and strives to build a globally inclusive workplace where all people are treated fairly. We seek to include everyone, lead with empa</w:t>
      </w:r>
      <w:r>
        <w:rPr>
          <w:rFonts w:eastAsia="Times New Roman"/>
          <w:color w:val="000000"/>
          <w:sz w:val="20"/>
          <w:szCs w:val="20"/>
        </w:rPr>
        <w:t>thy, and make our communities better. We encourage IDEAS (Inclusion, Diversity, Equity, Allyship, and Storytelling) and seek to inspire each other to be our authentic selves. The Board of Directors and its Risk Committee have direct oversight of our DE&amp;I a</w:t>
      </w:r>
      <w:r>
        <w:rPr>
          <w:rFonts w:eastAsia="Times New Roman"/>
          <w:color w:val="000000"/>
          <w:sz w:val="20"/>
          <w:szCs w:val="20"/>
        </w:rPr>
        <w:t>ctivities, including those described under the caption “Human Capital Resources” in Item 1 of this Report.</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Environmental Management. </w:t>
      </w:r>
      <w:r>
        <w:rPr>
          <w:rFonts w:eastAsia="Times New Roman"/>
          <w:color w:val="000000"/>
          <w:sz w:val="20"/>
          <w:szCs w:val="20"/>
        </w:rPr>
        <w:t>We are committed to managing our environmental footprint and protecting the global communities in which we operate. We st</w:t>
      </w:r>
      <w:r>
        <w:rPr>
          <w:rFonts w:eastAsia="Times New Roman"/>
          <w:color w:val="000000"/>
          <w:sz w:val="20"/>
          <w:szCs w:val="20"/>
        </w:rPr>
        <w:t>rive to minimize the environmental impact of our products and operations while also delivering innovative technologies and solutions designed to support businesses and consumers in their efforts to operate responsibly. We also recognize the importance of m</w:t>
      </w:r>
      <w:r>
        <w:rPr>
          <w:rFonts w:eastAsia="Times New Roman"/>
          <w:color w:val="000000"/>
          <w:sz w:val="20"/>
          <w:szCs w:val="20"/>
        </w:rPr>
        <w:t>inimizing our environmental footprint through energy and greenhouse gas (“GHG”) management. That is why we continue to report our Scope 1 and Scope 2 emissions from our global facilities and service operations through the CDP (formerly Carbon Disclosure Pr</w:t>
      </w:r>
      <w:r>
        <w:rPr>
          <w:rFonts w:eastAsia="Times New Roman"/>
          <w:color w:val="000000"/>
          <w:sz w:val="20"/>
          <w:szCs w:val="20"/>
        </w:rPr>
        <w:t>oject). We complete the annual CDP climate change questionnaire and evaluate our environmental management progress annually to better understand our areas of opportunity to make a true impact.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commitment to environmental management extends into our p</w:t>
      </w:r>
      <w:r>
        <w:rPr>
          <w:rFonts w:eastAsia="Times New Roman"/>
          <w:color w:val="000000"/>
          <w:sz w:val="20"/>
          <w:szCs w:val="20"/>
        </w:rPr>
        <w:t>roducts and operational footprint. Our Brazil, Hungary, and India facilities maintain the ISO 14001 certification. The NCR Global Headquarters in Midtown Atlanta has been awarded two Leadership in Energy and Environmental Design (“LEED”) Platinum certifica</w:t>
      </w:r>
      <w:r>
        <w:rPr>
          <w:rFonts w:eastAsia="Times New Roman"/>
          <w:color w:val="000000"/>
          <w:sz w:val="20"/>
          <w:szCs w:val="20"/>
        </w:rPr>
        <w:t>tions: 1) Building Design and Construction: Core &amp; Shell and Interior Design; 2) Construction: Commercial Interiors. Our newest office in Belgrade is also LEED certified. Further, as part of our Cardtronics acquisition, the offices in Houston, Texas, and a</w:t>
      </w:r>
      <w:r>
        <w:rPr>
          <w:rFonts w:eastAsia="Times New Roman"/>
          <w:color w:val="000000"/>
          <w:sz w:val="20"/>
          <w:szCs w:val="20"/>
        </w:rPr>
        <w:t xml:space="preserve"> major facility in Frisco, Texas, each use natural light and energy-efficient LED lighting to reduce energy consumption and are also LEED certified. </w:t>
      </w:r>
    </w:p>
    <w:p w:rsidR="00000000" w:rsidRDefault="006F0EF5">
      <w:pPr>
        <w:jc w:val="both"/>
        <w:rPr>
          <w:rFonts w:eastAsia="Times New Roman"/>
        </w:rPr>
      </w:pPr>
    </w:p>
    <w:p w:rsidR="00000000" w:rsidRDefault="006F0EF5">
      <w:pPr>
        <w:jc w:val="center"/>
        <w:divId w:val="192812546"/>
        <w:rPr>
          <w:rFonts w:eastAsia="Times New Roman"/>
        </w:rPr>
      </w:pPr>
      <w:r>
        <w:rPr>
          <w:rFonts w:eastAsia="Times New Roman"/>
          <w:color w:val="000000"/>
          <w:sz w:val="20"/>
          <w:szCs w:val="20"/>
        </w:rPr>
        <w:t>6</w:t>
      </w:r>
    </w:p>
    <w:p w:rsidR="00000000" w:rsidRDefault="006F0EF5">
      <w:pPr>
        <w:rPr>
          <w:rFonts w:eastAsia="Times New Roman"/>
        </w:rPr>
      </w:pPr>
      <w:r>
        <w:rPr>
          <w:rFonts w:eastAsia="Times New Roman"/>
        </w:rPr>
        <w:pict>
          <v:rect id="_x0000_i1034" style="width:0;height:1.5pt" o:hralign="center" o:hrstd="t" o:hr="t" fillcolor="#a0a0a0" stroked="f"/>
        </w:pict>
      </w:r>
    </w:p>
    <w:p w:rsidR="00000000" w:rsidRDefault="006F0EF5">
      <w:pPr>
        <w:divId w:val="67950426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808356079"/>
        <w:rPr>
          <w:rFonts w:eastAsia="Times New Roman"/>
        </w:rPr>
      </w:pPr>
    </w:p>
    <w:p w:rsidR="00000000" w:rsidRDefault="006F0EF5">
      <w:pPr>
        <w:jc w:val="both"/>
        <w:rPr>
          <w:rFonts w:eastAsia="Times New Roman"/>
        </w:rPr>
      </w:pPr>
      <w:r>
        <w:rPr>
          <w:rFonts w:eastAsia="Times New Roman"/>
          <w:i/>
          <w:iCs/>
          <w:color w:val="000000"/>
          <w:sz w:val="20"/>
          <w:szCs w:val="20"/>
        </w:rPr>
        <w:t>Product Innovation and Management.</w:t>
      </w:r>
      <w:r>
        <w:rPr>
          <w:rFonts w:eastAsia="Times New Roman"/>
          <w:color w:val="000000"/>
          <w:sz w:val="20"/>
          <w:szCs w:val="20"/>
        </w:rPr>
        <w:t xml:space="preserve"> Delivering solutions and services that provide value to our customers in an environmentally responsible way is critical to NCR’s ongoing succe</w:t>
      </w:r>
      <w:r>
        <w:rPr>
          <w:rFonts w:eastAsia="Times New Roman"/>
          <w:color w:val="000000"/>
          <w:sz w:val="20"/>
          <w:szCs w:val="20"/>
        </w:rPr>
        <w:t>ss. As such, we strive to develop, and recycle our products in a responsible way. One example of how we are already doing this is that certain of our applications, such as Intelligent Deposit and Self-Service Diagnostic Gateway (“SSDG”), enable our SelfSer</w:t>
      </w:r>
      <w:r>
        <w:rPr>
          <w:rFonts w:eastAsia="Times New Roman"/>
          <w:color w:val="000000"/>
          <w:sz w:val="20"/>
          <w:szCs w:val="20"/>
        </w:rPr>
        <w:t>v ATM customers to better handle the increasing volume – cutting down on costs, maintenance, fuel and materials associated with them.</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Supplier Responsibility.</w:t>
      </w:r>
      <w:r>
        <w:rPr>
          <w:rFonts w:eastAsia="Times New Roman"/>
          <w:color w:val="000000"/>
          <w:sz w:val="20"/>
          <w:szCs w:val="20"/>
        </w:rPr>
        <w:t xml:space="preserve"> We believe in creating positive change responsibly, and our supplier partners play a critical r</w:t>
      </w:r>
      <w:r>
        <w:rPr>
          <w:rFonts w:eastAsia="Times New Roman"/>
          <w:color w:val="000000"/>
          <w:sz w:val="20"/>
          <w:szCs w:val="20"/>
        </w:rPr>
        <w:t>ole in bringing that vision to life. We not only expect high quality products and services from our suppliers, we also expect them to conduct their businesses consistent with our Supplier Code of Conduct. Our Supplier Code of Conduct, available at https://</w:t>
      </w:r>
      <w:r>
        <w:rPr>
          <w:rFonts w:eastAsia="Times New Roman"/>
          <w:color w:val="000000"/>
          <w:sz w:val="20"/>
          <w:szCs w:val="20"/>
        </w:rPr>
        <w:t xml:space="preserve">www.ncr.com/company/suppliers/manuals-forms-and-templates, sets forth our expectation that our suppliers will meet ethical standards consistent with NCR’s Code of Conduct and policies.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part of our overall ERM approach, our Third-Party Risk Management</w:t>
      </w:r>
      <w:r>
        <w:rPr>
          <w:rFonts w:eastAsia="Times New Roman"/>
          <w:color w:val="000000"/>
          <w:sz w:val="20"/>
          <w:szCs w:val="20"/>
        </w:rPr>
        <w:t xml:space="preserve"> (“TPRM”) program is designed to ensure proper risk identification and oversight of NCR’s vendors and includes the following objectives:</w:t>
      </w:r>
      <w:r>
        <w:rPr>
          <w:rFonts w:eastAsia="Times New Roman"/>
          <w:color w:val="FF0000"/>
          <w:sz w:val="20"/>
          <w:szCs w:val="20"/>
        </w:rPr>
        <w:t xml:space="preserve"> </w:t>
      </w:r>
    </w:p>
    <w:p w:rsidR="00000000" w:rsidRDefault="006F0EF5">
      <w:pPr>
        <w:divId w:val="1477138154"/>
        <w:rPr>
          <w:rFonts w:eastAsia="Times New Roman"/>
        </w:rPr>
      </w:pPr>
    </w:p>
    <w:p w:rsidR="00000000" w:rsidRDefault="006F0EF5">
      <w:pPr>
        <w:ind w:hanging="360"/>
        <w:jc w:val="both"/>
        <w:rPr>
          <w:rFonts w:eastAsia="Times New Roman"/>
        </w:rPr>
      </w:pPr>
      <w:r>
        <w:rPr>
          <w:rFonts w:eastAsia="Times New Roman"/>
          <w:color w:val="000000"/>
          <w:sz w:val="20"/>
          <w:szCs w:val="20"/>
        </w:rPr>
        <w:t xml:space="preserve">•Perform risk-based segmentation and prioritization of all existing and new NCR vendors </w:t>
      </w:r>
    </w:p>
    <w:p w:rsidR="00000000" w:rsidRDefault="006F0EF5">
      <w:pPr>
        <w:ind w:hanging="360"/>
        <w:jc w:val="both"/>
        <w:rPr>
          <w:rFonts w:eastAsia="Times New Roman"/>
        </w:rPr>
      </w:pPr>
      <w:r>
        <w:rPr>
          <w:rFonts w:eastAsia="Times New Roman"/>
          <w:color w:val="000000"/>
          <w:sz w:val="20"/>
          <w:szCs w:val="20"/>
        </w:rPr>
        <w:t>•Perform sanctions screenin</w:t>
      </w:r>
      <w:r>
        <w:rPr>
          <w:rFonts w:eastAsia="Times New Roman"/>
          <w:color w:val="000000"/>
          <w:sz w:val="20"/>
          <w:szCs w:val="20"/>
        </w:rPr>
        <w:t xml:space="preserve">gs on all vendors and anti-bribery, anti-corruption (“ABAC”) screenings on applicable vendors </w:t>
      </w:r>
    </w:p>
    <w:p w:rsidR="00000000" w:rsidRDefault="006F0EF5">
      <w:pPr>
        <w:ind w:hanging="360"/>
        <w:jc w:val="both"/>
        <w:rPr>
          <w:rFonts w:eastAsia="Times New Roman"/>
        </w:rPr>
      </w:pPr>
      <w:r>
        <w:rPr>
          <w:rFonts w:eastAsia="Times New Roman"/>
          <w:color w:val="000000"/>
          <w:sz w:val="20"/>
          <w:szCs w:val="20"/>
        </w:rPr>
        <w:t>•Perform extended due diligence on identified high risk vendors to include responsible sourcing, business continuity, information security, data privacy, and oth</w:t>
      </w:r>
      <w:r>
        <w:rPr>
          <w:rFonts w:eastAsia="Times New Roman"/>
          <w:color w:val="000000"/>
          <w:sz w:val="20"/>
          <w:szCs w:val="20"/>
        </w:rPr>
        <w:t xml:space="preserve">er reviews as applicable </w:t>
      </w:r>
    </w:p>
    <w:p w:rsidR="00000000" w:rsidRDefault="006F0EF5">
      <w:pPr>
        <w:ind w:hanging="360"/>
        <w:jc w:val="both"/>
        <w:rPr>
          <w:rFonts w:eastAsia="Times New Roman"/>
        </w:rPr>
      </w:pPr>
      <w:r>
        <w:rPr>
          <w:rFonts w:eastAsia="Times New Roman"/>
          <w:color w:val="000000"/>
          <w:sz w:val="20"/>
          <w:szCs w:val="20"/>
        </w:rPr>
        <w:t>•Perform Financial Risk Assessment on identified high risk vendors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Additionally we take a risk-based approach to supply chain due diligence. We engage with the majority of our largest suppliers on a quarterly basis to identify p</w:t>
      </w:r>
      <w:r>
        <w:rPr>
          <w:rFonts w:eastAsia="Times New Roman"/>
          <w:color w:val="000000"/>
          <w:sz w:val="20"/>
          <w:szCs w:val="20"/>
        </w:rPr>
        <w:t xml:space="preserve">otential risk exposure. As part of our supplier partner onboarding process, supplier partners are required to certify compliance with International Electrotechnical Commission 62474 standards. NCR requires its supplier partners to maintain compliance with </w:t>
      </w:r>
      <w:r>
        <w:rPr>
          <w:rFonts w:eastAsia="Times New Roman"/>
          <w:color w:val="000000"/>
          <w:sz w:val="20"/>
          <w:szCs w:val="20"/>
        </w:rPr>
        <w:t>the Restriction of Hazardous Substances (“RoHS”) Directive, Registration, Evaluation, Authorization and Restriction of Chemicals (“REACH”) Regulation, and other applicable regulations.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Human Capital Resources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General. </w:t>
      </w:r>
      <w:r>
        <w:rPr>
          <w:rFonts w:eastAsia="Times New Roman"/>
          <w:color w:val="000000"/>
          <w:sz w:val="20"/>
          <w:szCs w:val="20"/>
        </w:rPr>
        <w:t>NCR views taking care of our peopl</w:t>
      </w:r>
      <w:r>
        <w:rPr>
          <w:rFonts w:eastAsia="Times New Roman"/>
          <w:color w:val="000000"/>
          <w:sz w:val="20"/>
          <w:szCs w:val="20"/>
        </w:rPr>
        <w:t>e as a critical part of our strategy, especially as we adapt to a changing labor market and workforce with different values, demographics and needs specific to our business as we continue to shift to a software platform and payments company. We strive to e</w:t>
      </w:r>
      <w:r>
        <w:rPr>
          <w:rFonts w:eastAsia="Times New Roman"/>
          <w:color w:val="000000"/>
          <w:sz w:val="20"/>
          <w:szCs w:val="20"/>
        </w:rPr>
        <w:t>nable a culture and employment brand that attracts, develops and retains top talent. Our focus relating to investing in our people and talent in 2021 were aligned to three basic areas:</w:t>
      </w:r>
    </w:p>
    <w:p w:rsidR="00000000" w:rsidRDefault="006F0EF5">
      <w:pPr>
        <w:jc w:val="both"/>
        <w:rPr>
          <w:rFonts w:eastAsia="Times New Roman"/>
        </w:rPr>
      </w:pP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progressing our journey to become an employer of choice</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improving H</w:t>
      </w:r>
      <w:r>
        <w:rPr>
          <w:rFonts w:eastAsia="Times New Roman"/>
          <w:color w:val="000000"/>
          <w:sz w:val="20"/>
          <w:szCs w:val="20"/>
        </w:rPr>
        <w:t xml:space="preserve">R processes and service delivery </w:t>
      </w:r>
    </w:p>
    <w:p w:rsidR="00000000" w:rsidRDefault="006F0EF5">
      <w:pPr>
        <w:ind w:hanging="360"/>
        <w:jc w:val="both"/>
        <w:rPr>
          <w:rFonts w:eastAsia="Times New Roman"/>
        </w:rPr>
      </w:pPr>
      <w:r>
        <w:rPr>
          <w:rFonts w:eastAsia="Times New Roman"/>
          <w:color w:val="000000"/>
          <w:sz w:val="20"/>
          <w:szCs w:val="20"/>
        </w:rPr>
        <w:t>•building a high-performing HR organization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progress to date includes:</w:t>
      </w:r>
    </w:p>
    <w:p w:rsidR="00000000" w:rsidRDefault="006F0EF5">
      <w:pPr>
        <w:jc w:val="both"/>
        <w:rPr>
          <w:rFonts w:eastAsia="Times New Roman"/>
        </w:rPr>
      </w:pP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Appointed a new Chief Human Resources Officer and built a new human resources leadership team and support model, including to establish new HR Centers of Excellence to better support and engage our employees around the world and our workforce of the future</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Welcomed over 950 University Hires to NCR, including both graduates and interns </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Launched new NCR.com Careers Pages</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Launched a new Culture Crew, including 80+ Site Engagement Leaders, ambassadors and volunteers </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Launched a new HR Central platform making it easier for employees to find information and resources </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Examined and took actions on competitive pay supporting w</w:t>
      </w:r>
      <w:r>
        <w:rPr>
          <w:rFonts w:eastAsia="Times New Roman"/>
          <w:color w:val="000000"/>
          <w:sz w:val="20"/>
          <w:szCs w:val="20"/>
        </w:rPr>
        <w:t>orkforce changes and our shift to a software platform and payments company, including a targeted global compensation review to drive attraction and retention of talent</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Improved certain employee benefit programs </w:t>
      </w:r>
    </w:p>
    <w:p w:rsidR="00000000" w:rsidRDefault="006F0EF5">
      <w:pPr>
        <w:ind w:hanging="360"/>
        <w:jc w:val="both"/>
        <w:rPr>
          <w:rFonts w:eastAsia="Times New Roman"/>
        </w:rPr>
      </w:pPr>
      <w:r>
        <w:rPr>
          <w:rFonts w:ascii="Arial" w:eastAsia="Times New Roman" w:hAnsi="Arial" w:cs="Arial"/>
          <w:b/>
          <w:bCs/>
          <w:color w:val="000000"/>
          <w:sz w:val="22"/>
          <w:szCs w:val="22"/>
        </w:rPr>
        <w:t>•</w:t>
      </w:r>
      <w:r>
        <w:rPr>
          <w:rFonts w:eastAsia="Times New Roman"/>
          <w:color w:val="000000"/>
          <w:sz w:val="20"/>
          <w:szCs w:val="20"/>
        </w:rPr>
        <w:t>Conducted annual employee engagement surve</w:t>
      </w:r>
      <w:r>
        <w:rPr>
          <w:rFonts w:eastAsia="Times New Roman"/>
          <w:color w:val="000000"/>
          <w:sz w:val="20"/>
          <w:szCs w:val="20"/>
        </w:rPr>
        <w:t>ys that yield an Employee Net Promoter Score (“eNPS”), the results of which are reported directly to the Executive Leadership Team and the Board, leveraged to identify areas of improvement</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Designed our compensation programs such that the results of our eN</w:t>
      </w:r>
      <w:r>
        <w:rPr>
          <w:rFonts w:eastAsia="Times New Roman"/>
          <w:color w:val="000000"/>
          <w:sz w:val="20"/>
          <w:szCs w:val="20"/>
        </w:rPr>
        <w:t xml:space="preserve">PS scores drive a portion of our executives’ annual compensation </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Provided opportunities for continuous education through NCR University, our online education platform for employees</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Supported external development with our tuition assistance program, whic</w:t>
      </w:r>
      <w:r>
        <w:rPr>
          <w:rFonts w:eastAsia="Times New Roman"/>
          <w:color w:val="000000"/>
          <w:sz w:val="20"/>
          <w:szCs w:val="20"/>
        </w:rPr>
        <w:t>h supports college and graduate-level education programs developing business-critical skills</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Conducted regular employee performance reviews to manage, engage and reward our employees</w:t>
      </w:r>
    </w:p>
    <w:p w:rsidR="00000000" w:rsidRDefault="006F0EF5">
      <w:pPr>
        <w:jc w:val="both"/>
        <w:rPr>
          <w:rFonts w:eastAsia="Times New Roman"/>
        </w:rPr>
      </w:pPr>
    </w:p>
    <w:p w:rsidR="00000000" w:rsidRDefault="006F0EF5">
      <w:pPr>
        <w:jc w:val="center"/>
        <w:divId w:val="2083984250"/>
        <w:rPr>
          <w:rFonts w:eastAsia="Times New Roman"/>
        </w:rPr>
      </w:pPr>
      <w:r>
        <w:rPr>
          <w:rFonts w:eastAsia="Times New Roman"/>
          <w:color w:val="000000"/>
          <w:sz w:val="20"/>
          <w:szCs w:val="20"/>
        </w:rPr>
        <w:t>7</w:t>
      </w:r>
    </w:p>
    <w:p w:rsidR="00000000" w:rsidRDefault="006F0EF5">
      <w:pPr>
        <w:rPr>
          <w:rFonts w:eastAsia="Times New Roman"/>
        </w:rPr>
      </w:pPr>
      <w:r>
        <w:rPr>
          <w:rFonts w:eastAsia="Times New Roman"/>
        </w:rPr>
        <w:pict>
          <v:rect id="_x0000_i1035" style="width:0;height:1.5pt" o:hralign="center" o:hrstd="t" o:hr="t" fillcolor="#a0a0a0" stroked="f"/>
        </w:pict>
      </w:r>
    </w:p>
    <w:p w:rsidR="00000000" w:rsidRDefault="006F0EF5">
      <w:pPr>
        <w:divId w:val="129074618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370641858"/>
        <w:rPr>
          <w:rFonts w:eastAsia="Times New Roman"/>
        </w:rPr>
      </w:pPr>
    </w:p>
    <w:p w:rsidR="00000000" w:rsidRDefault="006F0EF5">
      <w:pPr>
        <w:jc w:val="both"/>
        <w:rPr>
          <w:rFonts w:eastAsia="Times New Roman"/>
        </w:rPr>
      </w:pPr>
      <w:r>
        <w:rPr>
          <w:rFonts w:eastAsia="Times New Roman"/>
          <w:color w:val="000000"/>
          <w:sz w:val="20"/>
          <w:szCs w:val="20"/>
        </w:rPr>
        <w:t>Our current roadmap for future programs to invest in our people includes:</w:t>
      </w:r>
    </w:p>
    <w:p w:rsidR="00000000" w:rsidRDefault="006F0EF5">
      <w:pPr>
        <w:jc w:val="both"/>
        <w:rPr>
          <w:rFonts w:eastAsia="Times New Roman"/>
        </w:rPr>
      </w:pP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Upskilling talent in software and sales to enable the workforce of the future</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Developing an employee value proposition and brand st</w:t>
      </w:r>
      <w:r>
        <w:rPr>
          <w:rFonts w:eastAsia="Times New Roman"/>
          <w:color w:val="000000"/>
          <w:sz w:val="20"/>
          <w:szCs w:val="20"/>
        </w:rPr>
        <w:t>rategy</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Launching a new Leadership Development Program targeted towards top talent</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Focusing on internal talent mobility to develop and retain recent hires, including university hires</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Reimagining the onboarding experience to ensure all new hires are set u</w:t>
      </w:r>
      <w:r>
        <w:rPr>
          <w:rFonts w:eastAsia="Times New Roman"/>
          <w:color w:val="000000"/>
          <w:sz w:val="20"/>
          <w:szCs w:val="20"/>
        </w:rPr>
        <w:t xml:space="preserve">p for success </w:t>
      </w:r>
    </w:p>
    <w:p w:rsidR="00000000" w:rsidRDefault="006F0EF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Driving employee engagement and improving eNPS at regional and site levels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December 31, 2021, NCR had approximately 38,000 employees worldwide. Given the multinational nature of our business, we monitor our global employment footprint. As of December 31, 2021, our employees by geographic region included approximately: 27% in t</w:t>
      </w:r>
      <w:r>
        <w:rPr>
          <w:rFonts w:eastAsia="Times New Roman"/>
          <w:color w:val="000000"/>
          <w:sz w:val="20"/>
          <w:szCs w:val="20"/>
        </w:rPr>
        <w:t xml:space="preserve">he Asia Pacific and Japan region; 33% in the Europe, Middle East and Africa region; 27% in the Americas, excluding the United States; and 12% in the United States. </w:t>
      </w:r>
    </w:p>
    <w:p w:rsidR="00000000" w:rsidRDefault="006F0EF5">
      <w:pPr>
        <w:divId w:val="928848476"/>
        <w:rPr>
          <w:rFonts w:eastAsia="Times New Roman"/>
        </w:rPr>
      </w:pPr>
    </w:p>
    <w:p w:rsidR="00000000" w:rsidRDefault="006F0EF5">
      <w:pPr>
        <w:jc w:val="both"/>
        <w:rPr>
          <w:rFonts w:eastAsia="Times New Roman"/>
        </w:rPr>
      </w:pPr>
      <w:r>
        <w:rPr>
          <w:rFonts w:eastAsia="Times New Roman"/>
          <w:i/>
          <w:iCs/>
          <w:color w:val="000000"/>
          <w:sz w:val="20"/>
          <w:szCs w:val="20"/>
        </w:rPr>
        <w:t xml:space="preserve">Diversity, Equity and Inclusion (DE&amp;I). </w:t>
      </w:r>
      <w:r>
        <w:rPr>
          <w:rFonts w:eastAsia="Times New Roman"/>
          <w:color w:val="000000"/>
          <w:sz w:val="20"/>
          <w:szCs w:val="20"/>
        </w:rPr>
        <w:t xml:space="preserve">NCR believes in the power and value of diversity </w:t>
      </w:r>
      <w:r>
        <w:rPr>
          <w:rFonts w:eastAsia="Times New Roman"/>
          <w:color w:val="000000"/>
          <w:sz w:val="20"/>
          <w:szCs w:val="20"/>
        </w:rPr>
        <w:t>and strives to build a globally inclusive workplace where all people are treated fairly. We seek to include everyone, lead with empathy, and make our communities better. We encourage IDEAS (Inclusion, Diversity, Equity, Allyship, and Storytelling) and seek</w:t>
      </w:r>
      <w:r>
        <w:rPr>
          <w:rFonts w:eastAsia="Times New Roman"/>
          <w:color w:val="000000"/>
          <w:sz w:val="20"/>
          <w:szCs w:val="20"/>
        </w:rPr>
        <w:t xml:space="preserve"> to inspire each other to be our authentic selves. </w:t>
      </w:r>
    </w:p>
    <w:p w:rsidR="00000000" w:rsidRDefault="006F0EF5">
      <w:pPr>
        <w:divId w:val="1276716076"/>
        <w:rPr>
          <w:rFonts w:eastAsia="Times New Roman"/>
        </w:rPr>
      </w:pPr>
    </w:p>
    <w:p w:rsidR="00000000" w:rsidRDefault="006F0EF5">
      <w:pPr>
        <w:jc w:val="both"/>
        <w:rPr>
          <w:rFonts w:eastAsia="Times New Roman"/>
        </w:rPr>
      </w:pPr>
      <w:r>
        <w:rPr>
          <w:rFonts w:eastAsia="Times New Roman"/>
          <w:color w:val="000000"/>
          <w:sz w:val="20"/>
          <w:szCs w:val="20"/>
        </w:rPr>
        <w:t>We are proud to have three female directors serving on our Board. Additionally, 75% of the Board's committees are chaired by women.</w:t>
      </w:r>
    </w:p>
    <w:p w:rsidR="00000000" w:rsidRDefault="006F0EF5">
      <w:pPr>
        <w:divId w:val="1133870416"/>
        <w:rPr>
          <w:rFonts w:eastAsia="Times New Roman"/>
        </w:rPr>
      </w:pPr>
    </w:p>
    <w:p w:rsidR="00000000" w:rsidRDefault="006F0EF5">
      <w:pPr>
        <w:jc w:val="both"/>
        <w:rPr>
          <w:rFonts w:eastAsia="Times New Roman"/>
        </w:rPr>
      </w:pPr>
      <w:r>
        <w:rPr>
          <w:rFonts w:eastAsia="Times New Roman"/>
          <w:color w:val="000000"/>
          <w:sz w:val="20"/>
          <w:szCs w:val="20"/>
        </w:rPr>
        <w:t xml:space="preserve">We have been hard at work reviewing our DE&amp;I policies, practices and programs to identify opportunities for new inclusive </w:t>
      </w:r>
      <w:r>
        <w:rPr>
          <w:rFonts w:eastAsia="Times New Roman"/>
          <w:color w:val="000000"/>
          <w:sz w:val="20"/>
          <w:szCs w:val="20"/>
        </w:rPr>
        <w:t>initiatives.</w:t>
      </w:r>
    </w:p>
    <w:p w:rsidR="00000000" w:rsidRDefault="006F0EF5">
      <w:pPr>
        <w:divId w:val="525290008"/>
        <w:rPr>
          <w:rFonts w:eastAsia="Times New Roman"/>
        </w:rPr>
      </w:pPr>
    </w:p>
    <w:p w:rsidR="00000000" w:rsidRDefault="006F0EF5">
      <w:pPr>
        <w:jc w:val="both"/>
        <w:rPr>
          <w:rFonts w:eastAsia="Times New Roman"/>
        </w:rPr>
      </w:pPr>
      <w:r>
        <w:rPr>
          <w:rFonts w:eastAsia="Times New Roman"/>
          <w:color w:val="000000"/>
          <w:sz w:val="20"/>
          <w:szCs w:val="20"/>
        </w:rPr>
        <w:t>Our progress to date includes:</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•Appointed a Vice President, Culture &amp; Employee Experience to further champion an inclusive workplace culture for all</w:t>
      </w:r>
    </w:p>
    <w:p w:rsidR="00000000" w:rsidRDefault="006F0EF5">
      <w:pPr>
        <w:ind w:hanging="360"/>
        <w:jc w:val="both"/>
        <w:rPr>
          <w:rFonts w:eastAsia="Times New Roman"/>
        </w:rPr>
      </w:pPr>
      <w:r>
        <w:rPr>
          <w:rFonts w:eastAsia="Times New Roman"/>
          <w:color w:val="000000"/>
          <w:sz w:val="20"/>
          <w:szCs w:val="20"/>
        </w:rPr>
        <w:t>•Improved our supplier diversity program that invests in small businesses, as well as mino</w:t>
      </w:r>
      <w:r>
        <w:rPr>
          <w:rFonts w:eastAsia="Times New Roman"/>
          <w:color w:val="000000"/>
          <w:sz w:val="20"/>
          <w:szCs w:val="20"/>
        </w:rPr>
        <w:t>rity, women and veteran-owned business enterprises, and appointed a dedicated supplier diversity leader</w:t>
      </w:r>
    </w:p>
    <w:p w:rsidR="00000000" w:rsidRDefault="006F0EF5">
      <w:pPr>
        <w:ind w:hanging="360"/>
        <w:jc w:val="both"/>
        <w:rPr>
          <w:rFonts w:eastAsia="Times New Roman"/>
        </w:rPr>
      </w:pPr>
      <w:r>
        <w:rPr>
          <w:rFonts w:eastAsia="Times New Roman"/>
          <w:color w:val="000000"/>
          <w:sz w:val="20"/>
          <w:szCs w:val="20"/>
        </w:rPr>
        <w:t>•Continued to provide corporate funding and oversight of our Business Resource Groups to boost engagement and increase opportunities for professional de</w:t>
      </w:r>
      <w:r>
        <w:rPr>
          <w:rFonts w:eastAsia="Times New Roman"/>
          <w:color w:val="000000"/>
          <w:sz w:val="20"/>
          <w:szCs w:val="20"/>
        </w:rPr>
        <w:t>velopment and networking</w:t>
      </w:r>
    </w:p>
    <w:p w:rsidR="00000000" w:rsidRDefault="006F0EF5">
      <w:pPr>
        <w:ind w:hanging="360"/>
        <w:jc w:val="both"/>
        <w:rPr>
          <w:rFonts w:eastAsia="Times New Roman"/>
        </w:rPr>
      </w:pPr>
      <w:r>
        <w:rPr>
          <w:rFonts w:eastAsia="Times New Roman"/>
          <w:color w:val="000000"/>
          <w:sz w:val="20"/>
          <w:szCs w:val="20"/>
        </w:rPr>
        <w:t xml:space="preserve">•Completed a Mentorship Program led by our Black Professionals Forum Business Resource Group designed to provide professional guidance and career coaching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current roadmap for future programs includes:</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•Investing in the dev</w:t>
      </w:r>
      <w:r>
        <w:rPr>
          <w:rFonts w:eastAsia="Times New Roman"/>
          <w:color w:val="000000"/>
          <w:sz w:val="20"/>
          <w:szCs w:val="20"/>
        </w:rPr>
        <w:t xml:space="preserve">elopment of diverse talent through sponsorship initiatives and targeted development </w:t>
      </w:r>
    </w:p>
    <w:p w:rsidR="00000000" w:rsidRDefault="006F0EF5">
      <w:pPr>
        <w:ind w:hanging="360"/>
        <w:jc w:val="both"/>
        <w:rPr>
          <w:rFonts w:eastAsia="Times New Roman"/>
        </w:rPr>
      </w:pPr>
      <w:r>
        <w:rPr>
          <w:rFonts w:eastAsia="Times New Roman"/>
          <w:color w:val="000000"/>
          <w:sz w:val="20"/>
          <w:szCs w:val="20"/>
        </w:rPr>
        <w:t>•Publishing NCR’s diversity data</w:t>
      </w:r>
    </w:p>
    <w:p w:rsidR="00000000" w:rsidRDefault="006F0EF5">
      <w:pPr>
        <w:ind w:hanging="360"/>
        <w:jc w:val="both"/>
        <w:rPr>
          <w:rFonts w:eastAsia="Times New Roman"/>
        </w:rPr>
      </w:pPr>
      <w:r>
        <w:rPr>
          <w:rFonts w:eastAsia="Times New Roman"/>
          <w:color w:val="000000"/>
          <w:sz w:val="20"/>
          <w:szCs w:val="20"/>
        </w:rPr>
        <w:t xml:space="preserve">•Launching a series of courageous conversations and listening sessions to promote inclusion </w:t>
      </w:r>
    </w:p>
    <w:p w:rsidR="00000000" w:rsidRDefault="006F0EF5">
      <w:pPr>
        <w:ind w:hanging="360"/>
        <w:jc w:val="both"/>
        <w:rPr>
          <w:rFonts w:eastAsia="Times New Roman"/>
        </w:rPr>
      </w:pPr>
      <w:r>
        <w:rPr>
          <w:rFonts w:eastAsia="Times New Roman"/>
          <w:color w:val="000000"/>
          <w:sz w:val="20"/>
          <w:szCs w:val="20"/>
        </w:rPr>
        <w:t xml:space="preserve">•Launching a university diversity network to </w:t>
      </w:r>
      <w:r>
        <w:rPr>
          <w:rFonts w:eastAsia="Times New Roman"/>
          <w:color w:val="000000"/>
          <w:sz w:val="20"/>
          <w:szCs w:val="20"/>
        </w:rPr>
        <w:t>attract, hire, and grow diverse talent</w:t>
      </w:r>
    </w:p>
    <w:p w:rsidR="00000000" w:rsidRDefault="006F0EF5">
      <w:pPr>
        <w:ind w:hanging="360"/>
        <w:jc w:val="both"/>
        <w:rPr>
          <w:rFonts w:eastAsia="Times New Roman"/>
        </w:rPr>
      </w:pPr>
      <w:r>
        <w:rPr>
          <w:rFonts w:eastAsia="Times New Roman"/>
          <w:color w:val="000000"/>
          <w:sz w:val="20"/>
          <w:szCs w:val="20"/>
        </w:rPr>
        <w:t xml:space="preserve">•Restructuring and redeploying a council focused on global inclusion with the mission to inspire action that attracts, develops and retains top diverse talent and fosters an inclusive work environment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Government Re</w:t>
      </w:r>
      <w:r>
        <w:rPr>
          <w:rFonts w:eastAsia="Times New Roman"/>
          <w:b/>
          <w:bCs/>
          <w:color w:val="000000"/>
          <w:sz w:val="20"/>
          <w:szCs w:val="20"/>
        </w:rPr>
        <w:t>gulations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is subject to a variety of evolving government laws and regulations, including those related to environmental protection, in the various jurisdictions in which NCR operates or its products are sold, or where our offerings are used, includin</w:t>
      </w:r>
      <w:r>
        <w:rPr>
          <w:rFonts w:eastAsia="Times New Roman"/>
          <w:color w:val="000000"/>
          <w:sz w:val="20"/>
          <w:szCs w:val="20"/>
        </w:rPr>
        <w:t>g, for example, privacy and data protection laws, regulations and directives, and anti-corruption laws such as the United States Foreign Corrupt Practices Act and United Kingdom Bribery Act. In addition, though not material to our business taken as a whole</w:t>
      </w:r>
      <w:r>
        <w:rPr>
          <w:rFonts w:eastAsia="Times New Roman"/>
          <w:color w:val="000000"/>
          <w:sz w:val="20"/>
          <w:szCs w:val="20"/>
        </w:rPr>
        <w:t>, certain parts of NCR’s operating segments are subject to industry-specific laws and regulations. For example our digital banking business is subject to examination by the Federal Financial Institutions Examination Council (“FFIEC”); portions of our payme</w:t>
      </w:r>
      <w:r>
        <w:rPr>
          <w:rFonts w:eastAsia="Times New Roman"/>
          <w:color w:val="000000"/>
          <w:sz w:val="20"/>
          <w:szCs w:val="20"/>
        </w:rPr>
        <w:t>nts-related business are subject to or contractually obligated to comply with certain anti-money laundering laws and regulations such as the Bank Secrecy Act and their international counterparts; portions of certain businesses NCR recently acquired are cus</w:t>
      </w:r>
      <w:r>
        <w:rPr>
          <w:rFonts w:eastAsia="Times New Roman"/>
          <w:color w:val="000000"/>
          <w:sz w:val="20"/>
          <w:szCs w:val="20"/>
        </w:rPr>
        <w:t>tomer-facing and may be subject to certain consumer protection requirements such as oversight by the Consumer Financial Protection Bureau (“CFPB”) and Federal Trade Commission (“FTC”) and similar state or foreign agencies in the jurisdictions where they op</w:t>
      </w:r>
      <w:r>
        <w:rPr>
          <w:rFonts w:eastAsia="Times New Roman"/>
          <w:color w:val="000000"/>
          <w:sz w:val="20"/>
          <w:szCs w:val="20"/>
        </w:rPr>
        <w:t xml:space="preserve">erate; and portions of certain businesses NCR recently acquired are subject to a number of foreign, federal and state licensing requirements including </w:t>
      </w:r>
    </w:p>
    <w:p w:rsidR="00000000" w:rsidRDefault="006F0EF5">
      <w:pPr>
        <w:jc w:val="center"/>
        <w:divId w:val="580409094"/>
        <w:rPr>
          <w:rFonts w:eastAsia="Times New Roman"/>
        </w:rPr>
      </w:pPr>
      <w:r>
        <w:rPr>
          <w:rFonts w:eastAsia="Times New Roman"/>
          <w:color w:val="000000"/>
          <w:sz w:val="20"/>
          <w:szCs w:val="20"/>
        </w:rPr>
        <w:t>8</w:t>
      </w:r>
    </w:p>
    <w:p w:rsidR="00000000" w:rsidRDefault="006F0EF5">
      <w:pPr>
        <w:rPr>
          <w:rFonts w:eastAsia="Times New Roman"/>
        </w:rPr>
      </w:pPr>
      <w:r>
        <w:rPr>
          <w:rFonts w:eastAsia="Times New Roman"/>
        </w:rPr>
        <w:pict>
          <v:rect id="_x0000_i1036" style="width:0;height:1.5pt" o:hralign="center" o:hrstd="t" o:hr="t" fillcolor="#a0a0a0" stroked="f"/>
        </w:pict>
      </w:r>
    </w:p>
    <w:p w:rsidR="00000000" w:rsidRDefault="006F0EF5">
      <w:pPr>
        <w:divId w:val="755635125"/>
        <w:rPr>
          <w:rFonts w:eastAsia="Times New Roman"/>
        </w:rPr>
      </w:pPr>
      <w:hyperlink w:anchor="i820834c26f61401cb1d426994ba52a61_10" w:history="1">
        <w:r>
          <w:rPr>
            <w:rStyle w:val="a3"/>
            <w:rFonts w:eastAsia="Times New Roman"/>
            <w:sz w:val="16"/>
            <w:szCs w:val="16"/>
          </w:rPr>
          <w:t>Table o</w:t>
        </w:r>
        <w:r>
          <w:rPr>
            <w:rStyle w:val="a3"/>
            <w:rFonts w:eastAsia="Times New Roman"/>
            <w:sz w:val="16"/>
            <w:szCs w:val="16"/>
          </w:rPr>
          <w:t>f Contents</w:t>
        </w:r>
      </w:hyperlink>
    </w:p>
    <w:p w:rsidR="00000000" w:rsidRDefault="006F0EF5">
      <w:pPr>
        <w:divId w:val="228615091"/>
        <w:rPr>
          <w:rFonts w:eastAsia="Times New Roman"/>
        </w:rPr>
      </w:pPr>
    </w:p>
    <w:p w:rsidR="00000000" w:rsidRDefault="006F0EF5">
      <w:pPr>
        <w:jc w:val="both"/>
        <w:rPr>
          <w:rFonts w:eastAsia="Times New Roman"/>
        </w:rPr>
      </w:pPr>
      <w:r>
        <w:rPr>
          <w:rFonts w:eastAsia="Times New Roman"/>
          <w:color w:val="000000"/>
          <w:sz w:val="20"/>
          <w:szCs w:val="20"/>
        </w:rPr>
        <w:t xml:space="preserve">money transmission, money services and virtual currency, which may be subject to regulatory changes in the future in the jurisdictions where they operate.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Although NCR does not currently expect that compliance with government laws and regulations, inclu</w:t>
      </w:r>
      <w:r>
        <w:rPr>
          <w:rFonts w:eastAsia="Times New Roman"/>
          <w:color w:val="000000"/>
          <w:sz w:val="20"/>
          <w:szCs w:val="20"/>
        </w:rPr>
        <w:t>ding environmental regulations and those designated to address climate risk, will have a material effect upon the capital expenditures, cash flow, financial condition, earnings and competitive position of NCR, its segments or its subsidiaries, it is possib</w:t>
      </w:r>
      <w:r>
        <w:rPr>
          <w:rFonts w:eastAsia="Times New Roman"/>
          <w:color w:val="000000"/>
          <w:sz w:val="20"/>
          <w:szCs w:val="20"/>
        </w:rPr>
        <w:t>le that such compliance could have a material adverse impact on our capital expenditures, cash flow, financial condition, earnings or competitive position, including, but, not limited to, as NCR's Banking or Payments-related businesses grow or change as NC</w:t>
      </w:r>
      <w:r>
        <w:rPr>
          <w:rFonts w:eastAsia="Times New Roman"/>
          <w:color w:val="000000"/>
          <w:sz w:val="20"/>
          <w:szCs w:val="20"/>
        </w:rPr>
        <w:t>R continues to implement its business strategy. Further, while NCR does not currently expect to incur material capital expenditures related to compliance with such laws and regulations, and while we believe the amounts provided in our Consolidated Financia</w:t>
      </w:r>
      <w:r>
        <w:rPr>
          <w:rFonts w:eastAsia="Times New Roman"/>
          <w:color w:val="000000"/>
          <w:sz w:val="20"/>
          <w:szCs w:val="20"/>
        </w:rPr>
        <w:t>l Statements are adequate in light of the probable and estimable liabilities in this area, there can be no assurances that environmental matters will not lead to a material adverse impact on our capital expenditures, earnings or competitive position. A det</w:t>
      </w:r>
      <w:r>
        <w:rPr>
          <w:rFonts w:eastAsia="Times New Roman"/>
          <w:color w:val="000000"/>
          <w:sz w:val="20"/>
          <w:szCs w:val="20"/>
        </w:rPr>
        <w:t>ailed discussion of the current estimated impacts of compliance issues relating to environmental regulations, particularly the Fox River, Kalamazoo River and Ebina matters, is reported in Item 8 of Part II of this Report as part of Note 10, “Commitments an</w:t>
      </w:r>
      <w:r>
        <w:rPr>
          <w:rFonts w:eastAsia="Times New Roman"/>
          <w:color w:val="000000"/>
          <w:sz w:val="20"/>
          <w:szCs w:val="20"/>
        </w:rPr>
        <w:t xml:space="preserve">d Contingencies”, of the Notes to Consolidated Financial Statements and is incorporated herein by reference. Further information regarding the potential impact of compliance with governmental laws and regulations is also included in Item 1A of this Report </w:t>
      </w:r>
      <w:r>
        <w:rPr>
          <w:rFonts w:eastAsia="Times New Roman"/>
          <w:color w:val="000000"/>
          <w:sz w:val="20"/>
          <w:szCs w:val="20"/>
        </w:rPr>
        <w:t>and is incorporated herein by reference.</w:t>
      </w:r>
    </w:p>
    <w:p w:rsidR="00000000" w:rsidRDefault="006F0EF5">
      <w:pPr>
        <w:jc w:val="center"/>
        <w:divId w:val="1431463287"/>
        <w:rPr>
          <w:rFonts w:eastAsia="Times New Roman"/>
        </w:rPr>
      </w:pPr>
      <w:r>
        <w:rPr>
          <w:rFonts w:eastAsia="Times New Roman"/>
          <w:color w:val="000000"/>
          <w:sz w:val="20"/>
          <w:szCs w:val="20"/>
        </w:rPr>
        <w:t>9</w:t>
      </w:r>
    </w:p>
    <w:p w:rsidR="00000000" w:rsidRDefault="006F0EF5">
      <w:pPr>
        <w:rPr>
          <w:rFonts w:eastAsia="Times New Roman"/>
        </w:rPr>
      </w:pPr>
      <w:r>
        <w:rPr>
          <w:rFonts w:eastAsia="Times New Roman"/>
        </w:rPr>
        <w:pict>
          <v:rect id="_x0000_i1037" style="width:0;height:1.5pt" o:hralign="center" o:hrstd="t" o:hr="t" fillcolor="#a0a0a0" stroked="f"/>
        </w:pict>
      </w:r>
    </w:p>
    <w:p w:rsidR="00000000" w:rsidRDefault="006F0EF5">
      <w:pPr>
        <w:divId w:val="56538028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265584023"/>
        <w:rPr>
          <w:rFonts w:eastAsia="Times New Roman"/>
        </w:rPr>
      </w:pPr>
    </w:p>
    <w:p w:rsidR="00000000" w:rsidRDefault="006F0EF5">
      <w:pPr>
        <w:jc w:val="both"/>
        <w:rPr>
          <w:rFonts w:eastAsia="Times New Roman"/>
        </w:rPr>
      </w:pPr>
    </w:p>
    <w:p w:rsidR="00000000" w:rsidRDefault="006F0EF5">
      <w:pPr>
        <w:jc w:val="both"/>
        <w:divId w:val="609047985"/>
        <w:rPr>
          <w:rFonts w:eastAsia="Times New Roman"/>
        </w:rPr>
      </w:pPr>
      <w:r>
        <w:rPr>
          <w:rFonts w:eastAsia="Times New Roman"/>
          <w:b/>
          <w:bCs/>
          <w:color w:val="000000"/>
          <w:sz w:val="20"/>
          <w:szCs w:val="20"/>
        </w:rPr>
        <w:t>Information about our Executive Officers</w:t>
      </w:r>
    </w:p>
    <w:p w:rsidR="00000000" w:rsidRDefault="006F0EF5">
      <w:pPr>
        <w:jc w:val="both"/>
        <w:rPr>
          <w:rFonts w:eastAsia="Times New Roman"/>
        </w:rPr>
      </w:pPr>
      <w:r>
        <w:rPr>
          <w:rFonts w:eastAsia="Times New Roman"/>
          <w:color w:val="000000"/>
          <w:sz w:val="20"/>
          <w:szCs w:val="20"/>
        </w:rPr>
        <w:t xml:space="preserve">The Executive Officers of NCR (as of February 25, 2022) are as follows: </w:t>
      </w:r>
    </w:p>
    <w:tbl>
      <w:tblPr>
        <w:tblW w:w="4830" w:type="pct"/>
        <w:jc w:val="center"/>
        <w:tblCellMar>
          <w:top w:w="15" w:type="dxa"/>
          <w:left w:w="15" w:type="dxa"/>
          <w:bottom w:w="15" w:type="dxa"/>
          <w:right w:w="15" w:type="dxa"/>
        </w:tblCellMar>
        <w:tblLook w:val="04A0" w:firstRow="1" w:lastRow="0" w:firstColumn="1" w:lastColumn="0" w:noHBand="0" w:noVBand="1"/>
      </w:tblPr>
      <w:tblGrid>
        <w:gridCol w:w="55"/>
        <w:gridCol w:w="1987"/>
        <w:gridCol w:w="38"/>
        <w:gridCol w:w="36"/>
        <w:gridCol w:w="99"/>
        <w:gridCol w:w="36"/>
        <w:gridCol w:w="71"/>
        <w:gridCol w:w="262"/>
        <w:gridCol w:w="36"/>
        <w:gridCol w:w="36"/>
        <w:gridCol w:w="58"/>
        <w:gridCol w:w="36"/>
        <w:gridCol w:w="56"/>
        <w:gridCol w:w="5180"/>
        <w:gridCol w:w="38"/>
      </w:tblGrid>
      <w:tr w:rsidR="00000000">
        <w:trPr>
          <w:divId w:val="1751078657"/>
          <w:jc w:val="center"/>
        </w:trPr>
        <w:tc>
          <w:tcPr>
            <w:tcW w:w="50" w:type="pct"/>
            <w:vAlign w:val="center"/>
            <w:hideMark/>
          </w:tcPr>
          <w:p w:rsidR="00000000" w:rsidRDefault="006F0EF5">
            <w:pPr>
              <w:jc w:val="both"/>
              <w:rPr>
                <w:rFonts w:eastAsia="Times New Roman"/>
              </w:rPr>
            </w:pPr>
          </w:p>
        </w:tc>
        <w:tc>
          <w:tcPr>
            <w:tcW w:w="125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7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8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2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751078657"/>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8"/>
                <w:szCs w:val="18"/>
              </w:rPr>
              <w:t>Name</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Age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8"/>
                <w:szCs w:val="18"/>
              </w:rPr>
              <w:t>Position and Offices Held</w:t>
            </w:r>
          </w:p>
        </w:tc>
      </w:tr>
      <w:tr w:rsidR="00000000">
        <w:trPr>
          <w:divId w:val="1751078657"/>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Frank R. Martire</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74</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Executive Chairman</w:t>
            </w:r>
          </w:p>
        </w:tc>
      </w:tr>
      <w:tr w:rsidR="00000000">
        <w:trPr>
          <w:divId w:val="1751078657"/>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Michael D. Hayford</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Chief Executive Officer</w:t>
            </w:r>
          </w:p>
        </w:tc>
      </w:tr>
      <w:tr w:rsidR="00000000">
        <w:trPr>
          <w:divId w:val="1751078657"/>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Owen J. Sullivan</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64</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President and Chief Operating Officer</w:t>
            </w:r>
          </w:p>
        </w:tc>
      </w:tr>
      <w:tr w:rsidR="00000000">
        <w:trPr>
          <w:divId w:val="1751078657"/>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xml:space="preserve">Timothy C. Oliver </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53</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Senior Executive Vice President and Chief Financial Officer</w:t>
            </w:r>
          </w:p>
        </w:tc>
      </w:tr>
      <w:tr w:rsidR="00000000">
        <w:trPr>
          <w:divId w:val="1751078657"/>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James M. Bedore</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Executive Vice President, General Counsel and Secretary</w:t>
            </w:r>
          </w:p>
        </w:tc>
      </w:tr>
      <w:tr w:rsidR="00000000">
        <w:trPr>
          <w:divId w:val="1751078657"/>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Adrian Button</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49</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xml:space="preserve">Executive Vice President, Product and Service Operations </w:t>
            </w:r>
          </w:p>
        </w:tc>
      </w:tr>
      <w:tr w:rsidR="00000000">
        <w:trPr>
          <w:divId w:val="1751078657"/>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Daniel W. Campbell</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61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Executive Vice President, NCR Global Sales</w:t>
            </w:r>
          </w:p>
        </w:tc>
      </w:tr>
      <w:tr w:rsidR="00000000">
        <w:trPr>
          <w:divId w:val="1751078657"/>
          <w:jc w:val="center"/>
        </w:trPr>
        <w:tc>
          <w:tcPr>
            <w:tcW w:w="0" w:type="auto"/>
            <w:gridSpan w:val="3"/>
            <w:tcMar>
              <w:top w:w="30" w:type="dxa"/>
              <w:left w:w="20" w:type="dxa"/>
              <w:bottom w:w="30" w:type="dxa"/>
              <w:right w:w="20" w:type="dxa"/>
            </w:tcMar>
            <w:vAlign w:val="bottom"/>
            <w:hideMark/>
          </w:tcPr>
          <w:p w:rsidR="00000000" w:rsidRDefault="006F0EF5">
            <w:pPr>
              <w:spacing w:after="100"/>
              <w:divId w:val="293489282"/>
              <w:rPr>
                <w:rFonts w:eastAsia="Times New Roman"/>
              </w:rPr>
            </w:pPr>
            <w:r>
              <w:rPr>
                <w:rFonts w:eastAsia="Times New Roman"/>
                <w:color w:val="000000"/>
                <w:sz w:val="20"/>
                <w:szCs w:val="20"/>
              </w:rPr>
              <w:t>Patrice Graves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55</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divId w:val="1895310997"/>
              <w:rPr>
                <w:rFonts w:eastAsia="Times New Roman"/>
              </w:rPr>
            </w:pPr>
            <w:r>
              <w:rPr>
                <w:rFonts w:eastAsia="Times New Roman"/>
                <w:color w:val="000000"/>
                <w:sz w:val="20"/>
                <w:szCs w:val="20"/>
              </w:rPr>
              <w:t>Executive Vice President and Chief Human Resources Officer</w:t>
            </w:r>
          </w:p>
        </w:tc>
      </w:tr>
      <w:tr w:rsidR="00000000">
        <w:trPr>
          <w:divId w:val="1751078657"/>
          <w:jc w:val="center"/>
        </w:trPr>
        <w:tc>
          <w:tcPr>
            <w:tcW w:w="0" w:type="auto"/>
            <w:gridSpan w:val="3"/>
            <w:tcMar>
              <w:top w:w="30" w:type="dxa"/>
              <w:left w:w="20" w:type="dxa"/>
              <w:bottom w:w="30" w:type="dxa"/>
              <w:right w:w="20" w:type="dxa"/>
            </w:tcMar>
            <w:vAlign w:val="center"/>
            <w:hideMark/>
          </w:tcPr>
          <w:p w:rsidR="00000000" w:rsidRDefault="006F0EF5">
            <w:pPr>
              <w:spacing w:after="100"/>
              <w:divId w:val="1091313892"/>
              <w:rPr>
                <w:rFonts w:eastAsia="Times New Roman"/>
              </w:rPr>
            </w:pPr>
            <w:r>
              <w:rPr>
                <w:rFonts w:eastAsia="Times New Roman"/>
                <w:color w:val="000000"/>
                <w:sz w:val="20"/>
                <w:szCs w:val="20"/>
              </w:rPr>
              <w:t>Donald W. Layden, Jr.</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6F0EF5">
            <w:pPr>
              <w:spacing w:after="100"/>
              <w:jc w:val="center"/>
              <w:rPr>
                <w:rFonts w:eastAsia="Times New Roman"/>
              </w:rPr>
            </w:pPr>
            <w:r>
              <w:rPr>
                <w:rFonts w:eastAsia="Times New Roman"/>
                <w:color w:val="000000"/>
                <w:sz w:val="20"/>
                <w:szCs w:val="20"/>
              </w:rPr>
              <w:t>64</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divId w:val="1449347579"/>
              <w:rPr>
                <w:rFonts w:eastAsia="Times New Roman"/>
              </w:rPr>
            </w:pPr>
            <w:r>
              <w:rPr>
                <w:rFonts w:eastAsia="Times New Roman"/>
                <w:color w:val="000000"/>
                <w:sz w:val="20"/>
                <w:szCs w:val="20"/>
              </w:rPr>
              <w:t>Executive Vice President, President, Payments &amp; Network, Head of Strategy and M&amp;A</w:t>
            </w:r>
          </w:p>
        </w:tc>
      </w:tr>
      <w:tr w:rsidR="00000000">
        <w:trPr>
          <w:divId w:val="1751078657"/>
          <w:jc w:val="center"/>
        </w:trPr>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Beth A. Potter</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Chief Accounting Officer</w:t>
            </w: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Set forth below is a description of the background of each of the Executive Officers.</w:t>
      </w:r>
    </w:p>
    <w:p w:rsidR="00000000" w:rsidRDefault="006F0EF5">
      <w:pPr>
        <w:jc w:val="both"/>
        <w:rPr>
          <w:rFonts w:eastAsia="Times New Roman"/>
        </w:rPr>
      </w:pPr>
      <w:r>
        <w:rPr>
          <w:rFonts w:eastAsia="Times New Roman"/>
          <w:color w:val="000000"/>
          <w:sz w:val="20"/>
          <w:szCs w:val="20"/>
        </w:rPr>
        <w:t xml:space="preserve">Frank R. Martire is Executive Chairman of NCR, a position he has held since May 2018. Mr. Martire most recently served as Non-Executive Chairman of Fidelity National Information Services, Inc. (“FIS”), a financial services technology company. From 2015 to </w:t>
      </w:r>
      <w:r>
        <w:rPr>
          <w:rFonts w:eastAsia="Times New Roman"/>
          <w:color w:val="000000"/>
          <w:sz w:val="20"/>
          <w:szCs w:val="20"/>
        </w:rPr>
        <w:t xml:space="preserve">2017, he served as Executive Chairman of FIS and from 2009 to 2015 was President and Chief Executive Officer of FIS after its acquisition of Metavante Technologies, Inc. (“Metavante”), a bank technology processing company. Mr. Martire previously served as </w:t>
      </w:r>
      <w:r>
        <w:rPr>
          <w:rFonts w:eastAsia="Times New Roman"/>
          <w:color w:val="000000"/>
          <w:sz w:val="20"/>
          <w:szCs w:val="20"/>
        </w:rPr>
        <w:t>Chief Executive Officer of Metavante from 2003 to 2009 and President from 2003 to 2008. Prior to that, he was President and Chief Operating Officer of Call Solutions Inc. from 2001 to 2003 and President and Chief Operating Officer, Financial Institution Sy</w:t>
      </w:r>
      <w:r>
        <w:rPr>
          <w:rFonts w:eastAsia="Times New Roman"/>
          <w:color w:val="000000"/>
          <w:sz w:val="20"/>
          <w:szCs w:val="20"/>
        </w:rPr>
        <w:t>stems and Services Group, of Fiserv, Inc. from 1991 to 2001. Mr. Martire was a member of the Board of Directors of J. Alexander’s Holdings, Inc. from 2015 to 2021, where he served as Lead Independent Director from 2019 to 2021. Mr. Martire is a member of t</w:t>
      </w:r>
      <w:r>
        <w:rPr>
          <w:rFonts w:eastAsia="Times New Roman"/>
          <w:color w:val="000000"/>
          <w:sz w:val="20"/>
          <w:szCs w:val="20"/>
        </w:rPr>
        <w:t>he Board of Directors of Cannae Holdings, Inc., where he serves as Lead Independent Director. Mr. Martire became a director of NCR on May 31, 2018.</w:t>
      </w:r>
    </w:p>
    <w:p w:rsidR="00000000" w:rsidRDefault="006F0EF5">
      <w:pPr>
        <w:divId w:val="1858542672"/>
        <w:rPr>
          <w:rFonts w:eastAsia="Times New Roman"/>
        </w:rPr>
      </w:pPr>
    </w:p>
    <w:p w:rsidR="00000000" w:rsidRDefault="006F0EF5">
      <w:pPr>
        <w:jc w:val="both"/>
        <w:rPr>
          <w:rFonts w:eastAsia="Times New Roman"/>
        </w:rPr>
      </w:pPr>
      <w:r>
        <w:rPr>
          <w:rFonts w:eastAsia="Times New Roman"/>
          <w:color w:val="000000"/>
          <w:sz w:val="20"/>
          <w:szCs w:val="20"/>
        </w:rPr>
        <w:t>Michael D. Hayford is Chief Executive Officer of NCR, a position he has held since April 2018. Mr. Hayford</w:t>
      </w:r>
      <w:r>
        <w:rPr>
          <w:rFonts w:eastAsia="Times New Roman"/>
          <w:color w:val="000000"/>
          <w:sz w:val="20"/>
          <w:szCs w:val="20"/>
        </w:rPr>
        <w:t xml:space="preserve"> was most recently Founding Partner of Motive Partners, an investment firm focused on technology-enabled companies that power the financial services industry. From 2009 until his retirement in 2013, Mr. Hayford served as the Executive Vice President and Ch</w:t>
      </w:r>
      <w:r>
        <w:rPr>
          <w:rFonts w:eastAsia="Times New Roman"/>
          <w:color w:val="000000"/>
          <w:sz w:val="20"/>
          <w:szCs w:val="20"/>
        </w:rPr>
        <w:t>ief Financial Officer at Fidelity National Information Services, Inc. (“FIS”), a financial services technology company. Prior to joining FIS, Mr. Hayford was with Metavante Technologies, Inc. (“Metavante”), a bank technology processing company, from 1992 t</w:t>
      </w:r>
      <w:r>
        <w:rPr>
          <w:rFonts w:eastAsia="Times New Roman"/>
          <w:color w:val="000000"/>
          <w:sz w:val="20"/>
          <w:szCs w:val="20"/>
        </w:rPr>
        <w:t>o 2009. He served as the Chief Operating Officer at Metavante from 2006 to 2009 and as the President from 2008 to 2009. From 2007 to 2009, Mr. Hayford also served on the Board of Directors of Metavante. Mr. Hayford was a member of the Board of Directors an</w:t>
      </w:r>
      <w:r>
        <w:rPr>
          <w:rFonts w:eastAsia="Times New Roman"/>
          <w:color w:val="000000"/>
          <w:sz w:val="20"/>
          <w:szCs w:val="20"/>
        </w:rPr>
        <w:t>d the Audit Committee of Endurance International Group Holdings, Inc. from 2013 to 2019, and was a member of the Board of Directors and Chairman of the Audit Committee of West Bend Mutual Insurance Company from 2007 to 2018. Mr. Hayford became a director o</w:t>
      </w:r>
      <w:r>
        <w:rPr>
          <w:rFonts w:eastAsia="Times New Roman"/>
          <w:color w:val="000000"/>
          <w:sz w:val="20"/>
          <w:szCs w:val="20"/>
        </w:rPr>
        <w:t>f NCR on April 30, 2018.</w:t>
      </w:r>
    </w:p>
    <w:p w:rsidR="00000000" w:rsidRDefault="006F0EF5">
      <w:pPr>
        <w:jc w:val="both"/>
        <w:rPr>
          <w:rFonts w:eastAsia="Times New Roman"/>
        </w:rPr>
      </w:pPr>
      <w:r>
        <w:rPr>
          <w:rFonts w:eastAsia="Times New Roman"/>
          <w:color w:val="000000"/>
          <w:sz w:val="20"/>
          <w:szCs w:val="20"/>
        </w:rPr>
        <w:br/>
        <w:t>Owen J. Sullivan is President and Chief Operating Officer of NCR. Mr. Sullivan has served as President of NCR since August 2021 and as Chief Operating Officer of NCR since July 2018. Mr. Sullivan was most recently an independent c</w:t>
      </w:r>
      <w:r>
        <w:rPr>
          <w:rFonts w:eastAsia="Times New Roman"/>
          <w:color w:val="000000"/>
          <w:sz w:val="20"/>
          <w:szCs w:val="20"/>
        </w:rPr>
        <w:t>onsultant, providing strategic planning, consulting and executive mentoring, and working with and investing alongside private equity firms and other investor groups. Prior to that, Mr. Sullivan was with ManpowerGroup Inc. (“ManpowerGroup”), a workforce and</w:t>
      </w:r>
      <w:r>
        <w:rPr>
          <w:rFonts w:eastAsia="Times New Roman"/>
          <w:color w:val="000000"/>
          <w:sz w:val="20"/>
          <w:szCs w:val="20"/>
        </w:rPr>
        <w:t xml:space="preserve"> talent management solutions company, from 2003 to 2013. At ManpowerGroup, he served as President of the Specialty Brands and Experis units from 2010 to 2013 and he served as the Chief Executive Officer of the Right Management and Jefferson Wells Internati</w:t>
      </w:r>
      <w:r>
        <w:rPr>
          <w:rFonts w:eastAsia="Times New Roman"/>
          <w:color w:val="000000"/>
          <w:sz w:val="20"/>
          <w:szCs w:val="20"/>
        </w:rPr>
        <w:t>onal, Inc. subsidiaries from 2004 to 2013 and from 2003 to 2010, respectively. Before joining ManpowerGroup, Mr. Sullivan was with Sullivan Advisors, LLC, a provider of strategic planning, consulting and executive mentoring for small to medium-sized busine</w:t>
      </w:r>
      <w:r>
        <w:rPr>
          <w:rFonts w:eastAsia="Times New Roman"/>
          <w:color w:val="000000"/>
          <w:sz w:val="20"/>
          <w:szCs w:val="20"/>
        </w:rPr>
        <w:t>sses from 2001 to 2003. Prior to that, Mr. Sullivan was with Metavante Technologies, Inc., a bank technology processing company, from 1993 to 2001, where he served in various management roles including as the President of Metavante’s Financial Services Gro</w:t>
      </w:r>
      <w:r>
        <w:rPr>
          <w:rFonts w:eastAsia="Times New Roman"/>
          <w:color w:val="000000"/>
          <w:sz w:val="20"/>
          <w:szCs w:val="20"/>
        </w:rPr>
        <w:t>up and Enterprise Solutions Group. Mr. Sullivan served as a member of the Board of Directors of Johnson Financial Group, Inc., a bank holding company, where he served as a member of its Wealth Management, Risk and Succession Committees through 2018. Mr. Su</w:t>
      </w:r>
      <w:r>
        <w:rPr>
          <w:rFonts w:eastAsia="Times New Roman"/>
          <w:color w:val="000000"/>
          <w:sz w:val="20"/>
          <w:szCs w:val="20"/>
        </w:rPr>
        <w:t xml:space="preserve">llivan is a member of the Board of Directors of Computer Task Group, Incorporated and serves as a member of its Compensation and Audit Committees. </w:t>
      </w:r>
    </w:p>
    <w:p w:rsidR="00000000" w:rsidRDefault="006F0EF5">
      <w:pPr>
        <w:jc w:val="both"/>
        <w:rPr>
          <w:rFonts w:eastAsia="Times New Roman"/>
        </w:rPr>
      </w:pPr>
    </w:p>
    <w:p w:rsidR="00000000" w:rsidRDefault="006F0EF5">
      <w:pPr>
        <w:jc w:val="center"/>
        <w:divId w:val="834344265"/>
        <w:rPr>
          <w:rFonts w:eastAsia="Times New Roman"/>
        </w:rPr>
      </w:pPr>
      <w:r>
        <w:rPr>
          <w:rFonts w:eastAsia="Times New Roman"/>
          <w:color w:val="000000"/>
          <w:sz w:val="20"/>
          <w:szCs w:val="20"/>
        </w:rPr>
        <w:t>10</w:t>
      </w:r>
    </w:p>
    <w:p w:rsidR="00000000" w:rsidRDefault="006F0EF5">
      <w:pPr>
        <w:rPr>
          <w:rFonts w:eastAsia="Times New Roman"/>
        </w:rPr>
      </w:pPr>
      <w:r>
        <w:rPr>
          <w:rFonts w:eastAsia="Times New Roman"/>
        </w:rPr>
        <w:pict>
          <v:rect id="_x0000_i1038" style="width:0;height:1.5pt" o:hralign="center" o:hrstd="t" o:hr="t" fillcolor="#a0a0a0" stroked="f"/>
        </w:pict>
      </w:r>
    </w:p>
    <w:p w:rsidR="00000000" w:rsidRDefault="006F0EF5">
      <w:pPr>
        <w:divId w:val="45570087"/>
        <w:rPr>
          <w:rFonts w:eastAsia="Times New Roman"/>
        </w:rPr>
      </w:pPr>
      <w:hyperlink w:anchor="i820834c26f61401cb1d426994ba52a61_10" w:history="1">
        <w:r>
          <w:rPr>
            <w:rStyle w:val="a3"/>
            <w:rFonts w:eastAsia="Times New Roman"/>
            <w:sz w:val="16"/>
            <w:szCs w:val="16"/>
          </w:rPr>
          <w:t>Table o</w:t>
        </w:r>
        <w:r>
          <w:rPr>
            <w:rStyle w:val="a3"/>
            <w:rFonts w:eastAsia="Times New Roman"/>
            <w:sz w:val="16"/>
            <w:szCs w:val="16"/>
          </w:rPr>
          <w:t>f Contents</w:t>
        </w:r>
      </w:hyperlink>
    </w:p>
    <w:p w:rsidR="00000000" w:rsidRDefault="006F0EF5">
      <w:pPr>
        <w:divId w:val="1810246126"/>
        <w:rPr>
          <w:rFonts w:eastAsia="Times New Roman"/>
        </w:rPr>
      </w:pPr>
    </w:p>
    <w:p w:rsidR="00000000" w:rsidRDefault="006F0EF5">
      <w:pPr>
        <w:jc w:val="both"/>
        <w:rPr>
          <w:rFonts w:eastAsia="Times New Roman"/>
        </w:rPr>
      </w:pPr>
      <w:r>
        <w:rPr>
          <w:rFonts w:eastAsia="Times New Roman"/>
          <w:color w:val="000000"/>
          <w:sz w:val="20"/>
          <w:szCs w:val="20"/>
        </w:rPr>
        <w:t>Timothy C. Oliver is Senior Executive Vice President and Chief Financial Officer of NCR, a position he has held since July 13, 2020. Mr. Oliver most recently served as Chief Financial Officer of Spring Window Fashions, LLC, a consumer goods co</w:t>
      </w:r>
      <w:r>
        <w:rPr>
          <w:rFonts w:eastAsia="Times New Roman"/>
          <w:color w:val="000000"/>
          <w:sz w:val="20"/>
          <w:szCs w:val="20"/>
        </w:rPr>
        <w:t>mpany, and a member of the company's leadership team, since September 2019. In this role he focused on, among other things, aligning the company's business portfolio and growth initiatives with its finance strategy. From 2011 to 2019, he served as Presiden</w:t>
      </w:r>
      <w:r>
        <w:rPr>
          <w:rFonts w:eastAsia="Times New Roman"/>
          <w:color w:val="000000"/>
          <w:sz w:val="20"/>
          <w:szCs w:val="20"/>
        </w:rPr>
        <w:t>t and Chief Financial Officer of the Goldstein Group Inc. (“GGI”), a privately held conglomerate, and its subsidiary, Alter Trading Corporation (“Alter”), a privately held metal recycler and broker company. Before joining GGI and Alter, he was the Senior V</w:t>
      </w:r>
      <w:r>
        <w:rPr>
          <w:rFonts w:eastAsia="Times New Roman"/>
          <w:color w:val="000000"/>
          <w:sz w:val="20"/>
          <w:szCs w:val="20"/>
        </w:rPr>
        <w:t>ice President and Chief Financial Officer of MEMC Electronic Materials, Inc., a publicly held technology company (now SunEdison, Inc.), from 2009 to 2011, and Senior Executive Vice President and Chief Financial Officer of Metavante Technologies, Inc., a pu</w:t>
      </w:r>
      <w:r>
        <w:rPr>
          <w:rFonts w:eastAsia="Times New Roman"/>
          <w:color w:val="000000"/>
          <w:sz w:val="20"/>
          <w:szCs w:val="20"/>
        </w:rPr>
        <w:t>blicly held bank technology processing company, from 2007 to 2009. He also previously served as Vice President and Treasurer of Rockwell Automation, Inc. (“Rockwell Automation”), an industrial automation and digital transformation company, from 2005 to 200</w:t>
      </w:r>
      <w:r>
        <w:rPr>
          <w:rFonts w:eastAsia="Times New Roman"/>
          <w:color w:val="000000"/>
          <w:sz w:val="20"/>
          <w:szCs w:val="20"/>
        </w:rPr>
        <w:t>7. Before joining Rockwell Automation, he was Vice President for Investor Relations and Financial Planning at Raytheon Company. Mr. Oliver's prior roles included a focus on transforming finance organizations to position companies for growth.</w:t>
      </w:r>
    </w:p>
    <w:p w:rsidR="00000000" w:rsidRDefault="006F0EF5">
      <w:pPr>
        <w:jc w:val="both"/>
        <w:rPr>
          <w:rFonts w:eastAsia="Times New Roman"/>
        </w:rPr>
      </w:pPr>
    </w:p>
    <w:p w:rsidR="00000000" w:rsidRDefault="006F0EF5">
      <w:pPr>
        <w:jc w:val="both"/>
        <w:rPr>
          <w:rFonts w:eastAsia="Times New Roman"/>
        </w:rPr>
      </w:pPr>
      <w:r>
        <w:rPr>
          <w:rFonts w:eastAsia="Times New Roman"/>
          <w:color w:val="191C1F"/>
          <w:sz w:val="20"/>
          <w:szCs w:val="20"/>
        </w:rPr>
        <w:t>James M. Bed</w:t>
      </w:r>
      <w:r>
        <w:rPr>
          <w:rFonts w:eastAsia="Times New Roman"/>
          <w:color w:val="191C1F"/>
          <w:sz w:val="20"/>
          <w:szCs w:val="20"/>
        </w:rPr>
        <w:t xml:space="preserve">ore is Executive Vice President, General Counsel and Secretary of NCR, a position he has held since November 2018. Mr. Bedore </w:t>
      </w:r>
      <w:r>
        <w:rPr>
          <w:rFonts w:eastAsia="Times New Roman"/>
          <w:color w:val="161616"/>
          <w:sz w:val="20"/>
          <w:szCs w:val="20"/>
        </w:rPr>
        <w:t xml:space="preserve">oversees the NCR Office of Risk Management, responsible for enterprise risk management, third party risk management and business continuity. </w:t>
      </w:r>
      <w:r>
        <w:rPr>
          <w:rFonts w:eastAsia="Times New Roman"/>
          <w:color w:val="191C1F"/>
          <w:sz w:val="20"/>
          <w:szCs w:val="20"/>
        </w:rPr>
        <w:t xml:space="preserve">Prior to NCR, Mr. Bedore </w:t>
      </w:r>
      <w:r>
        <w:rPr>
          <w:rFonts w:eastAsia="Times New Roman"/>
          <w:color w:val="161616"/>
          <w:sz w:val="20"/>
          <w:szCs w:val="20"/>
        </w:rPr>
        <w:t xml:space="preserve">was </w:t>
      </w:r>
      <w:r>
        <w:rPr>
          <w:rFonts w:eastAsia="Times New Roman"/>
          <w:color w:val="191C1F"/>
          <w:sz w:val="20"/>
          <w:szCs w:val="20"/>
        </w:rPr>
        <w:t>an attorney in private practice with Reinhart Boerner Van Deuren s.c. from 1985 to 201</w:t>
      </w:r>
      <w:r>
        <w:rPr>
          <w:rFonts w:eastAsia="Times New Roman"/>
          <w:color w:val="191C1F"/>
          <w:sz w:val="20"/>
          <w:szCs w:val="20"/>
        </w:rPr>
        <w:t xml:space="preserve">8, where he was a </w:t>
      </w:r>
      <w:r>
        <w:rPr>
          <w:rFonts w:eastAsia="Times New Roman"/>
          <w:color w:val="161616"/>
          <w:sz w:val="20"/>
          <w:szCs w:val="20"/>
        </w:rPr>
        <w:t xml:space="preserve">Shareholder, member of the firm’s Board of Directors and Chair of the firm’s Securities Team, advising </w:t>
      </w:r>
      <w:r>
        <w:rPr>
          <w:rFonts w:eastAsia="Times New Roman"/>
          <w:color w:val="191C1F"/>
          <w:sz w:val="20"/>
          <w:szCs w:val="20"/>
        </w:rPr>
        <w:t>clients on a variety of corporate matters including mergers and acquisitions, public securities offerings on behalf of issuers and unde</w:t>
      </w:r>
      <w:r>
        <w:rPr>
          <w:rFonts w:eastAsia="Times New Roman"/>
          <w:color w:val="191C1F"/>
          <w:sz w:val="20"/>
          <w:szCs w:val="20"/>
        </w:rPr>
        <w:t>rwriters, private placements, venture capital, bank and other financing arrangements, securities compliance, reporting and disclosure obligations, corporate governance, shareholder rights and executive compensation.</w:t>
      </w:r>
    </w:p>
    <w:p w:rsidR="00000000" w:rsidRDefault="006F0EF5">
      <w:pPr>
        <w:divId w:val="994800126"/>
        <w:rPr>
          <w:rFonts w:eastAsia="Times New Roman"/>
        </w:rPr>
      </w:pPr>
    </w:p>
    <w:p w:rsidR="00000000" w:rsidRDefault="006F0EF5">
      <w:pPr>
        <w:jc w:val="both"/>
        <w:rPr>
          <w:rFonts w:eastAsia="Times New Roman"/>
        </w:rPr>
      </w:pPr>
      <w:r>
        <w:rPr>
          <w:rFonts w:eastAsia="Times New Roman"/>
          <w:color w:val="000000"/>
          <w:sz w:val="20"/>
          <w:szCs w:val="20"/>
        </w:rPr>
        <w:t xml:space="preserve">Adrian Button is NCR’s Executive Vice </w:t>
      </w:r>
      <w:r>
        <w:rPr>
          <w:rFonts w:eastAsia="Times New Roman"/>
          <w:color w:val="000000"/>
          <w:sz w:val="20"/>
          <w:szCs w:val="20"/>
        </w:rPr>
        <w:t>President, Product and Service Operations, a position he has held since June 2020. From February 2018 to June 2020, Mr. Button served as NCR’s Senior Vice President, Hardware Product Operations. From July 2017 to February 2018, Mr. Button served as NCR’s S</w:t>
      </w:r>
      <w:r>
        <w:rPr>
          <w:rFonts w:eastAsia="Times New Roman"/>
          <w:color w:val="000000"/>
          <w:sz w:val="20"/>
          <w:szCs w:val="20"/>
        </w:rPr>
        <w:t>enior Vice President, Global Operations. Before he joined NCR, Mr. Button spent 19 years in various management roles with different divisions of General Electric Company (“GE”). Most recently, Mr. Button served from January 2016 to July 2017 as Vice Presid</w:t>
      </w:r>
      <w:r>
        <w:rPr>
          <w:rFonts w:eastAsia="Times New Roman"/>
          <w:color w:val="000000"/>
          <w:sz w:val="20"/>
          <w:szCs w:val="20"/>
        </w:rPr>
        <w:t>ent, Supply Chain, for GE Industrial Solutions, with oversight of the division’s supply chain and service operations across 41 global factories. Prior to that Mr. Button served as Vice President, Turbomachinery, for GE’s Oil &amp; Gas division from January 201</w:t>
      </w:r>
      <w:r>
        <w:rPr>
          <w:rFonts w:eastAsia="Times New Roman"/>
          <w:color w:val="000000"/>
          <w:sz w:val="20"/>
          <w:szCs w:val="20"/>
        </w:rPr>
        <w:t xml:space="preserve">4 to December 2016, as General Manager of the Global Operations team for GE’s Oil &amp; Gas division from March 2011 to December 2013, and in other operations and supply chain roles with GE Aviation. </w:t>
      </w:r>
    </w:p>
    <w:p w:rsidR="00000000" w:rsidRDefault="006F0EF5">
      <w:pPr>
        <w:divId w:val="1419214027"/>
        <w:rPr>
          <w:rFonts w:eastAsia="Times New Roman"/>
        </w:rPr>
      </w:pPr>
    </w:p>
    <w:p w:rsidR="00000000" w:rsidRDefault="006F0EF5">
      <w:pPr>
        <w:jc w:val="both"/>
        <w:rPr>
          <w:rFonts w:eastAsia="Times New Roman"/>
        </w:rPr>
      </w:pPr>
      <w:r>
        <w:rPr>
          <w:rFonts w:eastAsia="Times New Roman"/>
          <w:color w:val="000000"/>
          <w:sz w:val="20"/>
          <w:szCs w:val="20"/>
        </w:rPr>
        <w:t>Daniel W. Campbell is NCR’s Executive Vice President, NCR</w:t>
      </w:r>
      <w:r>
        <w:rPr>
          <w:rFonts w:eastAsia="Times New Roman"/>
          <w:color w:val="000000"/>
          <w:sz w:val="20"/>
          <w:szCs w:val="20"/>
        </w:rPr>
        <w:t xml:space="preserve"> Global Sales, a position he has held since February 2018. Previously, from July 2015 to February 2018, Mr. Campbell served as a Senior Vice President and General Manager at Virtustream, Inc. (“Virtustream”), which he joined after it was acquired by EMC Co</w:t>
      </w:r>
      <w:r>
        <w:rPr>
          <w:rFonts w:eastAsia="Times New Roman"/>
          <w:color w:val="000000"/>
          <w:sz w:val="20"/>
          <w:szCs w:val="20"/>
        </w:rPr>
        <w:t xml:space="preserve">rporation (“EMC”) in July 2015. With Virtustream, Mr. Campbell led the global sales integration with EMC’s sales organization, built a global strategic alliances and channels organization, and co-launched the Virtustream Storage Cloud, an enterprise-class </w:t>
      </w:r>
      <w:r>
        <w:rPr>
          <w:rFonts w:eastAsia="Times New Roman"/>
          <w:color w:val="000000"/>
          <w:sz w:val="20"/>
          <w:szCs w:val="20"/>
        </w:rPr>
        <w:t>cloud storage platform. Before joining Virtustream, from April 1998 to July 2015, Mr. Campbell served in a series of sales and management roles of increasing responsibility at EMC, including as Chief Operating Officer, Senior Vice President, Worldwide Sale</w:t>
      </w:r>
      <w:r>
        <w:rPr>
          <w:rFonts w:eastAsia="Times New Roman"/>
          <w:color w:val="000000"/>
          <w:sz w:val="20"/>
          <w:szCs w:val="20"/>
        </w:rPr>
        <w:t>s, Backup and Recovery Systems Divisions, and most recently as Senior Vice President, Global Specialty Sales. Before joining EMC, Mr. Campbell served in various sales and management roles with Sperry, Unisys, Motorola and Wang.</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Patrice Graves is Executiv</w:t>
      </w:r>
      <w:r>
        <w:rPr>
          <w:rFonts w:eastAsia="Times New Roman"/>
          <w:color w:val="000000"/>
          <w:sz w:val="20"/>
          <w:szCs w:val="20"/>
        </w:rPr>
        <w:t>e Vice President and Chief Human Resources Officer of NCR, a position she has held since June 2021. From June 2020 to April 2021, she was the Vice President and HR Leader for the Americas at DXC Technology Company (“DXC”), an IT services company, where she</w:t>
      </w:r>
      <w:r>
        <w:rPr>
          <w:rFonts w:eastAsia="Times New Roman"/>
          <w:color w:val="000000"/>
          <w:sz w:val="20"/>
          <w:szCs w:val="20"/>
        </w:rPr>
        <w:t xml:space="preserve"> was instrumental in developing the talent engagement strategy and driving culture change. Prior to that, Ms. Graves was with AECOM Group Inc. (“AECOM”), an infrastructure consulting firm, from November 2015 to June 2020. At AECOM, she served as Executive </w:t>
      </w:r>
      <w:r>
        <w:rPr>
          <w:rFonts w:eastAsia="Times New Roman"/>
          <w:color w:val="000000"/>
          <w:sz w:val="20"/>
          <w:szCs w:val="20"/>
        </w:rPr>
        <w:t>Vice President, Human Resources, from January 2020 to June 2020 and as Senior Vice President, Human Resources, from November 2015 to January 2020. Prior to DXC and AECOM, Ms. Graves served in HR leadership roles at Raytheon Company and Allied Signal/Honeyw</w:t>
      </w:r>
      <w:r>
        <w:rPr>
          <w:rFonts w:eastAsia="Times New Roman"/>
          <w:color w:val="000000"/>
          <w:sz w:val="20"/>
          <w:szCs w:val="20"/>
        </w:rPr>
        <w:t>ell.</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Donald W. Layden, Jr., is Executive Vice President, President, Payments &amp; Network, Head of Strategy and M&amp;A, a position he has held since November 2021. From June 2020 to October 2021, Mr. Layden served as Senior Advisor to NCR focusing on strategy </w:t>
      </w:r>
      <w:r>
        <w:rPr>
          <w:rFonts w:eastAsia="Times New Roman"/>
          <w:color w:val="000000"/>
          <w:sz w:val="20"/>
          <w:szCs w:val="20"/>
        </w:rPr>
        <w:t>and corporate development. Previously, Mr. Layden served as a member of the Board of Directors of Cantaloupe, Inc. (formerly known as USA Technologies, Inc.), a payments and software services company, from April 2019 to May 2020, where he served as the Cha</w:t>
      </w:r>
      <w:r>
        <w:rPr>
          <w:rFonts w:eastAsia="Times New Roman"/>
          <w:color w:val="000000"/>
          <w:sz w:val="20"/>
          <w:szCs w:val="20"/>
        </w:rPr>
        <w:t>ir of the Compliance Committee from April 2019 to November 2019. He also served as interim Chief Executive Officer of USA Technologies, Inc. from October 2019 to February 2020, as Non-Executive Chairman from November 2019 to February 2020, and as President</w:t>
      </w:r>
      <w:r>
        <w:rPr>
          <w:rFonts w:eastAsia="Times New Roman"/>
          <w:color w:val="000000"/>
          <w:sz w:val="20"/>
          <w:szCs w:val="20"/>
        </w:rPr>
        <w:t xml:space="preserve"> and Chief Executive Officer from February 2020 to May 2020. Mr. Layden was a Venture Partner at Baird Venture Partners from December 2011 to September 2021. He also was an of-counsel partner of Quarles &amp; Brady LLP, where he practiced corporate law, from O</w:t>
      </w:r>
      <w:r>
        <w:rPr>
          <w:rFonts w:eastAsia="Times New Roman"/>
          <w:color w:val="000000"/>
          <w:sz w:val="20"/>
          <w:szCs w:val="20"/>
        </w:rPr>
        <w:t xml:space="preserve">ctober 2009 to September 2021. Mr. Layden served as a member of the Board of Directors of Firstsource Solutions Limited, a business process management company publicly traded on the National Stock Exchange of India, from April </w:t>
      </w:r>
    </w:p>
    <w:p w:rsidR="00000000" w:rsidRDefault="006F0EF5">
      <w:pPr>
        <w:jc w:val="center"/>
        <w:divId w:val="361514562"/>
        <w:rPr>
          <w:rFonts w:eastAsia="Times New Roman"/>
        </w:rPr>
      </w:pPr>
      <w:r>
        <w:rPr>
          <w:rFonts w:eastAsia="Times New Roman"/>
          <w:color w:val="000000"/>
          <w:sz w:val="20"/>
          <w:szCs w:val="20"/>
        </w:rPr>
        <w:t>11</w:t>
      </w:r>
    </w:p>
    <w:p w:rsidR="00000000" w:rsidRDefault="006F0EF5">
      <w:pPr>
        <w:rPr>
          <w:rFonts w:eastAsia="Times New Roman"/>
        </w:rPr>
      </w:pPr>
      <w:r>
        <w:rPr>
          <w:rFonts w:eastAsia="Times New Roman"/>
        </w:rPr>
        <w:pict>
          <v:rect id="_x0000_i1039" style="width:0;height:1.5pt" o:hralign="center" o:hrstd="t" o:hr="t" fillcolor="#a0a0a0" stroked="f"/>
        </w:pict>
      </w:r>
    </w:p>
    <w:p w:rsidR="00000000" w:rsidRDefault="006F0EF5">
      <w:pPr>
        <w:divId w:val="201040639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761832469"/>
        <w:rPr>
          <w:rFonts w:eastAsia="Times New Roman"/>
        </w:rPr>
      </w:pPr>
    </w:p>
    <w:p w:rsidR="00000000" w:rsidRDefault="006F0EF5">
      <w:pPr>
        <w:jc w:val="both"/>
        <w:rPr>
          <w:rFonts w:eastAsia="Times New Roman"/>
        </w:rPr>
      </w:pPr>
      <w:r>
        <w:rPr>
          <w:rFonts w:eastAsia="Times New Roman"/>
          <w:color w:val="000000"/>
          <w:sz w:val="20"/>
          <w:szCs w:val="20"/>
        </w:rPr>
        <w:t>2006 to March 2019. He also served as an independent director of Online Resources Corporation, a publicly traded company, from May 2010 to March 2013, when the compa</w:t>
      </w:r>
      <w:r>
        <w:rPr>
          <w:rFonts w:eastAsia="Times New Roman"/>
          <w:color w:val="000000"/>
          <w:sz w:val="20"/>
          <w:szCs w:val="20"/>
        </w:rPr>
        <w:t>ny was sold to ACI Worldwide, Inc. From November 2009 to November 2011, Mr. Layden served as an Adviser of Warburg Pincus LLC in the Technology, Media and Telecommunications group. From October 2004 to October 2009, Mr. Layden held various positions at Met</w:t>
      </w:r>
      <w:r>
        <w:rPr>
          <w:rFonts w:eastAsia="Times New Roman"/>
          <w:color w:val="000000"/>
          <w:sz w:val="20"/>
          <w:szCs w:val="20"/>
        </w:rPr>
        <w:t>avante Technologies, Inc. (“Metavante"), a bank technology processing company, including as President of the International Group, and as Senior Executive Vice President of Corporate Development and Strategy, Corporate Secretary and General Counsel. Prior t</w:t>
      </w:r>
      <w:r>
        <w:rPr>
          <w:rFonts w:eastAsia="Times New Roman"/>
          <w:color w:val="000000"/>
          <w:sz w:val="20"/>
          <w:szCs w:val="20"/>
        </w:rPr>
        <w:t>o that, he served at NuEdge Systems LLC as Chief Operating Officer from 2000 to 2002 and as President from 2002 to 2004, when the company was purchased by Metavante.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Beth A. Potter is NCR’s Chief Accounting Officer, a position she has held since November</w:t>
      </w:r>
      <w:r>
        <w:rPr>
          <w:rFonts w:eastAsia="Times New Roman"/>
          <w:color w:val="000000"/>
          <w:sz w:val="20"/>
          <w:szCs w:val="20"/>
        </w:rPr>
        <w:t xml:space="preserve"> 2019. Ms. Potter has also served as the NCR Corporate Controller since 2011. From March 2007 to 2011, she served as Assistant Controller, and prior to that she served in various other leadership roles supporting NCR’s finance organization. </w:t>
      </w:r>
    </w:p>
    <w:p w:rsidR="00000000" w:rsidRDefault="006F0EF5">
      <w:pPr>
        <w:divId w:val="532233208"/>
        <w:rPr>
          <w:rFonts w:eastAsia="Times New Roman"/>
        </w:rPr>
      </w:pPr>
    </w:p>
    <w:p w:rsidR="00000000" w:rsidRDefault="006F0EF5">
      <w:pPr>
        <w:jc w:val="both"/>
        <w:divId w:val="907305817"/>
        <w:rPr>
          <w:rFonts w:eastAsia="Times New Roman"/>
        </w:rPr>
      </w:pPr>
      <w:r>
        <w:rPr>
          <w:rFonts w:eastAsia="Times New Roman"/>
          <w:b/>
          <w:bCs/>
          <w:color w:val="000000"/>
          <w:sz w:val="20"/>
          <w:szCs w:val="20"/>
        </w:rPr>
        <w:t xml:space="preserve">Available Information </w:t>
      </w:r>
    </w:p>
    <w:p w:rsidR="00000000" w:rsidRDefault="006F0EF5">
      <w:pPr>
        <w:jc w:val="both"/>
        <w:rPr>
          <w:rFonts w:eastAsia="Times New Roman"/>
        </w:rPr>
      </w:pPr>
      <w:r>
        <w:rPr>
          <w:rFonts w:eastAsia="Times New Roman"/>
          <w:color w:val="000000"/>
          <w:sz w:val="20"/>
          <w:szCs w:val="20"/>
        </w:rPr>
        <w:t>NCR makes available through its website at http://investor.ncr.com, free of charge, the reports it files with the Securities and Exchange Commission (the “SEC”), including its Annual Report on Form 10-K, Quarterly Reports on Form 10-</w:t>
      </w:r>
      <w:r>
        <w:rPr>
          <w:rFonts w:eastAsia="Times New Roman"/>
          <w:color w:val="000000"/>
          <w:sz w:val="20"/>
          <w:szCs w:val="20"/>
        </w:rPr>
        <w:t>Q, definitive proxy statements on Schedule 14A and Current Reports on Form 8-K, and all amendments to such reports and schedules, as soon as reasonably practicable after these reports are electronically filed or furnished to the SEC pursuant to Section 13(</w:t>
      </w:r>
      <w:r>
        <w:rPr>
          <w:rFonts w:eastAsia="Times New Roman"/>
          <w:color w:val="000000"/>
          <w:sz w:val="20"/>
          <w:szCs w:val="20"/>
        </w:rPr>
        <w:t>a) or 15(d) of the Securities Exchange Act of 1934 (the “Exchange Act”). The SEC also maintains a website (http://www.sec.gov) that contains the reports, proxy statements and information statements, and other information regarding issuers that file or furn</w:t>
      </w:r>
      <w:r>
        <w:rPr>
          <w:rFonts w:eastAsia="Times New Roman"/>
          <w:color w:val="000000"/>
          <w:sz w:val="20"/>
          <w:szCs w:val="20"/>
        </w:rPr>
        <w:t>ish electronically with the SEC. NCR will furnish, without charge to a security holder upon written request, the Notice of Meeting and Proxy Statement for the 2022 Annual Meeting of Stockholders (the “2022 Proxy Statement”), portions of which are incorpora</w:t>
      </w:r>
      <w:r>
        <w:rPr>
          <w:rFonts w:eastAsia="Times New Roman"/>
          <w:color w:val="000000"/>
          <w:sz w:val="20"/>
          <w:szCs w:val="20"/>
        </w:rPr>
        <w:t xml:space="preserve">ted herein by reference. NCR also will furnish its Code of Conduct at no cost and any other exhibit at cost. Document requests are available by calling or writing to: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NCR—Investor Relations </w:t>
      </w:r>
    </w:p>
    <w:p w:rsidR="00000000" w:rsidRDefault="006F0EF5">
      <w:pPr>
        <w:jc w:val="both"/>
        <w:rPr>
          <w:rFonts w:eastAsia="Times New Roman"/>
        </w:rPr>
      </w:pPr>
      <w:r>
        <w:rPr>
          <w:rFonts w:eastAsia="Times New Roman"/>
          <w:color w:val="000000"/>
          <w:sz w:val="20"/>
          <w:szCs w:val="20"/>
        </w:rPr>
        <w:t>864 Spring Street NW</w:t>
      </w:r>
    </w:p>
    <w:p w:rsidR="00000000" w:rsidRDefault="006F0EF5">
      <w:pPr>
        <w:jc w:val="both"/>
        <w:rPr>
          <w:rFonts w:eastAsia="Times New Roman"/>
        </w:rPr>
      </w:pPr>
      <w:r>
        <w:rPr>
          <w:rFonts w:eastAsia="Times New Roman"/>
          <w:color w:val="000000"/>
          <w:sz w:val="20"/>
          <w:szCs w:val="20"/>
        </w:rPr>
        <w:t>Atlanta, GA 30308</w:t>
      </w:r>
    </w:p>
    <w:p w:rsidR="00000000" w:rsidRDefault="006F0EF5">
      <w:pPr>
        <w:jc w:val="both"/>
        <w:rPr>
          <w:rFonts w:eastAsia="Times New Roman"/>
        </w:rPr>
      </w:pPr>
      <w:r>
        <w:rPr>
          <w:rFonts w:eastAsia="Times New Roman"/>
          <w:color w:val="000000"/>
          <w:sz w:val="20"/>
          <w:szCs w:val="20"/>
        </w:rPr>
        <w:t xml:space="preserve">Phone: 800-255-5627 </w:t>
      </w:r>
    </w:p>
    <w:p w:rsidR="00000000" w:rsidRDefault="006F0EF5">
      <w:pPr>
        <w:jc w:val="both"/>
        <w:rPr>
          <w:rFonts w:eastAsia="Times New Roman"/>
        </w:rPr>
      </w:pPr>
      <w:r>
        <w:rPr>
          <w:rFonts w:eastAsia="Times New Roman"/>
          <w:color w:val="000000"/>
          <w:sz w:val="20"/>
          <w:szCs w:val="20"/>
        </w:rPr>
        <w:t>E-</w:t>
      </w:r>
      <w:r>
        <w:rPr>
          <w:rFonts w:eastAsia="Times New Roman"/>
          <w:color w:val="000000"/>
          <w:sz w:val="20"/>
          <w:szCs w:val="20"/>
        </w:rPr>
        <w:t xml:space="preserve">Mail: investor.relations@ncr.com </w:t>
      </w:r>
    </w:p>
    <w:p w:rsidR="00000000" w:rsidRDefault="006F0EF5">
      <w:pPr>
        <w:jc w:val="both"/>
        <w:rPr>
          <w:rFonts w:eastAsia="Times New Roman"/>
        </w:rPr>
      </w:pPr>
      <w:r>
        <w:rPr>
          <w:rFonts w:eastAsia="Times New Roman"/>
          <w:color w:val="000000"/>
          <w:sz w:val="20"/>
          <w:szCs w:val="20"/>
        </w:rPr>
        <w:t xml:space="preserve">Website: http://investor.ncr.com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NCR's website, www.ncr.com, contains a significant amount of information about NCR, including financial and other information for investors. NCR encourages investors to visit its website</w:t>
      </w:r>
      <w:r>
        <w:rPr>
          <w:rFonts w:eastAsia="Times New Roman"/>
          <w:color w:val="000000"/>
          <w:sz w:val="20"/>
          <w:szCs w:val="20"/>
        </w:rPr>
        <w:t xml:space="preserve"> regularly, as information may be updated and new information may be posted at any time. The contents of NCR's website are not incorporated by reference into this Form 10-K and shall not be deemed “filed” under the Exchange Act.</w:t>
      </w:r>
    </w:p>
    <w:p w:rsidR="00000000" w:rsidRDefault="006F0EF5">
      <w:pPr>
        <w:jc w:val="center"/>
        <w:divId w:val="2030599779"/>
        <w:rPr>
          <w:rFonts w:eastAsia="Times New Roman"/>
        </w:rPr>
      </w:pPr>
      <w:r>
        <w:rPr>
          <w:rFonts w:eastAsia="Times New Roman"/>
          <w:color w:val="000000"/>
          <w:sz w:val="20"/>
          <w:szCs w:val="20"/>
        </w:rPr>
        <w:t>12</w:t>
      </w:r>
    </w:p>
    <w:p w:rsidR="00000000" w:rsidRDefault="006F0EF5">
      <w:pPr>
        <w:rPr>
          <w:rFonts w:eastAsia="Times New Roman"/>
        </w:rPr>
      </w:pPr>
      <w:r>
        <w:rPr>
          <w:rFonts w:eastAsia="Times New Roman"/>
        </w:rPr>
        <w:pict>
          <v:rect id="_x0000_i1040" style="width:0;height:1.5pt" o:hralign="center" o:hrstd="t" o:hr="t" fillcolor="#a0a0a0" stroked="f"/>
        </w:pict>
      </w:r>
    </w:p>
    <w:p w:rsidR="00000000" w:rsidRDefault="006F0EF5">
      <w:pPr>
        <w:divId w:val="49329979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049842159"/>
        <w:rPr>
          <w:rFonts w:eastAsia="Times New Roman"/>
        </w:rPr>
      </w:pPr>
    </w:p>
    <w:p w:rsidR="00000000" w:rsidRDefault="006F0EF5">
      <w:pPr>
        <w:jc w:val="both"/>
        <w:rPr>
          <w:rFonts w:eastAsia="Times New Roman"/>
        </w:rPr>
      </w:pPr>
      <w:r>
        <w:rPr>
          <w:rFonts w:eastAsia="Times New Roman"/>
          <w:b/>
          <w:bCs/>
          <w:color w:val="000000"/>
          <w:sz w:val="20"/>
          <w:szCs w:val="20"/>
        </w:rPr>
        <w:t>Item 1A.    RISK FACTORS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The risks and uncertainties described below could materially and adversely affect our business, financial condition, results of operations</w:t>
      </w:r>
      <w:r>
        <w:rPr>
          <w:rFonts w:eastAsia="Times New Roman"/>
          <w:i/>
          <w:iCs/>
          <w:color w:val="000000"/>
          <w:sz w:val="20"/>
          <w:szCs w:val="20"/>
        </w:rPr>
        <w:t>, could cause actual results to differ materially from our expectations and projections, and could cause the market value of our stock to decline. You should consider these risk factors when reading the rest of this Annual Report on Form 10-K, including “M</w:t>
      </w:r>
      <w:r>
        <w:rPr>
          <w:rFonts w:eastAsia="Times New Roman"/>
          <w:i/>
          <w:iCs/>
          <w:color w:val="000000"/>
          <w:sz w:val="20"/>
          <w:szCs w:val="20"/>
        </w:rPr>
        <w:t xml:space="preserve">anagement's Discussion and Analysis of Financial Condition and Results of Operations” and our financial statements and related notes included elsewhere in this document. These risk factors may not include all of the important factors that could affect our </w:t>
      </w:r>
      <w:r>
        <w:rPr>
          <w:rFonts w:eastAsia="Times New Roman"/>
          <w:i/>
          <w:iCs/>
          <w:color w:val="000000"/>
          <w:sz w:val="20"/>
          <w:szCs w:val="20"/>
        </w:rPr>
        <w:t>business or our industry or that could cause our future financial results to differ materially from historic or expected results or cause the market price of our common stock to fluctuate or decline.</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STRATEGY AND TECHNOLOGY</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If we are unsuccessful in transforming our business model, our operating results could be negatively impacted.</w:t>
      </w:r>
      <w:r>
        <w:rPr>
          <w:rFonts w:eastAsia="Times New Roman"/>
          <w:color w:val="000000"/>
          <w:sz w:val="20"/>
          <w:szCs w:val="20"/>
        </w:rPr>
        <w:t xml:space="preserve"> In recent years, we have shifted our business model to become a software- and services-led enterprise provider, focusing on increased software an</w:t>
      </w:r>
      <w:r>
        <w:rPr>
          <w:rFonts w:eastAsia="Times New Roman"/>
          <w:color w:val="000000"/>
          <w:sz w:val="20"/>
          <w:szCs w:val="20"/>
        </w:rPr>
        <w:t>d services revenue, as well as recurring revenue, to enable NCR to become an as-a-Service company. Activating our strategy to create NCR-as-a-Service could negatively impact our revenue and margin as we shift toward increasing recurring revenue. Additional</w:t>
      </w:r>
      <w:r>
        <w:rPr>
          <w:rFonts w:eastAsia="Times New Roman"/>
          <w:color w:val="000000"/>
          <w:sz w:val="20"/>
          <w:szCs w:val="20"/>
        </w:rPr>
        <w:t>ly, this strategy includes the shift away from perpetual license-based products that yield revenue recognized at an earlier point in time to a term license model to include a termination for convenience which could also have a negative impact on our revenu</w:t>
      </w:r>
      <w:r>
        <w:rPr>
          <w:rFonts w:eastAsia="Times New Roman"/>
          <w:color w:val="000000"/>
          <w:sz w:val="20"/>
          <w:szCs w:val="20"/>
        </w:rPr>
        <w:t>e and margin. We expect to continue to spend and may increase our capital expenditures to support our shift to NCR-as-a-Service with the focus on our strategic growth platforms, which are the offerings with the highest growth potential to accelerate the sh</w:t>
      </w:r>
      <w:r>
        <w:rPr>
          <w:rFonts w:eastAsia="Times New Roman"/>
          <w:color w:val="000000"/>
          <w:sz w:val="20"/>
          <w:szCs w:val="20"/>
        </w:rPr>
        <w:t>ift. Our success depends on the return on investment generated from the capital expenditures and our ability to continue to execute these strategies, while improving the Company's cost structure. Successful execution of our strategy and the businesses asso</w:t>
      </w:r>
      <w:r>
        <w:rPr>
          <w:rFonts w:eastAsia="Times New Roman"/>
          <w:color w:val="000000"/>
          <w:sz w:val="20"/>
          <w:szCs w:val="20"/>
        </w:rPr>
        <w:t>ciated with the strategic growth platforms depends on a number of different factors including, among others, developing, deploying and supporting the next generation of digital first software and cloud solutions for the industries we serve; market acceptan</w:t>
      </w:r>
      <w:r>
        <w:rPr>
          <w:rFonts w:eastAsia="Times New Roman"/>
          <w:color w:val="000000"/>
          <w:sz w:val="20"/>
          <w:szCs w:val="20"/>
        </w:rPr>
        <w:t>ce of our new and existing software and cloud solutions; successfully expanding the payment processing market; enabling our sales force to use a consultative selling model that better incorporates our comprehensive and new solutions; transforming our servi</w:t>
      </w:r>
      <w:r>
        <w:rPr>
          <w:rFonts w:eastAsia="Times New Roman"/>
          <w:color w:val="000000"/>
          <w:sz w:val="20"/>
          <w:szCs w:val="20"/>
        </w:rPr>
        <w:t>ces performance, capabilities and coverage to improve efficiency, incorporate remote diagnostic and other technologies and align with and support our new solutions; managing professional services and other costs associated with large solution roll-outs; in</w:t>
      </w:r>
      <w:r>
        <w:rPr>
          <w:rFonts w:eastAsia="Times New Roman"/>
          <w:color w:val="000000"/>
          <w:sz w:val="20"/>
          <w:szCs w:val="20"/>
        </w:rPr>
        <w:t>tegrating, and developing and supporting software gained through acquisitions. In addition, we continue to pursue initiatives to expand our customer base by increasing our use of indirect sales channels, and by developing, marketing and selling solutions a</w:t>
      </w:r>
      <w:r>
        <w:rPr>
          <w:rFonts w:eastAsia="Times New Roman"/>
          <w:color w:val="000000"/>
          <w:sz w:val="20"/>
          <w:szCs w:val="20"/>
        </w:rPr>
        <w:t>imed at the small- to medium-business market. It is not yet certain whether these initiatives will yield the anticipated benefits, or whether our solutions will be compelling and attractive to small- and medium-sized businesses. If we are not successful in</w:t>
      </w:r>
      <w:r>
        <w:rPr>
          <w:rFonts w:eastAsia="Times New Roman"/>
          <w:color w:val="000000"/>
          <w:sz w:val="20"/>
          <w:szCs w:val="20"/>
        </w:rPr>
        <w:t xml:space="preserve"> growing software and services and expanding our customer base at the rate that we anticipate, implementing and managing these various initiatives and minimizing any resulting loss in productivity, or if the costs to complete these initiatives is higher th</w:t>
      </w:r>
      <w:r>
        <w:rPr>
          <w:rFonts w:eastAsia="Times New Roman"/>
          <w:color w:val="000000"/>
          <w:sz w:val="20"/>
          <w:szCs w:val="20"/>
        </w:rPr>
        <w:t>an anticipated, we may not meet our growth and gross margin projections or expectations, and operating results could be negatively impacted.</w:t>
      </w:r>
    </w:p>
    <w:p w:rsidR="00000000" w:rsidRDefault="006F0EF5">
      <w:pPr>
        <w:divId w:val="1002974398"/>
        <w:rPr>
          <w:rFonts w:eastAsia="Times New Roman"/>
        </w:rPr>
      </w:pPr>
    </w:p>
    <w:p w:rsidR="00000000" w:rsidRDefault="006F0EF5">
      <w:pPr>
        <w:jc w:val="both"/>
        <w:rPr>
          <w:rFonts w:eastAsia="Times New Roman"/>
        </w:rPr>
      </w:pPr>
      <w:r>
        <w:rPr>
          <w:rFonts w:eastAsia="Times New Roman"/>
          <w:b/>
          <w:bCs/>
          <w:i/>
          <w:iCs/>
          <w:color w:val="000000"/>
          <w:sz w:val="20"/>
          <w:szCs w:val="20"/>
        </w:rPr>
        <w:t>If we do not swiftly and successfully develop and introduce new solutions in the competitive, rapidly changing en</w:t>
      </w:r>
      <w:r>
        <w:rPr>
          <w:rFonts w:eastAsia="Times New Roman"/>
          <w:b/>
          <w:bCs/>
          <w:i/>
          <w:iCs/>
          <w:color w:val="000000"/>
          <w:sz w:val="20"/>
          <w:szCs w:val="20"/>
        </w:rPr>
        <w:t>vironment in which we do business, our business results may be impacted</w:t>
      </w:r>
      <w:r>
        <w:rPr>
          <w:rFonts w:eastAsia="Times New Roman"/>
          <w:i/>
          <w:iCs/>
          <w:color w:val="000000"/>
          <w:sz w:val="20"/>
          <w:szCs w:val="20"/>
        </w:rPr>
        <w:t>.</w:t>
      </w:r>
      <w:r>
        <w:rPr>
          <w:rFonts w:eastAsia="Times New Roman"/>
          <w:color w:val="000000"/>
          <w:sz w:val="20"/>
          <w:szCs w:val="20"/>
        </w:rPr>
        <w:t xml:space="preserve"> The development process for our solutions requires high levels of innovation from our product development teams and suppliers of the components embedded or incorporated in our solutio</w:t>
      </w:r>
      <w:r>
        <w:rPr>
          <w:rFonts w:eastAsia="Times New Roman"/>
          <w:color w:val="000000"/>
          <w:sz w:val="20"/>
          <w:szCs w:val="20"/>
        </w:rPr>
        <w:t>ns. We expect to continue to spend and may increase our capital expenditures and allocate these expenditures primarily to our strategic growth platforms. In addition, certain of our solutions, including our cloud solutions, may require us to build, lease o</w:t>
      </w:r>
      <w:r>
        <w:rPr>
          <w:rFonts w:eastAsia="Times New Roman"/>
          <w:color w:val="000000"/>
          <w:sz w:val="20"/>
          <w:szCs w:val="20"/>
        </w:rPr>
        <w:t>r expand, and maintain, infrastructure (such as hosting centers) to support them. The development process can be lengthy and costly, and requires us to commit a significant amount of resources to bring our business solutions to market. In addition, our suc</w:t>
      </w:r>
      <w:r>
        <w:rPr>
          <w:rFonts w:eastAsia="Times New Roman"/>
          <w:color w:val="000000"/>
          <w:sz w:val="20"/>
          <w:szCs w:val="20"/>
        </w:rPr>
        <w:t>cess may be impacted by safety and security technology and industry standards. We may not be able to anticipate our customers’ needs and technological and industry trends accurately, or to complete development of new solutions efficiently. In addition, con</w:t>
      </w:r>
      <w:r>
        <w:rPr>
          <w:rFonts w:eastAsia="Times New Roman"/>
          <w:color w:val="000000"/>
          <w:sz w:val="20"/>
          <w:szCs w:val="20"/>
        </w:rPr>
        <w:t xml:space="preserve">tract terms, market conditions or customer preferences may affect our ability to limit, sunset or end-of-life our older products in a timely or cost-effective fashion. If any of these risks materialize, we may be unable to introduce new solutions into the </w:t>
      </w:r>
      <w:r>
        <w:rPr>
          <w:rFonts w:eastAsia="Times New Roman"/>
          <w:color w:val="000000"/>
          <w:sz w:val="20"/>
          <w:szCs w:val="20"/>
        </w:rPr>
        <w:t>market on a timely basis, if at all, and our business and operating results could be impacted. Likewise, we sometimes make assurances to customers regarding the operability and specifications of new technologies, and our results could be impacted if we are</w:t>
      </w:r>
      <w:r>
        <w:rPr>
          <w:rFonts w:eastAsia="Times New Roman"/>
          <w:color w:val="000000"/>
          <w:sz w:val="20"/>
          <w:szCs w:val="20"/>
        </w:rPr>
        <w:t xml:space="preserve"> unable to deliver such technologies, or if such technologies do not perform as planned. Once we have developed new solutions, if we cannot successfully market and sell those solutions, our business and operating results could be negatively impacted.</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If </w:t>
      </w:r>
      <w:r>
        <w:rPr>
          <w:rFonts w:eastAsia="Times New Roman"/>
          <w:b/>
          <w:bCs/>
          <w:i/>
          <w:iCs/>
          <w:color w:val="000000"/>
          <w:sz w:val="20"/>
          <w:szCs w:val="20"/>
        </w:rPr>
        <w:t>we do not compete effectively within the technology industry, we will not be successful.</w:t>
      </w:r>
      <w:r>
        <w:rPr>
          <w:rFonts w:eastAsia="Times New Roman"/>
          <w:b/>
          <w:bCs/>
          <w:color w:val="000000"/>
          <w:sz w:val="20"/>
          <w:szCs w:val="20"/>
        </w:rPr>
        <w:t xml:space="preserve"> </w:t>
      </w:r>
      <w:r>
        <w:rPr>
          <w:rFonts w:eastAsia="Times New Roman"/>
          <w:color w:val="000000"/>
          <w:sz w:val="20"/>
          <w:szCs w:val="20"/>
        </w:rPr>
        <w:t>We operate in the intensely competitive technology industry. This industry is characterized by rapidly changing technology, disruptive technological innovation, evolvi</w:t>
      </w:r>
      <w:r>
        <w:rPr>
          <w:rFonts w:eastAsia="Times New Roman"/>
          <w:color w:val="000000"/>
          <w:sz w:val="20"/>
          <w:szCs w:val="20"/>
        </w:rPr>
        <w:t>ng industry standards, frequent new product introductions, price and cost reductions, and increasingly greater commoditization of products making differentiation difficult. Our competitors include other large companies in the information technology industr</w:t>
      </w:r>
      <w:r>
        <w:rPr>
          <w:rFonts w:eastAsia="Times New Roman"/>
          <w:color w:val="000000"/>
          <w:sz w:val="20"/>
          <w:szCs w:val="20"/>
        </w:rPr>
        <w:t xml:space="preserve">y, such as Fidelity National Information Services Inc., Fiserv, Inc., Temenos AG, Infosys Ltd., Alkami Technology, Inc., HP Inc., Diebold Nixdorf, Inc., Hyosung TNS Inc., Toshiba Tec Corporation, Oracle Corporation, Fujitsu Limited, Q2 Holdings, Inc. and </w:t>
      </w:r>
    </w:p>
    <w:p w:rsidR="00000000" w:rsidRDefault="006F0EF5">
      <w:pPr>
        <w:jc w:val="center"/>
        <w:divId w:val="309991010"/>
        <w:rPr>
          <w:rFonts w:eastAsia="Times New Roman"/>
        </w:rPr>
      </w:pPr>
      <w:r>
        <w:rPr>
          <w:rFonts w:eastAsia="Times New Roman"/>
          <w:color w:val="000000"/>
          <w:sz w:val="20"/>
          <w:szCs w:val="20"/>
        </w:rPr>
        <w:t>13</w:t>
      </w:r>
    </w:p>
    <w:p w:rsidR="00000000" w:rsidRDefault="006F0EF5">
      <w:pPr>
        <w:rPr>
          <w:rFonts w:eastAsia="Times New Roman"/>
        </w:rPr>
      </w:pPr>
      <w:r>
        <w:rPr>
          <w:rFonts w:eastAsia="Times New Roman"/>
        </w:rPr>
        <w:pict>
          <v:rect id="_x0000_i1041" style="width:0;height:1.5pt" o:hralign="center" o:hrstd="t" o:hr="t" fillcolor="#a0a0a0" stroked="f"/>
        </w:pict>
      </w:r>
    </w:p>
    <w:p w:rsidR="00000000" w:rsidRDefault="006F0EF5">
      <w:pPr>
        <w:divId w:val="156749160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662852868"/>
        <w:rPr>
          <w:rFonts w:eastAsia="Times New Roman"/>
        </w:rPr>
      </w:pPr>
    </w:p>
    <w:p w:rsidR="00000000" w:rsidRDefault="006F0EF5">
      <w:pPr>
        <w:jc w:val="both"/>
        <w:rPr>
          <w:rFonts w:eastAsia="Times New Roman"/>
        </w:rPr>
      </w:pPr>
      <w:r>
        <w:rPr>
          <w:rFonts w:eastAsia="Times New Roman"/>
          <w:color w:val="000000"/>
          <w:sz w:val="20"/>
          <w:szCs w:val="20"/>
        </w:rPr>
        <w:t>ACI Worldwide, Inc., many of which have more financial and technical resources, or more widespread distribution and market penetration for their platforms and service offerings, than we do. We also compete with companies in specific industry segments, such</w:t>
      </w:r>
      <w:r>
        <w:rPr>
          <w:rFonts w:eastAsia="Times New Roman"/>
          <w:color w:val="000000"/>
          <w:sz w:val="20"/>
          <w:szCs w:val="20"/>
        </w:rPr>
        <w:t xml:space="preserve"> as entry-level ATMs, POS solutions and imaging solutions. In addition, as consumers and customers in the banking, retail and hospitality industry adopt new alternative technologies such as cashless and other streamlined payment services and automated shop</w:t>
      </w:r>
      <w:r>
        <w:rPr>
          <w:rFonts w:eastAsia="Times New Roman"/>
          <w:color w:val="000000"/>
          <w:sz w:val="20"/>
          <w:szCs w:val="20"/>
        </w:rPr>
        <w:t>ping solutions, we may face competition from other technology companies.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future competitive performance and market position depend on a number of factors, including our ability to:</w:t>
      </w:r>
    </w:p>
    <w:p w:rsidR="00000000" w:rsidRDefault="006F0EF5">
      <w:pPr>
        <w:divId w:val="260723695"/>
        <w:rPr>
          <w:rFonts w:eastAsia="Times New Roman"/>
        </w:rPr>
      </w:pPr>
    </w:p>
    <w:p w:rsidR="00000000" w:rsidRDefault="006F0EF5">
      <w:pPr>
        <w:ind w:hanging="360"/>
        <w:jc w:val="both"/>
        <w:rPr>
          <w:rFonts w:eastAsia="Times New Roman"/>
        </w:rPr>
      </w:pPr>
      <w:r>
        <w:rPr>
          <w:rFonts w:eastAsia="Times New Roman"/>
          <w:color w:val="000000"/>
          <w:sz w:val="20"/>
          <w:szCs w:val="20"/>
        </w:rPr>
        <w:t>•execute our NCR-as-a-Service strategy to grow our software and ser</w:t>
      </w:r>
      <w:r>
        <w:rPr>
          <w:rFonts w:eastAsia="Times New Roman"/>
          <w:color w:val="000000"/>
          <w:sz w:val="20"/>
          <w:szCs w:val="20"/>
        </w:rPr>
        <w:t xml:space="preserve">vices revenue, as well as our recurring revenue; </w:t>
      </w:r>
    </w:p>
    <w:p w:rsidR="00000000" w:rsidRDefault="006F0EF5">
      <w:pPr>
        <w:ind w:hanging="360"/>
        <w:jc w:val="both"/>
        <w:rPr>
          <w:rFonts w:eastAsia="Times New Roman"/>
        </w:rPr>
      </w:pPr>
      <w:r>
        <w:rPr>
          <w:rFonts w:eastAsia="Times New Roman"/>
          <w:color w:val="000000"/>
          <w:sz w:val="20"/>
          <w:szCs w:val="20"/>
        </w:rPr>
        <w:t>•improve margin expansion while successfully reacting to competitive product and pricing pressures;</w:t>
      </w:r>
    </w:p>
    <w:p w:rsidR="00000000" w:rsidRDefault="006F0EF5">
      <w:pPr>
        <w:ind w:hanging="360"/>
        <w:jc w:val="both"/>
        <w:rPr>
          <w:rFonts w:eastAsia="Times New Roman"/>
        </w:rPr>
      </w:pPr>
      <w:r>
        <w:rPr>
          <w:rFonts w:eastAsia="Times New Roman"/>
          <w:color w:val="000000"/>
          <w:sz w:val="20"/>
          <w:szCs w:val="20"/>
        </w:rPr>
        <w:t>•mitigate increases in labor costs, component parts, freight, services and interest rates with price incre</w:t>
      </w:r>
      <w:r>
        <w:rPr>
          <w:rFonts w:eastAsia="Times New Roman"/>
          <w:color w:val="000000"/>
          <w:sz w:val="20"/>
          <w:szCs w:val="20"/>
        </w:rPr>
        <w:t>ases;</w:t>
      </w:r>
    </w:p>
    <w:p w:rsidR="00000000" w:rsidRDefault="006F0EF5">
      <w:pPr>
        <w:ind w:hanging="360"/>
        <w:jc w:val="both"/>
        <w:rPr>
          <w:rFonts w:eastAsia="Times New Roman"/>
        </w:rPr>
      </w:pPr>
      <w:r>
        <w:rPr>
          <w:rFonts w:eastAsia="Times New Roman"/>
          <w:color w:val="000000"/>
          <w:sz w:val="20"/>
          <w:szCs w:val="20"/>
        </w:rPr>
        <w:t>•penetrate and meet the changing competitive requirements and deliverables in developing and emerging markets;</w:t>
      </w:r>
    </w:p>
    <w:p w:rsidR="00000000" w:rsidRDefault="006F0EF5">
      <w:pPr>
        <w:ind w:hanging="360"/>
        <w:jc w:val="both"/>
        <w:rPr>
          <w:rFonts w:eastAsia="Times New Roman"/>
        </w:rPr>
      </w:pPr>
      <w:r>
        <w:rPr>
          <w:rFonts w:eastAsia="Times New Roman"/>
          <w:color w:val="000000"/>
          <w:sz w:val="20"/>
          <w:szCs w:val="20"/>
        </w:rPr>
        <w:t>•retain our existing key customers and add new customer relationships;</w:t>
      </w:r>
    </w:p>
    <w:p w:rsidR="00000000" w:rsidRDefault="006F0EF5">
      <w:pPr>
        <w:ind w:hanging="360"/>
        <w:jc w:val="both"/>
        <w:rPr>
          <w:rFonts w:eastAsia="Times New Roman"/>
        </w:rPr>
      </w:pPr>
      <w:r>
        <w:rPr>
          <w:rFonts w:eastAsia="Times New Roman"/>
          <w:color w:val="000000"/>
          <w:sz w:val="20"/>
          <w:szCs w:val="20"/>
        </w:rPr>
        <w:t>•cross-sell additional products and services to our existing custome</w:t>
      </w:r>
      <w:r>
        <w:rPr>
          <w:rFonts w:eastAsia="Times New Roman"/>
          <w:color w:val="000000"/>
          <w:sz w:val="20"/>
          <w:szCs w:val="20"/>
        </w:rPr>
        <w:t>r base;</w:t>
      </w:r>
    </w:p>
    <w:p w:rsidR="00000000" w:rsidRDefault="006F0EF5">
      <w:pPr>
        <w:ind w:hanging="360"/>
        <w:jc w:val="both"/>
        <w:rPr>
          <w:rFonts w:eastAsia="Times New Roman"/>
        </w:rPr>
      </w:pPr>
      <w:r>
        <w:rPr>
          <w:rFonts w:eastAsia="Times New Roman"/>
          <w:color w:val="000000"/>
          <w:sz w:val="20"/>
          <w:szCs w:val="20"/>
        </w:rPr>
        <w:t>•rapidly and continually design, develop and market, or otherwise maintain and introduce innovative solutions and related products and services for our customers that are competitive in the marketplace;</w:t>
      </w:r>
    </w:p>
    <w:p w:rsidR="00000000" w:rsidRDefault="006F0EF5">
      <w:pPr>
        <w:ind w:hanging="360"/>
        <w:jc w:val="both"/>
        <w:rPr>
          <w:rFonts w:eastAsia="Times New Roman"/>
        </w:rPr>
      </w:pPr>
      <w:r>
        <w:rPr>
          <w:rFonts w:eastAsia="Times New Roman"/>
          <w:color w:val="000000"/>
          <w:sz w:val="20"/>
          <w:szCs w:val="20"/>
        </w:rPr>
        <w:t xml:space="preserve">•react on a timely basis to shifts in market </w:t>
      </w:r>
      <w:r>
        <w:rPr>
          <w:rFonts w:eastAsia="Times New Roman"/>
          <w:color w:val="000000"/>
          <w:sz w:val="20"/>
          <w:szCs w:val="20"/>
        </w:rPr>
        <w:t>demands and technological innovations, including shifts toward the desire of banks and retailers to provide digital-first experience to their customers and the use of mobile devices in transactions and payments;</w:t>
      </w:r>
    </w:p>
    <w:p w:rsidR="00000000" w:rsidRDefault="006F0EF5">
      <w:pPr>
        <w:ind w:hanging="360"/>
        <w:jc w:val="both"/>
        <w:rPr>
          <w:rFonts w:eastAsia="Times New Roman"/>
        </w:rPr>
      </w:pPr>
      <w:r>
        <w:rPr>
          <w:rFonts w:eastAsia="Times New Roman"/>
          <w:color w:val="000000"/>
          <w:sz w:val="20"/>
          <w:szCs w:val="20"/>
        </w:rPr>
        <w:t>•reduce costs without creating operating ine</w:t>
      </w:r>
      <w:r>
        <w:rPr>
          <w:rFonts w:eastAsia="Times New Roman"/>
          <w:color w:val="000000"/>
          <w:sz w:val="20"/>
          <w:szCs w:val="20"/>
        </w:rPr>
        <w:t>fficiencies or impairing product or service quality;</w:t>
      </w:r>
    </w:p>
    <w:p w:rsidR="00000000" w:rsidRDefault="006F0EF5">
      <w:pPr>
        <w:ind w:hanging="360"/>
        <w:jc w:val="both"/>
        <w:rPr>
          <w:rFonts w:eastAsia="Times New Roman"/>
        </w:rPr>
      </w:pPr>
      <w:r>
        <w:rPr>
          <w:rFonts w:eastAsia="Times New Roman"/>
          <w:color w:val="000000"/>
          <w:sz w:val="20"/>
          <w:szCs w:val="20"/>
        </w:rPr>
        <w:t>•maintain competitive operating margins;</w:t>
      </w:r>
    </w:p>
    <w:p w:rsidR="00000000" w:rsidRDefault="006F0EF5">
      <w:pPr>
        <w:ind w:hanging="360"/>
        <w:jc w:val="both"/>
        <w:rPr>
          <w:rFonts w:eastAsia="Times New Roman"/>
        </w:rPr>
      </w:pPr>
      <w:r>
        <w:rPr>
          <w:rFonts w:eastAsia="Times New Roman"/>
          <w:color w:val="000000"/>
          <w:sz w:val="20"/>
          <w:szCs w:val="20"/>
        </w:rPr>
        <w:t>•improve product and service delivery quality; and</w:t>
      </w:r>
    </w:p>
    <w:p w:rsidR="00000000" w:rsidRDefault="006F0EF5">
      <w:pPr>
        <w:ind w:hanging="360"/>
        <w:jc w:val="both"/>
        <w:rPr>
          <w:rFonts w:eastAsia="Times New Roman"/>
        </w:rPr>
      </w:pPr>
      <w:r>
        <w:rPr>
          <w:rFonts w:eastAsia="Times New Roman"/>
          <w:color w:val="000000"/>
          <w:sz w:val="20"/>
          <w:szCs w:val="20"/>
        </w:rPr>
        <w:t>•effectively market and sell all of our diverse solutions.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Our business and operating performance also could </w:t>
      </w:r>
      <w:r>
        <w:rPr>
          <w:rFonts w:eastAsia="Times New Roman"/>
          <w:color w:val="000000"/>
          <w:sz w:val="20"/>
          <w:szCs w:val="20"/>
        </w:rPr>
        <w:t>be impacted by external competitive pressures, such as consolidation, increasing price erosion and the entry of new competitors and technologies into our existing product and geographic markets. In addition, our customers sometimes finance our product sale</w:t>
      </w:r>
      <w:r>
        <w:rPr>
          <w:rFonts w:eastAsia="Times New Roman"/>
          <w:color w:val="000000"/>
          <w:sz w:val="20"/>
          <w:szCs w:val="20"/>
        </w:rPr>
        <w:t>s through third-party financing companies, and in the case of customer default, these financing companies may be forced to resell this equipment at discounted prices, competing with us and impacting our ability to sell incremental units. The impact of thes</w:t>
      </w:r>
      <w:r>
        <w:rPr>
          <w:rFonts w:eastAsia="Times New Roman"/>
          <w:color w:val="000000"/>
          <w:sz w:val="20"/>
          <w:szCs w:val="20"/>
        </w:rPr>
        <w:t>e product and pricing pressures could include lower customer satisfaction, decreased demand for our solutions, loss of market share and reduction of operating profits.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If we do not successfully integrate acquisitions or effectively manage alliance activi</w:t>
      </w:r>
      <w:r>
        <w:rPr>
          <w:rFonts w:eastAsia="Times New Roman"/>
          <w:b/>
          <w:bCs/>
          <w:i/>
          <w:iCs/>
          <w:color w:val="000000"/>
          <w:sz w:val="20"/>
          <w:szCs w:val="20"/>
        </w:rPr>
        <w:t xml:space="preserve">ties, we may not drive future growth. </w:t>
      </w:r>
      <w:r>
        <w:rPr>
          <w:rFonts w:eastAsia="Times New Roman"/>
          <w:color w:val="000000"/>
          <w:sz w:val="20"/>
          <w:szCs w:val="20"/>
        </w:rPr>
        <w:t>As part of our overall solutions strategy, we have made, and intend to continue to make, investments in companies, solutions, services and technologies, either through acquisitions, investments, joint ventures or strat</w:t>
      </w:r>
      <w:r>
        <w:rPr>
          <w:rFonts w:eastAsia="Times New Roman"/>
          <w:color w:val="000000"/>
          <w:sz w:val="20"/>
          <w:szCs w:val="20"/>
        </w:rPr>
        <w:t>egic alliances. These activities allow us to further our company strategy and provide us access to new technology or solutions that expand our offerings. Acquisitions and alliance activities inherently involve risks. The risks we may encounter include thos</w:t>
      </w:r>
      <w:r>
        <w:rPr>
          <w:rFonts w:eastAsia="Times New Roman"/>
          <w:color w:val="000000"/>
          <w:sz w:val="20"/>
          <w:szCs w:val="20"/>
        </w:rPr>
        <w:t>e associated with:</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•disruption to our business and the continued successful execution of our company strategy, goals and responsibilities, including but not limited to the Company’s non-GAAP EPS growth, including mix shift to software and services, incre</w:t>
      </w:r>
      <w:r>
        <w:rPr>
          <w:rFonts w:eastAsia="Times New Roman"/>
          <w:color w:val="000000"/>
          <w:sz w:val="20"/>
          <w:szCs w:val="20"/>
        </w:rPr>
        <w:t>ase in recurring revenue and free cash flow, as well as the NCR-as-a-Service model, while managing significant transactions;</w:t>
      </w:r>
    </w:p>
    <w:p w:rsidR="00000000" w:rsidRDefault="006F0EF5">
      <w:pPr>
        <w:ind w:hanging="360"/>
        <w:jc w:val="both"/>
        <w:rPr>
          <w:rFonts w:eastAsia="Times New Roman"/>
        </w:rPr>
      </w:pPr>
      <w:r>
        <w:rPr>
          <w:rFonts w:eastAsia="Times New Roman"/>
          <w:b/>
          <w:bCs/>
          <w:i/>
          <w:iCs/>
          <w:color w:val="000000"/>
          <w:sz w:val="20"/>
          <w:szCs w:val="20"/>
        </w:rPr>
        <w:t>•</w:t>
      </w:r>
      <w:r>
        <w:rPr>
          <w:rFonts w:eastAsia="Times New Roman"/>
          <w:color w:val="000000"/>
          <w:sz w:val="20"/>
          <w:szCs w:val="20"/>
        </w:rPr>
        <w:t>increased capital and research and development expenses and resource allocation;</w:t>
      </w:r>
    </w:p>
    <w:p w:rsidR="00000000" w:rsidRDefault="006F0EF5">
      <w:pPr>
        <w:ind w:hanging="360"/>
        <w:jc w:val="both"/>
        <w:rPr>
          <w:rFonts w:eastAsia="Times New Roman"/>
        </w:rPr>
      </w:pPr>
      <w:r>
        <w:rPr>
          <w:rFonts w:eastAsia="Times New Roman"/>
          <w:color w:val="000000"/>
          <w:sz w:val="20"/>
          <w:szCs w:val="20"/>
        </w:rPr>
        <w:t>•assimilation and integration of different business operations, corporate cultures, personnel, infrastructures (such as data centers) and technologies or solutions acquired or</w:t>
      </w:r>
      <w:r>
        <w:rPr>
          <w:rFonts w:eastAsia="Times New Roman"/>
          <w:color w:val="000000"/>
          <w:sz w:val="20"/>
          <w:szCs w:val="20"/>
        </w:rPr>
        <w:t xml:space="preserve"> licensed, while maintaining quality, and designing and implementing appropriate risk management measures;</w:t>
      </w:r>
    </w:p>
    <w:p w:rsidR="00000000" w:rsidRDefault="006F0EF5">
      <w:pPr>
        <w:ind w:hanging="360"/>
        <w:jc w:val="both"/>
        <w:rPr>
          <w:rFonts w:eastAsia="Times New Roman"/>
        </w:rPr>
      </w:pPr>
      <w:r>
        <w:rPr>
          <w:rFonts w:eastAsia="Times New Roman"/>
          <w:color w:val="000000"/>
          <w:sz w:val="20"/>
          <w:szCs w:val="20"/>
        </w:rPr>
        <w:t>•retention of key employees and talent associated with the acquired or combined business;</w:t>
      </w:r>
    </w:p>
    <w:p w:rsidR="00000000" w:rsidRDefault="006F0EF5">
      <w:pPr>
        <w:ind w:hanging="360"/>
        <w:jc w:val="both"/>
        <w:rPr>
          <w:rFonts w:eastAsia="Times New Roman"/>
        </w:rPr>
      </w:pPr>
      <w:r>
        <w:rPr>
          <w:rFonts w:eastAsia="Times New Roman"/>
          <w:color w:val="000000"/>
          <w:sz w:val="20"/>
          <w:szCs w:val="20"/>
        </w:rPr>
        <w:t>•</w:t>
      </w:r>
      <w:r>
        <w:rPr>
          <w:rFonts w:eastAsia="Times New Roman"/>
          <w:color w:val="000000"/>
          <w:sz w:val="20"/>
          <w:szCs w:val="20"/>
        </w:rPr>
        <w:t>the incurrence of significant transaction fees and costs;</w:t>
      </w:r>
    </w:p>
    <w:p w:rsidR="00000000" w:rsidRDefault="006F0EF5">
      <w:pPr>
        <w:ind w:hanging="360"/>
        <w:jc w:val="both"/>
        <w:rPr>
          <w:rFonts w:eastAsia="Times New Roman"/>
        </w:rPr>
      </w:pPr>
      <w:r>
        <w:rPr>
          <w:rFonts w:eastAsia="Times New Roman"/>
          <w:color w:val="000000"/>
          <w:sz w:val="20"/>
          <w:szCs w:val="20"/>
        </w:rPr>
        <w:t>•the potential for unknown liabilities within the acquired or combined business that we may not become aware of until after the completion of the acquisition; and</w:t>
      </w:r>
    </w:p>
    <w:p w:rsidR="00000000" w:rsidRDefault="006F0EF5">
      <w:pPr>
        <w:ind w:hanging="360"/>
        <w:jc w:val="both"/>
        <w:rPr>
          <w:rFonts w:eastAsia="Times New Roman"/>
        </w:rPr>
      </w:pPr>
      <w:r>
        <w:rPr>
          <w:rFonts w:eastAsia="Times New Roman"/>
          <w:color w:val="000000"/>
          <w:sz w:val="20"/>
          <w:szCs w:val="20"/>
        </w:rPr>
        <w:t>•the possibility of conflict with j</w:t>
      </w:r>
      <w:r>
        <w:rPr>
          <w:rFonts w:eastAsia="Times New Roman"/>
          <w:color w:val="000000"/>
          <w:sz w:val="20"/>
          <w:szCs w:val="20"/>
        </w:rPr>
        <w:t>oint venture or alliance partners regarding strategic direction, prioritization of objectives and goals, governance matters or operations.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There is risk that the integration, new technology or solutions, including but not limited to expanded payment proc</w:t>
      </w:r>
      <w:r>
        <w:rPr>
          <w:rFonts w:eastAsia="Times New Roman"/>
          <w:color w:val="000000"/>
          <w:sz w:val="20"/>
          <w:szCs w:val="20"/>
        </w:rPr>
        <w:t xml:space="preserve">essing and entry into ATM-as-a-Service, may not perform as anticipated, may take longer than anticipated and may not meet estimated growth projections or expectations, or investment recipients may not successfully execute their business plans. Further, we </w:t>
      </w:r>
      <w:r>
        <w:rPr>
          <w:rFonts w:eastAsia="Times New Roman"/>
          <w:color w:val="000000"/>
          <w:sz w:val="20"/>
          <w:szCs w:val="20"/>
        </w:rPr>
        <w:t>may not achieve the projected efficiencies and synergies once we have integrated the business into our operations, which may lead to the impairment or write down of assets, and other additional costs not anticipated at the time of acquisition. In the event</w:t>
      </w:r>
      <w:r>
        <w:rPr>
          <w:rFonts w:eastAsia="Times New Roman"/>
          <w:color w:val="000000"/>
          <w:sz w:val="20"/>
          <w:szCs w:val="20"/>
        </w:rPr>
        <w:t xml:space="preserve"> that these risks materialize, we may not be able to fully realize the benefit of our investments, and our operating results could be adversely affected. </w:t>
      </w:r>
    </w:p>
    <w:p w:rsidR="00000000" w:rsidRDefault="006F0EF5">
      <w:pPr>
        <w:jc w:val="center"/>
        <w:divId w:val="555624213"/>
        <w:rPr>
          <w:rFonts w:eastAsia="Times New Roman"/>
        </w:rPr>
      </w:pPr>
      <w:r>
        <w:rPr>
          <w:rFonts w:eastAsia="Times New Roman"/>
          <w:color w:val="000000"/>
          <w:sz w:val="20"/>
          <w:szCs w:val="20"/>
        </w:rPr>
        <w:t>14</w:t>
      </w:r>
    </w:p>
    <w:p w:rsidR="00000000" w:rsidRDefault="006F0EF5">
      <w:pPr>
        <w:rPr>
          <w:rFonts w:eastAsia="Times New Roman"/>
        </w:rPr>
      </w:pPr>
      <w:r>
        <w:rPr>
          <w:rFonts w:eastAsia="Times New Roman"/>
        </w:rPr>
        <w:pict>
          <v:rect id="_x0000_i1042" style="width:0;height:1.5pt" o:hralign="center" o:hrstd="t" o:hr="t" fillcolor="#a0a0a0" stroked="f"/>
        </w:pict>
      </w:r>
    </w:p>
    <w:p w:rsidR="00000000" w:rsidRDefault="006F0EF5">
      <w:pPr>
        <w:divId w:val="1269922440"/>
        <w:rPr>
          <w:rFonts w:eastAsia="Times New Roman"/>
        </w:rPr>
      </w:pPr>
      <w:hyperlink w:anchor="i820834c26f61401cb1d426994ba52a61_10" w:history="1">
        <w:r>
          <w:rPr>
            <w:rStyle w:val="a3"/>
            <w:rFonts w:eastAsia="Times New Roman"/>
            <w:sz w:val="16"/>
            <w:szCs w:val="16"/>
          </w:rPr>
          <w:t>Tab</w:t>
        </w:r>
        <w:r>
          <w:rPr>
            <w:rStyle w:val="a3"/>
            <w:rFonts w:eastAsia="Times New Roman"/>
            <w:sz w:val="16"/>
            <w:szCs w:val="16"/>
          </w:rPr>
          <w:t>le of Contents</w:t>
        </w:r>
      </w:hyperlink>
    </w:p>
    <w:p w:rsidR="00000000" w:rsidRDefault="006F0EF5">
      <w:pPr>
        <w:divId w:val="1474902845"/>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Our multinational operations, including in new and emerging markets, expose us to business and legal risks</w:t>
      </w:r>
      <w:r>
        <w:rPr>
          <w:rFonts w:eastAsia="Times New Roman"/>
          <w:i/>
          <w:iCs/>
          <w:color w:val="000000"/>
          <w:sz w:val="20"/>
          <w:szCs w:val="20"/>
        </w:rPr>
        <w:t>.</w:t>
      </w:r>
      <w:r>
        <w:rPr>
          <w:rFonts w:eastAsia="Times New Roman"/>
          <w:color w:val="000000"/>
          <w:sz w:val="20"/>
          <w:szCs w:val="20"/>
        </w:rPr>
        <w:t xml:space="preserve"> For the years ended December 31, 2021 and 2020, the percentage of our revenue from outside of the United States was 49% and 51%, </w:t>
      </w:r>
      <w:r>
        <w:rPr>
          <w:rFonts w:eastAsia="Times New Roman"/>
          <w:color w:val="000000"/>
          <w:sz w:val="20"/>
          <w:szCs w:val="20"/>
        </w:rPr>
        <w:t>respectively, and we expect our percentage of revenue generated outside the United States to continue to be significant. In addition, we continue to seek to further penetrate existing international markets, and to identify opportunities to enter into or ex</w:t>
      </w:r>
      <w:r>
        <w:rPr>
          <w:rFonts w:eastAsia="Times New Roman"/>
          <w:color w:val="000000"/>
          <w:sz w:val="20"/>
          <w:szCs w:val="20"/>
        </w:rPr>
        <w:t>pand our presence in developing and emerging markets. While we believe that our geographic diversity may help to mitigate some risks associated with geographic concentrations of operations, our ability to sell our solutions and manufacture internationally,</w:t>
      </w:r>
      <w:r>
        <w:rPr>
          <w:rFonts w:eastAsia="Times New Roman"/>
          <w:color w:val="000000"/>
          <w:sz w:val="20"/>
          <w:szCs w:val="20"/>
        </w:rPr>
        <w:t xml:space="preserve"> including in new and emerging markets, is subject to risks, which include, among others: </w:t>
      </w:r>
    </w:p>
    <w:p w:rsidR="00000000" w:rsidRDefault="006F0EF5">
      <w:pPr>
        <w:jc w:val="both"/>
        <w:rPr>
          <w:rFonts w:eastAsia="Times New Roman"/>
        </w:rPr>
      </w:pPr>
    </w:p>
    <w:p w:rsidR="00000000" w:rsidRDefault="006F0EF5">
      <w:pPr>
        <w:ind w:hanging="360"/>
        <w:jc w:val="both"/>
        <w:divId w:val="1336881196"/>
        <w:rPr>
          <w:rFonts w:eastAsia="Times New Roman"/>
        </w:rPr>
      </w:pPr>
      <w:r>
        <w:rPr>
          <w:rFonts w:eastAsia="Times New Roman"/>
          <w:color w:val="000000"/>
          <w:sz w:val="20"/>
          <w:szCs w:val="20"/>
        </w:rPr>
        <w:t>•the impact of ongoing and future economic and credit conditions on the stability of national and regional economies and industries within those economies;</w:t>
      </w:r>
    </w:p>
    <w:p w:rsidR="00000000" w:rsidRDefault="006F0EF5">
      <w:pPr>
        <w:ind w:hanging="360"/>
        <w:jc w:val="both"/>
        <w:divId w:val="199100388"/>
        <w:rPr>
          <w:rFonts w:eastAsia="Times New Roman"/>
        </w:rPr>
      </w:pPr>
      <w:r>
        <w:rPr>
          <w:rFonts w:eastAsia="Times New Roman"/>
          <w:color w:val="000000"/>
          <w:sz w:val="20"/>
          <w:szCs w:val="20"/>
        </w:rPr>
        <w:t>•politi</w:t>
      </w:r>
      <w:r>
        <w:rPr>
          <w:rFonts w:eastAsia="Times New Roman"/>
          <w:color w:val="000000"/>
          <w:sz w:val="20"/>
          <w:szCs w:val="20"/>
        </w:rPr>
        <w:t>cal conditions and local regulations that could adversely affect demand for our solutions, our ability to access funds and resources, or our ability to sell products in these markets;</w:t>
      </w:r>
    </w:p>
    <w:p w:rsidR="00000000" w:rsidRDefault="006F0EF5">
      <w:pPr>
        <w:ind w:hanging="360"/>
        <w:jc w:val="both"/>
        <w:divId w:val="1043405006"/>
        <w:rPr>
          <w:rFonts w:eastAsia="Times New Roman"/>
        </w:rPr>
      </w:pPr>
      <w:r>
        <w:rPr>
          <w:rFonts w:eastAsia="Times New Roman"/>
          <w:color w:val="000000"/>
          <w:sz w:val="20"/>
          <w:szCs w:val="20"/>
        </w:rPr>
        <w:t>•the impact of a downturn in the global economy, or in regional economie</w:t>
      </w:r>
      <w:r>
        <w:rPr>
          <w:rFonts w:eastAsia="Times New Roman"/>
          <w:color w:val="000000"/>
          <w:sz w:val="20"/>
          <w:szCs w:val="20"/>
        </w:rPr>
        <w:t>s, on demand for our products;</w:t>
      </w:r>
    </w:p>
    <w:p w:rsidR="00000000" w:rsidRDefault="006F0EF5">
      <w:pPr>
        <w:ind w:hanging="360"/>
        <w:jc w:val="both"/>
        <w:divId w:val="812406906"/>
        <w:rPr>
          <w:rFonts w:eastAsia="Times New Roman"/>
        </w:rPr>
      </w:pPr>
      <w:r>
        <w:rPr>
          <w:rFonts w:eastAsia="Times New Roman"/>
          <w:color w:val="000000"/>
          <w:sz w:val="20"/>
          <w:szCs w:val="20"/>
        </w:rPr>
        <w:t>•competitive labor markets and increasing wages in markets that we operate in;</w:t>
      </w:r>
    </w:p>
    <w:p w:rsidR="00000000" w:rsidRDefault="006F0EF5">
      <w:pPr>
        <w:ind w:hanging="360"/>
        <w:jc w:val="both"/>
        <w:divId w:val="1454249649"/>
        <w:rPr>
          <w:rFonts w:eastAsia="Times New Roman"/>
        </w:rPr>
      </w:pPr>
      <w:r>
        <w:rPr>
          <w:rFonts w:eastAsia="Times New Roman"/>
          <w:color w:val="000000"/>
          <w:sz w:val="20"/>
          <w:szCs w:val="20"/>
        </w:rPr>
        <w:t>•currency exchange rate fluctuations that could result in lower demand for our products as well as generate currency translation losses;</w:t>
      </w:r>
    </w:p>
    <w:p w:rsidR="00000000" w:rsidRDefault="006F0EF5">
      <w:pPr>
        <w:ind w:hanging="360"/>
        <w:jc w:val="both"/>
        <w:divId w:val="364674264"/>
        <w:rPr>
          <w:rFonts w:eastAsia="Times New Roman"/>
        </w:rPr>
      </w:pPr>
      <w:r>
        <w:rPr>
          <w:rFonts w:eastAsia="Times New Roman"/>
          <w:color w:val="000000"/>
          <w:sz w:val="20"/>
          <w:szCs w:val="20"/>
        </w:rPr>
        <w:t xml:space="preserve">•limited </w:t>
      </w:r>
      <w:r>
        <w:rPr>
          <w:rFonts w:eastAsia="Times New Roman"/>
          <w:color w:val="000000"/>
          <w:sz w:val="20"/>
          <w:szCs w:val="20"/>
        </w:rPr>
        <w:t>availability of local currencies to pay vendors, employees and third parties and to distribute funds outside of the country;</w:t>
      </w:r>
    </w:p>
    <w:p w:rsidR="00000000" w:rsidRDefault="006F0EF5">
      <w:pPr>
        <w:ind w:hanging="360"/>
        <w:jc w:val="both"/>
        <w:divId w:val="714351534"/>
        <w:rPr>
          <w:rFonts w:eastAsia="Times New Roman"/>
        </w:rPr>
      </w:pPr>
      <w:r>
        <w:rPr>
          <w:rFonts w:eastAsia="Times New Roman"/>
          <w:color w:val="000000"/>
          <w:sz w:val="20"/>
          <w:szCs w:val="20"/>
        </w:rPr>
        <w:t>•changes to global or regional trade agreements that could limit our ability to sell products in these markets;</w:t>
      </w:r>
    </w:p>
    <w:p w:rsidR="00000000" w:rsidRDefault="006F0EF5">
      <w:pPr>
        <w:ind w:hanging="360"/>
        <w:jc w:val="both"/>
        <w:divId w:val="1442914202"/>
        <w:rPr>
          <w:rFonts w:eastAsia="Times New Roman"/>
        </w:rPr>
      </w:pPr>
      <w:r>
        <w:rPr>
          <w:rFonts w:eastAsia="Times New Roman"/>
          <w:color w:val="000000"/>
          <w:sz w:val="20"/>
          <w:szCs w:val="20"/>
        </w:rPr>
        <w:t xml:space="preserve">•the imposition of </w:t>
      </w:r>
      <w:r>
        <w:rPr>
          <w:rFonts w:eastAsia="Times New Roman"/>
          <w:color w:val="000000"/>
          <w:sz w:val="20"/>
          <w:szCs w:val="20"/>
        </w:rPr>
        <w:t xml:space="preserve">import or export tariffs, taxes, trade policies or import and export controls that could increase the expense of, or limit demand for our products; </w:t>
      </w:r>
    </w:p>
    <w:p w:rsidR="00000000" w:rsidRDefault="006F0EF5">
      <w:pPr>
        <w:ind w:hanging="360"/>
        <w:jc w:val="both"/>
        <w:divId w:val="1930118648"/>
        <w:rPr>
          <w:rFonts w:eastAsia="Times New Roman"/>
        </w:rPr>
      </w:pPr>
      <w:r>
        <w:rPr>
          <w:rFonts w:eastAsia="Times New Roman"/>
          <w:color w:val="000000"/>
          <w:sz w:val="20"/>
          <w:szCs w:val="20"/>
        </w:rPr>
        <w:t>•changes to and compliance with a variety of laws and regulations that may increase our cost of doing busin</w:t>
      </w:r>
      <w:r>
        <w:rPr>
          <w:rFonts w:eastAsia="Times New Roman"/>
          <w:color w:val="000000"/>
          <w:sz w:val="20"/>
          <w:szCs w:val="20"/>
        </w:rPr>
        <w:t>ess or otherwise prevent us from effectively competing internationally;</w:t>
      </w:r>
    </w:p>
    <w:p w:rsidR="00000000" w:rsidRDefault="006F0EF5">
      <w:pPr>
        <w:ind w:hanging="360"/>
        <w:jc w:val="both"/>
        <w:divId w:val="1532257068"/>
        <w:rPr>
          <w:rFonts w:eastAsia="Times New Roman"/>
        </w:rPr>
      </w:pPr>
      <w:r>
        <w:rPr>
          <w:rFonts w:eastAsia="Times New Roman"/>
          <w:color w:val="000000"/>
          <w:sz w:val="20"/>
          <w:szCs w:val="20"/>
        </w:rPr>
        <w:t>•government uncertainty or limitations on the ability to enforce legal rights and remedies, including as a result of new, or changes to, laws and regulations;</w:t>
      </w:r>
    </w:p>
    <w:p w:rsidR="00000000" w:rsidRDefault="006F0EF5">
      <w:pPr>
        <w:ind w:hanging="360"/>
        <w:jc w:val="both"/>
        <w:divId w:val="808282812"/>
        <w:rPr>
          <w:rFonts w:eastAsia="Times New Roman"/>
        </w:rPr>
      </w:pPr>
      <w:r>
        <w:rPr>
          <w:rFonts w:eastAsia="Times New Roman"/>
          <w:color w:val="000000"/>
          <w:sz w:val="20"/>
          <w:szCs w:val="20"/>
        </w:rPr>
        <w:t>•reduced protection for i</w:t>
      </w:r>
      <w:r>
        <w:rPr>
          <w:rFonts w:eastAsia="Times New Roman"/>
          <w:color w:val="000000"/>
          <w:sz w:val="20"/>
          <w:szCs w:val="20"/>
        </w:rPr>
        <w:t>ntellectual property rights in certain countries;</w:t>
      </w:r>
    </w:p>
    <w:p w:rsidR="00000000" w:rsidRDefault="006F0EF5">
      <w:pPr>
        <w:ind w:hanging="360"/>
        <w:jc w:val="both"/>
        <w:divId w:val="1293898539"/>
        <w:rPr>
          <w:rFonts w:eastAsia="Times New Roman"/>
        </w:rPr>
      </w:pPr>
      <w:r>
        <w:rPr>
          <w:rFonts w:eastAsia="Times New Roman"/>
          <w:color w:val="000000"/>
          <w:sz w:val="20"/>
          <w:szCs w:val="20"/>
        </w:rPr>
        <w:t>•implementing and managing systems, procedures and controls to monitor our operations in foreign markets;</w:t>
      </w:r>
    </w:p>
    <w:p w:rsidR="00000000" w:rsidRDefault="006F0EF5">
      <w:pPr>
        <w:ind w:hanging="360"/>
        <w:jc w:val="both"/>
        <w:divId w:val="955790736"/>
        <w:rPr>
          <w:rFonts w:eastAsia="Times New Roman"/>
        </w:rPr>
      </w:pPr>
      <w:r>
        <w:rPr>
          <w:rFonts w:eastAsia="Times New Roman"/>
          <w:color w:val="000000"/>
          <w:sz w:val="20"/>
          <w:szCs w:val="20"/>
        </w:rPr>
        <w:t>•changing competitive requirements and deliverables in developing and emerging markets;</w:t>
      </w:r>
    </w:p>
    <w:p w:rsidR="00000000" w:rsidRDefault="006F0EF5">
      <w:pPr>
        <w:ind w:hanging="360"/>
        <w:jc w:val="both"/>
        <w:divId w:val="1765802477"/>
        <w:rPr>
          <w:rFonts w:eastAsia="Times New Roman"/>
        </w:rPr>
      </w:pPr>
      <w:r>
        <w:rPr>
          <w:rFonts w:eastAsia="Times New Roman"/>
          <w:color w:val="000000"/>
          <w:sz w:val="20"/>
          <w:szCs w:val="20"/>
        </w:rPr>
        <w:t>•longer coll</w:t>
      </w:r>
      <w:r>
        <w:rPr>
          <w:rFonts w:eastAsia="Times New Roman"/>
          <w:color w:val="000000"/>
          <w:sz w:val="20"/>
          <w:szCs w:val="20"/>
        </w:rPr>
        <w:t>ection cycles and the financial viability and reliability of contracting partners and customers;</w:t>
      </w:r>
    </w:p>
    <w:p w:rsidR="00000000" w:rsidRDefault="006F0EF5">
      <w:pPr>
        <w:ind w:hanging="360"/>
        <w:jc w:val="both"/>
        <w:divId w:val="1588997524"/>
        <w:rPr>
          <w:rFonts w:eastAsia="Times New Roman"/>
        </w:rPr>
      </w:pPr>
      <w:r>
        <w:rPr>
          <w:rFonts w:eastAsia="Times New Roman"/>
          <w:color w:val="000000"/>
          <w:sz w:val="20"/>
          <w:szCs w:val="20"/>
        </w:rPr>
        <w:t>•managing a geographically dispersed workforce, work stoppages and other labor conditions or issues;</w:t>
      </w:r>
    </w:p>
    <w:p w:rsidR="00000000" w:rsidRDefault="006F0EF5">
      <w:pPr>
        <w:ind w:hanging="360"/>
        <w:jc w:val="both"/>
        <w:divId w:val="718893954"/>
        <w:rPr>
          <w:rFonts w:eastAsia="Times New Roman"/>
        </w:rPr>
      </w:pPr>
      <w:r>
        <w:rPr>
          <w:rFonts w:eastAsia="Times New Roman"/>
          <w:color w:val="000000"/>
          <w:sz w:val="20"/>
          <w:szCs w:val="20"/>
        </w:rPr>
        <w:t>•</w:t>
      </w:r>
      <w:r>
        <w:rPr>
          <w:rFonts w:eastAsia="Times New Roman"/>
          <w:color w:val="000000"/>
          <w:sz w:val="20"/>
          <w:szCs w:val="20"/>
        </w:rPr>
        <w:t>disruptions in transportation and shipping infrastructure; and</w:t>
      </w:r>
    </w:p>
    <w:p w:rsidR="00000000" w:rsidRDefault="006F0EF5">
      <w:pPr>
        <w:ind w:hanging="360"/>
        <w:jc w:val="both"/>
        <w:divId w:val="1528710772"/>
        <w:rPr>
          <w:rFonts w:eastAsia="Times New Roman"/>
        </w:rPr>
      </w:pPr>
      <w:r>
        <w:rPr>
          <w:rFonts w:eastAsia="Times New Roman"/>
          <w:color w:val="000000"/>
          <w:sz w:val="20"/>
          <w:szCs w:val="20"/>
        </w:rPr>
        <w:t>•the impact of civil unrest relating to war and terrorist activity on the economy or markets in general, or on our ability, or that of our suppliers, to meet commitments.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addition, as a re</w:t>
      </w:r>
      <w:r>
        <w:rPr>
          <w:rFonts w:eastAsia="Times New Roman"/>
          <w:color w:val="000000"/>
          <w:sz w:val="20"/>
          <w:szCs w:val="20"/>
        </w:rPr>
        <w:t>sult of our revenue generated outside of the United States, the amount of cash and cash equivalents that is held by our foreign subsidiaries continues to be significant. After the Tax Cuts and Jobs Act of 2017, in general we will not be subject to addition</w:t>
      </w:r>
      <w:r>
        <w:rPr>
          <w:rFonts w:eastAsia="Times New Roman"/>
          <w:color w:val="000000"/>
          <w:sz w:val="20"/>
          <w:szCs w:val="20"/>
        </w:rPr>
        <w:t>al United States taxes if cash and cash equivalents and short-term investments held outside the United States are distributed to the United States in the form of dividends or otherwise. However, we may be subject to foreign withholding taxes, which could b</w:t>
      </w:r>
      <w:r>
        <w:rPr>
          <w:rFonts w:eastAsia="Times New Roman"/>
          <w:color w:val="000000"/>
          <w:sz w:val="20"/>
          <w:szCs w:val="20"/>
        </w:rPr>
        <w:t>e significant.</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The strategic review may cause disruption to the business and may fail to result in increasing the value to our shareholders or in the completion of any transaction.</w:t>
      </w:r>
      <w:r>
        <w:rPr>
          <w:rFonts w:eastAsia="Times New Roman"/>
          <w:color w:val="000000"/>
          <w:sz w:val="20"/>
          <w:szCs w:val="20"/>
        </w:rPr>
        <w:t xml:space="preserve"> </w:t>
      </w:r>
      <w:r>
        <w:rPr>
          <w:rFonts w:eastAsia="Times New Roman"/>
          <w:color w:val="000000"/>
          <w:sz w:val="20"/>
          <w:szCs w:val="20"/>
        </w:rPr>
        <w:t>On February 8, 2022, NCR announced that its Board of Directors unanimously approved commencing a comprehensive strategic review, with the assistance of outside advisors, which will evaluate a full range of strategic alternatives available to NCR to enhance</w:t>
      </w:r>
      <w:r>
        <w:rPr>
          <w:rFonts w:eastAsia="Times New Roman"/>
          <w:color w:val="000000"/>
          <w:sz w:val="20"/>
          <w:szCs w:val="20"/>
        </w:rPr>
        <w:t xml:space="preserve"> value for all shareholders. Those strategic alternatives could include a disposition of a material business or assets of the Company, a spin-off, merger or sale of the Company, other structural changes, changes to branding or geographic footprint or other</w:t>
      </w:r>
      <w:r>
        <w:rPr>
          <w:rFonts w:eastAsia="Times New Roman"/>
          <w:color w:val="000000"/>
          <w:sz w:val="20"/>
          <w:szCs w:val="20"/>
        </w:rPr>
        <w:t xml:space="preserve"> transactions or alternatives. The review may result in near-term disruption to our business and employees as we explore certain alternatives. Additionally, there is no guarantee that the outcome of the strategic review will result in an increase in the sh</w:t>
      </w:r>
      <w:r>
        <w:rPr>
          <w:rFonts w:eastAsia="Times New Roman"/>
          <w:color w:val="000000"/>
          <w:sz w:val="20"/>
          <w:szCs w:val="20"/>
        </w:rPr>
        <w:t xml:space="preserve">are price for our shareholders or in the completion of any transaction. </w:t>
      </w: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BUSINESS OPERATIONS</w:t>
      </w:r>
    </w:p>
    <w:p w:rsidR="00000000" w:rsidRDefault="006F0EF5">
      <w:pPr>
        <w:jc w:val="both"/>
        <w:rPr>
          <w:rFonts w:eastAsia="Times New Roman"/>
        </w:rPr>
      </w:pPr>
    </w:p>
    <w:p w:rsidR="00000000" w:rsidRDefault="006F0EF5">
      <w:pPr>
        <w:jc w:val="center"/>
        <w:divId w:val="1885752111"/>
        <w:rPr>
          <w:rFonts w:eastAsia="Times New Roman"/>
        </w:rPr>
      </w:pPr>
      <w:r>
        <w:rPr>
          <w:rFonts w:eastAsia="Times New Roman"/>
          <w:color w:val="000000"/>
          <w:sz w:val="20"/>
          <w:szCs w:val="20"/>
        </w:rPr>
        <w:t>15</w:t>
      </w:r>
    </w:p>
    <w:p w:rsidR="00000000" w:rsidRDefault="006F0EF5">
      <w:pPr>
        <w:rPr>
          <w:rFonts w:eastAsia="Times New Roman"/>
        </w:rPr>
      </w:pPr>
      <w:r>
        <w:rPr>
          <w:rFonts w:eastAsia="Times New Roman"/>
        </w:rPr>
        <w:pict>
          <v:rect id="_x0000_i1043" style="width:0;height:1.5pt" o:hralign="center" o:hrstd="t" o:hr="t" fillcolor="#a0a0a0" stroked="f"/>
        </w:pict>
      </w:r>
    </w:p>
    <w:p w:rsidR="00000000" w:rsidRDefault="006F0EF5">
      <w:pPr>
        <w:divId w:val="96346513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540292054"/>
        <w:rPr>
          <w:rFonts w:eastAsia="Times New Roman"/>
        </w:rPr>
      </w:pPr>
    </w:p>
    <w:p w:rsidR="00000000" w:rsidRDefault="006F0EF5">
      <w:pPr>
        <w:jc w:val="both"/>
        <w:rPr>
          <w:rFonts w:eastAsia="Times New Roman"/>
        </w:rPr>
      </w:pPr>
      <w:r>
        <w:rPr>
          <w:rFonts w:eastAsia="Times New Roman"/>
          <w:b/>
          <w:bCs/>
          <w:i/>
          <w:iCs/>
          <w:color w:val="000000"/>
          <w:sz w:val="20"/>
          <w:szCs w:val="20"/>
        </w:rPr>
        <w:t>Our business may be negatively affected</w:t>
      </w:r>
      <w:r>
        <w:rPr>
          <w:rFonts w:eastAsia="Times New Roman"/>
          <w:b/>
          <w:bCs/>
          <w:i/>
          <w:iCs/>
          <w:color w:val="000000"/>
          <w:sz w:val="20"/>
          <w:szCs w:val="20"/>
        </w:rPr>
        <w:t xml:space="preserve"> by domestic and global economic and credit conditions. </w:t>
      </w:r>
      <w:r>
        <w:rPr>
          <w:rFonts w:eastAsia="Times New Roman"/>
          <w:color w:val="000000"/>
          <w:sz w:val="20"/>
          <w:szCs w:val="20"/>
        </w:rPr>
        <w:t>Our business is sensitive to the strength of domestic and global economic and credit conditions, particularly as they affect, either directly or indirectly, the financial, retail and hospitality secto</w:t>
      </w:r>
      <w:r>
        <w:rPr>
          <w:rFonts w:eastAsia="Times New Roman"/>
          <w:color w:val="000000"/>
          <w:sz w:val="20"/>
          <w:szCs w:val="20"/>
        </w:rPr>
        <w:t>rs of the economy. Economic and credit conditions are influenced by a number of factors, including political conditions, consumer confidence, unemployment levels, interest rates, tax rates, commodity prices and government actions to stimulate economic grow</w:t>
      </w:r>
      <w:r>
        <w:rPr>
          <w:rFonts w:eastAsia="Times New Roman"/>
          <w:color w:val="000000"/>
          <w:sz w:val="20"/>
          <w:szCs w:val="20"/>
        </w:rPr>
        <w:t>th. The imposition or threat of protectionist trade policies or import or export tariffs, global and regional market conditions and spending trends in the financial, retail and hospitality industries, new tax legislation across multiple jurisdictions, modi</w:t>
      </w:r>
      <w:r>
        <w:rPr>
          <w:rFonts w:eastAsia="Times New Roman"/>
          <w:color w:val="000000"/>
          <w:sz w:val="20"/>
          <w:szCs w:val="20"/>
        </w:rPr>
        <w:t>fied or new global or regional trade agreements, uncertainty over further potential changes in Eurozone participation and fluctuations in oil and commodity prices, among other things, have created a challenging and unpredictable environment in which to mar</w:t>
      </w:r>
      <w:r>
        <w:rPr>
          <w:rFonts w:eastAsia="Times New Roman"/>
          <w:color w:val="000000"/>
          <w:sz w:val="20"/>
          <w:szCs w:val="20"/>
        </w:rPr>
        <w:t>ket the products and services of our various businesses across our different geographies and industries. A negative or unpredictable economic climate could create uncertainty or financial pressures that impact the ability or willingness of our customers to</w:t>
      </w:r>
      <w:r>
        <w:rPr>
          <w:rFonts w:eastAsia="Times New Roman"/>
          <w:color w:val="000000"/>
          <w:sz w:val="20"/>
          <w:szCs w:val="20"/>
        </w:rPr>
        <w:t xml:space="preserve"> make capital expenditures, thereby affecting their decision to purchase or roll out our products or services or, especially with respect to smaller customers, to pay accounts receivable owed to NCR. Additionally, if customers respond to a negative or unpr</w:t>
      </w:r>
      <w:r>
        <w:rPr>
          <w:rFonts w:eastAsia="Times New Roman"/>
          <w:color w:val="000000"/>
          <w:sz w:val="20"/>
          <w:szCs w:val="20"/>
        </w:rPr>
        <w:t>edictable economic climate by consolidation, it could reduce our base of potential customers. Negative or unpredictable global economic conditions also may have an adverse effect on our customers’ ability to obtain financing for the purchase of our product</w:t>
      </w:r>
      <w:r>
        <w:rPr>
          <w:rFonts w:eastAsia="Times New Roman"/>
          <w:color w:val="000000"/>
          <w:sz w:val="20"/>
          <w:szCs w:val="20"/>
        </w:rPr>
        <w:t>s and services from third party financing companies or on the number of payment processing transactions which could negatively impact our operating results.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We are subject to certain significant risks and uncertainties from the payments-related business </w:t>
      </w:r>
      <w:r>
        <w:rPr>
          <w:rFonts w:eastAsia="Times New Roman"/>
          <w:b/>
          <w:bCs/>
          <w:i/>
          <w:iCs/>
          <w:color w:val="000000"/>
          <w:sz w:val="20"/>
          <w:szCs w:val="20"/>
        </w:rPr>
        <w:t>and industry.</w:t>
      </w:r>
      <w:r>
        <w:rPr>
          <w:rFonts w:eastAsia="Times New Roman"/>
          <w:color w:val="000000"/>
          <w:sz w:val="20"/>
          <w:szCs w:val="20"/>
        </w:rPr>
        <w:t xml:space="preserve"> As a part of our overall strategy related to our payments-related business we may be subject to the following risks:</w:t>
      </w:r>
    </w:p>
    <w:p w:rsidR="00000000" w:rsidRDefault="006F0EF5">
      <w:pPr>
        <w:divId w:val="1064914098"/>
        <w:rPr>
          <w:rFonts w:eastAsia="Times New Roman"/>
        </w:rPr>
      </w:pPr>
    </w:p>
    <w:p w:rsidR="00000000" w:rsidRDefault="006F0EF5">
      <w:pPr>
        <w:jc w:val="both"/>
        <w:rPr>
          <w:rFonts w:eastAsia="Times New Roman"/>
        </w:rPr>
      </w:pPr>
      <w:r>
        <w:rPr>
          <w:rFonts w:eastAsia="Times New Roman"/>
          <w:color w:val="000000"/>
          <w:sz w:val="20"/>
          <w:szCs w:val="20"/>
        </w:rPr>
        <w:t>The proliferation of payment options and increasingly frictionless methods of payment other than cash, including credit car</w:t>
      </w:r>
      <w:r>
        <w:rPr>
          <w:rFonts w:eastAsia="Times New Roman"/>
          <w:color w:val="000000"/>
          <w:sz w:val="20"/>
          <w:szCs w:val="20"/>
        </w:rPr>
        <w:t>ds, debit cards, stored-value debit cards, contactless, and mobile payments options, could result in a reduced need for cash in the marketplace and a resulting decline in the usage of our ATMs. The continued growth in electronic payment methods, such as mo</w:t>
      </w:r>
      <w:r>
        <w:rPr>
          <w:rFonts w:eastAsia="Times New Roman"/>
          <w:color w:val="000000"/>
          <w:sz w:val="20"/>
          <w:szCs w:val="20"/>
        </w:rPr>
        <w:t>bile phone payments, contactless payments and card only self-service order and payment terminals could result in a reduced need for cash in the marketplace and ultimately, a decline in the usage of ATMs. New payment technology, such as Venmo, Zelle, Square</w:t>
      </w:r>
      <w:r>
        <w:rPr>
          <w:rFonts w:eastAsia="Times New Roman"/>
          <w:color w:val="000000"/>
          <w:sz w:val="20"/>
          <w:szCs w:val="20"/>
        </w:rPr>
        <w:t xml:space="preserve"> Cash, Facebook Messenger Payments and virtual currencies such as Bitcoin, or other new payment method preferences by consumers could reduce the general population’s need or demand for cash and negatively impact our ATM transaction volumes in the future.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derives a significant portion of its revenues from ATM and financial services transaction fees, which could be reduced by a decline in the usage of ATMs, the ability to charge cardholders fees to use ATMs and the level of transaction fees received, o</w:t>
      </w:r>
      <w:r>
        <w:rPr>
          <w:rFonts w:eastAsia="Times New Roman"/>
          <w:color w:val="000000"/>
          <w:sz w:val="20"/>
          <w:szCs w:val="20"/>
        </w:rPr>
        <w:t>r a decline in the number of ATMs that are operated by us, whether as a result of changes in consumer spending preferences, global economic conditions, or otherwise. Additionally, should banks or other ATM operators decrease or eliminate the fees they char</w:t>
      </w:r>
      <w:r>
        <w:rPr>
          <w:rFonts w:eastAsia="Times New Roman"/>
          <w:color w:val="000000"/>
          <w:sz w:val="20"/>
          <w:szCs w:val="20"/>
        </w:rPr>
        <w:t>ge to users of their ATMs or otherwise offer free access to their networks, such action would make transactions at our ATMs comparatively more expensive to consumers and could adversely impact transaction volumes and revenue.</w:t>
      </w:r>
    </w:p>
    <w:p w:rsidR="00000000" w:rsidRDefault="006F0EF5">
      <w:pPr>
        <w:ind w:hanging="360"/>
        <w:jc w:val="both"/>
        <w:rPr>
          <w:rFonts w:eastAsia="Times New Roman"/>
        </w:rPr>
      </w:pPr>
    </w:p>
    <w:p w:rsidR="00000000" w:rsidRDefault="006F0EF5">
      <w:pPr>
        <w:jc w:val="both"/>
        <w:rPr>
          <w:rFonts w:eastAsia="Times New Roman"/>
        </w:rPr>
      </w:pPr>
      <w:r>
        <w:rPr>
          <w:rFonts w:eastAsia="Times New Roman"/>
          <w:color w:val="000000"/>
          <w:sz w:val="20"/>
          <w:szCs w:val="20"/>
        </w:rPr>
        <w:t>The majority of the electron</w:t>
      </w:r>
      <w:r>
        <w:rPr>
          <w:rFonts w:eastAsia="Times New Roman"/>
          <w:color w:val="000000"/>
          <w:sz w:val="20"/>
          <w:szCs w:val="20"/>
        </w:rPr>
        <w:t>ic debit networks over which transactions are conducted require sponsorship by a bank, and the loss of any sponsors and/or the inability to find a replacement may cause disruptions to our operations. In each of the geographic markets, bank sponsorship is r</w:t>
      </w:r>
      <w:r>
        <w:rPr>
          <w:rFonts w:eastAsia="Times New Roman"/>
          <w:color w:val="000000"/>
          <w:sz w:val="20"/>
          <w:szCs w:val="20"/>
        </w:rPr>
        <w:t>equired in order to process transactions over certain networks. In all of the markets we serve, ATMs are connected to financial transaction switching networks operated by organizations such as Visa and MasterCard. The rules governing these switching networ</w:t>
      </w:r>
      <w:r>
        <w:rPr>
          <w:rFonts w:eastAsia="Times New Roman"/>
          <w:color w:val="000000"/>
          <w:sz w:val="20"/>
          <w:szCs w:val="20"/>
        </w:rPr>
        <w:t>ks require any company sending transactions through these networks to be a bank or a technical service processor that is approved and monitored by a bank. As a result, the operation of the ATM network in all of the markets we serve depends on the ability t</w:t>
      </w:r>
      <w:r>
        <w:rPr>
          <w:rFonts w:eastAsia="Times New Roman"/>
          <w:color w:val="000000"/>
          <w:sz w:val="20"/>
          <w:szCs w:val="20"/>
        </w:rPr>
        <w:t>o secure these “sponsor” arrangements with financial institutions.</w:t>
      </w:r>
    </w:p>
    <w:p w:rsidR="00000000" w:rsidRDefault="006F0EF5">
      <w:pPr>
        <w:ind w:hanging="360"/>
        <w:jc w:val="both"/>
        <w:rPr>
          <w:rFonts w:eastAsia="Times New Roman"/>
        </w:rPr>
      </w:pPr>
    </w:p>
    <w:p w:rsidR="00000000" w:rsidRDefault="006F0EF5">
      <w:pPr>
        <w:jc w:val="both"/>
        <w:rPr>
          <w:rFonts w:eastAsia="Times New Roman"/>
        </w:rPr>
      </w:pPr>
      <w:r>
        <w:rPr>
          <w:rFonts w:eastAsia="Times New Roman"/>
          <w:color w:val="000000"/>
          <w:sz w:val="20"/>
          <w:szCs w:val="20"/>
        </w:rPr>
        <w:t>Interchange fees may be lowered in some cases at the discretion of the various EFT networks through which transactions are routed, or through potential regulatory changes, thus reducing f</w:t>
      </w:r>
      <w:r>
        <w:rPr>
          <w:rFonts w:eastAsia="Times New Roman"/>
          <w:color w:val="000000"/>
          <w:sz w:val="20"/>
          <w:szCs w:val="20"/>
        </w:rPr>
        <w:t>uture revenues and operating profits. Future changes in interchange rates, some of which we have minimal or no control over, could have an adverse impact on our operations and cash flows.</w:t>
      </w:r>
    </w:p>
    <w:p w:rsidR="00000000" w:rsidRDefault="006F0EF5">
      <w:pPr>
        <w:ind w:hanging="360"/>
        <w:jc w:val="both"/>
        <w:rPr>
          <w:rFonts w:eastAsia="Times New Roman"/>
        </w:rPr>
      </w:pPr>
    </w:p>
    <w:p w:rsidR="00000000" w:rsidRDefault="006F0EF5">
      <w:pPr>
        <w:jc w:val="both"/>
        <w:rPr>
          <w:rFonts w:eastAsia="Times New Roman"/>
        </w:rPr>
      </w:pPr>
      <w:r>
        <w:rPr>
          <w:rFonts w:eastAsia="Times New Roman"/>
          <w:color w:val="000000"/>
          <w:sz w:val="20"/>
          <w:szCs w:val="20"/>
        </w:rPr>
        <w:t xml:space="preserve">Non-compliance with established EFT network rules and regulations </w:t>
      </w:r>
      <w:r>
        <w:rPr>
          <w:rFonts w:eastAsia="Times New Roman"/>
          <w:color w:val="000000"/>
          <w:sz w:val="20"/>
          <w:szCs w:val="20"/>
        </w:rPr>
        <w:t>could expose NCR to fines, penalties or other liabilities and could negatively impact results of operations. Additionally, new EFT network rules and regulations could require significant amounts of capital to remain in compliance with such rules and regula</w:t>
      </w:r>
      <w:r>
        <w:rPr>
          <w:rFonts w:eastAsia="Times New Roman"/>
          <w:color w:val="000000"/>
          <w:sz w:val="20"/>
          <w:szCs w:val="20"/>
        </w:rPr>
        <w:t>tions. Transactions are routed over various EFT networks to obtain authorization for cash disbursements and to provide account balances. These networks primarily include Star, Pulse, NYCE, Cirrus (MasterCard), and Plus (Visa) in the United States, and LINK</w:t>
      </w:r>
      <w:r>
        <w:rPr>
          <w:rFonts w:eastAsia="Times New Roman"/>
          <w:color w:val="000000"/>
          <w:sz w:val="20"/>
          <w:szCs w:val="20"/>
        </w:rPr>
        <w:t xml:space="preserve"> in the United Kingdom, among other networks. EFT networks set the interchange fees that they charge to the financial institutions, as well as the amounts paid to NCR. Additionally, EFT networks, including MasterCard and Visa, establish rules and regulatio</w:t>
      </w:r>
      <w:r>
        <w:rPr>
          <w:rFonts w:eastAsia="Times New Roman"/>
          <w:color w:val="000000"/>
          <w:sz w:val="20"/>
          <w:szCs w:val="20"/>
        </w:rPr>
        <w:t>ns that ATM providers must comply with in order for member cardholders to use those ATMs. Failure to comply with such rules and regulations could result in penalties and/or fines, which could negatively impact our financial results.</w:t>
      </w:r>
    </w:p>
    <w:p w:rsidR="00000000" w:rsidRDefault="006F0EF5">
      <w:pPr>
        <w:ind w:hanging="360"/>
        <w:jc w:val="both"/>
        <w:rPr>
          <w:rFonts w:eastAsia="Times New Roman"/>
        </w:rPr>
      </w:pPr>
    </w:p>
    <w:p w:rsidR="00000000" w:rsidRDefault="006F0EF5">
      <w:pPr>
        <w:jc w:val="center"/>
        <w:divId w:val="2050300742"/>
        <w:rPr>
          <w:rFonts w:eastAsia="Times New Roman"/>
        </w:rPr>
      </w:pPr>
      <w:r>
        <w:rPr>
          <w:rFonts w:eastAsia="Times New Roman"/>
          <w:color w:val="000000"/>
          <w:sz w:val="20"/>
          <w:szCs w:val="20"/>
        </w:rPr>
        <w:t>16</w:t>
      </w:r>
    </w:p>
    <w:p w:rsidR="00000000" w:rsidRDefault="006F0EF5">
      <w:pPr>
        <w:rPr>
          <w:rFonts w:eastAsia="Times New Roman"/>
        </w:rPr>
      </w:pPr>
      <w:r>
        <w:rPr>
          <w:rFonts w:eastAsia="Times New Roman"/>
        </w:rPr>
        <w:pict>
          <v:rect id="_x0000_i1044" style="width:0;height:1.5pt" o:hralign="center" o:hrstd="t" o:hr="t" fillcolor="#a0a0a0" stroked="f"/>
        </w:pict>
      </w:r>
    </w:p>
    <w:p w:rsidR="00000000" w:rsidRDefault="006F0EF5">
      <w:pPr>
        <w:divId w:val="102813777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727843205"/>
        <w:rPr>
          <w:rFonts w:eastAsia="Times New Roman"/>
        </w:rPr>
      </w:pPr>
    </w:p>
    <w:p w:rsidR="00000000" w:rsidRDefault="006F0EF5">
      <w:pPr>
        <w:jc w:val="both"/>
        <w:rPr>
          <w:rFonts w:eastAsia="Times New Roman"/>
        </w:rPr>
      </w:pPr>
      <w:r>
        <w:rPr>
          <w:rFonts w:eastAsia="Times New Roman"/>
          <w:color w:val="000000"/>
          <w:sz w:val="20"/>
          <w:szCs w:val="20"/>
        </w:rPr>
        <w:t>There is a significant amount of vault cash within our ATMs, which is subject to potential loss due to theft, civil unrest or other events, i</w:t>
      </w:r>
      <w:r>
        <w:rPr>
          <w:rFonts w:eastAsia="Times New Roman"/>
          <w:color w:val="000000"/>
          <w:sz w:val="20"/>
          <w:szCs w:val="20"/>
        </w:rPr>
        <w:t>ncluding natural disasters. Third parties are also relied upon in the various regions to provide NCR with the cash required to operate many of the ATMs. If these third parties were unable or unwilling to provide the necessary cash to operate the ATMs, ther</w:t>
      </w:r>
      <w:r>
        <w:rPr>
          <w:rFonts w:eastAsia="Times New Roman"/>
          <w:color w:val="000000"/>
          <w:sz w:val="20"/>
          <w:szCs w:val="20"/>
        </w:rPr>
        <w:t>e would be a need to identify alternative sources of cash to operate the ATMs or we would not be able to operate this business.</w:t>
      </w:r>
    </w:p>
    <w:p w:rsidR="00000000" w:rsidRDefault="006F0EF5">
      <w:pPr>
        <w:ind w:hanging="360"/>
        <w:jc w:val="both"/>
        <w:rPr>
          <w:rFonts w:eastAsia="Times New Roman"/>
        </w:rPr>
      </w:pPr>
    </w:p>
    <w:p w:rsidR="00000000" w:rsidRDefault="006F0EF5">
      <w:pPr>
        <w:jc w:val="both"/>
        <w:rPr>
          <w:rFonts w:eastAsia="Times New Roman"/>
        </w:rPr>
      </w:pPr>
      <w:r>
        <w:rPr>
          <w:rFonts w:eastAsia="Times New Roman"/>
          <w:color w:val="000000"/>
          <w:sz w:val="20"/>
          <w:szCs w:val="20"/>
        </w:rPr>
        <w:t>The election by our merchant customers not to participate in the surcharge-free network offerings could impact the effectivene</w:t>
      </w:r>
      <w:r>
        <w:rPr>
          <w:rFonts w:eastAsia="Times New Roman"/>
          <w:color w:val="000000"/>
          <w:sz w:val="20"/>
          <w:szCs w:val="20"/>
        </w:rPr>
        <w:t>ss of those offerings, which would negatively impact our financial results. Financial institutions that are members of the Allpoint network pay a fee in exchange for allowing their cardholders to use selected NCR-owned, managed and/or participating ATMs on</w:t>
      </w:r>
      <w:r>
        <w:rPr>
          <w:rFonts w:eastAsia="Times New Roman"/>
          <w:color w:val="000000"/>
          <w:sz w:val="20"/>
          <w:szCs w:val="20"/>
        </w:rPr>
        <w:t xml:space="preserve"> a surcharge-free basis. The success of the Allpoint network is dependent upon the participation by our merchant customers in that network. In the event a significant number of our merchants elect not to participate in the Allpoint network, the benefits an</w:t>
      </w:r>
      <w:r>
        <w:rPr>
          <w:rFonts w:eastAsia="Times New Roman"/>
          <w:color w:val="000000"/>
          <w:sz w:val="20"/>
          <w:szCs w:val="20"/>
        </w:rPr>
        <w:t>d effectiveness of the network would be diminished, thus potentially causing some of the participating financial institutions to not renew their agreements, terminate early, and/or trigger financial penalties, thereby having a negative impact on our financ</w:t>
      </w:r>
      <w:r>
        <w:rPr>
          <w:rFonts w:eastAsia="Times New Roman"/>
          <w:color w:val="000000"/>
          <w:sz w:val="20"/>
          <w:szCs w:val="20"/>
        </w:rPr>
        <w:t>ial results.</w:t>
      </w:r>
    </w:p>
    <w:p w:rsidR="00000000" w:rsidRDefault="006F0EF5">
      <w:pPr>
        <w:ind w:hanging="360"/>
        <w:jc w:val="both"/>
        <w:rPr>
          <w:rFonts w:eastAsia="Times New Roman"/>
        </w:rPr>
      </w:pPr>
    </w:p>
    <w:p w:rsidR="00000000" w:rsidRDefault="006F0EF5">
      <w:pPr>
        <w:jc w:val="both"/>
        <w:rPr>
          <w:rFonts w:eastAsia="Times New Roman"/>
        </w:rPr>
      </w:pPr>
      <w:r>
        <w:rPr>
          <w:rFonts w:eastAsia="Times New Roman"/>
          <w:color w:val="000000"/>
          <w:sz w:val="20"/>
          <w:szCs w:val="20"/>
        </w:rPr>
        <w:t>The cash-in-transit business exposes NCR to additional risks beyond those experienced from the ownership and operation of ATMs. The cash-in-transit operation in the United Kingdom delivers cash to and collects residual cash from ATMs in that</w:t>
      </w:r>
      <w:r>
        <w:rPr>
          <w:rFonts w:eastAsia="Times New Roman"/>
          <w:color w:val="000000"/>
          <w:sz w:val="20"/>
          <w:szCs w:val="20"/>
        </w:rPr>
        <w:t xml:space="preserve"> market. The cash-in-transit business exposes NCR to significant risks, including the potential for cash-in-transit losses, employee theft, as well as claims for personal injury, wrongful death, worker’s compensation, punitive damages, and general liabilit</w:t>
      </w:r>
      <w:r>
        <w:rPr>
          <w:rFonts w:eastAsia="Times New Roman"/>
          <w:color w:val="000000"/>
          <w:sz w:val="20"/>
          <w:szCs w:val="20"/>
        </w:rPr>
        <w:t>y,</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Errors or omissions in the settlement of merchant funds or in the vault cash reconciliations could damage relationships with customers and vault cash providers, respectively, and expose NCR to liability. NCR is responsible for maintaining accurate ban</w:t>
      </w:r>
      <w:r>
        <w:rPr>
          <w:rFonts w:eastAsia="Times New Roman"/>
          <w:color w:val="000000"/>
          <w:sz w:val="20"/>
          <w:szCs w:val="20"/>
        </w:rPr>
        <w:t>k account information for certain merchant customers, financial institution customers and vault cash providers and accurate settlements of funds into these accounts based on the underlying transaction activity</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addition, financial and third-party risks</w:t>
      </w:r>
      <w:r>
        <w:rPr>
          <w:rFonts w:eastAsia="Times New Roman"/>
          <w:color w:val="000000"/>
          <w:sz w:val="20"/>
          <w:szCs w:val="20"/>
        </w:rPr>
        <w:t xml:space="preserve"> related to our cryptocurrency offerings, such as inappropriate access and theft of cryptocurrency assets held by our custodian, insufficient insurance coverage by the custodian to reimburse us for all such losses, the custodian’s failure to maintain effec</w:t>
      </w:r>
      <w:r>
        <w:rPr>
          <w:rFonts w:eastAsia="Times New Roman"/>
          <w:color w:val="000000"/>
          <w:sz w:val="20"/>
          <w:szCs w:val="20"/>
        </w:rPr>
        <w:t xml:space="preserve">tive controls over the custody and settlement services provided to us, the custodian’s inability to purchase or liquidate cryptocurrency holdings, and default on financial or performance obligations by counterparty financial institutions, could materially </w:t>
      </w:r>
      <w:r>
        <w:rPr>
          <w:rFonts w:eastAsia="Times New Roman"/>
          <w:color w:val="000000"/>
          <w:sz w:val="20"/>
          <w:szCs w:val="20"/>
        </w:rPr>
        <w:t>and adversely affect our financial performance.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Portions of certain businesses NCR recently acquired are customer-facing and expose the Company to additional compliance risks because we may be subject to certain consumer protection requirements such as o</w:t>
      </w:r>
      <w:r>
        <w:rPr>
          <w:rFonts w:eastAsia="Times New Roman"/>
          <w:color w:val="000000"/>
          <w:sz w:val="20"/>
          <w:szCs w:val="20"/>
        </w:rPr>
        <w:t>versight by the CFPB and FTC and similar state or foreign agencies in the jurisdictions where they operate. Prior to these acquisitions, NCR was primarily a business-to-business company and not directly subject to these broader consumer protection laws and</w:t>
      </w:r>
      <w:r>
        <w:rPr>
          <w:rFonts w:eastAsia="Times New Roman"/>
          <w:color w:val="000000"/>
          <w:sz w:val="20"/>
          <w:szCs w:val="20"/>
        </w:rPr>
        <w:t xml:space="preserve"> regulations. The Company will also be exposed to additional compliance risks in scope and geography as our payments-related offers expand into new markets, each with their own consumer protection requirements. In addition, the customer-facing nature of ou</w:t>
      </w:r>
      <w:r>
        <w:rPr>
          <w:rFonts w:eastAsia="Times New Roman"/>
          <w:color w:val="000000"/>
          <w:sz w:val="20"/>
          <w:szCs w:val="20"/>
        </w:rPr>
        <w:t>r payments-related business subjects the Company to increased risks of disputes with consumers, including litigation and class action litigation, and significant costs to address such matters. The volatility of cryptocurrency markets and the level of consu</w:t>
      </w:r>
      <w:r>
        <w:rPr>
          <w:rFonts w:eastAsia="Times New Roman"/>
          <w:color w:val="000000"/>
          <w:sz w:val="20"/>
          <w:szCs w:val="20"/>
        </w:rPr>
        <w:t>mer understanding of cryptocurrencies may cause this risk to be greater than in more traditional customer-facing businesses. The Company also faces additional risks related to uncertainty in potential future regulation and legal oversight of markets and bu</w:t>
      </w:r>
      <w:r>
        <w:rPr>
          <w:rFonts w:eastAsia="Times New Roman"/>
          <w:color w:val="000000"/>
          <w:sz w:val="20"/>
          <w:szCs w:val="20"/>
        </w:rPr>
        <w:t>sinesses engaged in products and services relating to blockchain technology, virtual currencies or cryptocurrencies.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Disruptions in our data center hosting and public cloud facilities could adversely affect our business</w:t>
      </w:r>
      <w:r>
        <w:rPr>
          <w:rFonts w:eastAsia="Times New Roman"/>
          <w:i/>
          <w:iCs/>
          <w:color w:val="000000"/>
          <w:sz w:val="20"/>
          <w:szCs w:val="20"/>
        </w:rPr>
        <w:t>.</w:t>
      </w:r>
      <w:r>
        <w:rPr>
          <w:rFonts w:eastAsia="Times New Roman"/>
          <w:color w:val="000000"/>
          <w:sz w:val="20"/>
          <w:szCs w:val="20"/>
        </w:rPr>
        <w:t xml:space="preserve"> Our software products are increas</w:t>
      </w:r>
      <w:r>
        <w:rPr>
          <w:rFonts w:eastAsia="Times New Roman"/>
          <w:color w:val="000000"/>
          <w:sz w:val="20"/>
          <w:szCs w:val="20"/>
        </w:rPr>
        <w:t>ingly being offered and provided on a cloud or other hosted basis through data centers operated by the Company or third parties in the United States and other countries. In addition, certain applications and data that we use in our services offerings and o</w:t>
      </w:r>
      <w:r>
        <w:rPr>
          <w:rFonts w:eastAsia="Times New Roman"/>
          <w:color w:val="000000"/>
          <w:sz w:val="20"/>
          <w:szCs w:val="20"/>
        </w:rPr>
        <w:t>ur operations may be hosted or stored at such facilities. These facilities may be vulnerable to natural disasters, including those exacerbated by the effects of climate change, telecommunications failures and similar events, or to intentional acts of misco</w:t>
      </w:r>
      <w:r>
        <w:rPr>
          <w:rFonts w:eastAsia="Times New Roman"/>
          <w:color w:val="000000"/>
          <w:sz w:val="20"/>
          <w:szCs w:val="20"/>
        </w:rPr>
        <w:t>nduct, such as security breaches or interference (including by disgruntled employees, former employees or contractors). The occurrence of these events or acts, or any other unanticipated problems, at these facilities could result in damage to or the unavai</w:t>
      </w:r>
      <w:r>
        <w:rPr>
          <w:rFonts w:eastAsia="Times New Roman"/>
          <w:color w:val="000000"/>
          <w:sz w:val="20"/>
          <w:szCs w:val="20"/>
        </w:rPr>
        <w:t>lability of these cloud hosting facilities. Such damage or unavailability could, despite existing disaster recovery and business continuity arrangements, interrupt the availability of our cloud offerings for our customers. We have experienced such interrup</w:t>
      </w:r>
      <w:r>
        <w:rPr>
          <w:rFonts w:eastAsia="Times New Roman"/>
          <w:color w:val="000000"/>
          <w:sz w:val="20"/>
          <w:szCs w:val="20"/>
        </w:rPr>
        <w:t>tions and damage or unavailability could interrupt the availability of applications or data necessary to provide services or conduct critical operations. Interruptions in the availability of our cloud offerings or our ability to service our customers could</w:t>
      </w:r>
      <w:r>
        <w:rPr>
          <w:rFonts w:eastAsia="Times New Roman"/>
          <w:color w:val="000000"/>
          <w:sz w:val="20"/>
          <w:szCs w:val="20"/>
        </w:rPr>
        <w:t xml:space="preserve"> result in the failure to meet contracted up-time or service levels, which could cause us to issue credits or pay penalties or cause customers to terminate or not renew subscriptions. Interruptions could also expose us to liability claims, negative publici</w:t>
      </w:r>
      <w:r>
        <w:rPr>
          <w:rFonts w:eastAsia="Times New Roman"/>
          <w:color w:val="000000"/>
          <w:sz w:val="20"/>
          <w:szCs w:val="20"/>
        </w:rPr>
        <w:t>ty and the need to engage in costly remediation efforts, any of which could impact our business and reduce our revenue.</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If we do not retain key employees, or attract quality new and replacement employees, we may not be able to meet our business objectives.</w:t>
      </w:r>
      <w:r>
        <w:rPr>
          <w:rFonts w:eastAsia="Times New Roman"/>
          <w:b/>
          <w:bCs/>
          <w:color w:val="000000"/>
          <w:sz w:val="20"/>
          <w:szCs w:val="20"/>
        </w:rPr>
        <w:t xml:space="preserve"> </w:t>
      </w:r>
      <w:r>
        <w:rPr>
          <w:rFonts w:eastAsia="Times New Roman"/>
          <w:color w:val="000000"/>
          <w:sz w:val="20"/>
          <w:szCs w:val="20"/>
        </w:rPr>
        <w:t xml:space="preserve">Our employees are vital to our success, including the successful transformation of the Company into a software- and </w:t>
      </w:r>
    </w:p>
    <w:p w:rsidR="00000000" w:rsidRDefault="006F0EF5">
      <w:pPr>
        <w:jc w:val="center"/>
        <w:divId w:val="2012177123"/>
        <w:rPr>
          <w:rFonts w:eastAsia="Times New Roman"/>
        </w:rPr>
      </w:pPr>
      <w:r>
        <w:rPr>
          <w:rFonts w:eastAsia="Times New Roman"/>
          <w:color w:val="000000"/>
          <w:sz w:val="20"/>
          <w:szCs w:val="20"/>
        </w:rPr>
        <w:t>17</w:t>
      </w:r>
    </w:p>
    <w:p w:rsidR="00000000" w:rsidRDefault="006F0EF5">
      <w:pPr>
        <w:rPr>
          <w:rFonts w:eastAsia="Times New Roman"/>
        </w:rPr>
      </w:pPr>
      <w:r>
        <w:rPr>
          <w:rFonts w:eastAsia="Times New Roman"/>
        </w:rPr>
        <w:pict>
          <v:rect id="_x0000_i1045" style="width:0;height:1.5pt" o:hralign="center" o:hrstd="t" o:hr="t" fillcolor="#a0a0a0" stroked="f"/>
        </w:pict>
      </w:r>
    </w:p>
    <w:p w:rsidR="00000000" w:rsidRDefault="006F0EF5">
      <w:pPr>
        <w:divId w:val="91241308"/>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690838755"/>
        <w:rPr>
          <w:rFonts w:eastAsia="Times New Roman"/>
        </w:rPr>
      </w:pPr>
    </w:p>
    <w:p w:rsidR="00000000" w:rsidRDefault="006F0EF5">
      <w:pPr>
        <w:jc w:val="both"/>
        <w:rPr>
          <w:rFonts w:eastAsia="Times New Roman"/>
        </w:rPr>
      </w:pPr>
      <w:r>
        <w:rPr>
          <w:rFonts w:eastAsia="Times New Roman"/>
          <w:color w:val="000000"/>
          <w:sz w:val="20"/>
          <w:szCs w:val="20"/>
        </w:rPr>
        <w:t>services-led business. Therefore, our ability to retain our key business leaders and our highly skilled software development, technical, sa</w:t>
      </w:r>
      <w:r>
        <w:rPr>
          <w:rFonts w:eastAsia="Times New Roman"/>
          <w:color w:val="000000"/>
          <w:sz w:val="20"/>
          <w:szCs w:val="20"/>
        </w:rPr>
        <w:t xml:space="preserve">les, consulting and other key personnel, including key personnel of acquired businesses, is critical. Maintaining an inclusive culture and work environment is an important factor in attracting employees and retention. The market for highly skilled workers </w:t>
      </w:r>
      <w:r>
        <w:rPr>
          <w:rFonts w:eastAsia="Times New Roman"/>
          <w:color w:val="000000"/>
          <w:sz w:val="20"/>
          <w:szCs w:val="20"/>
        </w:rPr>
        <w:t>and leaders in our industry is extremely competitive, and we may need to invest significant amounts of cash and equity to attract and retain new employees. We may never realize returns on these investments. Key employees may decide to leave NCR for other o</w:t>
      </w:r>
      <w:r>
        <w:rPr>
          <w:rFonts w:eastAsia="Times New Roman"/>
          <w:color w:val="000000"/>
          <w:sz w:val="20"/>
          <w:szCs w:val="20"/>
        </w:rPr>
        <w:t>pportunities or may be unavailable for health or other reasons. Changes of key business leaders could be disruptive to our business or delay the execution of our strategy, and as a result could cause fluctuation in our stock price. In addition, as our busi</w:t>
      </w:r>
      <w:r>
        <w:rPr>
          <w:rFonts w:eastAsia="Times New Roman"/>
          <w:color w:val="000000"/>
          <w:sz w:val="20"/>
          <w:szCs w:val="20"/>
        </w:rPr>
        <w:t>ness model evolves, we may need to attract employees with different skill sets, experience and attributes to support that evolution. If we are unable to retain our key personnel, or we are unable to attract highly qualified new and replacement employees by</w:t>
      </w:r>
      <w:r>
        <w:rPr>
          <w:rFonts w:eastAsia="Times New Roman"/>
          <w:color w:val="000000"/>
          <w:sz w:val="20"/>
          <w:szCs w:val="20"/>
        </w:rPr>
        <w:t xml:space="preserve"> offering competitive compensation, secure work environments, and leadership opportunities now and in the future, our business and operating results could be negatively impacted.</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Defects, errors, installation difficulties or development delays could expo</w:t>
      </w:r>
      <w:r>
        <w:rPr>
          <w:rFonts w:eastAsia="Times New Roman"/>
          <w:b/>
          <w:bCs/>
          <w:i/>
          <w:iCs/>
          <w:color w:val="000000"/>
          <w:sz w:val="20"/>
          <w:szCs w:val="20"/>
        </w:rPr>
        <w:t>se us to potential liability, harm our reputation and negatively impact our business.</w:t>
      </w:r>
      <w:r>
        <w:rPr>
          <w:rFonts w:eastAsia="Times New Roman"/>
          <w:color w:val="000000"/>
          <w:sz w:val="20"/>
          <w:szCs w:val="20"/>
        </w:rPr>
        <w:t xml:space="preserve"> Many of our products are sophisticated and complex, and may incorporate third-party hardware and software. Despite testing and quality control, we cannot be certain that </w:t>
      </w:r>
      <w:r>
        <w:rPr>
          <w:rFonts w:eastAsia="Times New Roman"/>
          <w:color w:val="000000"/>
          <w:sz w:val="20"/>
          <w:szCs w:val="20"/>
        </w:rPr>
        <w:t>defects or errors will not be found in our products. If our products contain undetected defects or errors, or otherwise fail to meet our customers’ expectations, we could face the loss of customers, liability exposure and additional development costs. If d</w:t>
      </w:r>
      <w:r>
        <w:rPr>
          <w:rFonts w:eastAsia="Times New Roman"/>
          <w:color w:val="000000"/>
          <w:sz w:val="20"/>
          <w:szCs w:val="20"/>
        </w:rPr>
        <w:t>efects or errors delay product installation or make it more difficult, we could experience delays in customer acceptance, or if our products require significant amounts of customer support, it could result in incremental costs to us. In addition, our custo</w:t>
      </w:r>
      <w:r>
        <w:rPr>
          <w:rFonts w:eastAsia="Times New Roman"/>
          <w:color w:val="000000"/>
          <w:sz w:val="20"/>
          <w:szCs w:val="20"/>
        </w:rPr>
        <w:t xml:space="preserve">mers who license and deploy our software may do so in both standard and non-standard configurations in different environments with different computer platforms, system management software and equipment and networking configurations, which may increase the </w:t>
      </w:r>
      <w:r>
        <w:rPr>
          <w:rFonts w:eastAsia="Times New Roman"/>
          <w:color w:val="000000"/>
          <w:sz w:val="20"/>
          <w:szCs w:val="20"/>
        </w:rPr>
        <w:t>likelihood of technical difficulties. Our products may be integrated with other components or software, and, in the event that there are defects or errors, it may be difficult to determine the origin of such defects or errors. Additionally, damage to, or f</w:t>
      </w:r>
      <w:r>
        <w:rPr>
          <w:rFonts w:eastAsia="Times New Roman"/>
          <w:color w:val="000000"/>
          <w:sz w:val="20"/>
          <w:szCs w:val="20"/>
        </w:rPr>
        <w:t>ailure or unavailability of, any significant aspect of our cloud hosting facilities could interrupt the availability of our cloud offerings, which could cause disruption for our customers, and, in turn, their customers, and expose us to liability. If any o</w:t>
      </w:r>
      <w:r>
        <w:rPr>
          <w:rFonts w:eastAsia="Times New Roman"/>
          <w:color w:val="000000"/>
          <w:sz w:val="20"/>
          <w:szCs w:val="20"/>
        </w:rPr>
        <w:t>f these risks materialize, they could result in additional costs and expenses, exposure to liability claims, diversion of technical and other resources to engage in remediation efforts, loss of customers or negative publicity, each of which could negativel</w:t>
      </w:r>
      <w:r>
        <w:rPr>
          <w:rFonts w:eastAsia="Times New Roman"/>
          <w:color w:val="000000"/>
          <w:sz w:val="20"/>
          <w:szCs w:val="20"/>
        </w:rPr>
        <w:t>y impact our business and operating results.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If third party suppliers upon which we rely are not able to fulfill our needs, our ability to timely bring our products to market could be affected. </w:t>
      </w:r>
      <w:r>
        <w:rPr>
          <w:rFonts w:eastAsia="Times New Roman"/>
          <w:color w:val="000000"/>
          <w:sz w:val="20"/>
          <w:szCs w:val="20"/>
        </w:rPr>
        <w:t>There are a number of vendors providing the services and producing the parts and components that we utilize</w:t>
      </w:r>
      <w:r>
        <w:rPr>
          <w:rFonts w:eastAsia="Times New Roman"/>
          <w:color w:val="000000"/>
          <w:sz w:val="20"/>
          <w:szCs w:val="20"/>
        </w:rPr>
        <w:t xml:space="preserve"> in or in connection with our products. However, there are some services and components that are licensed or purchased from single sources due to price, quality, technology, functionality or other reasons. For example, we depend on transaction processing s</w:t>
      </w:r>
      <w:r>
        <w:rPr>
          <w:rFonts w:eastAsia="Times New Roman"/>
          <w:color w:val="000000"/>
          <w:sz w:val="20"/>
          <w:szCs w:val="20"/>
        </w:rPr>
        <w:t>ervices from Accenture, computer chips and microprocessors from Intel and operating systems from Microsoft. Certain parts and components used in the manufacturing of our ATMs and the delivery of many of our retail solutions are also supplied by single sour</w:t>
      </w:r>
      <w:r>
        <w:rPr>
          <w:rFonts w:eastAsia="Times New Roman"/>
          <w:color w:val="000000"/>
          <w:sz w:val="20"/>
          <w:szCs w:val="20"/>
        </w:rPr>
        <w:t>ces. In addition, there are a number of key suppliers for our businesses that provide us with critical products for our solutions. If we were unable to secure the necessary services or maintain current demand, including contract manufacturing, parts, softw</w:t>
      </w:r>
      <w:r>
        <w:rPr>
          <w:rFonts w:eastAsia="Times New Roman"/>
          <w:color w:val="000000"/>
          <w:sz w:val="20"/>
          <w:szCs w:val="20"/>
        </w:rPr>
        <w:t>are, components or products from a particular vendor, and we had to find an alternative supplier, our new and existing product shipments and solution deliveries, or the provision of contracted services, could be delayed, impacting our business and operatin</w:t>
      </w:r>
      <w:r>
        <w:rPr>
          <w:rFonts w:eastAsia="Times New Roman"/>
          <w:color w:val="000000"/>
          <w:sz w:val="20"/>
          <w:szCs w:val="20"/>
        </w:rPr>
        <w:t xml:space="preserve">g results.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We have, from time to time, formed alliances with third parties that have complementary products, software, services and skills. These alliances represent many different types of relationships, such as outsourcing arrangements to manufacture </w:t>
      </w:r>
      <w:r>
        <w:rPr>
          <w:rFonts w:eastAsia="Times New Roman"/>
          <w:color w:val="000000"/>
          <w:sz w:val="20"/>
          <w:szCs w:val="20"/>
        </w:rPr>
        <w:t>hardware and subcontract agreements with third parties to perform services and provide products and software to our customers in connection with our solutions. For example, we rely on Jabil Inc. to provide contract manufacturing services for our ATMs and s</w:t>
      </w:r>
      <w:r>
        <w:rPr>
          <w:rFonts w:eastAsia="Times New Roman"/>
          <w:color w:val="000000"/>
          <w:sz w:val="20"/>
          <w:szCs w:val="20"/>
        </w:rPr>
        <w:t>elf-service checkout solutions, primarily for our customers in the Americas. We also rely on third parties for cash replenishment services for our ATM products. These alliances introduce risks that we cannot control, such as nonperformance by third parties</w:t>
      </w:r>
      <w:r>
        <w:rPr>
          <w:rFonts w:eastAsia="Times New Roman"/>
          <w:color w:val="000000"/>
          <w:sz w:val="20"/>
          <w:szCs w:val="20"/>
        </w:rPr>
        <w:t xml:space="preserve"> and difficulties with or delays in integrating elements provided by third parties into our solutions. Lack of information technology infrastructure, shortages in business capitalization, and manual processes and data integrity issues, particularly with sm</w:t>
      </w:r>
      <w:r>
        <w:rPr>
          <w:rFonts w:eastAsia="Times New Roman"/>
          <w:color w:val="000000"/>
          <w:sz w:val="20"/>
          <w:szCs w:val="20"/>
        </w:rPr>
        <w:t xml:space="preserve">aller suppliers can also create product time delays, inventory and invoicing problems, and staging delays, as well as other operating issues. The failure of third parties to provide high-quality products or services that conform to required specifications </w:t>
      </w:r>
      <w:r>
        <w:rPr>
          <w:rFonts w:eastAsia="Times New Roman"/>
          <w:color w:val="000000"/>
          <w:sz w:val="20"/>
          <w:szCs w:val="20"/>
        </w:rPr>
        <w:t xml:space="preserve">or contractual arrangements could impair the delivery of our solutions on a timely basis, create exposure for non-compliance with our contractual commitments to our customers and impact our business and operating results. Also, some of these third parties </w:t>
      </w:r>
      <w:r>
        <w:rPr>
          <w:rFonts w:eastAsia="Times New Roman"/>
          <w:color w:val="000000"/>
          <w:sz w:val="20"/>
          <w:szCs w:val="20"/>
        </w:rPr>
        <w:t>have access to confidential NCR and customer data, personal data, and sensitive data, the integrity and security of which are of significant importance to the Company.</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The coronavirus (</w:t>
      </w:r>
      <w:r>
        <w:rPr>
          <w:rFonts w:eastAsia="Times New Roman"/>
          <w:b/>
          <w:bCs/>
          <w:color w:val="000000"/>
          <w:sz w:val="20"/>
          <w:szCs w:val="20"/>
        </w:rPr>
        <w:t>“</w:t>
      </w:r>
      <w:r>
        <w:rPr>
          <w:rFonts w:eastAsia="Times New Roman"/>
          <w:b/>
          <w:bCs/>
          <w:i/>
          <w:iCs/>
          <w:color w:val="000000"/>
          <w:sz w:val="20"/>
          <w:szCs w:val="20"/>
        </w:rPr>
        <w:t>COVID-19</w:t>
      </w:r>
      <w:r>
        <w:rPr>
          <w:rFonts w:eastAsia="Times New Roman"/>
          <w:b/>
          <w:bCs/>
          <w:color w:val="000000"/>
          <w:sz w:val="20"/>
          <w:szCs w:val="20"/>
        </w:rPr>
        <w:t>”</w:t>
      </w:r>
      <w:r>
        <w:rPr>
          <w:rFonts w:eastAsia="Times New Roman"/>
          <w:b/>
          <w:bCs/>
          <w:i/>
          <w:iCs/>
          <w:color w:val="000000"/>
          <w:sz w:val="20"/>
          <w:szCs w:val="20"/>
        </w:rPr>
        <w:t xml:space="preserve">) pandemic could materially adversely affect our business, </w:t>
      </w:r>
      <w:r>
        <w:rPr>
          <w:rFonts w:eastAsia="Times New Roman"/>
          <w:b/>
          <w:bCs/>
          <w:i/>
          <w:iCs/>
          <w:color w:val="000000"/>
          <w:sz w:val="20"/>
          <w:szCs w:val="20"/>
        </w:rPr>
        <w:t xml:space="preserve">financial condition and results of operations. </w:t>
      </w:r>
      <w:r>
        <w:rPr>
          <w:rFonts w:eastAsia="Times New Roman"/>
          <w:color w:val="000000"/>
          <w:sz w:val="20"/>
          <w:szCs w:val="20"/>
        </w:rPr>
        <w:t xml:space="preserve">The impacts of COVID-19, including several emerging variants of COVID-19, have grown throughout the world. The ultimate scale and scope of the COVID-19 pandemic and the pace and degree of recovery are unknown </w:t>
      </w:r>
      <w:r>
        <w:rPr>
          <w:rFonts w:eastAsia="Times New Roman"/>
          <w:color w:val="000000"/>
          <w:sz w:val="20"/>
          <w:szCs w:val="20"/>
        </w:rPr>
        <w:t xml:space="preserve">and are expected to continue to adversely impact our business and financial condition for an extended period. The specific impacts of COVID-19 on our </w:t>
      </w:r>
    </w:p>
    <w:p w:rsidR="00000000" w:rsidRDefault="006F0EF5">
      <w:pPr>
        <w:jc w:val="center"/>
        <w:divId w:val="157308349"/>
        <w:rPr>
          <w:rFonts w:eastAsia="Times New Roman"/>
        </w:rPr>
      </w:pPr>
      <w:r>
        <w:rPr>
          <w:rFonts w:eastAsia="Times New Roman"/>
          <w:color w:val="000000"/>
          <w:sz w:val="20"/>
          <w:szCs w:val="20"/>
        </w:rPr>
        <w:t>18</w:t>
      </w:r>
    </w:p>
    <w:p w:rsidR="00000000" w:rsidRDefault="006F0EF5">
      <w:pPr>
        <w:rPr>
          <w:rFonts w:eastAsia="Times New Roman"/>
        </w:rPr>
      </w:pPr>
      <w:r>
        <w:rPr>
          <w:rFonts w:eastAsia="Times New Roman"/>
        </w:rPr>
        <w:pict>
          <v:rect id="_x0000_i1046" style="width:0;height:1.5pt" o:hralign="center" o:hrstd="t" o:hr="t" fillcolor="#a0a0a0" stroked="f"/>
        </w:pict>
      </w:r>
    </w:p>
    <w:p w:rsidR="00000000" w:rsidRDefault="006F0EF5">
      <w:pPr>
        <w:divId w:val="1247111240"/>
        <w:rPr>
          <w:rFonts w:eastAsia="Times New Roman"/>
        </w:rPr>
      </w:pPr>
      <w:hyperlink w:anchor="i820834c26f61401cb1d426994ba52a61_10" w:history="1">
        <w:r>
          <w:rPr>
            <w:rStyle w:val="a3"/>
            <w:rFonts w:eastAsia="Times New Roman"/>
            <w:sz w:val="16"/>
            <w:szCs w:val="16"/>
          </w:rPr>
          <w:t>Table o</w:t>
        </w:r>
        <w:r>
          <w:rPr>
            <w:rStyle w:val="a3"/>
            <w:rFonts w:eastAsia="Times New Roman"/>
            <w:sz w:val="16"/>
            <w:szCs w:val="16"/>
          </w:rPr>
          <w:t>f Contents</w:t>
        </w:r>
      </w:hyperlink>
    </w:p>
    <w:p w:rsidR="00000000" w:rsidRDefault="006F0EF5">
      <w:pPr>
        <w:divId w:val="803234854"/>
        <w:rPr>
          <w:rFonts w:eastAsia="Times New Roman"/>
        </w:rPr>
      </w:pPr>
    </w:p>
    <w:p w:rsidR="00000000" w:rsidRDefault="006F0EF5">
      <w:pPr>
        <w:jc w:val="both"/>
        <w:rPr>
          <w:rFonts w:eastAsia="Times New Roman"/>
        </w:rPr>
      </w:pPr>
      <w:r>
        <w:rPr>
          <w:rFonts w:eastAsia="Times New Roman"/>
          <w:color w:val="000000"/>
          <w:sz w:val="20"/>
          <w:szCs w:val="20"/>
        </w:rPr>
        <w:t>Company includes, but is not limited to, the following items, each of which could have a material adverse effect on our business, financial condition and results of operations, or otherwise limit our ability to execute our business strategy an</w:t>
      </w:r>
      <w:r>
        <w:rPr>
          <w:rFonts w:eastAsia="Times New Roman"/>
          <w:color w:val="000000"/>
          <w:sz w:val="20"/>
          <w:szCs w:val="20"/>
        </w:rPr>
        <w:t>d financial goals.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Governmental authorities have implemented numerous measures attempting to contain and mitigate the effects of the virus, including travel bans and restrictions, quarantines, shelter in place orders and shutdowns. While we have implemen</w:t>
      </w:r>
      <w:r>
        <w:rPr>
          <w:rFonts w:eastAsia="Times New Roman"/>
          <w:color w:val="000000"/>
          <w:sz w:val="20"/>
          <w:szCs w:val="20"/>
        </w:rPr>
        <w:t>ted programs to mitigate the impact of these measures on our results of operations, there can be no assurance that these programs will be successful. There is significant uncertainty regarding such measures and potential future measures.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Our Company and </w:t>
      </w:r>
      <w:r>
        <w:rPr>
          <w:rFonts w:eastAsia="Times New Roman"/>
          <w:color w:val="000000"/>
          <w:sz w:val="20"/>
          <w:szCs w:val="20"/>
        </w:rPr>
        <w:t>many of our suppliers have faced challenges with workforce safety and availability, labor and wage inflation, a changing workforce, and component availability and supply cost escalations, including materials, labor and freight. Our ability to maintain a sa</w:t>
      </w:r>
      <w:r>
        <w:rPr>
          <w:rFonts w:eastAsia="Times New Roman"/>
          <w:color w:val="000000"/>
          <w:sz w:val="20"/>
          <w:szCs w:val="20"/>
        </w:rPr>
        <w:t xml:space="preserve">fe and cost-effective workforce and supply chain as COVID-19 and its impacts evolve may continue to adversely affect our Company and our suppliers and distributors.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manufacturing and distribution facilities are located in areas that have been affect</w:t>
      </w:r>
      <w:r>
        <w:rPr>
          <w:rFonts w:eastAsia="Times New Roman"/>
          <w:color w:val="000000"/>
          <w:sz w:val="20"/>
          <w:szCs w:val="20"/>
        </w:rPr>
        <w:t>ed by the pandemic and we have taken measures to try to contain it. Restrictions on our access to our manufacturing facilities or on our support operations or workforce, or similar limitations for our distributors and suppliers, could limit customer demand</w:t>
      </w:r>
      <w:r>
        <w:rPr>
          <w:rFonts w:eastAsia="Times New Roman"/>
          <w:color w:val="000000"/>
          <w:sz w:val="20"/>
          <w:szCs w:val="20"/>
        </w:rPr>
        <w:t xml:space="preserve"> and/or our capacity to meet customer demand.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continued spread of COVID-19 could cause delay, or limit the ability of, customers to continue to operate and perform, including in making timely payments to us, or cause a decrease in customer demand or</w:t>
      </w:r>
      <w:r>
        <w:rPr>
          <w:rFonts w:eastAsia="Times New Roman"/>
          <w:color w:val="000000"/>
          <w:sz w:val="20"/>
          <w:szCs w:val="20"/>
        </w:rPr>
        <w:t xml:space="preserve"> a slowdown in customer expansion. Local governmental restrictions and public perceptions of the risks associated with the COVID-19 pandemic have caused, and may continue to cause, consumers to avoid or limit gatherings in public places or social interacti</w:t>
      </w:r>
      <w:r>
        <w:rPr>
          <w:rFonts w:eastAsia="Times New Roman"/>
          <w:color w:val="000000"/>
          <w:sz w:val="20"/>
          <w:szCs w:val="20"/>
        </w:rPr>
        <w:t xml:space="preserve">ons, which have and could continue to adversely impact the businesses of our customers in the banking, retail and hospitality industries we serve due to physical store closures, the willingness of our customers to make capital expenditures or pay accounts </w:t>
      </w:r>
      <w:r>
        <w:rPr>
          <w:rFonts w:eastAsia="Times New Roman"/>
          <w:color w:val="000000"/>
          <w:sz w:val="20"/>
          <w:szCs w:val="20"/>
        </w:rPr>
        <w:t xml:space="preserve">receivable, the ability of our customers to obtain financing for the purchase of our solutions, or the amount of disposable income available to consumers, which may adversely impact the businesses of our customers.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spread of COVID-19 has caused us t</w:t>
      </w:r>
      <w:r>
        <w:rPr>
          <w:rFonts w:eastAsia="Times New Roman"/>
          <w:color w:val="000000"/>
          <w:sz w:val="20"/>
          <w:szCs w:val="20"/>
        </w:rPr>
        <w:t>o modify our business practices, such as employee work locations and workforce numbers and compensation, and we may take further actions as may be required by government authorities or that we determine are in the best interests of our employees, customers</w:t>
      </w:r>
      <w:r>
        <w:rPr>
          <w:rFonts w:eastAsia="Times New Roman"/>
          <w:color w:val="000000"/>
          <w:sz w:val="20"/>
          <w:szCs w:val="20"/>
        </w:rPr>
        <w:t>, distributors, suppliers and contractors. Remote talent management and return to work efforts may cause loss of efficiency and negatively impact our company culture and morale.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There is no certainty that measures taken to mitigate the risks posed by the</w:t>
      </w:r>
      <w:r>
        <w:rPr>
          <w:rFonts w:eastAsia="Times New Roman"/>
          <w:color w:val="000000"/>
          <w:sz w:val="20"/>
          <w:szCs w:val="20"/>
        </w:rPr>
        <w:t xml:space="preserve"> COVID-19 pandemic will be successful, and our ability to perform critical functions could be harmed. As our Company continues to address such challenges, legal disputes, actions or proceedings related to COVID-19 and its impacts may arise. The degree to w</w:t>
      </w:r>
      <w:r>
        <w:rPr>
          <w:rFonts w:eastAsia="Times New Roman"/>
          <w:color w:val="000000"/>
          <w:sz w:val="20"/>
          <w:szCs w:val="20"/>
        </w:rPr>
        <w:t>hich COVID-19 affects our financial results and operations will depend on future developments, which are highly uncertain and cannot be predicted, including, but not limited to, the duration and spread of the COVID-19 pandemic or any related emerging varia</w:t>
      </w:r>
      <w:r>
        <w:rPr>
          <w:rFonts w:eastAsia="Times New Roman"/>
          <w:color w:val="000000"/>
          <w:sz w:val="20"/>
          <w:szCs w:val="20"/>
        </w:rPr>
        <w:t xml:space="preserve">nts, their severity, the actions to contain COVID-19 or treat its impact, the continued distribution and the effectiveness of vaccines and boosters on COVID-19, and how quickly and to what extent normal economic and operating conditions resume or continue </w:t>
      </w:r>
      <w:r>
        <w:rPr>
          <w:rFonts w:eastAsia="Times New Roman"/>
          <w:color w:val="000000"/>
          <w:sz w:val="20"/>
          <w:szCs w:val="20"/>
        </w:rPr>
        <w:t>to resume as COVID-19 variants impact our economy.</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Our historical and ongoing manufacturing activities subject us to environmental exposures. </w:t>
      </w:r>
      <w:r>
        <w:rPr>
          <w:rFonts w:eastAsia="Times New Roman"/>
          <w:color w:val="000000"/>
          <w:sz w:val="20"/>
          <w:szCs w:val="20"/>
        </w:rPr>
        <w:t>Our facilities and operations are subject to a wide range of environmental protection laws, and we have investig</w:t>
      </w:r>
      <w:r>
        <w:rPr>
          <w:rFonts w:eastAsia="Times New Roman"/>
          <w:color w:val="000000"/>
          <w:sz w:val="20"/>
          <w:szCs w:val="20"/>
        </w:rPr>
        <w:t>atory and remedial activities underway at a number of facilities that we currently own or operate, or formerly owned or operated, to comply, or to determine compliance, with such laws. In addition, our products are subject to environmental laws in a number</w:t>
      </w:r>
      <w:r>
        <w:rPr>
          <w:rFonts w:eastAsia="Times New Roman"/>
          <w:color w:val="000000"/>
          <w:sz w:val="20"/>
          <w:szCs w:val="20"/>
        </w:rPr>
        <w:t xml:space="preserve"> of jurisdictions. Given the uncertainties inherent in such activities, there can be no assurances that the costs required to comply with applicable environmental laws will not impact future operating results. We have also been identified as a potentially </w:t>
      </w:r>
      <w:r>
        <w:rPr>
          <w:rFonts w:eastAsia="Times New Roman"/>
          <w:color w:val="000000"/>
          <w:sz w:val="20"/>
          <w:szCs w:val="20"/>
        </w:rPr>
        <w:t xml:space="preserve">responsible party in connection with certain environmental matters, including the Fox River and Kalamazoo River matters, as further described in Note 10, “Commitments and Contingencies”, of the Notes to Consolidated Financial Statements included in Item 8 </w:t>
      </w:r>
      <w:r>
        <w:rPr>
          <w:rFonts w:eastAsia="Times New Roman"/>
          <w:color w:val="000000"/>
          <w:sz w:val="20"/>
          <w:szCs w:val="20"/>
        </w:rPr>
        <w:t>of Part II of this Report; in “Government Regulations” within Item 1 of Part I of this Report; and in “Environmental and Legal Contingencies” within the “Critical Accounting Policies and Estimates” section of “Management’s Discussion and Analysis of Financ</w:t>
      </w:r>
      <w:r>
        <w:rPr>
          <w:rFonts w:eastAsia="Times New Roman"/>
          <w:color w:val="000000"/>
          <w:sz w:val="20"/>
          <w:szCs w:val="20"/>
        </w:rPr>
        <w:t>ial Condition and Results of Operations” included in Item 7 of Part II of this Report, and we incorporate such disclosures by reference and make them a part of this discussion of risk factors.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Climate change could negatively impact our business long-term</w:t>
      </w:r>
      <w:r>
        <w:rPr>
          <w:rFonts w:eastAsia="Times New Roman"/>
          <w:b/>
          <w:bCs/>
          <w:i/>
          <w:iCs/>
          <w:color w:val="000000"/>
          <w:sz w:val="20"/>
          <w:szCs w:val="20"/>
        </w:rPr>
        <w:t>.</w:t>
      </w:r>
      <w:r>
        <w:rPr>
          <w:rFonts w:eastAsia="Times New Roman"/>
          <w:color w:val="000000"/>
          <w:sz w:val="20"/>
          <w:szCs w:val="20"/>
        </w:rPr>
        <w:t xml:space="preserve"> Global climate change may have an increasingly adverse impact on NCR’s business continuity and our ability to keep our employees safe and provide for our customers. NCR considers potential risks related to weather as part of its operations strategy and h</w:t>
      </w:r>
      <w:r>
        <w:rPr>
          <w:rFonts w:eastAsia="Times New Roman"/>
          <w:color w:val="000000"/>
          <w:sz w:val="20"/>
          <w:szCs w:val="20"/>
        </w:rPr>
        <w:t>as business continuity and disaster recovery plans in place. However, they may not adequately protect us from serious disasters and adverse impacts. In addition, climate change events could have an impact on critical infrastructure in the United States and</w:t>
      </w:r>
      <w:r>
        <w:rPr>
          <w:rFonts w:eastAsia="Times New Roman"/>
          <w:color w:val="000000"/>
          <w:sz w:val="20"/>
          <w:szCs w:val="20"/>
        </w:rPr>
        <w:t xml:space="preserve"> internationally, which has the potential to disrupt our business, our third-</w:t>
      </w:r>
    </w:p>
    <w:p w:rsidR="00000000" w:rsidRDefault="006F0EF5">
      <w:pPr>
        <w:jc w:val="center"/>
        <w:divId w:val="1464695739"/>
        <w:rPr>
          <w:rFonts w:eastAsia="Times New Roman"/>
        </w:rPr>
      </w:pPr>
      <w:r>
        <w:rPr>
          <w:rFonts w:eastAsia="Times New Roman"/>
          <w:color w:val="000000"/>
          <w:sz w:val="20"/>
          <w:szCs w:val="20"/>
        </w:rPr>
        <w:t>19</w:t>
      </w:r>
    </w:p>
    <w:p w:rsidR="00000000" w:rsidRDefault="006F0EF5">
      <w:pPr>
        <w:rPr>
          <w:rFonts w:eastAsia="Times New Roman"/>
        </w:rPr>
      </w:pPr>
      <w:r>
        <w:rPr>
          <w:rFonts w:eastAsia="Times New Roman"/>
        </w:rPr>
        <w:pict>
          <v:rect id="_x0000_i1047" style="width:0;height:1.5pt" o:hralign="center" o:hrstd="t" o:hr="t" fillcolor="#a0a0a0" stroked="f"/>
        </w:pict>
      </w:r>
    </w:p>
    <w:p w:rsidR="00000000" w:rsidRDefault="006F0EF5">
      <w:pPr>
        <w:divId w:val="1915120148"/>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872159308"/>
        <w:rPr>
          <w:rFonts w:eastAsia="Times New Roman"/>
        </w:rPr>
      </w:pPr>
    </w:p>
    <w:p w:rsidR="00000000" w:rsidRDefault="006F0EF5">
      <w:pPr>
        <w:jc w:val="both"/>
        <w:rPr>
          <w:rFonts w:eastAsia="Times New Roman"/>
        </w:rPr>
      </w:pPr>
      <w:r>
        <w:rPr>
          <w:rFonts w:eastAsia="Times New Roman"/>
          <w:color w:val="000000"/>
          <w:sz w:val="20"/>
          <w:szCs w:val="20"/>
        </w:rPr>
        <w:t xml:space="preserve">party suppliers, or the business of our customers and partners. They may also cause us to experience higher losses, attrition and additional </w:t>
      </w:r>
      <w:r>
        <w:rPr>
          <w:rFonts w:eastAsia="Times New Roman"/>
          <w:color w:val="000000"/>
          <w:sz w:val="20"/>
          <w:szCs w:val="20"/>
        </w:rPr>
        <w:t>costs to maintain or resume operations.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We have operations all over the world and our sites in California, Texas, Florida, and India are particularly vulnerable to climate change effects. In 2021, the west coast of the United States experienced historic </w:t>
      </w:r>
      <w:r>
        <w:rPr>
          <w:rFonts w:eastAsia="Times New Roman"/>
          <w:color w:val="000000"/>
          <w:sz w:val="20"/>
          <w:szCs w:val="20"/>
        </w:rPr>
        <w:t>wildfires; a winter storm in Texas led to massive power outages; and multiple hurricanes formed over the gulf coast - all of which caused significant destruction to the affected regions. We anticipate that similar weather events will continue to bring sign</w:t>
      </w:r>
      <w:r>
        <w:rPr>
          <w:rFonts w:eastAsia="Times New Roman"/>
          <w:color w:val="000000"/>
          <w:sz w:val="20"/>
          <w:szCs w:val="20"/>
        </w:rPr>
        <w:t>ificant annual destruction in vulnerable areas. In India, extreme temperatures and increased cyclones’ frequency could interrupt our business continuity arrangements. The long-term effects of climate change could have significant repercussions for the glob</w:t>
      </w:r>
      <w:r>
        <w:rPr>
          <w:rFonts w:eastAsia="Times New Roman"/>
          <w:color w:val="000000"/>
          <w:sz w:val="20"/>
          <w:szCs w:val="20"/>
        </w:rPr>
        <w:t>al economy and cause significant financial and physical damages.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DATA PRIVACY &amp; SECURITY</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Data protection, cybersecurity and data privacy issues could negatively impact our business</w:t>
      </w:r>
      <w:r>
        <w:rPr>
          <w:rFonts w:eastAsia="Times New Roman"/>
          <w:i/>
          <w:iCs/>
          <w:color w:val="000000"/>
          <w:sz w:val="20"/>
          <w:szCs w:val="20"/>
        </w:rPr>
        <w:t>.</w:t>
      </w:r>
      <w:r>
        <w:rPr>
          <w:rFonts w:eastAsia="Times New Roman"/>
          <w:color w:val="000000"/>
          <w:sz w:val="20"/>
          <w:szCs w:val="20"/>
        </w:rPr>
        <w:t xml:space="preserve"> Our products and services, including our cloud and hosted solutions as</w:t>
      </w:r>
      <w:r>
        <w:rPr>
          <w:rFonts w:eastAsia="Times New Roman"/>
          <w:color w:val="000000"/>
          <w:sz w:val="20"/>
          <w:szCs w:val="20"/>
        </w:rPr>
        <w:t xml:space="preserve"> well as our payments and networking solutions, facilitate financial and other transactions for the customers in the industries we serve. As a result, we collect, use, transmit and store certain of the transaction, cryptocurrency, private keys, and persona</w:t>
      </w:r>
      <w:r>
        <w:rPr>
          <w:rFonts w:eastAsia="Times New Roman"/>
          <w:color w:val="000000"/>
          <w:sz w:val="20"/>
          <w:szCs w:val="20"/>
        </w:rPr>
        <w:t>l data of our customers and end-users. We also have access to transaction and personal data of our customers and their customers through or in the course of servicing our products or third-party products. Additionally, we collect, use and store personal da</w:t>
      </w:r>
      <w:r>
        <w:rPr>
          <w:rFonts w:eastAsia="Times New Roman"/>
          <w:color w:val="000000"/>
          <w:sz w:val="20"/>
          <w:szCs w:val="20"/>
        </w:rPr>
        <w:t>ta of our employees and the personnel of our business partners, such as resellers, suppliers and contractors, in the ordinary course of business. While we have programs and measures in place designed to protect and safeguard this data, and while we have im</w:t>
      </w:r>
      <w:r>
        <w:rPr>
          <w:rFonts w:eastAsia="Times New Roman"/>
          <w:color w:val="000000"/>
          <w:sz w:val="20"/>
          <w:szCs w:val="20"/>
        </w:rPr>
        <w:t xml:space="preserve">plemented access controls designed to limit the risk of unauthorized use or disclosure by employees and contractors, the techniques used to obtain unauthorized access to this data are complex and changing, as are the underlying objectives of the attacker, </w:t>
      </w:r>
      <w:r>
        <w:rPr>
          <w:rFonts w:eastAsia="Times New Roman"/>
          <w:color w:val="000000"/>
          <w:sz w:val="20"/>
          <w:szCs w:val="20"/>
        </w:rPr>
        <w:t>like targeted business disruption, financial impact, intellectual property theft, political motives, or sophisticated nation-state sponsored and organized cyber-criminal activity, and may be difficult to detect for long periods of time. An attack, disrupti</w:t>
      </w:r>
      <w:r>
        <w:rPr>
          <w:rFonts w:eastAsia="Times New Roman"/>
          <w:color w:val="000000"/>
          <w:sz w:val="20"/>
          <w:szCs w:val="20"/>
        </w:rPr>
        <w:t xml:space="preserve">on, intrusion, denial of service, theft or other breach, or an inadvertent act by an employee or contractor, could result in unauthorized access to, or disclosure of, this data, resulting in claims, costs and reputational harm that could negatively affect </w:t>
      </w:r>
      <w:r>
        <w:rPr>
          <w:rFonts w:eastAsia="Times New Roman"/>
          <w:color w:val="000000"/>
          <w:sz w:val="20"/>
          <w:szCs w:val="20"/>
        </w:rPr>
        <w:t xml:space="preserve">our operating results. We may also detect, or may receive notice from third parties (including governmental agencies) regarding potential vulnerabilities in our information technology systems, our products, or third-party products used in conjunction with </w:t>
      </w:r>
      <w:r>
        <w:rPr>
          <w:rFonts w:eastAsia="Times New Roman"/>
          <w:color w:val="000000"/>
          <w:sz w:val="20"/>
          <w:szCs w:val="20"/>
        </w:rPr>
        <w:t>our products or our business. In the course of our business activities, NCR contracts with numerous suppliers, vendors and resellers who may experience a cybersecurity, data protection or privacy issue that could negatively affect our operating results. Ev</w:t>
      </w:r>
      <w:r>
        <w:rPr>
          <w:rFonts w:eastAsia="Times New Roman"/>
          <w:color w:val="000000"/>
          <w:sz w:val="20"/>
          <w:szCs w:val="20"/>
        </w:rPr>
        <w:t>en if these potential vulnerabilities do not result in a data breach, their existence can adversely affect marketplace confidence and reputation. To the extent such vulnerabilities require remediation, such remedial measures could require significant resou</w:t>
      </w:r>
      <w:r>
        <w:rPr>
          <w:rFonts w:eastAsia="Times New Roman"/>
          <w:color w:val="000000"/>
          <w:sz w:val="20"/>
          <w:szCs w:val="20"/>
        </w:rPr>
        <w:t>rces and may not be implemented before such vulnerabilities are exploited. As the landscape evolves, we may also find it necessary to make significant further investments to protect information and infrastructure.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Like most companies, NCR is regularly th</w:t>
      </w:r>
      <w:r>
        <w:rPr>
          <w:rFonts w:eastAsia="Times New Roman"/>
          <w:color w:val="000000"/>
          <w:sz w:val="20"/>
          <w:szCs w:val="20"/>
        </w:rPr>
        <w:t xml:space="preserve">e subject of attempted cyberattacks, which may involve personal data. To date, the Company is not aware of any that have caused adverse consequences material to the Company. Most such attacks are detected and prevented by the Company’s various information </w:t>
      </w:r>
      <w:r>
        <w:rPr>
          <w:rFonts w:eastAsia="Times New Roman"/>
          <w:color w:val="000000"/>
          <w:sz w:val="20"/>
          <w:szCs w:val="20"/>
        </w:rPr>
        <w:t>technology and data protections, including but not limited to firewalls, intrusion prevention systems, denial of service detection, anomaly based detection, anti-virus/anti-malware, endpoint encryption and detection and response software, Security Informat</w:t>
      </w:r>
      <w:r>
        <w:rPr>
          <w:rFonts w:eastAsia="Times New Roman"/>
          <w:color w:val="000000"/>
          <w:sz w:val="20"/>
          <w:szCs w:val="20"/>
        </w:rPr>
        <w:t xml:space="preserve">ion and Event Management (“SIEM”) system, identity management technology, security analytics, multi-factor authentication and encryption. There can be no assurance that our protections will always be successful.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has established relationships</w:t>
      </w:r>
      <w:r>
        <w:rPr>
          <w:rFonts w:eastAsia="Times New Roman"/>
          <w:color w:val="000000"/>
          <w:sz w:val="20"/>
          <w:szCs w:val="20"/>
        </w:rPr>
        <w:t xml:space="preserve"> with cybersecurity firms and internal cybersecurity experts, which it engages in connection with certain suspected incidents. The costs arising from those engagements, which depending on the incident may include both investigatory and remedial efforts, ha</w:t>
      </w:r>
      <w:r>
        <w:rPr>
          <w:rFonts w:eastAsia="Times New Roman"/>
          <w:color w:val="000000"/>
          <w:sz w:val="20"/>
          <w:szCs w:val="20"/>
        </w:rPr>
        <w:t>ve not to date been material to the Company. The Company also regularly undergoes evaluation of its protections against incidents, including both self-assessments and expert third-party assessments, and it regularly enhances those protections, both in resp</w:t>
      </w:r>
      <w:r>
        <w:rPr>
          <w:rFonts w:eastAsia="Times New Roman"/>
          <w:color w:val="000000"/>
          <w:sz w:val="20"/>
          <w:szCs w:val="20"/>
        </w:rPr>
        <w:t>onse to specific threats and as part of the Company’s efforts to stay current with advances in cybersecurity defense. When the Company experiences a confirmed cybersecurity incident it generally performs root cause analyses and in appropriate instances wil</w:t>
      </w:r>
      <w:r>
        <w:rPr>
          <w:rFonts w:eastAsia="Times New Roman"/>
          <w:color w:val="000000"/>
          <w:sz w:val="20"/>
          <w:szCs w:val="20"/>
        </w:rPr>
        <w:t>l implement additional controls based on those analyses. In 2021, Company spending on cybersecurity efforts represented approximately 10% of its overall IT spend. There can be no assurance that the Company or its cybersecurity consultants will be able to p</w:t>
      </w:r>
      <w:r>
        <w:rPr>
          <w:rFonts w:eastAsia="Times New Roman"/>
          <w:color w:val="000000"/>
          <w:sz w:val="20"/>
          <w:szCs w:val="20"/>
        </w:rPr>
        <w:t>revent or remediate all future incidents or that the cost associated with responding to any such incident will not be significant.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personal information and other data that we process and store also are subject to data security and data privacy obliga</w:t>
      </w:r>
      <w:r>
        <w:rPr>
          <w:rFonts w:eastAsia="Times New Roman"/>
          <w:color w:val="000000"/>
          <w:sz w:val="20"/>
          <w:szCs w:val="20"/>
        </w:rPr>
        <w:t>tions and laws of many jurisdictions, which are growing in complexity and sophistication as data becomes more enriched and technology and the global data protection landscape evolves. These laws may conflict with one another, and many of them are subject t</w:t>
      </w:r>
      <w:r>
        <w:rPr>
          <w:rFonts w:eastAsia="Times New Roman"/>
          <w:color w:val="000000"/>
          <w:sz w:val="20"/>
          <w:szCs w:val="20"/>
        </w:rPr>
        <w:t xml:space="preserve">o frequent modification and differing interpretations. The laws impose a significant compliance burden and include, for example, the European Union's (“EU”) General Data Protection Regulation (“GDPR”), the California Consumer Privacy Act and the Brazilian </w:t>
      </w:r>
      <w:r>
        <w:rPr>
          <w:rFonts w:eastAsia="Times New Roman"/>
          <w:color w:val="000000"/>
          <w:sz w:val="20"/>
          <w:szCs w:val="20"/>
        </w:rPr>
        <w:t xml:space="preserve">General </w:t>
      </w:r>
    </w:p>
    <w:p w:rsidR="00000000" w:rsidRDefault="006F0EF5">
      <w:pPr>
        <w:jc w:val="center"/>
        <w:divId w:val="1498034041"/>
        <w:rPr>
          <w:rFonts w:eastAsia="Times New Roman"/>
        </w:rPr>
      </w:pPr>
      <w:r>
        <w:rPr>
          <w:rFonts w:eastAsia="Times New Roman"/>
          <w:color w:val="000000"/>
          <w:sz w:val="20"/>
          <w:szCs w:val="20"/>
        </w:rPr>
        <w:t>20</w:t>
      </w:r>
    </w:p>
    <w:p w:rsidR="00000000" w:rsidRDefault="006F0EF5">
      <w:pPr>
        <w:rPr>
          <w:rFonts w:eastAsia="Times New Roman"/>
        </w:rPr>
      </w:pPr>
      <w:r>
        <w:rPr>
          <w:rFonts w:eastAsia="Times New Roman"/>
        </w:rPr>
        <w:pict>
          <v:rect id="_x0000_i1048" style="width:0;height:1.5pt" o:hralign="center" o:hrstd="t" o:hr="t" fillcolor="#a0a0a0" stroked="f"/>
        </w:pict>
      </w:r>
    </w:p>
    <w:p w:rsidR="00000000" w:rsidRDefault="006F0EF5">
      <w:pPr>
        <w:divId w:val="85927473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895093277"/>
        <w:rPr>
          <w:rFonts w:eastAsia="Times New Roman"/>
        </w:rPr>
      </w:pPr>
    </w:p>
    <w:p w:rsidR="00000000" w:rsidRDefault="006F0EF5">
      <w:pPr>
        <w:jc w:val="both"/>
        <w:rPr>
          <w:rFonts w:eastAsia="Times New Roman"/>
        </w:rPr>
      </w:pPr>
      <w:r>
        <w:rPr>
          <w:rFonts w:eastAsia="Times New Roman"/>
          <w:color w:val="000000"/>
          <w:sz w:val="20"/>
          <w:szCs w:val="20"/>
        </w:rPr>
        <w:t xml:space="preserve">Data Protection Law. Complying with these evolving and varying standards could require significant expense and effort, and could </w:t>
      </w:r>
      <w:r>
        <w:rPr>
          <w:rFonts w:eastAsia="Times New Roman"/>
          <w:color w:val="000000"/>
          <w:sz w:val="20"/>
          <w:szCs w:val="20"/>
        </w:rPr>
        <w:t>require us to change our business practices or the functionality of our products and services in a manner adverse to our customers and our business. In addition, violations of these laws can result in significant fines, penalties, claims by regulators or o</w:t>
      </w:r>
      <w:r>
        <w:rPr>
          <w:rFonts w:eastAsia="Times New Roman"/>
          <w:color w:val="000000"/>
          <w:sz w:val="20"/>
          <w:szCs w:val="20"/>
        </w:rPr>
        <w:t>ther third parties, and damage to our brand and business. The GDPR, for example, includes fines of up to €20 million or up to 4% of the annual global revenues of the infringer for failure to comply, and grants corrective powers to supervisory authorities i</w:t>
      </w:r>
      <w:r>
        <w:rPr>
          <w:rFonts w:eastAsia="Times New Roman"/>
          <w:color w:val="000000"/>
          <w:sz w:val="20"/>
          <w:szCs w:val="20"/>
        </w:rPr>
        <w:t>ncluding the ability to impose a limit on processing of personal data. The laws also cover the transfer of personal, financial and business information, including transfers of employee information between us and our subsidiaries, across international borde</w:t>
      </w:r>
      <w:r>
        <w:rPr>
          <w:rFonts w:eastAsia="Times New Roman"/>
          <w:color w:val="000000"/>
          <w:sz w:val="20"/>
          <w:szCs w:val="20"/>
        </w:rPr>
        <w:t>rs.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FINANCE AND ACCOUNTING</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Our level of indebtedness could limit our financial and operating activities and adversely affect our ability to incur additional debt to fund future needs. </w:t>
      </w:r>
      <w:r>
        <w:rPr>
          <w:rFonts w:eastAsia="Times New Roman"/>
          <w:color w:val="000000"/>
          <w:sz w:val="20"/>
          <w:szCs w:val="20"/>
        </w:rPr>
        <w:t>At December 31, 2021, we had approximately $5.62 billion of total in</w:t>
      </w:r>
      <w:r>
        <w:rPr>
          <w:rFonts w:eastAsia="Times New Roman"/>
          <w:color w:val="000000"/>
          <w:sz w:val="20"/>
          <w:szCs w:val="20"/>
        </w:rPr>
        <w:t>debtedness outstanding, which increased substantially from the prior year due to the acquisition of Cardtronics. At December 31, 2021, we had approximately $894 million of secured revolving credit commitments undrawn and available for borrowing under our s</w:t>
      </w:r>
      <w:r>
        <w:rPr>
          <w:rFonts w:eastAsia="Times New Roman"/>
          <w:color w:val="000000"/>
          <w:sz w:val="20"/>
          <w:szCs w:val="20"/>
        </w:rPr>
        <w:t>enior secured revolving credit facility. Our current level of indebtedness could:</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•require us to dedicate a substantial portion of our cash flow to the payment of principal and interest, thereby reducing the funds available for operations and future busi</w:t>
      </w:r>
      <w:r>
        <w:rPr>
          <w:rFonts w:eastAsia="Times New Roman"/>
          <w:color w:val="000000"/>
          <w:sz w:val="20"/>
          <w:szCs w:val="20"/>
        </w:rPr>
        <w:t xml:space="preserve">ness opportunities; </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make it more difficult for us to satisfy our obligations with respect to our outstanding debt, including obligations to repurchase our senior unsecured notes under our indentures following the occurrence of certain changes in control; </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•limit our ability</w:t>
      </w:r>
      <w:r>
        <w:rPr>
          <w:rFonts w:eastAsia="Times New Roman"/>
          <w:color w:val="000000"/>
          <w:sz w:val="20"/>
          <w:szCs w:val="20"/>
        </w:rPr>
        <w:t xml:space="preserve"> to borrow money or otherwise enter into financing arrangements that would provide us with additional capital if needed for other purposes, including working capital, capital expenditures, debt service requirements, acquisitions and general corporate purpo</w:t>
      </w:r>
      <w:r>
        <w:rPr>
          <w:rFonts w:eastAsia="Times New Roman"/>
          <w:color w:val="000000"/>
          <w:sz w:val="20"/>
          <w:szCs w:val="20"/>
        </w:rPr>
        <w:t xml:space="preserve">ses, on satisfactory terms or at all; </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 xml:space="preserve">•limit our ability to adjust to changing economic, business and competitive conditions; </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•place us at a competitive disadvantage with competitors who may have less indebtedness or greater access to financing or ac</w:t>
      </w:r>
      <w:r>
        <w:rPr>
          <w:rFonts w:eastAsia="Times New Roman"/>
          <w:color w:val="000000"/>
          <w:sz w:val="20"/>
          <w:szCs w:val="20"/>
        </w:rPr>
        <w:t xml:space="preserve">cess to financing on preferential terms; </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 xml:space="preserve">•make us more vulnerable to an increase in interest rates, a downturn in our operating performance or a decline in general economic, business and other conditions; and </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•make us more susceptible to adverse chan</w:t>
      </w:r>
      <w:r>
        <w:rPr>
          <w:rFonts w:eastAsia="Times New Roman"/>
          <w:color w:val="000000"/>
          <w:sz w:val="20"/>
          <w:szCs w:val="20"/>
        </w:rPr>
        <w:t xml:space="preserve">ges in our credit ratings, which could impact our ability to obtain financing in the future and increase the cost of such financing. </w:t>
      </w:r>
    </w:p>
    <w:p w:rsidR="00000000" w:rsidRDefault="006F0EF5">
      <w:pPr>
        <w:ind w:firstLine="360"/>
        <w:jc w:val="both"/>
        <w:rPr>
          <w:rFonts w:eastAsia="Times New Roman"/>
        </w:rPr>
      </w:pPr>
    </w:p>
    <w:p w:rsidR="00000000" w:rsidRDefault="006F0EF5">
      <w:pPr>
        <w:jc w:val="both"/>
        <w:rPr>
          <w:rFonts w:eastAsia="Times New Roman"/>
        </w:rPr>
      </w:pPr>
      <w:r>
        <w:rPr>
          <w:rFonts w:eastAsia="Times New Roman"/>
          <w:color w:val="000000"/>
          <w:sz w:val="20"/>
          <w:szCs w:val="20"/>
        </w:rPr>
        <w:t>To the extent that we are unable to successfully integrate Cardtronics or achieve the projected efficiencies and synergies of the acquisition, it may materially adversely affect our ability to service the indebtedness. If compliance with our obligations un</w:t>
      </w:r>
      <w:r>
        <w:rPr>
          <w:rFonts w:eastAsia="Times New Roman"/>
          <w:color w:val="000000"/>
          <w:sz w:val="20"/>
          <w:szCs w:val="20"/>
        </w:rPr>
        <w:t>der our debt and other financing agreements materially limits our financial or operating activities, or hinders our ability to adapt to changing industry conditions, we may lose market share, our revenue may decline and our operating results may be negativ</w:t>
      </w:r>
      <w:r>
        <w:rPr>
          <w:rFonts w:eastAsia="Times New Roman"/>
          <w:color w:val="000000"/>
          <w:sz w:val="20"/>
          <w:szCs w:val="20"/>
        </w:rPr>
        <w:t>ely affected.</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The terms of the documents governing our indebtedness include financial and other covenants that could restrict or limit our financial and business operations.</w:t>
      </w:r>
      <w:r>
        <w:rPr>
          <w:rFonts w:eastAsia="Times New Roman"/>
          <w:b/>
          <w:bCs/>
          <w:color w:val="000000"/>
          <w:sz w:val="20"/>
          <w:szCs w:val="20"/>
        </w:rPr>
        <w:t xml:space="preserve"> </w:t>
      </w:r>
      <w:r>
        <w:rPr>
          <w:rFonts w:eastAsia="Times New Roman"/>
          <w:color w:val="000000"/>
          <w:sz w:val="20"/>
          <w:szCs w:val="20"/>
        </w:rPr>
        <w:t xml:space="preserve">Our credit agreement governing the senior secured facilities and the indentures </w:t>
      </w:r>
      <w:r>
        <w:rPr>
          <w:rFonts w:eastAsia="Times New Roman"/>
          <w:color w:val="000000"/>
          <w:sz w:val="20"/>
          <w:szCs w:val="20"/>
        </w:rPr>
        <w:t>for our senior unsecured notes include restrictive covenants that, subject to certain exceptions and qualifications, restrict or otherwise limit our ability and the ability of our subsidiaries to, among other things:</w:t>
      </w:r>
    </w:p>
    <w:p w:rsidR="00000000" w:rsidRDefault="006F0EF5">
      <w:pPr>
        <w:jc w:val="both"/>
        <w:rPr>
          <w:rFonts w:eastAsia="Times New Roman"/>
        </w:rPr>
      </w:pPr>
    </w:p>
    <w:p w:rsidR="00000000" w:rsidRDefault="006F0EF5">
      <w:pPr>
        <w:ind w:hanging="360"/>
        <w:jc w:val="both"/>
        <w:divId w:val="325938717"/>
        <w:rPr>
          <w:rFonts w:eastAsia="Times New Roman"/>
        </w:rPr>
      </w:pPr>
      <w:r>
        <w:rPr>
          <w:rFonts w:eastAsia="Times New Roman"/>
          <w:color w:val="000000"/>
          <w:sz w:val="20"/>
          <w:szCs w:val="20"/>
        </w:rPr>
        <w:t>•incur additional indebtedness;</w:t>
      </w:r>
    </w:p>
    <w:p w:rsidR="00000000" w:rsidRDefault="006F0EF5">
      <w:pPr>
        <w:ind w:hanging="360"/>
        <w:jc w:val="both"/>
        <w:divId w:val="1846358604"/>
        <w:rPr>
          <w:rFonts w:eastAsia="Times New Roman"/>
        </w:rPr>
      </w:pPr>
      <w:r>
        <w:rPr>
          <w:rFonts w:eastAsia="Times New Roman"/>
          <w:color w:val="000000"/>
          <w:sz w:val="20"/>
          <w:szCs w:val="20"/>
        </w:rPr>
        <w:t>•crea</w:t>
      </w:r>
      <w:r>
        <w:rPr>
          <w:rFonts w:eastAsia="Times New Roman"/>
          <w:color w:val="000000"/>
          <w:sz w:val="20"/>
          <w:szCs w:val="20"/>
        </w:rPr>
        <w:t>te liens on, sell or otherwise dispose of, our assets;</w:t>
      </w:r>
    </w:p>
    <w:p w:rsidR="00000000" w:rsidRDefault="006F0EF5">
      <w:pPr>
        <w:ind w:hanging="360"/>
        <w:jc w:val="both"/>
        <w:divId w:val="896207049"/>
        <w:rPr>
          <w:rFonts w:eastAsia="Times New Roman"/>
        </w:rPr>
      </w:pPr>
      <w:r>
        <w:rPr>
          <w:rFonts w:eastAsia="Times New Roman"/>
          <w:color w:val="000000"/>
          <w:sz w:val="20"/>
          <w:szCs w:val="20"/>
        </w:rPr>
        <w:t>•engage in certain fundamental corporate changes or changes to our business activities;</w:t>
      </w:r>
    </w:p>
    <w:p w:rsidR="00000000" w:rsidRDefault="006F0EF5">
      <w:pPr>
        <w:ind w:hanging="360"/>
        <w:jc w:val="both"/>
        <w:divId w:val="506334729"/>
        <w:rPr>
          <w:rFonts w:eastAsia="Times New Roman"/>
        </w:rPr>
      </w:pPr>
      <w:r>
        <w:rPr>
          <w:rFonts w:eastAsia="Times New Roman"/>
          <w:color w:val="000000"/>
          <w:sz w:val="20"/>
          <w:szCs w:val="20"/>
        </w:rPr>
        <w:t>•make certain investments or material acquisitions;</w:t>
      </w:r>
    </w:p>
    <w:p w:rsidR="00000000" w:rsidRDefault="006F0EF5">
      <w:pPr>
        <w:ind w:hanging="360"/>
        <w:jc w:val="both"/>
        <w:divId w:val="2090347367"/>
        <w:rPr>
          <w:rFonts w:eastAsia="Times New Roman"/>
        </w:rPr>
      </w:pPr>
      <w:r>
        <w:rPr>
          <w:rFonts w:eastAsia="Times New Roman"/>
          <w:color w:val="000000"/>
          <w:sz w:val="20"/>
          <w:szCs w:val="20"/>
        </w:rPr>
        <w:t>•engage in sale-leaseback or hedging transactions;</w:t>
      </w:r>
    </w:p>
    <w:p w:rsidR="00000000" w:rsidRDefault="006F0EF5">
      <w:pPr>
        <w:ind w:hanging="360"/>
        <w:jc w:val="both"/>
        <w:divId w:val="380402838"/>
        <w:rPr>
          <w:rFonts w:eastAsia="Times New Roman"/>
        </w:rPr>
      </w:pPr>
      <w:r>
        <w:rPr>
          <w:rFonts w:eastAsia="Times New Roman"/>
          <w:color w:val="000000"/>
          <w:sz w:val="20"/>
          <w:szCs w:val="20"/>
        </w:rPr>
        <w:t>•repurchas</w:t>
      </w:r>
      <w:r>
        <w:rPr>
          <w:rFonts w:eastAsia="Times New Roman"/>
          <w:color w:val="000000"/>
          <w:sz w:val="20"/>
          <w:szCs w:val="20"/>
        </w:rPr>
        <w:t>e our common stock, pay dividends or make similar distributions on our capital stock;</w:t>
      </w:r>
    </w:p>
    <w:p w:rsidR="00000000" w:rsidRDefault="006F0EF5">
      <w:pPr>
        <w:ind w:hanging="360"/>
        <w:jc w:val="both"/>
        <w:divId w:val="1074544613"/>
        <w:rPr>
          <w:rFonts w:eastAsia="Times New Roman"/>
        </w:rPr>
      </w:pPr>
      <w:r>
        <w:rPr>
          <w:rFonts w:eastAsia="Times New Roman"/>
          <w:color w:val="000000"/>
          <w:sz w:val="20"/>
          <w:szCs w:val="20"/>
        </w:rPr>
        <w:t>•repay certain indebtedness;</w:t>
      </w:r>
    </w:p>
    <w:p w:rsidR="00000000" w:rsidRDefault="006F0EF5">
      <w:pPr>
        <w:ind w:hanging="360"/>
        <w:jc w:val="both"/>
        <w:divId w:val="1306355586"/>
        <w:rPr>
          <w:rFonts w:eastAsia="Times New Roman"/>
        </w:rPr>
      </w:pPr>
      <w:r>
        <w:rPr>
          <w:rFonts w:eastAsia="Times New Roman"/>
          <w:color w:val="000000"/>
          <w:sz w:val="20"/>
          <w:szCs w:val="20"/>
        </w:rPr>
        <w:t>•engage in certain affiliate transactions; and</w:t>
      </w:r>
    </w:p>
    <w:p w:rsidR="00000000" w:rsidRDefault="006F0EF5">
      <w:pPr>
        <w:jc w:val="center"/>
        <w:divId w:val="260800069"/>
        <w:rPr>
          <w:rFonts w:eastAsia="Times New Roman"/>
        </w:rPr>
      </w:pPr>
      <w:r>
        <w:rPr>
          <w:rFonts w:eastAsia="Times New Roman"/>
          <w:color w:val="000000"/>
          <w:sz w:val="20"/>
          <w:szCs w:val="20"/>
        </w:rPr>
        <w:t>21</w:t>
      </w:r>
    </w:p>
    <w:p w:rsidR="00000000" w:rsidRDefault="006F0EF5">
      <w:pPr>
        <w:rPr>
          <w:rFonts w:eastAsia="Times New Roman"/>
        </w:rPr>
      </w:pPr>
      <w:r>
        <w:rPr>
          <w:rFonts w:eastAsia="Times New Roman"/>
        </w:rPr>
        <w:pict>
          <v:rect id="_x0000_i1049" style="width:0;height:1.5pt" o:hralign="center" o:hrstd="t" o:hr="t" fillcolor="#a0a0a0" stroked="f"/>
        </w:pict>
      </w:r>
    </w:p>
    <w:p w:rsidR="00000000" w:rsidRDefault="006F0EF5">
      <w:pPr>
        <w:divId w:val="159451059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654535128"/>
        <w:rPr>
          <w:rFonts w:eastAsia="Times New Roman"/>
        </w:rPr>
      </w:pPr>
    </w:p>
    <w:p w:rsidR="00000000" w:rsidRDefault="006F0EF5">
      <w:pPr>
        <w:ind w:hanging="360"/>
        <w:jc w:val="both"/>
        <w:divId w:val="23094344"/>
        <w:rPr>
          <w:rFonts w:eastAsia="Times New Roman"/>
        </w:rPr>
      </w:pPr>
      <w:r>
        <w:rPr>
          <w:rFonts w:eastAsia="Times New Roman"/>
          <w:color w:val="000000"/>
          <w:sz w:val="20"/>
          <w:szCs w:val="20"/>
        </w:rPr>
        <w:t>•enter into agreements that restrict our ability to create liens, pay dividends or make loan repayments.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senior secured credit agreemen</w:t>
      </w:r>
      <w:r>
        <w:rPr>
          <w:rFonts w:eastAsia="Times New Roman"/>
          <w:color w:val="000000"/>
          <w:sz w:val="20"/>
          <w:szCs w:val="20"/>
        </w:rPr>
        <w:t>t and the indentures for our senior unsecured notes also contain certain affirmative covenants, and the senior secured credit agreement require us to comply with a leverage ratio that measures our debt relative to our Consolidated EBITDA (as defined in the</w:t>
      </w:r>
      <w:r>
        <w:rPr>
          <w:rFonts w:eastAsia="Times New Roman"/>
          <w:color w:val="000000"/>
          <w:sz w:val="20"/>
          <w:szCs w:val="20"/>
        </w:rPr>
        <w:t xml:space="preserve"> senior secured credit agreement).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These covenants and restrictions could affect our ability to operate our business and may limit our ability to react to market conditions or take advantage of potential business opportunities as they arise. Additionally</w:t>
      </w:r>
      <w:r>
        <w:rPr>
          <w:rFonts w:eastAsia="Times New Roman"/>
          <w:color w:val="000000"/>
          <w:sz w:val="20"/>
          <w:szCs w:val="20"/>
        </w:rPr>
        <w:t xml:space="preserve">, our ability to comply with these covenants may be affected by events beyond our control, including general economic and credit conditions and industry downturns.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If we fail to comply with these covenants and are unable to obtain a waiver or amendment </w:t>
      </w:r>
      <w:r>
        <w:rPr>
          <w:rFonts w:eastAsia="Times New Roman"/>
          <w:color w:val="000000"/>
          <w:sz w:val="20"/>
          <w:szCs w:val="20"/>
        </w:rPr>
        <w:t xml:space="preserve">from the applicable debtholders, an event of default would result under the applicable agreements and under other agreements containing related cross-default provisions.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If we fail to comply with these covenants and are unable to obtain a waiver or amen</w:t>
      </w:r>
      <w:r>
        <w:rPr>
          <w:rFonts w:eastAsia="Times New Roman"/>
          <w:color w:val="000000"/>
          <w:sz w:val="20"/>
          <w:szCs w:val="20"/>
        </w:rPr>
        <w:t xml:space="preserve">dment from the applicable lenders, an event of default would result under these agreements and under other agreements containing related cross-default provisions. </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•Upon an event of default under the senior secured credit agreement, the administrative ag</w:t>
      </w:r>
      <w:r>
        <w:rPr>
          <w:rFonts w:eastAsia="Times New Roman"/>
          <w:color w:val="000000"/>
          <w:sz w:val="20"/>
          <w:szCs w:val="20"/>
        </w:rPr>
        <w:t>ent or the required lenders could, among other things, declare outstanding amounts due and payable, refuse to lend additional amounts to us, or require us to deposit cash collateral in respect of outstanding letters of credit. If we were unable to repay or</w:t>
      </w:r>
      <w:r>
        <w:rPr>
          <w:rFonts w:eastAsia="Times New Roman"/>
          <w:color w:val="000000"/>
          <w:sz w:val="20"/>
          <w:szCs w:val="20"/>
        </w:rPr>
        <w:t xml:space="preserve"> pay the amounts due, the administrative agent or the lenders could, among other things, proceed against the collateral granted to them to secure such indebtedness, which includes certain of our domestic assets and the equity interests of certain of our do</w:t>
      </w:r>
      <w:r>
        <w:rPr>
          <w:rFonts w:eastAsia="Times New Roman"/>
          <w:color w:val="000000"/>
          <w:sz w:val="20"/>
          <w:szCs w:val="20"/>
        </w:rPr>
        <w:t xml:space="preserve">mestic and foreign subsidiaries. </w:t>
      </w:r>
    </w:p>
    <w:p w:rsidR="00000000" w:rsidRDefault="006F0EF5">
      <w:pPr>
        <w:ind w:hanging="360"/>
        <w:jc w:val="both"/>
        <w:divId w:val="1232689632"/>
        <w:rPr>
          <w:rFonts w:eastAsia="Times New Roman"/>
        </w:rPr>
      </w:pPr>
      <w:r>
        <w:rPr>
          <w:rFonts w:eastAsia="Times New Roman"/>
          <w:color w:val="000000"/>
          <w:sz w:val="20"/>
          <w:szCs w:val="20"/>
        </w:rPr>
        <w:t xml:space="preserve">•Upon an event of default under the indentures for our senior unsecured notes, the related trustee or the holders of our senior unsecured notes could declare all outstanding amounts immediately due and payable. </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Despite </w:t>
      </w:r>
      <w:r>
        <w:rPr>
          <w:rFonts w:eastAsia="Times New Roman"/>
          <w:b/>
          <w:bCs/>
          <w:i/>
          <w:iCs/>
          <w:color w:val="000000"/>
          <w:sz w:val="20"/>
          <w:szCs w:val="20"/>
        </w:rPr>
        <w:t>our current levels of debt, we may still incur substantially more debt, including secured debt, and similar liabilities, which would increase the risks described in these risk factors relating to indebtedness.</w:t>
      </w:r>
      <w:r>
        <w:rPr>
          <w:rFonts w:eastAsia="Times New Roman"/>
          <w:color w:val="000000"/>
          <w:sz w:val="20"/>
          <w:szCs w:val="20"/>
        </w:rPr>
        <w:t xml:space="preserve"> Although the agreements governing our senior s</w:t>
      </w:r>
      <w:r>
        <w:rPr>
          <w:rFonts w:eastAsia="Times New Roman"/>
          <w:color w:val="000000"/>
          <w:sz w:val="20"/>
          <w:szCs w:val="20"/>
        </w:rPr>
        <w:t>ecured credit facilities and our senior unsecured notes include restrictions on our ability to incur additional debt, those agreements do not prohibit us from incurring additional debt or pursuing other financing arrangements. As a result, the amount of ad</w:t>
      </w:r>
      <w:r>
        <w:rPr>
          <w:rFonts w:eastAsia="Times New Roman"/>
          <w:color w:val="000000"/>
          <w:sz w:val="20"/>
          <w:szCs w:val="20"/>
        </w:rPr>
        <w:t xml:space="preserve">ditional debt and other obligations that we could incur could be substantial. In addition, certain types of liabilities are not considered “Indebtedness” under our senior secured credit agreement or the indentures governing our senior unsecured notes, and </w:t>
      </w:r>
      <w:r>
        <w:rPr>
          <w:rFonts w:eastAsia="Times New Roman"/>
          <w:color w:val="000000"/>
          <w:sz w:val="20"/>
          <w:szCs w:val="20"/>
        </w:rPr>
        <w:t>our senior secured credit agreement and indentures do not impose any limitation on the amount of liabilities incurred by our subsidiaries, if any, that are designated as “unrestricted subsidiaries” under our senior secured credit agreement or indentures, a</w:t>
      </w:r>
      <w:r>
        <w:rPr>
          <w:rFonts w:eastAsia="Times New Roman"/>
          <w:color w:val="000000"/>
          <w:sz w:val="20"/>
          <w:szCs w:val="20"/>
        </w:rPr>
        <w:t>s applicable. Accordingly, to the extent permitted under our senior secured credit agreement or indentures, we could incur significant additional debt, liabilities or similar obligations in the future, some of which could constitute secured debt (such as a</w:t>
      </w:r>
      <w:r>
        <w:rPr>
          <w:rFonts w:eastAsia="Times New Roman"/>
          <w:color w:val="000000"/>
          <w:sz w:val="20"/>
          <w:szCs w:val="20"/>
        </w:rPr>
        <w:t xml:space="preserve">dditional debt under our senior secured credit agreement). In addition, if we form or acquire any subsidiaries in the future, those subsidiaries also could incur debt or similar liabilities. If new debt or similar liabilities are added to our current debt </w:t>
      </w:r>
      <w:r>
        <w:rPr>
          <w:rFonts w:eastAsia="Times New Roman"/>
          <w:color w:val="000000"/>
          <w:sz w:val="20"/>
          <w:szCs w:val="20"/>
        </w:rPr>
        <w:t>levels, the related risks that we now face could increase.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may, from time to time, seek to opportunistically refinance, amend, reprice and/or otherwise replace any of our debt, obtain additional debt financing or enter into other financing arrangement</w:t>
      </w:r>
      <w:r>
        <w:rPr>
          <w:rFonts w:eastAsia="Times New Roman"/>
          <w:color w:val="000000"/>
          <w:sz w:val="20"/>
          <w:szCs w:val="20"/>
        </w:rPr>
        <w:t>s, reduce or extend our debt, lower our interest payments or the cost of capital available to us under certain types of financing arrangements, or otherwise seek to improve our financial position or the terms of our debt or other financing agreements. Thes</w:t>
      </w:r>
      <w:r>
        <w:rPr>
          <w:rFonts w:eastAsia="Times New Roman"/>
          <w:color w:val="000000"/>
          <w:sz w:val="20"/>
          <w:szCs w:val="20"/>
        </w:rPr>
        <w:t>e actions may include open market debt repurchases, negotiated repurchases, or other repayments, redemptions or retirements of our debt or other financing arrangements. The amount of debt that may be borrowed or issued, refinanced, and/or repurchased, repa</w:t>
      </w:r>
      <w:r>
        <w:rPr>
          <w:rFonts w:eastAsia="Times New Roman"/>
          <w:color w:val="000000"/>
          <w:sz w:val="20"/>
          <w:szCs w:val="20"/>
        </w:rPr>
        <w:t>id, redeemed or otherwise retired, if any, will depend on market conditions, trading levels of our debt, our cash position, compliance with our debt covenants and other considerations. Any such actions could impact our financial condition or results of ope</w:t>
      </w:r>
      <w:r>
        <w:rPr>
          <w:rFonts w:eastAsia="Times New Roman"/>
          <w:color w:val="000000"/>
          <w:sz w:val="20"/>
          <w:szCs w:val="20"/>
        </w:rPr>
        <w:t>rations.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If we are unable to continue to access or renew financing sources and obtain capital, our ability to maintain and grow our business may be impaired.</w:t>
      </w:r>
      <w:r>
        <w:rPr>
          <w:rFonts w:eastAsia="Times New Roman"/>
          <w:color w:val="000000"/>
          <w:sz w:val="20"/>
          <w:szCs w:val="20"/>
        </w:rPr>
        <w:t xml:space="preserve"> We use debt and other sources of financing to maintain and grow our business. There can be no as</w:t>
      </w:r>
      <w:r>
        <w:rPr>
          <w:rFonts w:eastAsia="Times New Roman"/>
          <w:color w:val="000000"/>
          <w:sz w:val="20"/>
          <w:szCs w:val="20"/>
        </w:rPr>
        <w:t>surance that we will be able to renew our senior secured credit facilities after their current maturity dates on acceptable terms, or at all, or that we will be able to obtain additional or replacement financing on acceptable terms or at all. The availabil</w:t>
      </w:r>
      <w:r>
        <w:rPr>
          <w:rFonts w:eastAsia="Times New Roman"/>
          <w:color w:val="000000"/>
          <w:sz w:val="20"/>
          <w:szCs w:val="20"/>
        </w:rPr>
        <w:t>ity of additional financing will depend on a variety of factors such as market conditions, the general availability of credit, our financial position, our results of operations, and the capacity for additional borrowing or other forms of financing under ou</w:t>
      </w:r>
      <w:r>
        <w:rPr>
          <w:rFonts w:eastAsia="Times New Roman"/>
          <w:color w:val="000000"/>
          <w:sz w:val="20"/>
          <w:szCs w:val="20"/>
        </w:rPr>
        <w:t>r existing financing arrangements. If our various financing alternatives were to become limited or unavailable, we may be unable to maintain or grow our business and our operations could be materially adversely affected.</w:t>
      </w:r>
    </w:p>
    <w:p w:rsidR="00000000" w:rsidRDefault="006F0EF5">
      <w:pPr>
        <w:jc w:val="center"/>
        <w:divId w:val="451440253"/>
        <w:rPr>
          <w:rFonts w:eastAsia="Times New Roman"/>
        </w:rPr>
      </w:pPr>
      <w:r>
        <w:rPr>
          <w:rFonts w:eastAsia="Times New Roman"/>
          <w:color w:val="000000"/>
          <w:sz w:val="20"/>
          <w:szCs w:val="20"/>
        </w:rPr>
        <w:t>22</w:t>
      </w:r>
    </w:p>
    <w:p w:rsidR="00000000" w:rsidRDefault="006F0EF5">
      <w:pPr>
        <w:rPr>
          <w:rFonts w:eastAsia="Times New Roman"/>
        </w:rPr>
      </w:pPr>
      <w:r>
        <w:rPr>
          <w:rFonts w:eastAsia="Times New Roman"/>
        </w:rPr>
        <w:pict>
          <v:rect id="_x0000_i1050" style="width:0;height:1.5pt" o:hralign="center" o:hrstd="t" o:hr="t" fillcolor="#a0a0a0" stroked="f"/>
        </w:pict>
      </w:r>
    </w:p>
    <w:p w:rsidR="00000000" w:rsidRDefault="006F0EF5">
      <w:pPr>
        <w:divId w:val="99970066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052388898"/>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Our cash flows may not be sufficient to service our indebtedness, and if we are unable to satisfy our obligations under our indebtedness, we may be required to seek other financing alternatives, which may not be successful.</w:t>
      </w:r>
      <w:r>
        <w:rPr>
          <w:rFonts w:eastAsia="Times New Roman"/>
          <w:i/>
          <w:iCs/>
          <w:color w:val="000000"/>
          <w:sz w:val="20"/>
          <w:szCs w:val="20"/>
        </w:rPr>
        <w:t xml:space="preserve"> </w:t>
      </w:r>
      <w:r>
        <w:rPr>
          <w:rFonts w:eastAsia="Times New Roman"/>
          <w:color w:val="000000"/>
          <w:sz w:val="20"/>
          <w:szCs w:val="20"/>
        </w:rPr>
        <w:t>Our ability to make timely payme</w:t>
      </w:r>
      <w:r>
        <w:rPr>
          <w:rFonts w:eastAsia="Times New Roman"/>
          <w:color w:val="000000"/>
          <w:sz w:val="20"/>
          <w:szCs w:val="20"/>
        </w:rPr>
        <w:t>nts of principal and interest on our debt obligations depends on our ability to generate positive cash flows from operations, which is subject to general economic conditions, competitive pressures and certain financial, business and other factors, which ma</w:t>
      </w:r>
      <w:r>
        <w:rPr>
          <w:rFonts w:eastAsia="Times New Roman"/>
          <w:color w:val="000000"/>
          <w:sz w:val="20"/>
          <w:szCs w:val="20"/>
        </w:rPr>
        <w:t>y include factors beyond our control. If our cash flows and capital resources are insufficient to make these payments, we may be required to seek additional financing sources, reduce or delay capital expenditures, sell assets or operations or refinance our</w:t>
      </w:r>
      <w:r>
        <w:rPr>
          <w:rFonts w:eastAsia="Times New Roman"/>
          <w:color w:val="000000"/>
          <w:sz w:val="20"/>
          <w:szCs w:val="20"/>
        </w:rPr>
        <w:t xml:space="preserve"> indebtedness. These actions could have an adverse effect on our business, financial condition and results of operations. In addition, we may not be able to take any of these actions, and, even if successful, these actions may not permit us to meet our sch</w:t>
      </w:r>
      <w:r>
        <w:rPr>
          <w:rFonts w:eastAsia="Times New Roman"/>
          <w:color w:val="000000"/>
          <w:sz w:val="20"/>
          <w:szCs w:val="20"/>
        </w:rPr>
        <w:t xml:space="preserve">eduled debt service obligations. Our ability to restructure or refinance our outstanding indebtedness will depend on, among other things, the condition of the capital markets and our financial condition at such time. There can be no assurance that we will </w:t>
      </w:r>
      <w:r>
        <w:rPr>
          <w:rFonts w:eastAsia="Times New Roman"/>
          <w:color w:val="000000"/>
          <w:sz w:val="20"/>
          <w:szCs w:val="20"/>
        </w:rPr>
        <w:t>be able to restructure or refinance any of our indebtedness on commercially reasonable terms or at all. If we cannot make scheduled payments on our debt, we will be in default and the outstanding principal and interest on our debt could be declared to be d</w:t>
      </w:r>
      <w:r>
        <w:rPr>
          <w:rFonts w:eastAsia="Times New Roman"/>
          <w:color w:val="000000"/>
          <w:sz w:val="20"/>
          <w:szCs w:val="20"/>
        </w:rPr>
        <w:t>ue and payable, in which case we could be forced into bankruptcy or liquidation or required to substantially restructure or alter our business operations or debt obligations.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Borrowings under our senior secured credit facilities bear interest at a variable rate which subjects us to interest rate risk, which could cause our debt service obligations or other costs of capital under our senior secured credit facilities to increase </w:t>
      </w:r>
      <w:r>
        <w:rPr>
          <w:rFonts w:eastAsia="Times New Roman"/>
          <w:b/>
          <w:bCs/>
          <w:i/>
          <w:iCs/>
          <w:color w:val="000000"/>
          <w:sz w:val="20"/>
          <w:szCs w:val="20"/>
        </w:rPr>
        <w:t>significantly.</w:t>
      </w:r>
      <w:r>
        <w:rPr>
          <w:rFonts w:eastAsia="Times New Roman"/>
          <w:i/>
          <w:iCs/>
          <w:color w:val="000000"/>
          <w:sz w:val="20"/>
          <w:szCs w:val="20"/>
        </w:rPr>
        <w:t xml:space="preserve"> </w:t>
      </w:r>
      <w:r>
        <w:rPr>
          <w:rFonts w:eastAsia="Times New Roman"/>
          <w:color w:val="000000"/>
          <w:sz w:val="20"/>
          <w:szCs w:val="20"/>
        </w:rPr>
        <w:t>All of our borrowings under our senior secured credit facilities are priced using variable rates of interest and expose us to interest rate risk. If interest rates increase, our debt service obligations on this variable rate indebtedness wou</w:t>
      </w:r>
      <w:r>
        <w:rPr>
          <w:rFonts w:eastAsia="Times New Roman"/>
          <w:color w:val="000000"/>
          <w:sz w:val="20"/>
          <w:szCs w:val="20"/>
        </w:rPr>
        <w:t>ld increase even if the amount borrowed were to remain the same. Although we may enter into interest rate swaps or similar instruments to reduce interest rate volatility in connection with our variable rate financing arrangements, we cannot provide assuran</w:t>
      </w:r>
      <w:r>
        <w:rPr>
          <w:rFonts w:eastAsia="Times New Roman"/>
          <w:color w:val="000000"/>
          <w:sz w:val="20"/>
          <w:szCs w:val="20"/>
        </w:rPr>
        <w:t>ces that we will be able to do so or that such swaps or instruments will be effective.</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The terms governing our trade receivables facility, including the length of term, financial and other covenants, and obligations to remit collections on the sold recei</w:t>
      </w:r>
      <w:r>
        <w:rPr>
          <w:rFonts w:eastAsia="Times New Roman"/>
          <w:b/>
          <w:bCs/>
          <w:i/>
          <w:iCs/>
          <w:color w:val="000000"/>
          <w:sz w:val="20"/>
          <w:szCs w:val="20"/>
        </w:rPr>
        <w:t xml:space="preserve">vables could restrict or otherwise limit our financial and business operations. </w:t>
      </w:r>
      <w:r>
        <w:rPr>
          <w:rFonts w:eastAsia="Times New Roman"/>
          <w:color w:val="000000"/>
          <w:sz w:val="20"/>
          <w:szCs w:val="20"/>
        </w:rPr>
        <w:t xml:space="preserve">During 2021, we amended our trade receivables facility to allow, among other things, one of our wholly-owned, bankruptcy remote special purposes entities (an “SPE”) to sell to </w:t>
      </w:r>
      <w:r>
        <w:rPr>
          <w:rFonts w:eastAsia="Times New Roman"/>
          <w:color w:val="000000"/>
          <w:sz w:val="20"/>
          <w:szCs w:val="20"/>
        </w:rPr>
        <w:t>PNC and other participating financial institutions an undivided ownership interest in a portion of the trade receivables owned by such SPE, in an amount not to exceed $300 million at any point in time. Our trade receivables facility has a term of two years</w:t>
      </w:r>
      <w:r>
        <w:rPr>
          <w:rFonts w:eastAsia="Times New Roman"/>
          <w:color w:val="000000"/>
          <w:sz w:val="20"/>
          <w:szCs w:val="20"/>
        </w:rPr>
        <w:t xml:space="preserve"> and contains customary termination events, including termination events that are based on the performance of the pool of receivables, including the pool's satisfaction of certain financial tests relating to the three-month rolling average ratios of defaul</w:t>
      </w:r>
      <w:r>
        <w:rPr>
          <w:rFonts w:eastAsia="Times New Roman"/>
          <w:color w:val="000000"/>
          <w:sz w:val="20"/>
          <w:szCs w:val="20"/>
        </w:rPr>
        <w:t>ts, delinquencies, dilution and days' sales outstanding. If we fail to renew our trade receivable facility or a termination event occurs and we are unable to obtain a waiver or amendment from the applicable purchasers, we would be required to continue remi</w:t>
      </w:r>
      <w:r>
        <w:rPr>
          <w:rFonts w:eastAsia="Times New Roman"/>
          <w:color w:val="000000"/>
          <w:sz w:val="20"/>
          <w:szCs w:val="20"/>
        </w:rPr>
        <w:t xml:space="preserve">tting collections to the purchasers until the facility was terminated, and we would no longer benefit from the liquidity provided to us by the ability to sell our receivables. Such a result could negatively impact the cash that we have available to use in </w:t>
      </w:r>
      <w:r>
        <w:rPr>
          <w:rFonts w:eastAsia="Times New Roman"/>
          <w:color w:val="000000"/>
          <w:sz w:val="20"/>
          <w:szCs w:val="20"/>
        </w:rPr>
        <w:t>our financial and business operations. A termination event under the trade receivables facility would also result in an event of default or a termination event under other agreements containing related cross-default provisions.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Certain changes in control</w:t>
      </w:r>
      <w:r>
        <w:rPr>
          <w:rFonts w:eastAsia="Times New Roman"/>
          <w:b/>
          <w:bCs/>
          <w:i/>
          <w:iCs/>
          <w:color w:val="000000"/>
          <w:sz w:val="20"/>
          <w:szCs w:val="20"/>
        </w:rPr>
        <w:t xml:space="preserve"> may result in an acceleration of our indebtedness or our obligations under other financing arrangements, or may require us to repurchase our senior unsecured notes or our Series A Convertible Preferred Stock.</w:t>
      </w:r>
      <w:r>
        <w:rPr>
          <w:rFonts w:eastAsia="Times New Roman"/>
          <w:color w:val="000000"/>
          <w:sz w:val="20"/>
          <w:szCs w:val="20"/>
        </w:rPr>
        <w:t xml:space="preserve"> Upon the occurrence of a change in control und</w:t>
      </w:r>
      <w:r>
        <w:rPr>
          <w:rFonts w:eastAsia="Times New Roman"/>
          <w:color w:val="000000"/>
          <w:sz w:val="20"/>
          <w:szCs w:val="20"/>
        </w:rPr>
        <w:t>er the applicable indenture governing the applicable senior unsecured notes, holders of those notes may require us to repurchase their notes. On any date during the three months commencing on and immediately following March 16, 2024 and the three months co</w:t>
      </w:r>
      <w:r>
        <w:rPr>
          <w:rFonts w:eastAsia="Times New Roman"/>
          <w:color w:val="000000"/>
          <w:sz w:val="20"/>
          <w:szCs w:val="20"/>
        </w:rPr>
        <w:t>mmencing on and immediately following every third anniversary of such date, holders of our Series A Convertible Preferred Stock will have the right to require us to repurchase any or all of our outstanding Series A Convertible Preferred Stock. In addition,</w:t>
      </w:r>
      <w:r>
        <w:rPr>
          <w:rFonts w:eastAsia="Times New Roman"/>
          <w:color w:val="000000"/>
          <w:sz w:val="20"/>
          <w:szCs w:val="20"/>
        </w:rPr>
        <w:t xml:space="preserve"> upon certain change of control events involving the Company, holders of Series A Convertible Preferred Stock can require us, subject to certain exceptions, to repurchase any or all of their Series A Convertible Preferred Stock.</w:t>
      </w:r>
    </w:p>
    <w:p w:rsidR="00000000" w:rsidRDefault="006F0EF5">
      <w:pPr>
        <w:divId w:val="1260025320"/>
        <w:rPr>
          <w:rFonts w:eastAsia="Times New Roman"/>
        </w:rPr>
      </w:pPr>
    </w:p>
    <w:p w:rsidR="00000000" w:rsidRDefault="006F0EF5">
      <w:pPr>
        <w:jc w:val="both"/>
        <w:rPr>
          <w:rFonts w:eastAsia="Times New Roman"/>
        </w:rPr>
      </w:pPr>
      <w:r>
        <w:rPr>
          <w:rFonts w:eastAsia="Times New Roman"/>
          <w:color w:val="000000"/>
          <w:sz w:val="20"/>
          <w:szCs w:val="20"/>
        </w:rPr>
        <w:t>It is possible that we wo</w:t>
      </w:r>
      <w:r>
        <w:rPr>
          <w:rFonts w:eastAsia="Times New Roman"/>
          <w:color w:val="000000"/>
          <w:sz w:val="20"/>
          <w:szCs w:val="20"/>
        </w:rPr>
        <w:t>uld not have sufficient funds at the time that we are required to make any such purchase of notes or Series A Convertible Preferred Stock (or both). We cannot assure the holders of the senior unsecured notes and Series A Convertible Preferred Stock that we</w:t>
      </w:r>
      <w:r>
        <w:rPr>
          <w:rFonts w:eastAsia="Times New Roman"/>
          <w:color w:val="000000"/>
          <w:sz w:val="20"/>
          <w:szCs w:val="20"/>
        </w:rPr>
        <w:t xml:space="preserve"> will have sufficient financial resources, or will be able to arrange financing, to pay the repurchase price in cash with respect to any such notes or Series A Convertible Preferred Stock that holders have requested to be repurchased upon a change in contr</w:t>
      </w:r>
      <w:r>
        <w:rPr>
          <w:rFonts w:eastAsia="Times New Roman"/>
          <w:color w:val="000000"/>
          <w:sz w:val="20"/>
          <w:szCs w:val="20"/>
        </w:rPr>
        <w:t xml:space="preserve">ol or scheduled redemption. Our failure to repurchase the senior unsecured notes of a series when required would result in an event of default with respect to such notes which could, in turn, constitute a default under the terms of our other indebtedness, </w:t>
      </w:r>
      <w:r>
        <w:rPr>
          <w:rFonts w:eastAsia="Times New Roman"/>
          <w:color w:val="000000"/>
          <w:sz w:val="20"/>
          <w:szCs w:val="20"/>
        </w:rPr>
        <w:t>if any. If we are unable to repurchase all shares of Series A Convertible Preferred Stock that holders have requested to be purchased, then we are required to pay dividends on the shares not repurchased at a rate equal to 8.0% per annum, accruing daily fro</w:t>
      </w:r>
      <w:r>
        <w:rPr>
          <w:rFonts w:eastAsia="Times New Roman"/>
          <w:color w:val="000000"/>
          <w:sz w:val="20"/>
          <w:szCs w:val="20"/>
        </w:rPr>
        <w:t>m such date until the full purchase price, plus all accrued dividends, are paid in full in respect of such shares of Series A Convertible Preferred Stock.</w:t>
      </w:r>
    </w:p>
    <w:p w:rsidR="00000000" w:rsidRDefault="006F0EF5">
      <w:pPr>
        <w:jc w:val="center"/>
        <w:divId w:val="1591347860"/>
        <w:rPr>
          <w:rFonts w:eastAsia="Times New Roman"/>
        </w:rPr>
      </w:pPr>
      <w:r>
        <w:rPr>
          <w:rFonts w:eastAsia="Times New Roman"/>
          <w:color w:val="000000"/>
          <w:sz w:val="20"/>
          <w:szCs w:val="20"/>
        </w:rPr>
        <w:t>23</w:t>
      </w:r>
    </w:p>
    <w:p w:rsidR="00000000" w:rsidRDefault="006F0EF5">
      <w:pPr>
        <w:rPr>
          <w:rFonts w:eastAsia="Times New Roman"/>
        </w:rPr>
      </w:pPr>
      <w:r>
        <w:rPr>
          <w:rFonts w:eastAsia="Times New Roman"/>
        </w:rPr>
        <w:pict>
          <v:rect id="_x0000_i1051" style="width:0;height:1.5pt" o:hralign="center" o:hrstd="t" o:hr="t" fillcolor="#a0a0a0" stroked="f"/>
        </w:pict>
      </w:r>
    </w:p>
    <w:p w:rsidR="00000000" w:rsidRDefault="006F0EF5">
      <w:pPr>
        <w:divId w:val="1590117232"/>
        <w:rPr>
          <w:rFonts w:eastAsia="Times New Roman"/>
        </w:rPr>
      </w:pPr>
      <w:hyperlink w:anchor="i820834c26f61401cb1d426994ba52a61_10" w:history="1">
        <w:r>
          <w:rPr>
            <w:rStyle w:val="a3"/>
            <w:rFonts w:eastAsia="Times New Roman"/>
            <w:sz w:val="16"/>
            <w:szCs w:val="16"/>
          </w:rPr>
          <w:t>Tab</w:t>
        </w:r>
        <w:r>
          <w:rPr>
            <w:rStyle w:val="a3"/>
            <w:rFonts w:eastAsia="Times New Roman"/>
            <w:sz w:val="16"/>
            <w:szCs w:val="16"/>
          </w:rPr>
          <w:t>le of Contents</w:t>
        </w:r>
      </w:hyperlink>
    </w:p>
    <w:p w:rsidR="00000000" w:rsidRDefault="006F0EF5">
      <w:pPr>
        <w:divId w:val="1069687955"/>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addition, a change in control (i) may constitute an event of default under our senior secured credit agreement that would permit the lenders to accelerate the maturity of the borrowings thereunder and/or terminate the commitments unde</w:t>
      </w:r>
      <w:r>
        <w:rPr>
          <w:rFonts w:eastAsia="Times New Roman"/>
          <w:color w:val="000000"/>
          <w:sz w:val="20"/>
          <w:szCs w:val="20"/>
        </w:rPr>
        <w:t>r the senior secured revolving credit facility, (ii) may constitute a termination event under our trade receivables facility that would permit the purchasers to declare the capital they have invested in our receivables to be due and owing and (iii) may req</w:t>
      </w:r>
      <w:r>
        <w:rPr>
          <w:rFonts w:eastAsia="Times New Roman"/>
          <w:color w:val="000000"/>
          <w:sz w:val="20"/>
          <w:szCs w:val="20"/>
        </w:rPr>
        <w:t>uire us to make a similar change in control offer to holders of our existing senior unsecured notes.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Certain important corporate events, such as leveraged recapitalization that would increase the level of our indebtedness, may not constitute a change in </w:t>
      </w:r>
      <w:r>
        <w:rPr>
          <w:rFonts w:eastAsia="Times New Roman"/>
          <w:color w:val="000000"/>
          <w:sz w:val="20"/>
          <w:szCs w:val="20"/>
        </w:rPr>
        <w:t>control under the indentures governing our unsecured notes or the terms of our Series A Convertible Preferred Stock.</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A lowering or withdrawal of the ratings assigned to our debt securities by rating agencies may increase our future capital costs and redu</w:t>
      </w:r>
      <w:r>
        <w:rPr>
          <w:rFonts w:eastAsia="Times New Roman"/>
          <w:b/>
          <w:bCs/>
          <w:i/>
          <w:iCs/>
          <w:color w:val="000000"/>
          <w:sz w:val="20"/>
          <w:szCs w:val="20"/>
        </w:rPr>
        <w:t>ce our access to capital.</w:t>
      </w:r>
      <w:r>
        <w:rPr>
          <w:rFonts w:eastAsia="Times New Roman"/>
          <w:b/>
          <w:bCs/>
          <w:color w:val="000000"/>
          <w:sz w:val="20"/>
          <w:szCs w:val="20"/>
        </w:rPr>
        <w:t xml:space="preserve"> </w:t>
      </w:r>
      <w:r>
        <w:rPr>
          <w:rFonts w:eastAsia="Times New Roman"/>
          <w:color w:val="000000"/>
          <w:sz w:val="20"/>
          <w:szCs w:val="20"/>
        </w:rPr>
        <w:t>Any rating assigned to our debt could be lowered or withdrawn entirely by a rating agency if, in that rating agency’s judgment, future circumstances relating to the basis of the rating, such as adverse changes, so warrant. Any fut</w:t>
      </w:r>
      <w:r>
        <w:rPr>
          <w:rFonts w:eastAsia="Times New Roman"/>
          <w:color w:val="000000"/>
          <w:sz w:val="20"/>
          <w:szCs w:val="20"/>
        </w:rPr>
        <w:t>ure lowering of our ratings likely would make it more difficult or more expensive for us to obtain additional debt financing or capital from other financing arrangements.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Our pension liabilities could adversely affect our liquidity and financial conditio</w:t>
      </w:r>
      <w:r>
        <w:rPr>
          <w:rFonts w:eastAsia="Times New Roman"/>
          <w:b/>
          <w:bCs/>
          <w:i/>
          <w:iCs/>
          <w:color w:val="000000"/>
          <w:sz w:val="20"/>
          <w:szCs w:val="20"/>
        </w:rPr>
        <w:t>n.</w:t>
      </w:r>
      <w:r>
        <w:rPr>
          <w:rFonts w:eastAsia="Times New Roman"/>
          <w:i/>
          <w:iCs/>
          <w:color w:val="000000"/>
          <w:sz w:val="20"/>
          <w:szCs w:val="20"/>
        </w:rPr>
        <w:t xml:space="preserve"> </w:t>
      </w:r>
      <w:r>
        <w:rPr>
          <w:rFonts w:eastAsia="Times New Roman"/>
          <w:color w:val="000000"/>
          <w:sz w:val="20"/>
          <w:szCs w:val="20"/>
        </w:rPr>
        <w:t>At December 31, 2021, our obligation for benefits under our pension plans was $2,987 million and our pension plan assets totaled $2,485 million, which resulted in an underfunded pension obligation of $502 million. While we rebalanced our United States a</w:t>
      </w:r>
      <w:r>
        <w:rPr>
          <w:rFonts w:eastAsia="Times New Roman"/>
          <w:color w:val="000000"/>
          <w:sz w:val="20"/>
          <w:szCs w:val="20"/>
        </w:rPr>
        <w:t>nd international plan assets in order to reduce volatility, made several discretionary contributions to our pension plans and have, from time to time, completed de-risking actions, including plan settlements, our remaining underfunded pension obligation co</w:t>
      </w:r>
      <w:r>
        <w:rPr>
          <w:rFonts w:eastAsia="Times New Roman"/>
          <w:color w:val="000000"/>
          <w:sz w:val="20"/>
          <w:szCs w:val="20"/>
        </w:rPr>
        <w:t xml:space="preserve">ntinues to require ongoing cash contributions. Our underfunded pension obligation also may be affected by future transfers and settlements relating to our pension plans.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addition, certain of the plan assets remain subject to financial market risk, an</w:t>
      </w:r>
      <w:r>
        <w:rPr>
          <w:rFonts w:eastAsia="Times New Roman"/>
          <w:color w:val="000000"/>
          <w:sz w:val="20"/>
          <w:szCs w:val="20"/>
        </w:rPr>
        <w:t>d our actuarial and other assumptions underlying our expected future benefit payments, long-term expected rate of return and future funding expectations for our plans depend on, among other things, interest rate levels and trends and capital market expecta</w:t>
      </w:r>
      <w:r>
        <w:rPr>
          <w:rFonts w:eastAsia="Times New Roman"/>
          <w:color w:val="000000"/>
          <w:sz w:val="20"/>
          <w:szCs w:val="20"/>
        </w:rPr>
        <w:t>tions. Further volatility in the performance of financial markets, changes in any of these actuarial assumptions (including those described in our “Critical Accounting Policies and Estimates” section of the “Management's Discussion and Analysis of Financia</w:t>
      </w:r>
      <w:r>
        <w:rPr>
          <w:rFonts w:eastAsia="Times New Roman"/>
          <w:color w:val="000000"/>
          <w:sz w:val="20"/>
          <w:szCs w:val="20"/>
        </w:rPr>
        <w:t>l Condition and Results of Operations” included in Item 7 of Part II of this Report) or changes in regulations regarding funding requirements could require material increases to our expected cash contributions to our pension plans in future years.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We may</w:t>
      </w:r>
      <w:r>
        <w:rPr>
          <w:rFonts w:eastAsia="Times New Roman"/>
          <w:b/>
          <w:bCs/>
          <w:i/>
          <w:iCs/>
          <w:color w:val="000000"/>
          <w:sz w:val="20"/>
          <w:szCs w:val="20"/>
        </w:rPr>
        <w:t xml:space="preserve"> be required to write down the value of certain significant assets, which would adversely affect our operating results. </w:t>
      </w:r>
      <w:r>
        <w:rPr>
          <w:rFonts w:eastAsia="Times New Roman"/>
          <w:color w:val="000000"/>
          <w:sz w:val="20"/>
          <w:szCs w:val="20"/>
        </w:rPr>
        <w:t>We have a number of significant assets on our balance sheet as of December 31, 2021 and the value of these assets can be adversely impac</w:t>
      </w:r>
      <w:r>
        <w:rPr>
          <w:rFonts w:eastAsia="Times New Roman"/>
          <w:color w:val="000000"/>
          <w:sz w:val="20"/>
          <w:szCs w:val="20"/>
        </w:rPr>
        <w:t>ted by factors related to our business and operating performance, as well as factors outside of our control. We recognize deferred tax assets and liabilities based on the differences between the financial statement carrying amounts and the tax basis of ass</w:t>
      </w:r>
      <w:r>
        <w:rPr>
          <w:rFonts w:eastAsia="Times New Roman"/>
          <w:color w:val="000000"/>
          <w:sz w:val="20"/>
          <w:szCs w:val="20"/>
        </w:rPr>
        <w:t>ets and liabilities. Our deferred tax assets, net of valuation allowances, totaled approximately $908 million and $1,109 million at December 31, 2021 and 2020, respectively. We regularly review our deferred tax assets for recoverability and establish a val</w:t>
      </w:r>
      <w:r>
        <w:rPr>
          <w:rFonts w:eastAsia="Times New Roman"/>
          <w:color w:val="000000"/>
          <w:sz w:val="20"/>
          <w:szCs w:val="20"/>
        </w:rPr>
        <w:t>uation allowance if it is more likely than not that some portion or all of a deferred tax asset will not be realized. If we are unable to generate sufficient future taxable income, if there is a material change in the actual effective tax rates or if there</w:t>
      </w:r>
      <w:r>
        <w:rPr>
          <w:rFonts w:eastAsia="Times New Roman"/>
          <w:color w:val="000000"/>
          <w:sz w:val="20"/>
          <w:szCs w:val="20"/>
        </w:rPr>
        <w:t xml:space="preserve"> is a change to the time period within which the underlying temporary differences become taxable or deductible, then we could be required to increase our valuation allowance against our deferred tax assets, which could result in a material increase in our </w:t>
      </w:r>
      <w:r>
        <w:rPr>
          <w:rFonts w:eastAsia="Times New Roman"/>
          <w:color w:val="000000"/>
          <w:sz w:val="20"/>
          <w:szCs w:val="20"/>
        </w:rPr>
        <w:t xml:space="preserve">effective tax rate.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has previously recorded valuation allowances related to certain deferred tax assets due to the uncertainty of the ultimate realization of the future benefits from those assets. The recorded valuation allowances cover deferred tax</w:t>
      </w:r>
      <w:r>
        <w:rPr>
          <w:rFonts w:eastAsia="Times New Roman"/>
          <w:color w:val="000000"/>
          <w:sz w:val="20"/>
          <w:szCs w:val="20"/>
        </w:rPr>
        <w:t xml:space="preserve"> assets, primarily tax loss carryforwards and foreign tax credits, in tax jurisdictions where there is uncertainty as to the ultimate realization of those tax losses and credits. If we are unable to generate sufficient future taxable income of the proper s</w:t>
      </w:r>
      <w:r>
        <w:rPr>
          <w:rFonts w:eastAsia="Times New Roman"/>
          <w:color w:val="000000"/>
          <w:sz w:val="20"/>
          <w:szCs w:val="20"/>
        </w:rPr>
        <w:t>ource in the time period within which the temporary differences underlying our deferred tax assets become deductible, or before the expiration of our loss and credit carryforwards, additional valuation allowances could be required in the future.</w:t>
      </w: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LAW AND COMPLIANCE</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Our continuing ability to be a leading software- and services-led enterprise provider could be negatively affected if we do not protect our intellectual property, especially our software. </w:t>
      </w:r>
      <w:r>
        <w:rPr>
          <w:rFonts w:eastAsia="Times New Roman"/>
          <w:color w:val="000000"/>
          <w:sz w:val="20"/>
          <w:szCs w:val="20"/>
        </w:rPr>
        <w:t>It is critical to our strategy, and the benefit</w:t>
      </w:r>
      <w:r>
        <w:rPr>
          <w:rFonts w:eastAsia="Times New Roman"/>
          <w:color w:val="000000"/>
          <w:sz w:val="20"/>
          <w:szCs w:val="20"/>
        </w:rPr>
        <w:t>s provided by our innovations and technologies, that we are able to protect, leverage and rely on our intellectual property, including our intellectual property rights. We protect our innovations and technologies through intellectual property rights, inclu</w:t>
      </w:r>
      <w:r>
        <w:rPr>
          <w:rFonts w:eastAsia="Times New Roman"/>
          <w:color w:val="000000"/>
          <w:sz w:val="20"/>
          <w:szCs w:val="20"/>
        </w:rPr>
        <w:t xml:space="preserve">ding patents, copyrights, trademarks </w:t>
      </w:r>
    </w:p>
    <w:p w:rsidR="00000000" w:rsidRDefault="006F0EF5">
      <w:pPr>
        <w:jc w:val="center"/>
        <w:divId w:val="488789173"/>
        <w:rPr>
          <w:rFonts w:eastAsia="Times New Roman"/>
        </w:rPr>
      </w:pPr>
      <w:r>
        <w:rPr>
          <w:rFonts w:eastAsia="Times New Roman"/>
          <w:color w:val="000000"/>
          <w:sz w:val="20"/>
          <w:szCs w:val="20"/>
        </w:rPr>
        <w:t>24</w:t>
      </w:r>
    </w:p>
    <w:p w:rsidR="00000000" w:rsidRDefault="006F0EF5">
      <w:pPr>
        <w:rPr>
          <w:rFonts w:eastAsia="Times New Roman"/>
        </w:rPr>
      </w:pPr>
      <w:r>
        <w:rPr>
          <w:rFonts w:eastAsia="Times New Roman"/>
        </w:rPr>
        <w:pict>
          <v:rect id="_x0000_i1052" style="width:0;height:1.5pt" o:hralign="center" o:hrstd="t" o:hr="t" fillcolor="#a0a0a0" stroked="f"/>
        </w:pict>
      </w:r>
    </w:p>
    <w:p w:rsidR="00000000" w:rsidRDefault="006F0EF5">
      <w:pPr>
        <w:divId w:val="103666166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2198027"/>
        <w:rPr>
          <w:rFonts w:eastAsia="Times New Roman"/>
        </w:rPr>
      </w:pPr>
    </w:p>
    <w:p w:rsidR="00000000" w:rsidRDefault="006F0EF5">
      <w:pPr>
        <w:jc w:val="both"/>
        <w:rPr>
          <w:rFonts w:eastAsia="Times New Roman"/>
        </w:rPr>
      </w:pPr>
      <w:r>
        <w:rPr>
          <w:rFonts w:eastAsia="Times New Roman"/>
          <w:color w:val="000000"/>
          <w:sz w:val="20"/>
          <w:szCs w:val="20"/>
        </w:rPr>
        <w:t xml:space="preserve">(including service marks) and trade secrets. To the extent we are not successful in protecting our intellectual property, especially that relate to our software and services, our business could be adversely impacted.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Many of our offerings rely on techno</w:t>
      </w:r>
      <w:r>
        <w:rPr>
          <w:rFonts w:eastAsia="Times New Roman"/>
          <w:color w:val="000000"/>
          <w:sz w:val="20"/>
          <w:szCs w:val="20"/>
        </w:rPr>
        <w:t xml:space="preserve">logies developed by others, and if we are unable to continue to obtain licenses for such technologies or licenses to substitutes for similar technologies, our business could be adversely impacted.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From time to time, we receive notices and other communic</w:t>
      </w:r>
      <w:r>
        <w:rPr>
          <w:rFonts w:eastAsia="Times New Roman"/>
          <w:color w:val="000000"/>
          <w:sz w:val="20"/>
          <w:szCs w:val="20"/>
        </w:rPr>
        <w:t>ations from third parties, including our customers, regarding patents and other intellectual property rights that may pertain to claims from third parties regarding infringement of patents and other intellectual property rights. Whether those claims have m</w:t>
      </w:r>
      <w:r>
        <w:rPr>
          <w:rFonts w:eastAsia="Times New Roman"/>
          <w:color w:val="000000"/>
          <w:sz w:val="20"/>
          <w:szCs w:val="20"/>
        </w:rPr>
        <w:t>erit, they may require significant resources to analyze, address and defend, as appropriate. If an infringement claim is successful and we are required to pay damages, or we are unable to license the infringed item or substitute a similar non-infringing it</w:t>
      </w:r>
      <w:r>
        <w:rPr>
          <w:rFonts w:eastAsia="Times New Roman"/>
          <w:color w:val="000000"/>
          <w:sz w:val="20"/>
          <w:szCs w:val="20"/>
        </w:rPr>
        <w:t xml:space="preserve">em on a reasonable basis, our business could be adversely impacted. </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Changes to our tax rates and additional income tax liabilities could impact profitability. </w:t>
      </w:r>
      <w:r>
        <w:rPr>
          <w:rFonts w:eastAsia="Times New Roman"/>
          <w:color w:val="000000"/>
          <w:sz w:val="20"/>
          <w:szCs w:val="20"/>
        </w:rPr>
        <w:t>We are a United States based multinational company subject to income taxes in the United State</w:t>
      </w:r>
      <w:r>
        <w:rPr>
          <w:rFonts w:eastAsia="Times New Roman"/>
          <w:color w:val="000000"/>
          <w:sz w:val="20"/>
          <w:szCs w:val="20"/>
        </w:rPr>
        <w:t>s and a significant number of foreign jurisdictions. Our domestic and international tax liabilities are dependent on the distribution of our earnings across different jurisdictions, and our provision for income taxes and cash tax liability could be adverse</w:t>
      </w:r>
      <w:r>
        <w:rPr>
          <w:rFonts w:eastAsia="Times New Roman"/>
          <w:color w:val="000000"/>
          <w:sz w:val="20"/>
          <w:szCs w:val="20"/>
        </w:rPr>
        <w:t>ly affected if the distribution of earnings is higher than expected in jurisdictions with higher statutory tax rates.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addition, changes in United States or foreign tax laws and regulations, which have become more frequent     in recent years, or tax r</w:t>
      </w:r>
      <w:r>
        <w:rPr>
          <w:rFonts w:eastAsia="Times New Roman"/>
          <w:color w:val="000000"/>
          <w:sz w:val="20"/>
          <w:szCs w:val="20"/>
        </w:rPr>
        <w:t>ulings could affect our financial position and results of operations. For example, in light of continuing global fiscal challenges, various levels of government and international organizations such as the Organization for Economic Co-operation and Developm</w:t>
      </w:r>
      <w:r>
        <w:rPr>
          <w:rFonts w:eastAsia="Times New Roman"/>
          <w:color w:val="000000"/>
          <w:sz w:val="20"/>
          <w:szCs w:val="20"/>
        </w:rPr>
        <w:t>ent (“OECD”) and EU are increasingly focused on tax reform and other legislative or regulatory action to increase tax revenue and establish minimum levels of corporate income tax. These tax reform efforts, such as the OECD-led Base Erosion and Profit Shift</w:t>
      </w:r>
      <w:r>
        <w:rPr>
          <w:rFonts w:eastAsia="Times New Roman"/>
          <w:color w:val="000000"/>
          <w:sz w:val="20"/>
          <w:szCs w:val="20"/>
        </w:rPr>
        <w:t>ing project (“BEPS”), are designed to ensure that corporate entities are taxed on a larger percentage of their earnings. Although some countries have passed tax laws based on findings from the BEPS project, the final nature, timing and extent of any such t</w:t>
      </w:r>
      <w:r>
        <w:rPr>
          <w:rFonts w:eastAsia="Times New Roman"/>
          <w:color w:val="000000"/>
          <w:sz w:val="20"/>
          <w:szCs w:val="20"/>
        </w:rPr>
        <w:t>ax reforms or other legislative or regulatory actions is unpredictable, and it is difficult to assess their overall effect. Additionally, tax law changes that could significantly reduce or limit our ability to utilize our deferred tax assets could have a m</w:t>
      </w:r>
      <w:r>
        <w:rPr>
          <w:rFonts w:eastAsia="Times New Roman"/>
          <w:color w:val="000000"/>
          <w:sz w:val="20"/>
          <w:szCs w:val="20"/>
        </w:rPr>
        <w:t>aterial impact on our tax rate and cash tax payments. Any of these potential changes could increase our effective tax rate, increase cash tax payments and adversely impact our financial results.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are also subject to ongoing audits of our income tax ret</w:t>
      </w:r>
      <w:r>
        <w:rPr>
          <w:rFonts w:eastAsia="Times New Roman"/>
          <w:color w:val="000000"/>
          <w:sz w:val="20"/>
          <w:szCs w:val="20"/>
        </w:rPr>
        <w:t>urns in various jurisdictions both in the United States and internationally and could be subject to additional audits focusing on transfer pricing. While we believe that our tax positions will be sustained, the outcomes of such audits could result in the a</w:t>
      </w:r>
      <w:r>
        <w:rPr>
          <w:rFonts w:eastAsia="Times New Roman"/>
          <w:color w:val="000000"/>
          <w:sz w:val="20"/>
          <w:szCs w:val="20"/>
        </w:rPr>
        <w:t>ssessment of additional taxes, which could adversely impact our cash flows and financial results.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We face uncertainties with regard to regulations, lawsuits and other related matters. </w:t>
      </w:r>
      <w:r>
        <w:rPr>
          <w:rFonts w:eastAsia="Times New Roman"/>
          <w:color w:val="000000"/>
          <w:sz w:val="20"/>
          <w:szCs w:val="20"/>
        </w:rPr>
        <w:t>In the normal course of business, we are subject to proceedings, lawsu</w:t>
      </w:r>
      <w:r>
        <w:rPr>
          <w:rFonts w:eastAsia="Times New Roman"/>
          <w:color w:val="000000"/>
          <w:sz w:val="20"/>
          <w:szCs w:val="20"/>
        </w:rPr>
        <w:t xml:space="preserve">its, claims and other matters, including, for example, those that relate to the environment, health and safety, labor and employment, employee benefits, import/export compliance, intellectual property, data privacy and security, payments services (such as </w:t>
      </w:r>
      <w:r>
        <w:rPr>
          <w:rFonts w:eastAsia="Times New Roman"/>
          <w:color w:val="000000"/>
          <w:sz w:val="20"/>
          <w:szCs w:val="20"/>
        </w:rPr>
        <w:t>payment processing and settlement services), cryptocurrency, product liability, commercial disputes and regulatory compliance, among others. Because such matters are subject to many uncertainties, their outcomes are not predictable and we must make certain</w:t>
      </w:r>
      <w:r>
        <w:rPr>
          <w:rFonts w:eastAsia="Times New Roman"/>
          <w:color w:val="000000"/>
          <w:sz w:val="20"/>
          <w:szCs w:val="20"/>
        </w:rPr>
        <w:t xml:space="preserve"> estimates and assumptions in our financial statements. While we believe that amounts provided in our Consolidated Financial Statements with respect to such matters are currently adequate in light of the probable and estimable liabilities, there can be no </w:t>
      </w:r>
      <w:r>
        <w:rPr>
          <w:rFonts w:eastAsia="Times New Roman"/>
          <w:color w:val="000000"/>
          <w:sz w:val="20"/>
          <w:szCs w:val="20"/>
        </w:rPr>
        <w:t>assurances that the amounts required to satisfy alleged liabilities from such matters will not impact future operating results. Additionally, we are subject to diverse and complex laws and regulations, including those relating to corporate governance, publ</w:t>
      </w:r>
      <w:r>
        <w:rPr>
          <w:rFonts w:eastAsia="Times New Roman"/>
          <w:color w:val="000000"/>
          <w:sz w:val="20"/>
          <w:szCs w:val="20"/>
        </w:rPr>
        <w:t>ic disclosure and reporting, environmental safety and the discharge of materials into the environment, product safety, import and export compliance, data privacy and security, antitrust and competition, government contracting, anti-corruption, and labor an</w:t>
      </w:r>
      <w:r>
        <w:rPr>
          <w:rFonts w:eastAsia="Times New Roman"/>
          <w:color w:val="000000"/>
          <w:sz w:val="20"/>
          <w:szCs w:val="20"/>
        </w:rPr>
        <w:t>d human resources, which are rapidly changing and subject to many possible changes in the future. Compliance with these laws and regulations, including changes in accounting standards, taxation requirements, and federal securities laws among others, may cr</w:t>
      </w:r>
      <w:r>
        <w:rPr>
          <w:rFonts w:eastAsia="Times New Roman"/>
          <w:color w:val="000000"/>
          <w:sz w:val="20"/>
          <w:szCs w:val="20"/>
        </w:rPr>
        <w:t xml:space="preserve">eate a substantial burden on us, and substantially increase costs to our organization or could have an impact on our future operating results.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expect new environmental, health, and safety laws and regulations that may affect us, our suppliers, and ou</w:t>
      </w:r>
      <w:r>
        <w:rPr>
          <w:rFonts w:eastAsia="Times New Roman"/>
          <w:color w:val="000000"/>
          <w:sz w:val="20"/>
          <w:szCs w:val="20"/>
        </w:rPr>
        <w:t>r customers. Climate change regulation in particular has been the subject of federal regulation in the United States as well as in other jurisdictions around the world. With the change of Presidential administration and President Biden’s goals of “80 perce</w:t>
      </w:r>
      <w:r>
        <w:rPr>
          <w:rFonts w:eastAsia="Times New Roman"/>
          <w:color w:val="000000"/>
          <w:sz w:val="20"/>
          <w:szCs w:val="20"/>
        </w:rPr>
        <w:t>nt clean electricity and 50 percent economy-wide carbon emissions reductions by 2030”, a number of proposals related to climate change have been introduced by U.S. Congress members. These proposals all seek to address climate change and range on topic, fro</w:t>
      </w:r>
      <w:r>
        <w:rPr>
          <w:rFonts w:eastAsia="Times New Roman"/>
          <w:color w:val="000000"/>
          <w:sz w:val="20"/>
          <w:szCs w:val="20"/>
        </w:rPr>
        <w:t>m proposed legislation on land-use, energy, transportation, adaptation and finance. Such laws or regulations could cause us to incur additional direct costs for compliance, as well as increased indirect costs resulting from our customers, suppliers, or bot</w:t>
      </w:r>
      <w:r>
        <w:rPr>
          <w:rFonts w:eastAsia="Times New Roman"/>
          <w:color w:val="000000"/>
          <w:sz w:val="20"/>
          <w:szCs w:val="20"/>
        </w:rPr>
        <w:t xml:space="preserve">h incurring additional compliance </w:t>
      </w:r>
    </w:p>
    <w:p w:rsidR="00000000" w:rsidRDefault="006F0EF5">
      <w:pPr>
        <w:jc w:val="center"/>
        <w:divId w:val="1016661649"/>
        <w:rPr>
          <w:rFonts w:eastAsia="Times New Roman"/>
        </w:rPr>
      </w:pPr>
      <w:r>
        <w:rPr>
          <w:rFonts w:eastAsia="Times New Roman"/>
          <w:color w:val="000000"/>
          <w:sz w:val="20"/>
          <w:szCs w:val="20"/>
        </w:rPr>
        <w:t>25</w:t>
      </w:r>
    </w:p>
    <w:p w:rsidR="00000000" w:rsidRDefault="006F0EF5">
      <w:pPr>
        <w:rPr>
          <w:rFonts w:eastAsia="Times New Roman"/>
        </w:rPr>
      </w:pPr>
      <w:r>
        <w:rPr>
          <w:rFonts w:eastAsia="Times New Roman"/>
        </w:rPr>
        <w:pict>
          <v:rect id="_x0000_i1053" style="width:0;height:1.5pt" o:hralign="center" o:hrstd="t" o:hr="t" fillcolor="#a0a0a0" stroked="f"/>
        </w:pict>
      </w:r>
    </w:p>
    <w:p w:rsidR="00000000" w:rsidRDefault="006F0EF5">
      <w:pPr>
        <w:divId w:val="10153969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967854672"/>
        <w:rPr>
          <w:rFonts w:eastAsia="Times New Roman"/>
        </w:rPr>
      </w:pPr>
    </w:p>
    <w:p w:rsidR="00000000" w:rsidRDefault="006F0EF5">
      <w:pPr>
        <w:jc w:val="both"/>
        <w:rPr>
          <w:rFonts w:eastAsia="Times New Roman"/>
        </w:rPr>
      </w:pPr>
      <w:r>
        <w:rPr>
          <w:rFonts w:eastAsia="Times New Roman"/>
          <w:color w:val="000000"/>
          <w:sz w:val="20"/>
          <w:szCs w:val="20"/>
        </w:rPr>
        <w:t>costs that are passed on to us. In addition, the SEC is expected to mandate climate-related risk disclo</w:t>
      </w:r>
      <w:r>
        <w:rPr>
          <w:rFonts w:eastAsia="Times New Roman"/>
          <w:color w:val="000000"/>
          <w:sz w:val="20"/>
          <w:szCs w:val="20"/>
        </w:rPr>
        <w:t>sure in the near future, which may impact or prompt us to accelerate our climate change mitigating efforts already underway and may impose additional compliance and disclosure costs.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Additionally, doing business on a worldwide basis requires us and our subsidiaries to comply with the laws and regulations of the U.S. government and various international jurisdictions. For example, our international operations are subject to United State</w:t>
      </w:r>
      <w:r>
        <w:rPr>
          <w:rFonts w:eastAsia="Times New Roman"/>
          <w:color w:val="000000"/>
          <w:sz w:val="20"/>
          <w:szCs w:val="20"/>
        </w:rPr>
        <w:t>s and foreign anti-corruption laws and regulations, such as the Foreign Corrupt Practices Act (“FCPA”), which generally prohibits U.S. companies or agents acting on behalf of such companies from making improper payments to foreign officials for the purpose</w:t>
      </w:r>
      <w:r>
        <w:rPr>
          <w:rFonts w:eastAsia="Times New Roman"/>
          <w:color w:val="000000"/>
          <w:sz w:val="20"/>
          <w:szCs w:val="20"/>
        </w:rPr>
        <w:t xml:space="preserve"> of obtaining or keeping business. Our international operations are also subject to economic sanction programs administered by the U.S. Treasury Department’s Office of Foreign Assets Control (“OFAC”). If we are not in compliance with such laws and regulati</w:t>
      </w:r>
      <w:r>
        <w:rPr>
          <w:rFonts w:eastAsia="Times New Roman"/>
          <w:color w:val="000000"/>
          <w:sz w:val="20"/>
          <w:szCs w:val="20"/>
        </w:rPr>
        <w:t>ons, we may be subject to criminal and civil penalties, which may cause harm to our reputation and to our brand and could have an adverse effect on our business, financial condition and results of operations.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Changes to cryptocurrency regulations could i</w:t>
      </w:r>
      <w:r>
        <w:rPr>
          <w:rFonts w:eastAsia="Times New Roman"/>
          <w:b/>
          <w:bCs/>
          <w:i/>
          <w:iCs/>
          <w:color w:val="000000"/>
          <w:sz w:val="20"/>
          <w:szCs w:val="20"/>
        </w:rPr>
        <w:t xml:space="preserve">mpact profitability. </w:t>
      </w:r>
      <w:r>
        <w:rPr>
          <w:rFonts w:eastAsia="Times New Roman"/>
          <w:color w:val="000000"/>
          <w:sz w:val="20"/>
          <w:szCs w:val="20"/>
        </w:rPr>
        <w:t>The regulation of cryptocurrency is still an evolving area both domestically and internationally, and we expect that we could become subject to additional regulations and licensing requirements, including as a result of the expansion o</w:t>
      </w:r>
      <w:r>
        <w:rPr>
          <w:rFonts w:eastAsia="Times New Roman"/>
          <w:color w:val="000000"/>
          <w:sz w:val="20"/>
          <w:szCs w:val="20"/>
        </w:rPr>
        <w:t>f our cryptocurrency offerings and the increasing number of jurisdictions in which we provide these offerings. The evolving regulatory landscape may require us to make product changes, restrict product offerings in certain jurisdictions, or implement addit</w:t>
      </w:r>
      <w:r>
        <w:rPr>
          <w:rFonts w:eastAsia="Times New Roman"/>
          <w:color w:val="000000"/>
          <w:sz w:val="20"/>
          <w:szCs w:val="20"/>
        </w:rPr>
        <w:t>ional and potentially costly controls. If we fail to comply with regulations, requirements, or prohibitions applicable to us, we could face regulatory or other enforcement actions and potential fines and other consequences.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GOVERNANCE</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The issuance of s</w:t>
      </w:r>
      <w:r>
        <w:rPr>
          <w:rFonts w:eastAsia="Times New Roman"/>
          <w:b/>
          <w:bCs/>
          <w:i/>
          <w:iCs/>
          <w:color w:val="000000"/>
          <w:sz w:val="20"/>
          <w:szCs w:val="20"/>
        </w:rPr>
        <w:t>hares of our Series A Convertible Preferred Stock reduces the relative voting power of holders of our common stock, and the conversion and sale of those shares would dilute the ownership of such holders and may adversely affect the market price of our comm</w:t>
      </w:r>
      <w:r>
        <w:rPr>
          <w:rFonts w:eastAsia="Times New Roman"/>
          <w:b/>
          <w:bCs/>
          <w:i/>
          <w:iCs/>
          <w:color w:val="000000"/>
          <w:sz w:val="20"/>
          <w:szCs w:val="20"/>
        </w:rPr>
        <w:t>on stock</w:t>
      </w:r>
      <w:r>
        <w:rPr>
          <w:rFonts w:eastAsia="Times New Roman"/>
          <w:i/>
          <w:iCs/>
          <w:color w:val="000000"/>
          <w:sz w:val="20"/>
          <w:szCs w:val="20"/>
        </w:rPr>
        <w:t>.</w:t>
      </w:r>
      <w:r>
        <w:rPr>
          <w:rFonts w:eastAsia="Times New Roman"/>
          <w:color w:val="000000"/>
          <w:sz w:val="20"/>
          <w:szCs w:val="20"/>
        </w:rPr>
        <w:t xml:space="preserve"> As of December 31, 2021, approximately 0.3 million shares of our Series A Convertible Preferred Stock were outstanding, representing approximately 7% of our outstanding common stock, including the Series A Convertible Preferred Stock on an as-con</w:t>
      </w:r>
      <w:r>
        <w:rPr>
          <w:rFonts w:eastAsia="Times New Roman"/>
          <w:color w:val="000000"/>
          <w:sz w:val="20"/>
          <w:szCs w:val="20"/>
        </w:rPr>
        <w:t>verted basis. Holders of Series A Convertible Preferred Stock are entitled to a cumulative dividend at the rate of 5.5% per annum, which was payable quarterly in arrears and payable in-kind for the first sixteen dividend payments, after which, beginning in</w:t>
      </w:r>
      <w:r>
        <w:rPr>
          <w:rFonts w:eastAsia="Times New Roman"/>
          <w:color w:val="000000"/>
          <w:sz w:val="20"/>
          <w:szCs w:val="20"/>
        </w:rPr>
        <w:t xml:space="preserve"> the first quarter of 2020, are payable in cash or in-kind at the option of the Company. If we fail to timely declare and pay a dividend, the dividend rate will increase to 8.0% per annum until such time as all accrued but unpaid dividends have been paid i</w:t>
      </w:r>
      <w:r>
        <w:rPr>
          <w:rFonts w:eastAsia="Times New Roman"/>
          <w:color w:val="000000"/>
          <w:sz w:val="20"/>
          <w:szCs w:val="20"/>
        </w:rPr>
        <w:t xml:space="preserve">n full.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holders of our Series A Convertible Preferred Stock are entitled to vote, on an as-converted basis, together with holders of our common stock on all matters submitted to a vote of the holders of our common stock, the Series A Convertible Pref</w:t>
      </w:r>
      <w:r>
        <w:rPr>
          <w:rFonts w:eastAsia="Times New Roman"/>
          <w:color w:val="000000"/>
          <w:sz w:val="20"/>
          <w:szCs w:val="20"/>
        </w:rPr>
        <w:t>erred Stock, and the subsequent issuance of additional shares of Series A Convertible Preferred Stock through the payment of in-kind dividends, effectively reduces the relative voting power of the holders of our common stock.</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In addition, the conversion </w:t>
      </w:r>
      <w:r>
        <w:rPr>
          <w:rFonts w:eastAsia="Times New Roman"/>
          <w:color w:val="000000"/>
          <w:sz w:val="20"/>
          <w:szCs w:val="20"/>
        </w:rPr>
        <w:t>of the Series A Convertible Preferred Stock to common stock would dilute the ownership interest of existing holders of our common stock, and any sales in the public market of the common stock issuable upon conversion of the Series A Convertible Preferred S</w:t>
      </w:r>
      <w:r>
        <w:rPr>
          <w:rFonts w:eastAsia="Times New Roman"/>
          <w:color w:val="000000"/>
          <w:sz w:val="20"/>
          <w:szCs w:val="20"/>
        </w:rPr>
        <w:t xml:space="preserve">tock would increase the number of shares of our common stock available for public trading, and could adversely affect prevailing market prices of our common stock. </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Our Series A Convertible Preferred Stock has rights, preferences and privileges that are </w:t>
      </w:r>
      <w:r>
        <w:rPr>
          <w:rFonts w:eastAsia="Times New Roman"/>
          <w:b/>
          <w:bCs/>
          <w:i/>
          <w:iCs/>
          <w:color w:val="000000"/>
          <w:sz w:val="20"/>
          <w:szCs w:val="20"/>
        </w:rPr>
        <w:t>not held by, and are preferential to, the rights of our common stockholders, which could adversely affect our liquidity and financial condition, and may result in the interests of the holders of our Series A Convertible Preferred Stock differing from those</w:t>
      </w:r>
      <w:r>
        <w:rPr>
          <w:rFonts w:eastAsia="Times New Roman"/>
          <w:b/>
          <w:bCs/>
          <w:i/>
          <w:iCs/>
          <w:color w:val="000000"/>
          <w:sz w:val="20"/>
          <w:szCs w:val="20"/>
        </w:rPr>
        <w:t xml:space="preserve"> of our common stockholders.</w:t>
      </w:r>
      <w:r>
        <w:rPr>
          <w:rFonts w:eastAsia="Times New Roman"/>
          <w:color w:val="000000"/>
          <w:sz w:val="20"/>
          <w:szCs w:val="20"/>
        </w:rPr>
        <w:t xml:space="preserve"> The holders of our Series A Convertible Preferred Stock have the right to receive a liquidation preference entitling them to be paid out of our assets available for distribution to stockholders before any payment may be made to</w:t>
      </w:r>
      <w:r>
        <w:rPr>
          <w:rFonts w:eastAsia="Times New Roman"/>
          <w:color w:val="000000"/>
          <w:sz w:val="20"/>
          <w:szCs w:val="20"/>
        </w:rPr>
        <w:t xml:space="preserve"> holders of any other class or series of capital stock, an amount equal to the greater of (a) 100% of the liquidation preference thereof plus all accrued dividends or (b) the amount that such holder would have been entitled to receive upon our liquidation,</w:t>
      </w:r>
      <w:r>
        <w:rPr>
          <w:rFonts w:eastAsia="Times New Roman"/>
          <w:color w:val="000000"/>
          <w:sz w:val="20"/>
          <w:szCs w:val="20"/>
        </w:rPr>
        <w:t xml:space="preserve"> dissolution and winding up if all outstanding shares of Series A Convertible Preferred Stock had been converted into common stock immediately prior to such liquidation, dissolution or winding up.</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addition, dividends on the Series A Convertible Prefer</w:t>
      </w:r>
      <w:r>
        <w:rPr>
          <w:rFonts w:eastAsia="Times New Roman"/>
          <w:color w:val="000000"/>
          <w:sz w:val="20"/>
          <w:szCs w:val="20"/>
        </w:rPr>
        <w:t>red Stock accrue and are cumulative at the rate of 5.5% per annum, payable quarterly in arrears. If we fail to timely declare and pay a dividend, the dividend rate will increase to 8.0% per annum until such time as all accrued but unpaid dividends have bee</w:t>
      </w:r>
      <w:r>
        <w:rPr>
          <w:rFonts w:eastAsia="Times New Roman"/>
          <w:color w:val="000000"/>
          <w:sz w:val="20"/>
          <w:szCs w:val="20"/>
        </w:rPr>
        <w:t>n paid in full. The dividends were payable in-kind for the first sixteen dividend payments, after which, beginning in the first quarter of 2020, dividends are payable in cash or in-kind at the option of the Company.</w:t>
      </w:r>
    </w:p>
    <w:p w:rsidR="00000000" w:rsidRDefault="006F0EF5">
      <w:pPr>
        <w:jc w:val="both"/>
        <w:rPr>
          <w:rFonts w:eastAsia="Times New Roman"/>
        </w:rPr>
      </w:pPr>
    </w:p>
    <w:p w:rsidR="00000000" w:rsidRDefault="006F0EF5">
      <w:pPr>
        <w:jc w:val="center"/>
        <w:divId w:val="809051849"/>
        <w:rPr>
          <w:rFonts w:eastAsia="Times New Roman"/>
        </w:rPr>
      </w:pPr>
      <w:r>
        <w:rPr>
          <w:rFonts w:eastAsia="Times New Roman"/>
          <w:color w:val="000000"/>
          <w:sz w:val="20"/>
          <w:szCs w:val="20"/>
        </w:rPr>
        <w:t>26</w:t>
      </w:r>
    </w:p>
    <w:p w:rsidR="00000000" w:rsidRDefault="006F0EF5">
      <w:pPr>
        <w:rPr>
          <w:rFonts w:eastAsia="Times New Roman"/>
        </w:rPr>
      </w:pPr>
      <w:r>
        <w:rPr>
          <w:rFonts w:eastAsia="Times New Roman"/>
        </w:rPr>
        <w:pict>
          <v:rect id="_x0000_i1054" style="width:0;height:1.5pt" o:hralign="center" o:hrstd="t" o:hr="t" fillcolor="#a0a0a0" stroked="f"/>
        </w:pict>
      </w:r>
    </w:p>
    <w:p w:rsidR="00000000" w:rsidRDefault="006F0EF5">
      <w:pPr>
        <w:divId w:val="73617465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705636698"/>
        <w:rPr>
          <w:rFonts w:eastAsia="Times New Roman"/>
        </w:rPr>
      </w:pPr>
    </w:p>
    <w:p w:rsidR="00000000" w:rsidRDefault="006F0EF5">
      <w:pPr>
        <w:jc w:val="both"/>
        <w:rPr>
          <w:rFonts w:eastAsia="Times New Roman"/>
        </w:rPr>
      </w:pPr>
      <w:r>
        <w:rPr>
          <w:rFonts w:eastAsia="Times New Roman"/>
          <w:color w:val="000000"/>
          <w:sz w:val="20"/>
          <w:szCs w:val="20"/>
        </w:rPr>
        <w:t xml:space="preserve">The holders of our Series A Convertible Preferred Stock also have certain redemption rights or put rights, including the right to require us </w:t>
      </w:r>
      <w:r>
        <w:rPr>
          <w:rFonts w:eastAsia="Times New Roman"/>
          <w:color w:val="000000"/>
          <w:sz w:val="20"/>
          <w:szCs w:val="20"/>
        </w:rPr>
        <w:t xml:space="preserve">to repurchase all or any portion of the Series A Convertible Preferred Stock on any date during the three months commencing on and immediately following March 16, 2024 and the three months commencing on and immediately following every third anniversary of </w:t>
      </w:r>
      <w:r>
        <w:rPr>
          <w:rFonts w:eastAsia="Times New Roman"/>
          <w:color w:val="000000"/>
          <w:sz w:val="20"/>
          <w:szCs w:val="20"/>
        </w:rPr>
        <w:t xml:space="preserve">such date, at 100% of the liquidation preference thereof plus all accrued but unpaid dividends, and the right, subject to certain exceptions, to require us to repurchase all or any portion of the Series A Convertible Preferred Stock upon certain change of </w:t>
      </w:r>
      <w:r>
        <w:rPr>
          <w:rFonts w:eastAsia="Times New Roman"/>
          <w:color w:val="000000"/>
          <w:sz w:val="20"/>
          <w:szCs w:val="20"/>
        </w:rPr>
        <w:t xml:space="preserve">control events at the greater of (a) 100% of the liquidation preference thereof plus all accrued but unpaid dividends and (b) the consideration the holders would have received if they had converted their shares of Series A Convertible Preferred Stock into </w:t>
      </w:r>
      <w:r>
        <w:rPr>
          <w:rFonts w:eastAsia="Times New Roman"/>
          <w:color w:val="000000"/>
          <w:sz w:val="20"/>
          <w:szCs w:val="20"/>
        </w:rPr>
        <w:t>common stock immediately prior to the change of control event.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These dividend and share repurchase obligations could impact our liquidity and reduce the amount of cash flows available for working capital, capital expenditures, growth opportunities, acqui</w:t>
      </w:r>
      <w:r>
        <w:rPr>
          <w:rFonts w:eastAsia="Times New Roman"/>
          <w:color w:val="000000"/>
          <w:sz w:val="20"/>
          <w:szCs w:val="20"/>
        </w:rPr>
        <w:t>sitions, and other general corporate purposes. Our obligations to the holders of Series A Convertible Preferred Stock could also limit our ability to obtain additional financing or increase our borrowing costs, which could have an adverse effect on our fin</w:t>
      </w:r>
      <w:r>
        <w:rPr>
          <w:rFonts w:eastAsia="Times New Roman"/>
          <w:color w:val="000000"/>
          <w:sz w:val="20"/>
          <w:szCs w:val="20"/>
        </w:rPr>
        <w:t>ancial condition. The preferential rights could also result in divergent interests between the holders of our Series A Convertible Preferred Stock and holders of our common stock.</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 xml:space="preserve">We could be subject to actions or proposals from stockholders that do not </w:t>
      </w:r>
      <w:r>
        <w:rPr>
          <w:rFonts w:eastAsia="Times New Roman"/>
          <w:b/>
          <w:bCs/>
          <w:i/>
          <w:iCs/>
          <w:color w:val="000000"/>
          <w:sz w:val="20"/>
          <w:szCs w:val="20"/>
        </w:rPr>
        <w:t>align with our business strategies or the interests of our other stockholders.</w:t>
      </w:r>
      <w:r>
        <w:rPr>
          <w:rFonts w:eastAsia="Times New Roman"/>
          <w:color w:val="000000"/>
          <w:sz w:val="20"/>
          <w:szCs w:val="20"/>
        </w:rPr>
        <w:t xml:space="preserve"> While we seek to actively engage with stockholders and consider their views on business, strategy, and environmental, social and governance issues, responding to these stockhold</w:t>
      </w:r>
      <w:r>
        <w:rPr>
          <w:rFonts w:eastAsia="Times New Roman"/>
          <w:color w:val="000000"/>
          <w:sz w:val="20"/>
          <w:szCs w:val="20"/>
        </w:rPr>
        <w:t>ers could be costly and time-consuming, disrupt our business and operations, and divert the attention of our Board of Directors and senior management. Uncertainties associated with such activities could interfere with our ability to effectively execute our</w:t>
      </w:r>
      <w:r>
        <w:rPr>
          <w:rFonts w:eastAsia="Times New Roman"/>
          <w:color w:val="000000"/>
          <w:sz w:val="20"/>
          <w:szCs w:val="20"/>
        </w:rPr>
        <w:t xml:space="preserve"> strategic plan, impact customer retention and long-term growth, and limit our ability to hire and retain personnel. In addition, actions of these stockholders may cause periods of fluctuation in our stock price based on temporary or speculative market per</w:t>
      </w:r>
      <w:r>
        <w:rPr>
          <w:rFonts w:eastAsia="Times New Roman"/>
          <w:color w:val="000000"/>
          <w:sz w:val="20"/>
          <w:szCs w:val="20"/>
        </w:rPr>
        <w:t>ceptions or other factors that do not necessarily reflect the underlying fundamentals and prospects of our business.</w:t>
      </w:r>
    </w:p>
    <w:p w:rsidR="00000000" w:rsidRDefault="006F0EF5">
      <w:pPr>
        <w:divId w:val="2054034966"/>
        <w:rPr>
          <w:rFonts w:eastAsia="Times New Roman"/>
        </w:rPr>
      </w:pPr>
    </w:p>
    <w:p w:rsidR="00000000" w:rsidRDefault="006F0EF5">
      <w:pPr>
        <w:jc w:val="both"/>
        <w:rPr>
          <w:rFonts w:eastAsia="Times New Roman"/>
        </w:rPr>
      </w:pPr>
      <w:r>
        <w:rPr>
          <w:rFonts w:eastAsia="Times New Roman"/>
          <w:b/>
          <w:bCs/>
          <w:color w:val="000000"/>
          <w:sz w:val="20"/>
          <w:szCs w:val="20"/>
        </w:rPr>
        <w:t>Item 1B.    UNRESOLVED STAFF COMMENTS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None.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Item 2.         PROPERTIES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of December 31, 2021, NCR operated 294 facilities consisting of approximately 6.5 million square feet in 60 countries throughout the world. On a square footage basis, 10% of these facilities are owned and 90% are leased. Within the total facility portfo</w:t>
      </w:r>
      <w:r>
        <w:rPr>
          <w:rFonts w:eastAsia="Times New Roman"/>
          <w:color w:val="000000"/>
          <w:sz w:val="20"/>
          <w:szCs w:val="20"/>
        </w:rPr>
        <w:t>lio, NCR operates 14 research and development and manufacturing facilities totaling 1.3 million square feet, 100% of which is leased. The remaining 5.2 million square feet of space includes office, repair, and warehousing space and other miscellaneous site</w:t>
      </w:r>
      <w:r>
        <w:rPr>
          <w:rFonts w:eastAsia="Times New Roman"/>
          <w:color w:val="000000"/>
          <w:sz w:val="20"/>
          <w:szCs w:val="20"/>
        </w:rPr>
        <w:t>s, and is 87% leased. NCR also owns or leases 7 land parcels totaling 2.8 million square feet in 3 countries.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is headquartered in Atlanta, Georgia, USA. Our address at our corporate headquarters is 864 Spring Street Northwest, Atlanta Georgia, 30308,</w:t>
      </w:r>
      <w:r>
        <w:rPr>
          <w:rFonts w:eastAsia="Times New Roman"/>
          <w:color w:val="000000"/>
          <w:sz w:val="20"/>
          <w:szCs w:val="20"/>
        </w:rPr>
        <w:t xml:space="preserve"> USA. </w:t>
      </w:r>
    </w:p>
    <w:p w:rsidR="00000000" w:rsidRDefault="006F0EF5">
      <w:pPr>
        <w:divId w:val="1526597071"/>
        <w:rPr>
          <w:rFonts w:eastAsia="Times New Roman"/>
        </w:rPr>
      </w:pPr>
    </w:p>
    <w:p w:rsidR="00000000" w:rsidRDefault="006F0EF5">
      <w:pPr>
        <w:jc w:val="both"/>
        <w:rPr>
          <w:rFonts w:eastAsia="Times New Roman"/>
        </w:rPr>
      </w:pPr>
      <w:r>
        <w:rPr>
          <w:rFonts w:eastAsia="Times New Roman"/>
          <w:b/>
          <w:bCs/>
          <w:color w:val="000000"/>
          <w:sz w:val="20"/>
          <w:szCs w:val="20"/>
        </w:rPr>
        <w:t>Item 3.        LEGAL PROCEEDINGS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Information regarding legal proceedings is included in Item 8 of Part II of this Report as part of Note 10, “Commitments and Contingencies”, of the Notes to Consolidated Financial Statements and is incorporated h</w:t>
      </w:r>
      <w:r>
        <w:rPr>
          <w:rFonts w:eastAsia="Times New Roman"/>
          <w:color w:val="000000"/>
          <w:sz w:val="20"/>
          <w:szCs w:val="20"/>
        </w:rPr>
        <w:t xml:space="preserve">erein by reference.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Item 4.        MINE SAFETY DISCLOSURES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Not applicable.</w:t>
      </w:r>
    </w:p>
    <w:p w:rsidR="00000000" w:rsidRDefault="006F0EF5">
      <w:pPr>
        <w:jc w:val="center"/>
        <w:divId w:val="1595824606"/>
        <w:rPr>
          <w:rFonts w:eastAsia="Times New Roman"/>
        </w:rPr>
      </w:pPr>
      <w:r>
        <w:rPr>
          <w:rFonts w:eastAsia="Times New Roman"/>
          <w:color w:val="000000"/>
          <w:sz w:val="20"/>
          <w:szCs w:val="20"/>
        </w:rPr>
        <w:t>27</w:t>
      </w:r>
    </w:p>
    <w:p w:rsidR="00000000" w:rsidRDefault="006F0EF5">
      <w:pPr>
        <w:rPr>
          <w:rFonts w:eastAsia="Times New Roman"/>
        </w:rPr>
      </w:pPr>
      <w:r>
        <w:rPr>
          <w:rFonts w:eastAsia="Times New Roman"/>
        </w:rPr>
        <w:pict>
          <v:rect id="_x0000_i1055" style="width:0;height:1.5pt" o:hralign="center" o:hrstd="t" o:hr="t" fillcolor="#a0a0a0" stroked="f"/>
        </w:pict>
      </w:r>
    </w:p>
    <w:p w:rsidR="00000000" w:rsidRDefault="006F0EF5">
      <w:pPr>
        <w:divId w:val="150493012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082675692"/>
        <w:rPr>
          <w:rFonts w:eastAsia="Times New Roman"/>
        </w:rPr>
      </w:pPr>
    </w:p>
    <w:p w:rsidR="00000000" w:rsidRDefault="006F0EF5">
      <w:pPr>
        <w:jc w:val="center"/>
        <w:rPr>
          <w:rFonts w:eastAsia="Times New Roman"/>
        </w:rPr>
      </w:pPr>
      <w:r>
        <w:rPr>
          <w:rFonts w:eastAsia="Times New Roman"/>
          <w:b/>
          <w:bCs/>
          <w:color w:val="000000"/>
          <w:sz w:val="20"/>
          <w:szCs w:val="20"/>
        </w:rPr>
        <w:t>PART II</w:t>
      </w:r>
    </w:p>
    <w:p w:rsidR="00000000" w:rsidRDefault="006F0EF5">
      <w:pPr>
        <w:divId w:val="498467195"/>
        <w:rPr>
          <w:rFonts w:eastAsia="Times New Roman"/>
        </w:rPr>
      </w:pPr>
    </w:p>
    <w:p w:rsidR="00000000" w:rsidRDefault="006F0EF5">
      <w:pPr>
        <w:ind w:hanging="1440"/>
        <w:divId w:val="1692955835"/>
        <w:rPr>
          <w:rFonts w:eastAsia="Times New Roman"/>
        </w:rPr>
      </w:pPr>
      <w:r>
        <w:rPr>
          <w:rFonts w:eastAsia="Times New Roman"/>
          <w:b/>
          <w:bCs/>
          <w:color w:val="000000"/>
          <w:sz w:val="20"/>
          <w:szCs w:val="20"/>
        </w:rPr>
        <w:t>Item 5.        MARKET FOR THE REGISTRANT'S COMM</w:t>
      </w:r>
      <w:r>
        <w:rPr>
          <w:rFonts w:eastAsia="Times New Roman"/>
          <w:b/>
          <w:bCs/>
          <w:color w:val="000000"/>
          <w:sz w:val="20"/>
          <w:szCs w:val="20"/>
        </w:rPr>
        <w:t>ON EQUITY, RELATED STOCKHOLDER MATTERS AND ISSUER PURCHASES OF EQUITY SECURITIES</w:t>
      </w:r>
    </w:p>
    <w:p w:rsidR="00000000" w:rsidRDefault="006F0EF5">
      <w:pPr>
        <w:divId w:val="1679425634"/>
        <w:rPr>
          <w:rFonts w:eastAsia="Times New Roman"/>
        </w:rPr>
      </w:pPr>
    </w:p>
    <w:p w:rsidR="00000000" w:rsidRDefault="006F0EF5">
      <w:pPr>
        <w:jc w:val="both"/>
        <w:rPr>
          <w:rFonts w:eastAsia="Times New Roman"/>
        </w:rPr>
      </w:pPr>
      <w:r>
        <w:rPr>
          <w:rFonts w:eastAsia="Times New Roman"/>
          <w:b/>
          <w:bCs/>
          <w:color w:val="000000"/>
          <w:sz w:val="20"/>
          <w:szCs w:val="20"/>
        </w:rPr>
        <w:t xml:space="preserve">Market Information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common stock is listed on the New York Stock Exchange (“NYSE”) and trades under the symbol “NCR”. There were approximately 73,118 holders of NCR co</w:t>
      </w:r>
      <w:r>
        <w:rPr>
          <w:rFonts w:eastAsia="Times New Roman"/>
          <w:color w:val="000000"/>
          <w:sz w:val="20"/>
          <w:szCs w:val="20"/>
        </w:rPr>
        <w:t xml:space="preserve">mmon stock as of February 11, 2022. </w:t>
      </w:r>
    </w:p>
    <w:p w:rsidR="00000000" w:rsidRDefault="006F0EF5">
      <w:pPr>
        <w:divId w:val="840582096"/>
        <w:rPr>
          <w:rFonts w:eastAsia="Times New Roman"/>
        </w:rPr>
      </w:pPr>
    </w:p>
    <w:p w:rsidR="00000000" w:rsidRDefault="006F0EF5">
      <w:pPr>
        <w:jc w:val="both"/>
        <w:rPr>
          <w:rFonts w:eastAsia="Times New Roman"/>
        </w:rPr>
      </w:pPr>
      <w:r>
        <w:rPr>
          <w:rFonts w:eastAsia="Times New Roman"/>
          <w:b/>
          <w:bCs/>
          <w:color w:val="000000"/>
          <w:sz w:val="20"/>
          <w:szCs w:val="20"/>
        </w:rPr>
        <w:t xml:space="preserve">Dividends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Historically NCR has not paid cash dividends and does not anticipate the payment of cash dividends on NCR common stock in the immediate future. The declaration of dividends is restricted under our senior secured credit facility and the terms of the indentu</w:t>
      </w:r>
      <w:r>
        <w:rPr>
          <w:rFonts w:eastAsia="Times New Roman"/>
          <w:color w:val="000000"/>
          <w:sz w:val="20"/>
          <w:szCs w:val="20"/>
        </w:rPr>
        <w:t xml:space="preserve">res for our senior unsecured notes, and would be further subject to the discretion of NCR’s Board of Directors.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Stock Performance Graph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graph compares the relative investment performance of NCR stock, the Standard &amp; Poor’s MidCap 400 St</w:t>
      </w:r>
      <w:r>
        <w:rPr>
          <w:rFonts w:eastAsia="Times New Roman"/>
          <w:color w:val="000000"/>
          <w:sz w:val="20"/>
          <w:szCs w:val="20"/>
        </w:rPr>
        <w:t>ock Index, Standard &amp; Poor’s 500 Information Technology Sector and the Standard &amp; Poor’s 500 Stock Index. This graph covers the five-year period from December 31, 2016 through December 31, 2021.</w:t>
      </w:r>
    </w:p>
    <w:p w:rsidR="00000000" w:rsidRDefault="006F0EF5">
      <w:pPr>
        <w:jc w:val="both"/>
        <w:rPr>
          <w:rFonts w:eastAsia="Times New Roman"/>
        </w:rPr>
      </w:pPr>
    </w:p>
    <w:p w:rsidR="00000000" w:rsidRDefault="006F0EF5">
      <w:pPr>
        <w:jc w:val="center"/>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449" w:type="pct"/>
        <w:jc w:val="center"/>
        <w:tblCellMar>
          <w:top w:w="15" w:type="dxa"/>
          <w:left w:w="15" w:type="dxa"/>
          <w:bottom w:w="15" w:type="dxa"/>
          <w:right w:w="15" w:type="dxa"/>
        </w:tblCellMar>
        <w:tblLook w:val="04A0" w:firstRow="1" w:lastRow="0" w:firstColumn="1" w:lastColumn="0" w:noHBand="0" w:noVBand="1"/>
      </w:tblPr>
      <w:tblGrid>
        <w:gridCol w:w="38"/>
        <w:gridCol w:w="4246"/>
        <w:gridCol w:w="37"/>
        <w:gridCol w:w="36"/>
        <w:gridCol w:w="36"/>
        <w:gridCol w:w="36"/>
        <w:gridCol w:w="120"/>
        <w:gridCol w:w="350"/>
        <w:gridCol w:w="36"/>
        <w:gridCol w:w="36"/>
        <w:gridCol w:w="36"/>
        <w:gridCol w:w="36"/>
        <w:gridCol w:w="120"/>
        <w:gridCol w:w="350"/>
        <w:gridCol w:w="36"/>
        <w:gridCol w:w="36"/>
        <w:gridCol w:w="36"/>
        <w:gridCol w:w="36"/>
        <w:gridCol w:w="120"/>
        <w:gridCol w:w="350"/>
        <w:gridCol w:w="36"/>
        <w:gridCol w:w="36"/>
        <w:gridCol w:w="36"/>
        <w:gridCol w:w="36"/>
        <w:gridCol w:w="120"/>
        <w:gridCol w:w="350"/>
        <w:gridCol w:w="36"/>
        <w:gridCol w:w="36"/>
        <w:gridCol w:w="36"/>
        <w:gridCol w:w="36"/>
        <w:gridCol w:w="120"/>
        <w:gridCol w:w="350"/>
        <w:gridCol w:w="36"/>
      </w:tblGrid>
      <w:tr w:rsidR="00000000">
        <w:trPr>
          <w:jc w:val="center"/>
        </w:trPr>
        <w:tc>
          <w:tcPr>
            <w:tcW w:w="50" w:type="pct"/>
            <w:vAlign w:val="center"/>
            <w:hideMark/>
          </w:tcPr>
          <w:p w:rsidR="00000000" w:rsidRDefault="006F0EF5">
            <w:pPr>
              <w:jc w:val="center"/>
              <w:rPr>
                <w:rFonts w:eastAsia="Times New Roman"/>
              </w:rPr>
            </w:pPr>
          </w:p>
        </w:tc>
        <w:tc>
          <w:tcPr>
            <w:tcW w:w="315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6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6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5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7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7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805318194"/>
              <w:rPr>
                <w:rFonts w:eastAsia="Times New Roman"/>
              </w:rPr>
            </w:pPr>
            <w:r>
              <w:rPr>
                <w:rFonts w:eastAsia="Times New Roman"/>
                <w:b/>
                <w:bCs/>
                <w:color w:val="000000"/>
                <w:sz w:val="16"/>
                <w:szCs w:val="16"/>
                <w:u w:val="single"/>
              </w:rPr>
              <w:t>Company / Inde</w:t>
            </w:r>
            <w:r>
              <w:rPr>
                <w:rFonts w:eastAsia="Times New Roman"/>
                <w:b/>
                <w:bCs/>
                <w:color w:val="000000"/>
                <w:sz w:val="16"/>
                <w:szCs w:val="16"/>
                <w:u w:val="single"/>
              </w:rPr>
              <w:t>x</w:t>
            </w:r>
            <w:r>
              <w:rPr>
                <w:rFonts w:eastAsia="Times New Roman"/>
                <w:b/>
                <w:bCs/>
                <w:color w:val="000000"/>
                <w:sz w:val="10"/>
                <w:szCs w:val="10"/>
                <w:u w:val="single"/>
              </w:rPr>
              <w:t>(1</w:t>
            </w:r>
            <w:r>
              <w:rPr>
                <w:rFonts w:eastAsia="Times New Roman"/>
                <w:b/>
                <w:bCs/>
                <w:color w:val="000000"/>
                <w:sz w:val="10"/>
                <w:szCs w:val="10"/>
                <w:u w:val="single"/>
              </w:rPr>
              <w:t>)</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2017</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NCR Corporation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S&amp;P 500 Stock Index</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S&amp;</w:t>
            </w:r>
            <w:r>
              <w:rPr>
                <w:rFonts w:eastAsia="Times New Roman"/>
                <w:color w:val="000000"/>
                <w:sz w:val="20"/>
                <w:szCs w:val="20"/>
              </w:rPr>
              <w:t>P 500 Information Technology Sector</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403 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S&amp;P MidCap 400 Stock Index</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ind w:firstLine="630"/>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In each case, assumes a $100 investment on December 31, 2016, and reinvestment of all dividends, if any.</w:t>
      </w:r>
    </w:p>
    <w:p w:rsidR="00000000" w:rsidRDefault="006F0EF5">
      <w:pPr>
        <w:jc w:val="both"/>
        <w:rPr>
          <w:rFonts w:eastAsia="Times New Roman"/>
        </w:rPr>
      </w:pPr>
    </w:p>
    <w:p w:rsidR="00000000" w:rsidRDefault="006F0EF5">
      <w:pPr>
        <w:jc w:val="both"/>
        <w:rPr>
          <w:rFonts w:eastAsia="Times New Roman"/>
        </w:rPr>
      </w:pPr>
    </w:p>
    <w:p w:rsidR="00000000" w:rsidRDefault="006F0EF5">
      <w:pPr>
        <w:jc w:val="center"/>
        <w:divId w:val="2131505844"/>
        <w:rPr>
          <w:rFonts w:eastAsia="Times New Roman"/>
        </w:rPr>
      </w:pPr>
      <w:r>
        <w:rPr>
          <w:rFonts w:eastAsia="Times New Roman"/>
          <w:color w:val="000000"/>
          <w:sz w:val="20"/>
          <w:szCs w:val="20"/>
        </w:rPr>
        <w:t>28</w:t>
      </w:r>
    </w:p>
    <w:p w:rsidR="00000000" w:rsidRDefault="006F0EF5">
      <w:pPr>
        <w:rPr>
          <w:rFonts w:eastAsia="Times New Roman"/>
        </w:rPr>
      </w:pPr>
      <w:r>
        <w:rPr>
          <w:rFonts w:eastAsia="Times New Roman"/>
        </w:rPr>
        <w:pict>
          <v:rect id="_x0000_i1057" style="width:0;height:1.5pt" o:hralign="center" o:hrstd="t" o:hr="t" fillcolor="#a0a0a0" stroked="f"/>
        </w:pict>
      </w:r>
    </w:p>
    <w:p w:rsidR="00000000" w:rsidRDefault="006F0EF5">
      <w:pPr>
        <w:divId w:val="201923698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770516208"/>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Purchase of Company Commo</w:t>
      </w:r>
      <w:r>
        <w:rPr>
          <w:rFonts w:eastAsia="Times New Roman"/>
          <w:b/>
          <w:bCs/>
          <w:color w:val="000000"/>
          <w:sz w:val="20"/>
          <w:szCs w:val="20"/>
        </w:rPr>
        <w:t>n Stock</w:t>
      </w:r>
      <w:r>
        <w:rPr>
          <w:rFonts w:eastAsia="Times New Roman"/>
          <w:color w:val="000000"/>
          <w:sz w:val="20"/>
          <w:szCs w:val="20"/>
        </w:rPr>
        <w:t xml:space="preserv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October 19, 2016, the Board approved a share repurchase program, with no expiration from the date of authorization, for the systematic repurchase of the Company’s common stock to offset the dilutive effects of the Company’s employee stock pur</w:t>
      </w:r>
      <w:r>
        <w:rPr>
          <w:rFonts w:eastAsia="Times New Roman"/>
          <w:color w:val="000000"/>
          <w:sz w:val="20"/>
          <w:szCs w:val="20"/>
        </w:rPr>
        <w:t>chase plan, equity awards and in-kind dividends on the Company’s Series A Convertible Preferred Stock. Availability under this program accrues quarterly based on the average value of dilutive issuances during the quarter.</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March 12, 2017, the Board app</w:t>
      </w:r>
      <w:r>
        <w:rPr>
          <w:rFonts w:eastAsia="Times New Roman"/>
          <w:color w:val="000000"/>
          <w:sz w:val="20"/>
          <w:szCs w:val="20"/>
        </w:rPr>
        <w:t>roved a second share repurchase program that provides for the repurchase of up to $300 million of the Company’s common stock. On July 25, 2018, the Board authorized an incremental $200 million of share repurchases under this program.</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No shares were repur</w:t>
      </w:r>
      <w:r>
        <w:rPr>
          <w:rFonts w:eastAsia="Times New Roman"/>
          <w:color w:val="000000"/>
          <w:sz w:val="20"/>
          <w:szCs w:val="20"/>
        </w:rPr>
        <w:t xml:space="preserve">chased under these programs during the three months ended December 31, 2021.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of December 31, 2021, approximately $153 million was available for repurchases under the March 2017 program, and approximately $660 million was available for repurchases und</w:t>
      </w:r>
      <w:r>
        <w:rPr>
          <w:rFonts w:eastAsia="Times New Roman"/>
          <w:color w:val="000000"/>
          <w:sz w:val="20"/>
          <w:szCs w:val="20"/>
        </w:rPr>
        <w:t>er the October 2016 dilution offset program. The timing and amount of repurchases under these programs depend upon market conditions and may be made from time to time in open market purchases, privately negotiated transactions, accelerated stock repurchase</w:t>
      </w:r>
      <w:r>
        <w:rPr>
          <w:rFonts w:eastAsia="Times New Roman"/>
          <w:color w:val="000000"/>
          <w:sz w:val="20"/>
          <w:szCs w:val="20"/>
        </w:rPr>
        <w:t xml:space="preserve"> programs, issuer self-tender offers or otherwise. The repurchases will be made in compliance with applicable securities laws and may be discontinued at any time.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occasionally purchases vested restricted stock or exercised stock options at th</w:t>
      </w:r>
      <w:r>
        <w:rPr>
          <w:rFonts w:eastAsia="Times New Roman"/>
          <w:color w:val="000000"/>
          <w:sz w:val="20"/>
          <w:szCs w:val="20"/>
        </w:rPr>
        <w:t>e current market price to cover withholding taxes. For the three months ended December 31, 2021, 914,338 shares of vested restricted stock were purchased at an average price of $40.21 per share.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Company’s ability to repurchase its common stock is res</w:t>
      </w:r>
      <w:r>
        <w:rPr>
          <w:rFonts w:eastAsia="Times New Roman"/>
          <w:color w:val="000000"/>
          <w:sz w:val="20"/>
          <w:szCs w:val="20"/>
        </w:rPr>
        <w:t>tricted under the Company’s senior secured credit facility and terms of the indentures for the Company’s senior unsecured notes, which prohibit certain share repurchases, including during the occurrence of an event of default, and establish limits on the a</w:t>
      </w:r>
      <w:r>
        <w:rPr>
          <w:rFonts w:eastAsia="Times New Roman"/>
          <w:color w:val="000000"/>
          <w:sz w:val="20"/>
          <w:szCs w:val="20"/>
        </w:rPr>
        <w:t>mount that the Company is permitted to use to repurchase shares and make other restricted payments. This amount is calculated using formulas based generally on 50% of the Company’s consolidated net income for the period beginning in the third quarter of 20</w:t>
      </w:r>
      <w:r>
        <w:rPr>
          <w:rFonts w:eastAsia="Times New Roman"/>
          <w:color w:val="000000"/>
          <w:sz w:val="20"/>
          <w:szCs w:val="20"/>
        </w:rPr>
        <w:t>12 through the end of the most recently ended fiscal quarter, subject to certain other adjustments and deductions, with certain prescribed minimums and its use is subject to customary conditions, including the absence of an event of default. These formulas</w:t>
      </w:r>
      <w:r>
        <w:rPr>
          <w:rFonts w:eastAsia="Times New Roman"/>
          <w:color w:val="000000"/>
          <w:sz w:val="20"/>
          <w:szCs w:val="20"/>
        </w:rPr>
        <w:t xml:space="preserve"> are described in greater detail in the Company’s senior secured credit facility and the indentures for the Company’s senior unsecured notes, each of which is filed with the SEC.</w:t>
      </w:r>
    </w:p>
    <w:p w:rsidR="00000000" w:rsidRDefault="006F0EF5">
      <w:pPr>
        <w:jc w:val="center"/>
        <w:divId w:val="307633953"/>
        <w:rPr>
          <w:rFonts w:eastAsia="Times New Roman"/>
        </w:rPr>
      </w:pPr>
      <w:r>
        <w:rPr>
          <w:rFonts w:eastAsia="Times New Roman"/>
          <w:color w:val="000000"/>
          <w:sz w:val="20"/>
          <w:szCs w:val="20"/>
        </w:rPr>
        <w:t>29</w:t>
      </w:r>
    </w:p>
    <w:p w:rsidR="00000000" w:rsidRDefault="006F0EF5">
      <w:pPr>
        <w:rPr>
          <w:rFonts w:eastAsia="Times New Roman"/>
        </w:rPr>
      </w:pPr>
      <w:r>
        <w:rPr>
          <w:rFonts w:eastAsia="Times New Roman"/>
        </w:rPr>
        <w:pict>
          <v:rect id="_x0000_i1058" style="width:0;height:1.5pt" o:hralign="center" o:hrstd="t" o:hr="t" fillcolor="#a0a0a0" stroked="f"/>
        </w:pict>
      </w:r>
    </w:p>
    <w:p w:rsidR="00000000" w:rsidRDefault="006F0EF5">
      <w:pPr>
        <w:divId w:val="98724618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247181083"/>
        <w:rPr>
          <w:rFonts w:eastAsia="Times New Roman"/>
        </w:rPr>
      </w:pPr>
    </w:p>
    <w:p w:rsidR="00000000" w:rsidRDefault="006F0EF5">
      <w:pPr>
        <w:divId w:val="1327709512"/>
        <w:rPr>
          <w:rFonts w:eastAsia="Times New Roman"/>
        </w:rPr>
      </w:pPr>
      <w:r>
        <w:rPr>
          <w:rFonts w:eastAsia="Times New Roman"/>
          <w:b/>
          <w:bCs/>
          <w:color w:val="000000"/>
          <w:sz w:val="20"/>
          <w:szCs w:val="20"/>
        </w:rPr>
        <w:t>Item 6.        Reserved.</w:t>
      </w:r>
    </w:p>
    <w:p w:rsidR="00000000" w:rsidRDefault="006F0EF5">
      <w:pPr>
        <w:divId w:val="344987746"/>
        <w:rPr>
          <w:rFonts w:eastAsia="Times New Roman"/>
        </w:rPr>
      </w:pPr>
    </w:p>
    <w:p w:rsidR="00000000" w:rsidRDefault="006F0EF5">
      <w:pPr>
        <w:divId w:val="2113359217"/>
        <w:rPr>
          <w:rFonts w:eastAsia="Times New Roman"/>
        </w:rPr>
      </w:pPr>
      <w:r>
        <w:rPr>
          <w:rFonts w:eastAsia="Times New Roman"/>
          <w:color w:val="000000"/>
          <w:sz w:val="20"/>
          <w:szCs w:val="20"/>
        </w:rPr>
        <w:t>None.</w:t>
      </w:r>
    </w:p>
    <w:p w:rsidR="00000000" w:rsidRDefault="006F0EF5">
      <w:pPr>
        <w:jc w:val="both"/>
        <w:rPr>
          <w:rFonts w:eastAsia="Times New Roman"/>
        </w:rPr>
      </w:pPr>
    </w:p>
    <w:p w:rsidR="00000000" w:rsidRDefault="006F0EF5">
      <w:pPr>
        <w:divId w:val="404767938"/>
        <w:rPr>
          <w:rFonts w:eastAsia="Times New Roman"/>
        </w:rPr>
      </w:pPr>
    </w:p>
    <w:p w:rsidR="00000000" w:rsidRDefault="006F0EF5">
      <w:pPr>
        <w:jc w:val="center"/>
        <w:divId w:val="1695879749"/>
        <w:rPr>
          <w:rFonts w:eastAsia="Times New Roman"/>
        </w:rPr>
      </w:pPr>
      <w:r>
        <w:rPr>
          <w:rFonts w:eastAsia="Times New Roman"/>
          <w:color w:val="000000"/>
          <w:sz w:val="20"/>
          <w:szCs w:val="20"/>
        </w:rPr>
        <w:t>30</w:t>
      </w:r>
    </w:p>
    <w:p w:rsidR="00000000" w:rsidRDefault="006F0EF5">
      <w:pPr>
        <w:rPr>
          <w:rFonts w:eastAsia="Times New Roman"/>
        </w:rPr>
      </w:pPr>
      <w:r>
        <w:rPr>
          <w:rFonts w:eastAsia="Times New Roman"/>
        </w:rPr>
        <w:pict>
          <v:rect id="_x0000_i1059" style="width:0;height:1.5pt" o:hralign="center" o:hrstd="t" o:hr="t" fillcolor="#a0a0a0" stroked="f"/>
        </w:pict>
      </w:r>
    </w:p>
    <w:p w:rsidR="00000000" w:rsidRDefault="006F0EF5">
      <w:pPr>
        <w:divId w:val="140537032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170101530"/>
        <w:rPr>
          <w:rFonts w:eastAsia="Times New Roman"/>
        </w:rPr>
      </w:pPr>
    </w:p>
    <w:p w:rsidR="00000000" w:rsidRDefault="006F0EF5">
      <w:pPr>
        <w:jc w:val="center"/>
        <w:rPr>
          <w:rFonts w:eastAsia="Times New Roman"/>
        </w:rPr>
      </w:pPr>
      <w:r>
        <w:rPr>
          <w:rFonts w:eastAsia="Times New Roman"/>
          <w:b/>
          <w:bCs/>
          <w:color w:val="000000"/>
          <w:sz w:val="20"/>
          <w:szCs w:val="20"/>
        </w:rPr>
        <w:t>Index to Management's Discussion and Analysis of Financial Condition and Results of Operations (“MD&amp;A”)</w:t>
      </w:r>
    </w:p>
    <w:tbl>
      <w:tblPr>
        <w:tblW w:w="4427" w:type="pct"/>
        <w:jc w:val="center"/>
        <w:tblCellMar>
          <w:top w:w="15" w:type="dxa"/>
          <w:left w:w="15" w:type="dxa"/>
          <w:bottom w:w="15" w:type="dxa"/>
          <w:right w:w="15" w:type="dxa"/>
        </w:tblCellMar>
        <w:tblLook w:val="04A0" w:firstRow="1" w:lastRow="0" w:firstColumn="1" w:lastColumn="0" w:noHBand="0" w:noVBand="1"/>
      </w:tblPr>
      <w:tblGrid>
        <w:gridCol w:w="59"/>
        <w:gridCol w:w="6789"/>
        <w:gridCol w:w="38"/>
        <w:gridCol w:w="59"/>
        <w:gridCol w:w="373"/>
        <w:gridCol w:w="36"/>
      </w:tblGrid>
      <w:tr w:rsidR="00000000">
        <w:trPr>
          <w:jc w:val="center"/>
        </w:trPr>
        <w:tc>
          <w:tcPr>
            <w:tcW w:w="50" w:type="pct"/>
            <w:vAlign w:val="center"/>
            <w:hideMark/>
          </w:tcPr>
          <w:p w:rsidR="00000000" w:rsidRDefault="006F0EF5">
            <w:pPr>
              <w:jc w:val="center"/>
              <w:rPr>
                <w:rFonts w:eastAsia="Times New Roman"/>
              </w:rPr>
            </w:pPr>
          </w:p>
        </w:tc>
        <w:tc>
          <w:tcPr>
            <w:tcW w:w="46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6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16"/>
                <w:szCs w:val="16"/>
                <w:u w:val="single"/>
              </w:rPr>
              <w:t>Page</w:t>
            </w: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833422382"/>
              <w:rPr>
                <w:rFonts w:eastAsia="Times New Roman"/>
              </w:rPr>
            </w:pPr>
            <w:hyperlink w:anchor="i820834c26f61401cb1d426994ba52a61_52" w:history="1">
              <w:r>
                <w:rPr>
                  <w:rStyle w:val="a3"/>
                  <w:rFonts w:eastAsia="Times New Roman"/>
                  <w:sz w:val="20"/>
                  <w:szCs w:val="20"/>
                </w:rPr>
                <w:t>Overview</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52" w:history="1">
              <w:r>
                <w:rPr>
                  <w:rStyle w:val="a3"/>
                  <w:rFonts w:eastAsia="Times New Roman"/>
                  <w:sz w:val="20"/>
                  <w:szCs w:val="20"/>
                </w:rPr>
                <w:t>31</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1950965803"/>
              <w:rPr>
                <w:rFonts w:eastAsia="Times New Roman"/>
              </w:rPr>
            </w:pPr>
            <w:hyperlink w:anchor="i820834c26f61401cb1d426994ba52a61_55" w:history="1">
              <w:r>
                <w:rPr>
                  <w:rStyle w:val="a3"/>
                  <w:rFonts w:eastAsia="Times New Roman"/>
                  <w:sz w:val="20"/>
                  <w:szCs w:val="20"/>
                </w:rPr>
                <w:t>Business Overview</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55" w:history="1">
              <w:r>
                <w:rPr>
                  <w:rStyle w:val="a3"/>
                  <w:rFonts w:eastAsia="Times New Roman"/>
                  <w:sz w:val="20"/>
                  <w:szCs w:val="20"/>
                </w:rPr>
                <w:t>32</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2076050525"/>
              <w:rPr>
                <w:rFonts w:eastAsia="Times New Roman"/>
              </w:rPr>
            </w:pPr>
            <w:hyperlink w:anchor="i820834c26f61401cb1d426994ba52a61_58" w:history="1">
              <w:r>
                <w:rPr>
                  <w:rStyle w:val="a3"/>
                  <w:rFonts w:eastAsia="Times New Roman"/>
                  <w:sz w:val="20"/>
                  <w:szCs w:val="20"/>
                </w:rPr>
                <w:t>Significant Themes and Events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58" w:history="1">
              <w:r>
                <w:rPr>
                  <w:rStyle w:val="a3"/>
                  <w:rFonts w:eastAsia="Times New Roman"/>
                  <w:sz w:val="20"/>
                  <w:szCs w:val="20"/>
                </w:rPr>
                <w:t>32</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1989895707"/>
              <w:rPr>
                <w:rFonts w:eastAsia="Times New Roman"/>
              </w:rPr>
            </w:pPr>
            <w:hyperlink w:anchor="i820834c26f61401cb1d426994ba52a61_61" w:history="1">
              <w:r>
                <w:rPr>
                  <w:rStyle w:val="a3"/>
                  <w:rFonts w:eastAsia="Times New Roman"/>
                  <w:sz w:val="20"/>
                  <w:szCs w:val="20"/>
                </w:rPr>
                <w:t>Strategic Initiatives and Trends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61" w:history="1">
              <w:r>
                <w:rPr>
                  <w:rStyle w:val="a3"/>
                  <w:rFonts w:eastAsia="Times New Roman"/>
                  <w:sz w:val="20"/>
                  <w:szCs w:val="20"/>
                </w:rPr>
                <w:t>33</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1209730854"/>
              <w:rPr>
                <w:rFonts w:eastAsia="Times New Roman"/>
              </w:rPr>
            </w:pPr>
            <w:r>
              <w:rPr>
                <w:rFonts w:eastAsia="Times New Roman"/>
                <w:color w:val="000000"/>
                <w:sz w:val="20"/>
                <w:szCs w:val="20"/>
              </w:rPr>
              <w:t>     </w:t>
            </w:r>
            <w:hyperlink w:anchor="i820834c26f61401cb1d426994ba52a61_64" w:history="1">
              <w:r>
                <w:rPr>
                  <w:rStyle w:val="a3"/>
                  <w:rFonts w:eastAsia="Times New Roman"/>
                  <w:sz w:val="20"/>
                  <w:szCs w:val="20"/>
                </w:rPr>
                <w:t>Impacts from the COVID-19 pandemi</w:t>
              </w:r>
              <w:r>
                <w:rPr>
                  <w:rStyle w:val="a3"/>
                  <w:rFonts w:eastAsia="Times New Roman"/>
                  <w:sz w:val="20"/>
                  <w:szCs w:val="20"/>
                </w:rPr>
                <w:t>c</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64" w:history="1">
              <w:r>
                <w:rPr>
                  <w:rStyle w:val="a3"/>
                  <w:rFonts w:eastAsia="Times New Roman"/>
                  <w:sz w:val="20"/>
                  <w:szCs w:val="20"/>
                </w:rPr>
                <w:t>34</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895705061"/>
              <w:rPr>
                <w:rFonts w:eastAsia="Times New Roman"/>
              </w:rPr>
            </w:pPr>
            <w:hyperlink w:anchor="i820834c26f61401cb1d426994ba52a61_67" w:history="1">
              <w:r>
                <w:rPr>
                  <w:rStyle w:val="a3"/>
                  <w:rFonts w:eastAsia="Times New Roman"/>
                  <w:sz w:val="20"/>
                  <w:szCs w:val="20"/>
                </w:rPr>
                <w:t>Results of Operations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67" w:history="1">
              <w:r>
                <w:rPr>
                  <w:rStyle w:val="a3"/>
                  <w:rFonts w:eastAsia="Times New Roman"/>
                  <w:sz w:val="20"/>
                  <w:szCs w:val="20"/>
                </w:rPr>
                <w:t>34</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28648686"/>
              <w:rPr>
                <w:rFonts w:eastAsia="Times New Roman"/>
              </w:rPr>
            </w:pPr>
            <w:hyperlink w:anchor="i820834c26f61401cb1d426994ba52a61_118" w:history="1">
              <w:r>
                <w:rPr>
                  <w:rStyle w:val="a3"/>
                  <w:rFonts w:eastAsia="Times New Roman"/>
                  <w:sz w:val="20"/>
                  <w:szCs w:val="20"/>
                </w:rPr>
                <w:t>Financial Condition, Liquidity and Capital Resources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18" w:history="1">
              <w:r>
                <w:rPr>
                  <w:rStyle w:val="a3"/>
                  <w:rFonts w:eastAsia="Times New Roman"/>
                  <w:sz w:val="20"/>
                  <w:szCs w:val="20"/>
                </w:rPr>
                <w:t>40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1336030477"/>
              <w:rPr>
                <w:rFonts w:eastAsia="Times New Roman"/>
              </w:rPr>
            </w:pPr>
            <w:hyperlink w:anchor="i820834c26f61401cb1d426994ba52a61_121" w:history="1">
              <w:r>
                <w:rPr>
                  <w:rStyle w:val="a3"/>
                  <w:rFonts w:eastAsia="Times New Roman"/>
                  <w:sz w:val="20"/>
                  <w:szCs w:val="20"/>
                </w:rPr>
                <w:t>Critical Accounting Policies and Estimates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21" w:history="1">
              <w:r>
                <w:rPr>
                  <w:rStyle w:val="a3"/>
                  <w:rFonts w:eastAsia="Times New Roman"/>
                  <w:sz w:val="20"/>
                  <w:szCs w:val="20"/>
                </w:rPr>
                <w:t>44</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1031031464"/>
              <w:rPr>
                <w:rFonts w:eastAsia="Times New Roman"/>
              </w:rPr>
            </w:pPr>
            <w:hyperlink w:anchor="i820834c26f61401cb1d426994ba52a61_124" w:history="1">
              <w:r>
                <w:rPr>
                  <w:rStyle w:val="a3"/>
                  <w:rFonts w:eastAsia="Times New Roman"/>
                  <w:sz w:val="20"/>
                  <w:szCs w:val="20"/>
                </w:rPr>
                <w:t>Recently Issued Accounting Pronouncements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24" w:history="1">
              <w:r>
                <w:rPr>
                  <w:rStyle w:val="a3"/>
                  <w:rFonts w:eastAsia="Times New Roman"/>
                  <w:sz w:val="20"/>
                  <w:szCs w:val="20"/>
                </w:rPr>
                <w:t>47</w:t>
              </w:r>
            </w:hyperlink>
          </w:p>
        </w:tc>
      </w:tr>
    </w:tbl>
    <w:p w:rsidR="00000000" w:rsidRDefault="006F0EF5">
      <w:pPr>
        <w:divId w:val="230308671"/>
        <w:rPr>
          <w:rFonts w:eastAsia="Times New Roman"/>
        </w:rPr>
      </w:pPr>
    </w:p>
    <w:p w:rsidR="00000000" w:rsidRDefault="006F0EF5">
      <w:pPr>
        <w:ind w:hanging="720"/>
        <w:divId w:val="2145853175"/>
        <w:rPr>
          <w:rFonts w:eastAsia="Times New Roman"/>
        </w:rPr>
      </w:pPr>
    </w:p>
    <w:p w:rsidR="00000000" w:rsidRDefault="006F0EF5">
      <w:pPr>
        <w:jc w:val="center"/>
        <w:divId w:val="69694587"/>
        <w:rPr>
          <w:rFonts w:eastAsia="Times New Roman"/>
        </w:rPr>
      </w:pPr>
      <w:r>
        <w:rPr>
          <w:rFonts w:eastAsia="Times New Roman"/>
          <w:color w:val="000000"/>
          <w:sz w:val="20"/>
          <w:szCs w:val="20"/>
        </w:rPr>
        <w:t>31</w:t>
      </w:r>
    </w:p>
    <w:p w:rsidR="00000000" w:rsidRDefault="006F0EF5">
      <w:pPr>
        <w:rPr>
          <w:rFonts w:eastAsia="Times New Roman"/>
        </w:rPr>
      </w:pPr>
      <w:r>
        <w:rPr>
          <w:rFonts w:eastAsia="Times New Roman"/>
        </w:rPr>
        <w:pict>
          <v:rect id="_x0000_i1060" style="width:0;height:1.5pt" o:hralign="center" o:hrstd="t" o:hr="t" fillcolor="#a0a0a0" stroked="f"/>
        </w:pict>
      </w:r>
    </w:p>
    <w:p w:rsidR="00000000" w:rsidRDefault="006F0EF5">
      <w:pPr>
        <w:divId w:val="76565810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2082100984"/>
        <w:rPr>
          <w:rFonts w:eastAsia="Times New Roman"/>
        </w:rPr>
      </w:pPr>
    </w:p>
    <w:p w:rsidR="00000000" w:rsidRDefault="006F0EF5">
      <w:pPr>
        <w:ind w:hanging="720"/>
        <w:divId w:val="228687163"/>
        <w:rPr>
          <w:rFonts w:eastAsia="Times New Roman"/>
        </w:rPr>
      </w:pPr>
      <w:r>
        <w:rPr>
          <w:rFonts w:eastAsia="Times New Roman"/>
          <w:b/>
          <w:bCs/>
          <w:color w:val="000000"/>
          <w:sz w:val="20"/>
          <w:szCs w:val="20"/>
        </w:rPr>
        <w:t>Item 7.    </w:t>
      </w:r>
      <w:r>
        <w:rPr>
          <w:rFonts w:eastAsia="Times New Roman"/>
          <w:b/>
          <w:bCs/>
          <w:color w:val="000000"/>
          <w:sz w:val="20"/>
          <w:szCs w:val="20"/>
        </w:rPr>
        <w:t>MANAGEMENT'S DISCUSSION AND ANALYSIS OF FINANCIAL CONDITION AND RESULTS OF OPERATIONS (“MD&amp;A”)</w:t>
      </w:r>
    </w:p>
    <w:p w:rsidR="00000000" w:rsidRDefault="006F0EF5">
      <w:pPr>
        <w:ind w:hanging="720"/>
        <w:divId w:val="1645350161"/>
        <w:rPr>
          <w:rFonts w:eastAsia="Times New Roman"/>
        </w:rPr>
      </w:pPr>
    </w:p>
    <w:p w:rsidR="00000000" w:rsidRDefault="006F0EF5">
      <w:pPr>
        <w:jc w:val="both"/>
        <w:rPr>
          <w:rFonts w:eastAsia="Times New Roman"/>
        </w:rPr>
      </w:pPr>
      <w:r>
        <w:rPr>
          <w:rFonts w:eastAsia="Times New Roman"/>
          <w:i/>
          <w:iCs/>
          <w:color w:val="000000"/>
          <w:sz w:val="20"/>
          <w:szCs w:val="20"/>
        </w:rPr>
        <w:t>This section should be read in conjunction with the audited Consolidated Financial Statements and related Notes included in Item 8 of Part II of this Report. M</w:t>
      </w:r>
      <w:r>
        <w:rPr>
          <w:rFonts w:eastAsia="Times New Roman"/>
          <w:i/>
          <w:iCs/>
          <w:color w:val="000000"/>
          <w:sz w:val="20"/>
          <w:szCs w:val="20"/>
        </w:rPr>
        <w:t>anagement's Discussion and Analysis of Financial Condition and Results of Operations contains forward-looking statements. See “Forward-Looking Statements</w:t>
      </w:r>
      <w:r>
        <w:rPr>
          <w:rFonts w:eastAsia="Times New Roman"/>
          <w:color w:val="000000"/>
          <w:sz w:val="20"/>
          <w:szCs w:val="20"/>
        </w:rPr>
        <w:t>”</w:t>
      </w:r>
      <w:r>
        <w:rPr>
          <w:rFonts w:eastAsia="Times New Roman"/>
          <w:i/>
          <w:iCs/>
          <w:color w:val="000000"/>
          <w:sz w:val="20"/>
          <w:szCs w:val="20"/>
        </w:rPr>
        <w:t xml:space="preserve"> and “Risk Factors</w:t>
      </w:r>
      <w:r>
        <w:rPr>
          <w:rFonts w:eastAsia="Times New Roman"/>
          <w:color w:val="000000"/>
          <w:sz w:val="20"/>
          <w:szCs w:val="20"/>
        </w:rPr>
        <w:t>”</w:t>
      </w:r>
      <w:r>
        <w:rPr>
          <w:rFonts w:eastAsia="Times New Roman"/>
          <w:i/>
          <w:iCs/>
          <w:color w:val="000000"/>
          <w:sz w:val="20"/>
          <w:szCs w:val="20"/>
        </w:rPr>
        <w:t xml:space="preserve"> in Item 1A of this Annual Report for a discussion of the uncertainties, risks and </w:t>
      </w:r>
      <w:r>
        <w:rPr>
          <w:rFonts w:eastAsia="Times New Roman"/>
          <w:i/>
          <w:iCs/>
          <w:color w:val="000000"/>
          <w:sz w:val="20"/>
          <w:szCs w:val="20"/>
        </w:rPr>
        <w:t>assumptions associated with these forward-looking statements that could cause future results to differ materially from those reflected in this section.</w:t>
      </w:r>
    </w:p>
    <w:p w:rsidR="00000000" w:rsidRDefault="006F0EF5">
      <w:pPr>
        <w:ind w:hanging="720"/>
        <w:jc w:val="both"/>
        <w:rPr>
          <w:rFonts w:eastAsia="Times New Roman"/>
        </w:rPr>
      </w:pPr>
    </w:p>
    <w:p w:rsidR="00000000" w:rsidRDefault="006F0EF5">
      <w:pPr>
        <w:jc w:val="both"/>
        <w:rPr>
          <w:rFonts w:eastAsia="Times New Roman"/>
        </w:rPr>
      </w:pPr>
      <w:r>
        <w:rPr>
          <w:rFonts w:eastAsia="Times New Roman"/>
          <w:color w:val="000000"/>
          <w:sz w:val="20"/>
          <w:szCs w:val="20"/>
        </w:rPr>
        <w:t xml:space="preserve">Our discussion within MD&amp;A is organized as follows: </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Overview. </w:t>
      </w:r>
      <w:r>
        <w:rPr>
          <w:rFonts w:eastAsia="Times New Roman"/>
          <w:color w:val="000000"/>
          <w:sz w:val="20"/>
          <w:szCs w:val="20"/>
        </w:rPr>
        <w:t>This section contains background inf</w:t>
      </w:r>
      <w:r>
        <w:rPr>
          <w:rFonts w:eastAsia="Times New Roman"/>
          <w:color w:val="000000"/>
          <w:sz w:val="20"/>
          <w:szCs w:val="20"/>
        </w:rPr>
        <w:t>ormation on our Company and a summary of significant themes and events during the year as well as strategic initiatives and trends in order to provide context for management’s discussion and analysis of our financial condition and results of operations.</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w:t>
      </w:r>
      <w:r>
        <w:rPr>
          <w:rFonts w:eastAsia="Times New Roman"/>
          <w:i/>
          <w:iCs/>
          <w:color w:val="000000"/>
          <w:sz w:val="20"/>
          <w:szCs w:val="20"/>
        </w:rPr>
        <w:t>Results of operations.</w:t>
      </w:r>
      <w:r>
        <w:rPr>
          <w:rFonts w:eastAsia="Times New Roman"/>
          <w:color w:val="000000"/>
          <w:sz w:val="20"/>
          <w:szCs w:val="20"/>
        </w:rPr>
        <w:t xml:space="preserve"> This section contains an analysis of our results of operations presented in the accompanying Consolidated Statements of Operations by comparing the results for the year ended December 31, 2021 to the results for the year ended Decem</w:t>
      </w:r>
      <w:r>
        <w:rPr>
          <w:rFonts w:eastAsia="Times New Roman"/>
          <w:color w:val="000000"/>
          <w:sz w:val="20"/>
          <w:szCs w:val="20"/>
        </w:rPr>
        <w:t>ber 31, 2020. On June 21, 2021, we completed the acquisition of Cardtronics plc (“Cardtronics”), which is included in the Banking segment results. For management's discussion of our results of operations for the year ended December 31, 2020 in comparison w</w:t>
      </w:r>
      <w:r>
        <w:rPr>
          <w:rFonts w:eastAsia="Times New Roman"/>
          <w:color w:val="000000"/>
          <w:sz w:val="20"/>
          <w:szCs w:val="20"/>
        </w:rPr>
        <w:t>ith the year ended December 31, 2019, please see our Annual Report on Form 10-K filed with the SEC on February 26, 2021.</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w:t>
      </w:r>
      <w:r>
        <w:rPr>
          <w:rFonts w:eastAsia="Times New Roman"/>
          <w:i/>
          <w:iCs/>
          <w:color w:val="000000"/>
          <w:sz w:val="20"/>
          <w:szCs w:val="20"/>
        </w:rPr>
        <w:t>Liquidity and capital resources.</w:t>
      </w:r>
      <w:r>
        <w:rPr>
          <w:rFonts w:eastAsia="Times New Roman"/>
          <w:color w:val="000000"/>
          <w:sz w:val="20"/>
          <w:szCs w:val="20"/>
        </w:rPr>
        <w:t xml:space="preserve"> This section provides an analysis of our cash flows and a discussion of our contractual obligations</w:t>
      </w:r>
      <w:r>
        <w:rPr>
          <w:rFonts w:eastAsia="Times New Roman"/>
          <w:color w:val="000000"/>
          <w:sz w:val="20"/>
          <w:szCs w:val="20"/>
        </w:rPr>
        <w:t xml:space="preserve"> at December 31, 2021.</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i/>
          <w:iCs/>
          <w:color w:val="000000"/>
          <w:sz w:val="20"/>
          <w:szCs w:val="20"/>
        </w:rPr>
        <w:t xml:space="preserve">•Critical accounting estimates. </w:t>
      </w:r>
      <w:r>
        <w:rPr>
          <w:rFonts w:eastAsia="Times New Roman"/>
          <w:color w:val="000000"/>
          <w:sz w:val="20"/>
          <w:szCs w:val="20"/>
        </w:rPr>
        <w:t>This section contains a discussion of the accounting policies that we believe are important to our financial condition and results of operations and that require judgment and estimates on the part of</w:t>
      </w:r>
      <w:r>
        <w:rPr>
          <w:rFonts w:eastAsia="Times New Roman"/>
          <w:color w:val="000000"/>
          <w:sz w:val="20"/>
          <w:szCs w:val="20"/>
        </w:rPr>
        <w:t xml:space="preserve"> management in their application. In addition, all of our significant accounting policies, including critical accounting policies, are summarized in Note 1, “Basis of Presentation and Significant Accounting Policies”, in the Notes to Consolidated Financial</w:t>
      </w:r>
      <w:r>
        <w:rPr>
          <w:rFonts w:eastAsia="Times New Roman"/>
          <w:color w:val="000000"/>
          <w:sz w:val="20"/>
          <w:szCs w:val="20"/>
        </w:rPr>
        <w:t xml:space="preserve"> Statements in Item 8 of Part II of this Report.</w:t>
      </w:r>
    </w:p>
    <w:p w:rsidR="00000000" w:rsidRDefault="006F0EF5">
      <w:pPr>
        <w:jc w:val="both"/>
        <w:rPr>
          <w:rFonts w:eastAsia="Times New Roman"/>
        </w:rPr>
      </w:pPr>
    </w:p>
    <w:p w:rsidR="00000000" w:rsidRDefault="006F0EF5">
      <w:pPr>
        <w:jc w:val="both"/>
        <w:rPr>
          <w:rFonts w:eastAsia="Times New Roman"/>
        </w:rPr>
      </w:pPr>
    </w:p>
    <w:p w:rsidR="00000000" w:rsidRDefault="006F0EF5">
      <w:pPr>
        <w:ind w:hanging="720"/>
        <w:divId w:val="1308239632"/>
        <w:rPr>
          <w:rFonts w:eastAsia="Times New Roman"/>
        </w:rPr>
      </w:pPr>
    </w:p>
    <w:p w:rsidR="00000000" w:rsidRDefault="006F0EF5">
      <w:pPr>
        <w:ind w:hanging="720"/>
        <w:jc w:val="both"/>
        <w:rPr>
          <w:rFonts w:eastAsia="Times New Roman"/>
        </w:rPr>
      </w:pPr>
      <w:r>
        <w:rPr>
          <w:rFonts w:eastAsia="Times New Roman"/>
          <w:b/>
          <w:bCs/>
          <w:color w:val="000000"/>
          <w:sz w:val="20"/>
          <w:szCs w:val="20"/>
        </w:rPr>
        <w:t>OVERVIEW</w:t>
      </w:r>
    </w:p>
    <w:p w:rsidR="00000000" w:rsidRDefault="006F0EF5">
      <w:pPr>
        <w:ind w:hanging="720"/>
        <w:jc w:val="both"/>
        <w:rPr>
          <w:rFonts w:eastAsia="Times New Roman"/>
        </w:rPr>
      </w:pPr>
    </w:p>
    <w:p w:rsidR="00000000" w:rsidRDefault="006F0EF5">
      <w:pPr>
        <w:jc w:val="both"/>
        <w:rPr>
          <w:rFonts w:eastAsia="Times New Roman"/>
        </w:rPr>
      </w:pPr>
      <w:r>
        <w:rPr>
          <w:rFonts w:eastAsia="Times New Roman"/>
          <w:b/>
          <w:bCs/>
          <w:i/>
          <w:iCs/>
          <w:color w:val="000000"/>
          <w:sz w:val="20"/>
          <w:szCs w:val="20"/>
        </w:rPr>
        <w:t>BUSINESS OVERVIEW</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is a software- and services-led enterprise technology provider that runs stores, restaurants and self-directed banking for our customers. Our software platform, which</w:t>
      </w:r>
      <w:r>
        <w:rPr>
          <w:rFonts w:eastAsia="Times New Roman"/>
          <w:color w:val="000000"/>
          <w:sz w:val="20"/>
          <w:szCs w:val="20"/>
        </w:rPr>
        <w:t xml:space="preserve"> runs in the cloud and includes microservices and APIs that integrate with our customers' systems, and our NCR-as-a-Service solutions bring together all of the capabilities and competencies of NCR to power the technology to run our customers’ operations. W</w:t>
      </w:r>
      <w:r>
        <w:rPr>
          <w:rFonts w:eastAsia="Times New Roman"/>
          <w:color w:val="000000"/>
          <w:sz w:val="20"/>
          <w:szCs w:val="20"/>
        </w:rPr>
        <w:t>e serve customers in the banking, retail, hospitality, and telecommunications and technology (“T&amp;T”) industries. In this Report, we categorize our operations into the following segments: Banking, Retail, Hospitality, and T&amp;T. Each of our segments derives i</w:t>
      </w:r>
      <w:r>
        <w:rPr>
          <w:rFonts w:eastAsia="Times New Roman"/>
          <w:color w:val="000000"/>
          <w:sz w:val="20"/>
          <w:szCs w:val="20"/>
        </w:rPr>
        <w:t xml:space="preserve">ts revenue in each of the sales theaters in which NCR operates.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Effective January 1, 2022, the Company realigned its reportable segments to correspond with changes to its operating model, management structure and organizational responsibilities. The rep</w:t>
      </w:r>
      <w:r>
        <w:rPr>
          <w:rFonts w:eastAsia="Times New Roman"/>
          <w:color w:val="000000"/>
          <w:sz w:val="20"/>
          <w:szCs w:val="20"/>
        </w:rPr>
        <w:t>ortable segments effective January 1, 2022 include: Payments &amp; Network; Digital Banking; Self-Service Banking; Retail; and Hospitality. Additionally, effective January 1, 2022, the expenses related to corporate functions that are not specifically attributa</w:t>
      </w:r>
      <w:r>
        <w:rPr>
          <w:rFonts w:eastAsia="Times New Roman"/>
          <w:color w:val="000000"/>
          <w:sz w:val="20"/>
          <w:szCs w:val="20"/>
        </w:rPr>
        <w:t xml:space="preserve">ble to an individual reportable segment along with any immaterial operating segment(s) are included in Corporate &amp; Other.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is a global company that is headquartered in Atlanta, Georgia. NCR’s reputation is founded upon over 137 years of providing quality products, services and solutions to our customers. At the heart of our customer and other business relationships is a co</w:t>
      </w:r>
      <w:r>
        <w:rPr>
          <w:rFonts w:eastAsia="Times New Roman"/>
          <w:color w:val="000000"/>
          <w:sz w:val="20"/>
          <w:szCs w:val="20"/>
        </w:rPr>
        <w:t>mmitment to acting responsibly, ethically and with the highest level of integrity. This commitment is reflected in NCR’s Code of Conduct, which is available on the Corporate Governance page of our website.</w:t>
      </w:r>
    </w:p>
    <w:p w:rsidR="00000000" w:rsidRDefault="006F0EF5">
      <w:pPr>
        <w:jc w:val="both"/>
        <w:rPr>
          <w:rFonts w:eastAsia="Times New Roman"/>
        </w:rPr>
      </w:pPr>
      <w:r>
        <w:rPr>
          <w:rFonts w:eastAsia="Times New Roman"/>
          <w:b/>
          <w:bCs/>
          <w:i/>
          <w:iCs/>
          <w:color w:val="000000"/>
          <w:sz w:val="20"/>
          <w:szCs w:val="20"/>
        </w:rPr>
        <w:t>SIGNIFICANT THEMES AND EVENTS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more fully disc</w:t>
      </w:r>
      <w:r>
        <w:rPr>
          <w:rFonts w:eastAsia="Times New Roman"/>
          <w:color w:val="000000"/>
          <w:sz w:val="20"/>
          <w:szCs w:val="20"/>
        </w:rPr>
        <w:t>ussed in later sections of this MD&amp;A, the following were significant themes and events for 2021.</w:t>
      </w:r>
    </w:p>
    <w:p w:rsidR="00000000" w:rsidRDefault="006F0EF5">
      <w:pPr>
        <w:jc w:val="center"/>
        <w:divId w:val="298072970"/>
        <w:rPr>
          <w:rFonts w:eastAsia="Times New Roman"/>
        </w:rPr>
      </w:pPr>
      <w:r>
        <w:rPr>
          <w:rFonts w:eastAsia="Times New Roman"/>
          <w:color w:val="000000"/>
          <w:sz w:val="20"/>
          <w:szCs w:val="20"/>
        </w:rPr>
        <w:t>32</w:t>
      </w:r>
    </w:p>
    <w:p w:rsidR="00000000" w:rsidRDefault="006F0EF5">
      <w:pPr>
        <w:rPr>
          <w:rFonts w:eastAsia="Times New Roman"/>
        </w:rPr>
      </w:pPr>
      <w:r>
        <w:rPr>
          <w:rFonts w:eastAsia="Times New Roman"/>
        </w:rPr>
        <w:pict>
          <v:rect id="_x0000_i1061" style="width:0;height:1.5pt" o:hralign="center" o:hrstd="t" o:hr="t" fillcolor="#a0a0a0" stroked="f"/>
        </w:pict>
      </w:r>
    </w:p>
    <w:p w:rsidR="00000000" w:rsidRDefault="006F0EF5">
      <w:pPr>
        <w:divId w:val="79653395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003821373"/>
        <w:rPr>
          <w:rFonts w:eastAsia="Times New Roman"/>
        </w:rPr>
      </w:pP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•Revenue increased 15% from the prior y</w:t>
      </w:r>
      <w:r>
        <w:rPr>
          <w:rFonts w:eastAsia="Times New Roman"/>
          <w:color w:val="000000"/>
          <w:sz w:val="20"/>
          <w:szCs w:val="20"/>
        </w:rPr>
        <w:t xml:space="preserve">ear due to overall growth across the Banking, Retail and Hospitality segments </w:t>
      </w:r>
    </w:p>
    <w:p w:rsidR="00000000" w:rsidRDefault="006F0EF5">
      <w:pPr>
        <w:ind w:hanging="360"/>
        <w:jc w:val="both"/>
        <w:rPr>
          <w:rFonts w:eastAsia="Times New Roman"/>
        </w:rPr>
      </w:pPr>
      <w:r>
        <w:rPr>
          <w:rFonts w:eastAsia="Times New Roman"/>
          <w:color w:val="000000"/>
          <w:sz w:val="20"/>
          <w:szCs w:val="20"/>
        </w:rPr>
        <w:t>◦</w:t>
      </w:r>
      <w:r>
        <w:rPr>
          <w:rFonts w:eastAsia="Times New Roman"/>
          <w:color w:val="000000"/>
          <w:sz w:val="20"/>
          <w:szCs w:val="20"/>
        </w:rPr>
        <w:t>Software and services revenue represented 73% of total consolidated revenue</w:t>
      </w:r>
    </w:p>
    <w:p w:rsidR="00000000" w:rsidRDefault="006F0EF5">
      <w:pPr>
        <w:ind w:hanging="360"/>
        <w:jc w:val="both"/>
        <w:rPr>
          <w:rFonts w:eastAsia="Times New Roman"/>
        </w:rPr>
      </w:pPr>
      <w:r>
        <w:rPr>
          <w:rFonts w:eastAsia="Times New Roman"/>
          <w:color w:val="000000"/>
          <w:sz w:val="20"/>
          <w:szCs w:val="20"/>
        </w:rPr>
        <w:t>◦</w:t>
      </w:r>
      <w:r>
        <w:rPr>
          <w:rFonts w:eastAsia="Times New Roman"/>
          <w:color w:val="000000"/>
          <w:sz w:val="20"/>
          <w:szCs w:val="20"/>
        </w:rPr>
        <w:t>Recurring revenue increased 25% from the prior year and comprised 58% of total consolidated revenue</w:t>
      </w:r>
    </w:p>
    <w:p w:rsidR="00000000" w:rsidRDefault="006F0EF5">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Completed acquisition of Cardtronics on June 21, 2021, the world's largest non-bank ATM operator and services provider, and the acquisition of LibertyX on January 5, 2022, a leading cryptocurrency software provider; </w:t>
      </w:r>
    </w:p>
    <w:p w:rsidR="00000000" w:rsidRDefault="006F0EF5">
      <w:pPr>
        <w:ind w:hanging="360"/>
        <w:jc w:val="both"/>
        <w:rPr>
          <w:rFonts w:eastAsia="Times New Roman"/>
        </w:rPr>
      </w:pPr>
      <w:r>
        <w:rPr>
          <w:rFonts w:eastAsia="Times New Roman"/>
          <w:color w:val="000000"/>
          <w:sz w:val="20"/>
          <w:szCs w:val="20"/>
        </w:rPr>
        <w:t>•Completed various financing transactio</w:t>
      </w:r>
      <w:r>
        <w:rPr>
          <w:rFonts w:eastAsia="Times New Roman"/>
          <w:color w:val="000000"/>
          <w:sz w:val="20"/>
          <w:szCs w:val="20"/>
        </w:rPr>
        <w:t>ns related to the acquisition of Cardtronics, redeemed note due in 2025 to reduce interest expense, and subsequently reduced leverage; and</w:t>
      </w:r>
    </w:p>
    <w:p w:rsidR="00000000" w:rsidRDefault="006F0EF5">
      <w:pPr>
        <w:ind w:hanging="360"/>
        <w:jc w:val="both"/>
        <w:rPr>
          <w:rFonts w:eastAsia="Times New Roman"/>
        </w:rPr>
      </w:pPr>
      <w:r>
        <w:rPr>
          <w:rFonts w:eastAsia="Times New Roman"/>
          <w:i/>
          <w:iCs/>
          <w:color w:val="000000"/>
          <w:sz w:val="20"/>
          <w:szCs w:val="20"/>
        </w:rPr>
        <w:t>•</w:t>
      </w:r>
      <w:r>
        <w:rPr>
          <w:rFonts w:eastAsia="Times New Roman"/>
          <w:color w:val="000000"/>
          <w:sz w:val="20"/>
          <w:szCs w:val="20"/>
        </w:rPr>
        <w:t>Announced aspirational five-year goals for 2026, which include annual recurring revenue of 80 percent by 2026, annua</w:t>
      </w:r>
      <w:r>
        <w:rPr>
          <w:rFonts w:eastAsia="Times New Roman"/>
          <w:color w:val="000000"/>
          <w:sz w:val="20"/>
          <w:szCs w:val="20"/>
        </w:rPr>
        <w:t>l non-GAAP earnings per share (“non-GAAP EPS”</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growth of 15 percent, and annual free cash flo</w:t>
      </w:r>
      <w:r>
        <w:rPr>
          <w:rFonts w:eastAsia="Times New Roman"/>
          <w:color w:val="000000"/>
          <w:sz w:val="20"/>
          <w:szCs w:val="20"/>
        </w:rPr>
        <w:t>w</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of $1 billion in 2026</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With respect to our goals of free cash flow and non-GAAP EPS growth, we are not providing a reconciliation to the respective GA</w:t>
      </w:r>
      <w:r>
        <w:rPr>
          <w:rFonts w:eastAsia="Times New Roman"/>
          <w:color w:val="000000"/>
          <w:sz w:val="14"/>
          <w:szCs w:val="14"/>
        </w:rPr>
        <w:t xml:space="preserve">AP measure because we are unable to predict with reasonable certainty the reconciling items that may affect GAAP EPS and Cash flow from operations without unreasonable effort.. For the definition of non-GAAP EPS, see the Our Strategy section within Item 1 </w:t>
      </w:r>
      <w:r>
        <w:rPr>
          <w:rFonts w:eastAsia="Times New Roman"/>
          <w:color w:val="000000"/>
          <w:sz w:val="14"/>
          <w:szCs w:val="14"/>
        </w:rPr>
        <w:t>of this Report. For our definition of free cash flow, see the Financial Condition, Liquidity and Capital Resources section later in MD&amp;A.</w:t>
      </w: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STRATEGIC INITIATIVES AND TRENDS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order to provide long-term value to all our stakeholders, we set complemen</w:t>
      </w:r>
      <w:r>
        <w:rPr>
          <w:rFonts w:eastAsia="Times New Roman"/>
          <w:color w:val="000000"/>
          <w:sz w:val="20"/>
          <w:szCs w:val="20"/>
        </w:rPr>
        <w:t xml:space="preserve">tary business goals and financial strategies. NCR is continuing its transition to become a software platform and payments company with a shift to a higher level of recurring revenue. Our business goal is to be a leading enterprise technology provider that </w:t>
      </w:r>
      <w:r>
        <w:rPr>
          <w:rFonts w:eastAsia="Times New Roman"/>
          <w:color w:val="000000"/>
          <w:sz w:val="20"/>
          <w:szCs w:val="20"/>
        </w:rPr>
        <w:t>runs stores, restaurants and self-directed banking through our software platform and our NCR-as-a-Service solutions. In late 2018, we set five-year strategic goals, originally set as 2024 targets. These included to transition our revenue mix so that 80 per</w:t>
      </w:r>
      <w:r>
        <w:rPr>
          <w:rFonts w:eastAsia="Times New Roman"/>
          <w:color w:val="000000"/>
          <w:sz w:val="20"/>
          <w:szCs w:val="20"/>
        </w:rPr>
        <w:t>cent of our total revenue is comprised of software and services revenue, 60 percent of our total revenue is comprised of recurring revenue, and our adjusted EBITDA margin rate increases to 20 percent. Since we were near achieving those goals, in late 2021,</w:t>
      </w:r>
      <w:r>
        <w:rPr>
          <w:rFonts w:eastAsia="Times New Roman"/>
          <w:color w:val="000000"/>
          <w:sz w:val="20"/>
          <w:szCs w:val="20"/>
        </w:rPr>
        <w:t xml:space="preserve"> we established aspirational five-year goals for 2026, which include annual recurring revenue of 80 percent by 2026, annual earnings per share (non-GAAP EPS) growth of 15 percent, and annual non-GAAP free cash flow of $1 billion in 2026. Execution of our g</w:t>
      </w:r>
      <w:r>
        <w:rPr>
          <w:rFonts w:eastAsia="Times New Roman"/>
          <w:color w:val="000000"/>
          <w:sz w:val="20"/>
          <w:szCs w:val="20"/>
        </w:rPr>
        <w:t>oals and strategy is driven by the following key pillars: (i) focus on our customers; (ii) take care of our employees; (iii) bring high-quality, innovative products to market; and (iv) leverage our brand.</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we strive to achieve these aspirational five-y</w:t>
      </w:r>
      <w:r>
        <w:rPr>
          <w:rFonts w:eastAsia="Times New Roman"/>
          <w:color w:val="000000"/>
          <w:sz w:val="20"/>
          <w:szCs w:val="20"/>
        </w:rPr>
        <w:t>ear goals, we plan to capitalize on opportunities presented by the acquisitions of Cardtronics and LibertyX to accelerate our Payments &amp; Network business as we go to market with a more robust offering in this segment. We also plan to continue to improve ou</w:t>
      </w:r>
      <w:r>
        <w:rPr>
          <w:rFonts w:eastAsia="Times New Roman"/>
          <w:color w:val="000000"/>
          <w:sz w:val="20"/>
          <w:szCs w:val="20"/>
        </w:rPr>
        <w:t xml:space="preserve">r execution to drive solid returns and to transform our business to drive a re-rate of our valuation.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February 8, 2022, NCR announced that its Board of Directors unanimously approved commencing a comprehensive strategic review, with the assistance of</w:t>
      </w:r>
      <w:r>
        <w:rPr>
          <w:rFonts w:eastAsia="Times New Roman"/>
          <w:color w:val="000000"/>
          <w:sz w:val="20"/>
          <w:szCs w:val="20"/>
        </w:rPr>
        <w:t xml:space="preserve"> outside advisors, which will evaluate a full range of strategic alternatives available to NCR to enhance value for all shareholders. Those strategic alternatives could include a disposition of a material business or assets of the Company, a spin-off, merg</w:t>
      </w:r>
      <w:r>
        <w:rPr>
          <w:rFonts w:eastAsia="Times New Roman"/>
          <w:color w:val="000000"/>
          <w:sz w:val="20"/>
          <w:szCs w:val="20"/>
        </w:rPr>
        <w:t>er or sale of the Company, other structural changes, changes to branding or geographic footprint or other transactions or alternatives. The Board has not set a timetable for the conclusion of its review of strategic alternatives. NCR does not intend to com</w:t>
      </w:r>
      <w:r>
        <w:rPr>
          <w:rFonts w:eastAsia="Times New Roman"/>
          <w:color w:val="000000"/>
          <w:sz w:val="20"/>
          <w:szCs w:val="20"/>
        </w:rPr>
        <w:t>ment further on the strategic review process unless and until NCR has determined that further disclosure is beneficial or required by law. Shareholders are advised that there can be no certainty that the strategic review will result in a transaction, or if</w:t>
      </w:r>
      <w:r>
        <w:rPr>
          <w:rFonts w:eastAsia="Times New Roman"/>
          <w:color w:val="000000"/>
          <w:sz w:val="20"/>
          <w:szCs w:val="20"/>
        </w:rPr>
        <w:t xml:space="preserve"> a transaction is pursued that such a transaction will be completed.</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Cybersecurity Risk Management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Similar to most companies, NCR and its customers are subject to more frequent and increasingly sophisticated cybersecurity attacks. The Company maintains cybersecurity risk management policies and procedures including disclosure controls, which it regularl</w:t>
      </w:r>
      <w:r>
        <w:rPr>
          <w:rFonts w:eastAsia="Times New Roman"/>
          <w:color w:val="000000"/>
          <w:sz w:val="20"/>
          <w:szCs w:val="20"/>
        </w:rPr>
        <w:t>y evaluates for updates, for handling and responding to cybersecurity events. These policies and procedures include internal notifications and engagements and, as necessary, cooperation with law enforcement. Personnel involved in handling and responding to</w:t>
      </w:r>
      <w:r>
        <w:rPr>
          <w:rFonts w:eastAsia="Times New Roman"/>
          <w:color w:val="000000"/>
          <w:sz w:val="20"/>
          <w:szCs w:val="20"/>
        </w:rPr>
        <w:t xml:space="preserve"> cybersecurity events periodically undertake tabletop exercises to simulate an event. Our internal notification procedures include notifying the applicable Company attorneys, which, depending on the level of severity assigned to the event, may include dire</w:t>
      </w:r>
      <w:r>
        <w:rPr>
          <w:rFonts w:eastAsia="Times New Roman"/>
          <w:color w:val="000000"/>
          <w:sz w:val="20"/>
          <w:szCs w:val="20"/>
        </w:rPr>
        <w:t>ct notice to, among others, the Company’s General Counsel, Ethics &amp; Compliance Officer, and Chief Privacy Officer. Company attorneys support efforts to evaluate the materiality of any incidents, determine whether notice to third parties such as customers o</w:t>
      </w:r>
      <w:r>
        <w:rPr>
          <w:rFonts w:eastAsia="Times New Roman"/>
          <w:color w:val="000000"/>
          <w:sz w:val="20"/>
          <w:szCs w:val="20"/>
        </w:rPr>
        <w:t>r vendors is required, determine whether any prohibition on insider trading is appropriate, and assess whether disclosure to stockholders or governmental filings, including with the SEC, are required. Our internal notification procedures also include notif</w:t>
      </w:r>
      <w:r>
        <w:rPr>
          <w:rFonts w:eastAsia="Times New Roman"/>
          <w:color w:val="000000"/>
          <w:sz w:val="20"/>
          <w:szCs w:val="20"/>
        </w:rPr>
        <w:t>ying various NCR Information Technology Services managers, subject matter experts in the Company’s software department and Company leadership, depending on the level of severity assigned to the event.</w:t>
      </w:r>
    </w:p>
    <w:p w:rsidR="00000000" w:rsidRDefault="006F0EF5">
      <w:pPr>
        <w:jc w:val="center"/>
        <w:divId w:val="2010592725"/>
        <w:rPr>
          <w:rFonts w:eastAsia="Times New Roman"/>
        </w:rPr>
      </w:pPr>
      <w:r>
        <w:rPr>
          <w:rFonts w:eastAsia="Times New Roman"/>
          <w:color w:val="000000"/>
          <w:sz w:val="20"/>
          <w:szCs w:val="20"/>
        </w:rPr>
        <w:t>33</w:t>
      </w:r>
    </w:p>
    <w:p w:rsidR="00000000" w:rsidRDefault="006F0EF5">
      <w:pPr>
        <w:rPr>
          <w:rFonts w:eastAsia="Times New Roman"/>
        </w:rPr>
      </w:pPr>
      <w:r>
        <w:rPr>
          <w:rFonts w:eastAsia="Times New Roman"/>
        </w:rPr>
        <w:pict>
          <v:rect id="_x0000_i1062" style="width:0;height:1.5pt" o:hralign="center" o:hrstd="t" o:hr="t" fillcolor="#a0a0a0" stroked="f"/>
        </w:pict>
      </w:r>
    </w:p>
    <w:p w:rsidR="00000000" w:rsidRDefault="006F0EF5">
      <w:pPr>
        <w:divId w:val="14493163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497377189"/>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For further information on potential risks and uncertainties see Item 1A “Risk Factors.”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IMPACTS FROM THE COVID-19 PANDEMIC</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continue to navigate through the challenging times presented</w:t>
      </w:r>
      <w:r>
        <w:rPr>
          <w:rFonts w:eastAsia="Times New Roman"/>
          <w:color w:val="000000"/>
          <w:sz w:val="20"/>
          <w:szCs w:val="20"/>
        </w:rPr>
        <w:t xml:space="preserve"> by COVID-19 with a sharp focus on and goal of safeguarding our employees, helping our customers and managing impacts on our supply chain. Despite the unprecedented environment, our teams are executing at a high level and we are advancing our strategy.</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w:t>
      </w:r>
      <w:r>
        <w:rPr>
          <w:rFonts w:eastAsia="Times New Roman"/>
          <w:color w:val="000000"/>
          <w:sz w:val="20"/>
          <w:szCs w:val="20"/>
        </w:rPr>
        <w:t xml:space="preserve">he COVID-19 pandemic is complex and continues to evolve, including the latest Omicron variant. While it is difficult to project the long-term impact of the pandemic, we expect it will negatively impact our business at least in the short-term. The ultimate </w:t>
      </w:r>
      <w:r>
        <w:rPr>
          <w:rFonts w:eastAsia="Times New Roman"/>
          <w:color w:val="000000"/>
          <w:sz w:val="20"/>
          <w:szCs w:val="20"/>
        </w:rPr>
        <w:t>impact on our overall financial condition and operating results will depend on the currently unknowable duration and severity of the pandemic, supply chain challenges and cost escalations including materials, labor and freight, and any additional governmen</w:t>
      </w:r>
      <w:r>
        <w:rPr>
          <w:rFonts w:eastAsia="Times New Roman"/>
          <w:color w:val="000000"/>
          <w:sz w:val="20"/>
          <w:szCs w:val="20"/>
        </w:rPr>
        <w:t>tal and public actions taken in response. We continue to evaluate the long-term impact that COVID-19 may have on our business model. There can be no assurance that the measures we have taken or will take will completely offset the negative impact of COVID-</w:t>
      </w:r>
      <w:r>
        <w:rPr>
          <w:rFonts w:eastAsia="Times New Roman"/>
          <w:color w:val="000000"/>
          <w:sz w:val="20"/>
          <w:szCs w:val="20"/>
        </w:rPr>
        <w:t>19.</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For further information on the risks posed to our business from the COVID-19 pandemic, refer to Item 1A of this Form 10-K.</w:t>
      </w:r>
    </w:p>
    <w:p w:rsidR="00000000" w:rsidRDefault="006F0EF5">
      <w:pPr>
        <w:jc w:val="both"/>
        <w:rPr>
          <w:rFonts w:eastAsia="Times New Roman"/>
        </w:rPr>
      </w:pPr>
    </w:p>
    <w:p w:rsidR="00000000" w:rsidRDefault="006F0EF5">
      <w:pPr>
        <w:divId w:val="1010983126"/>
        <w:rPr>
          <w:rFonts w:eastAsia="Times New Roman"/>
        </w:rPr>
      </w:pPr>
    </w:p>
    <w:p w:rsidR="00000000" w:rsidRDefault="006F0EF5">
      <w:pPr>
        <w:jc w:val="both"/>
        <w:rPr>
          <w:rFonts w:eastAsia="Times New Roman"/>
        </w:rPr>
      </w:pPr>
      <w:r>
        <w:rPr>
          <w:rFonts w:eastAsia="Times New Roman"/>
          <w:b/>
          <w:bCs/>
          <w:color w:val="000000"/>
          <w:sz w:val="20"/>
          <w:szCs w:val="20"/>
        </w:rPr>
        <w:t>RESULTS OF OPERATIONS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Key Strategic Financial Metrics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tables show our key strategic financial metrics for the years ended December 31, the relative percentage that those amounts represent to total revenue, and the change in those amounts year-over-year. The software and services revenue and recu</w:t>
      </w:r>
      <w:r>
        <w:rPr>
          <w:rFonts w:eastAsia="Times New Roman"/>
          <w:color w:val="000000"/>
          <w:sz w:val="20"/>
          <w:szCs w:val="20"/>
        </w:rPr>
        <w:t>rring revenue metrics below include the results of operations of Cardtronics for the period from the date of acquisition, June 21, 2021 to December 31, 2021.</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Software and services revenue as a percentage of total revenue</w:t>
      </w:r>
    </w:p>
    <w:p w:rsidR="00000000" w:rsidRDefault="006F0EF5">
      <w:pPr>
        <w:divId w:val="35870357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1790"/>
        <w:gridCol w:w="37"/>
        <w:gridCol w:w="36"/>
        <w:gridCol w:w="36"/>
        <w:gridCol w:w="36"/>
        <w:gridCol w:w="120"/>
        <w:gridCol w:w="512"/>
        <w:gridCol w:w="36"/>
        <w:gridCol w:w="36"/>
        <w:gridCol w:w="36"/>
        <w:gridCol w:w="36"/>
        <w:gridCol w:w="120"/>
        <w:gridCol w:w="512"/>
        <w:gridCol w:w="36"/>
        <w:gridCol w:w="36"/>
        <w:gridCol w:w="36"/>
        <w:gridCol w:w="36"/>
        <w:gridCol w:w="120"/>
        <w:gridCol w:w="512"/>
        <w:gridCol w:w="36"/>
        <w:gridCol w:w="36"/>
        <w:gridCol w:w="36"/>
        <w:gridCol w:w="36"/>
        <w:gridCol w:w="63"/>
        <w:gridCol w:w="457"/>
        <w:gridCol w:w="188"/>
        <w:gridCol w:w="36"/>
        <w:gridCol w:w="36"/>
        <w:gridCol w:w="36"/>
        <w:gridCol w:w="63"/>
        <w:gridCol w:w="457"/>
        <w:gridCol w:w="188"/>
        <w:gridCol w:w="36"/>
        <w:gridCol w:w="36"/>
        <w:gridCol w:w="36"/>
        <w:gridCol w:w="63"/>
        <w:gridCol w:w="457"/>
        <w:gridCol w:w="188"/>
        <w:gridCol w:w="36"/>
        <w:gridCol w:w="36"/>
        <w:gridCol w:w="36"/>
        <w:gridCol w:w="42"/>
        <w:gridCol w:w="508"/>
        <w:gridCol w:w="187"/>
        <w:gridCol w:w="36"/>
        <w:gridCol w:w="36"/>
        <w:gridCol w:w="36"/>
        <w:gridCol w:w="41"/>
        <w:gridCol w:w="479"/>
        <w:gridCol w:w="187"/>
      </w:tblGrid>
      <w:tr w:rsidR="00000000">
        <w:trPr>
          <w:divId w:val="327829562"/>
        </w:trPr>
        <w:tc>
          <w:tcPr>
            <w:tcW w:w="50" w:type="pct"/>
            <w:vAlign w:val="center"/>
            <w:hideMark/>
          </w:tcPr>
          <w:p w:rsidR="00000000" w:rsidRDefault="006F0EF5">
            <w:pPr>
              <w:rPr>
                <w:rFonts w:eastAsia="Times New Roman"/>
              </w:rPr>
            </w:pPr>
          </w:p>
        </w:tc>
        <w:tc>
          <w:tcPr>
            <w:tcW w:w="117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4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327829562"/>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Percentage of Total Revenue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Increase (Decrease)</w:t>
            </w:r>
          </w:p>
        </w:tc>
      </w:tr>
      <w:tr w:rsidR="00000000">
        <w:trPr>
          <w:divId w:val="327829562"/>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2020 v 2019</w:t>
            </w:r>
          </w:p>
        </w:tc>
      </w:tr>
      <w:tr w:rsidR="006F0EF5">
        <w:trPr>
          <w:divId w:val="327829562"/>
        </w:trPr>
        <w:tc>
          <w:tcPr>
            <w:tcW w:w="0" w:type="auto"/>
            <w:gridSpan w:val="3"/>
            <w:shd w:val="clear" w:color="auto" w:fill="FFFF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xml:space="preserve">Software &amp; </w:t>
            </w:r>
            <w:r>
              <w:rPr>
                <w:rFonts w:eastAsia="Times New Roman"/>
                <w:color w:val="000000"/>
                <w:sz w:val="20"/>
                <w:szCs w:val="20"/>
              </w:rPr>
              <w:t>Services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5,204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6F0EF5">
        <w:trPr>
          <w:divId w:val="327829562"/>
        </w:trPr>
        <w:tc>
          <w:tcPr>
            <w:tcW w:w="0" w:type="auto"/>
            <w:gridSpan w:val="3"/>
            <w:shd w:val="clear" w:color="auto" w:fill="CCEE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Hardware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1,952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1,755 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2,387 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28.3 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6F0EF5">
        <w:trPr>
          <w:divId w:val="327829562"/>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7,156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6,207 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divId w:val="107823533"/>
        <w:rPr>
          <w:rFonts w:eastAsia="Times New Roman"/>
        </w:rPr>
      </w:pPr>
    </w:p>
    <w:p w:rsidR="00000000" w:rsidRDefault="006F0EF5">
      <w:pPr>
        <w:ind w:hanging="360"/>
        <w:jc w:val="both"/>
        <w:rPr>
          <w:rFonts w:eastAsia="Times New Roman"/>
        </w:rPr>
      </w:pPr>
      <w:r>
        <w:rPr>
          <w:rFonts w:eastAsia="Times New Roman"/>
          <w:b/>
          <w:bCs/>
          <w:i/>
          <w:iCs/>
          <w:color w:val="000000"/>
          <w:sz w:val="20"/>
          <w:szCs w:val="20"/>
        </w:rPr>
        <w:t>Recurring revenue as a percentage of total revenue</w:t>
      </w:r>
    </w:p>
    <w:p w:rsidR="00000000" w:rsidRDefault="006F0EF5">
      <w:pPr>
        <w:divId w:val="47290958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794"/>
        <w:gridCol w:w="38"/>
        <w:gridCol w:w="36"/>
        <w:gridCol w:w="36"/>
        <w:gridCol w:w="36"/>
        <w:gridCol w:w="120"/>
        <w:gridCol w:w="512"/>
        <w:gridCol w:w="36"/>
        <w:gridCol w:w="36"/>
        <w:gridCol w:w="36"/>
        <w:gridCol w:w="36"/>
        <w:gridCol w:w="120"/>
        <w:gridCol w:w="512"/>
        <w:gridCol w:w="36"/>
        <w:gridCol w:w="36"/>
        <w:gridCol w:w="36"/>
        <w:gridCol w:w="36"/>
        <w:gridCol w:w="120"/>
        <w:gridCol w:w="512"/>
        <w:gridCol w:w="36"/>
        <w:gridCol w:w="36"/>
        <w:gridCol w:w="36"/>
        <w:gridCol w:w="36"/>
        <w:gridCol w:w="63"/>
        <w:gridCol w:w="457"/>
        <w:gridCol w:w="188"/>
        <w:gridCol w:w="36"/>
        <w:gridCol w:w="36"/>
        <w:gridCol w:w="36"/>
        <w:gridCol w:w="63"/>
        <w:gridCol w:w="457"/>
        <w:gridCol w:w="188"/>
        <w:gridCol w:w="36"/>
        <w:gridCol w:w="36"/>
        <w:gridCol w:w="36"/>
        <w:gridCol w:w="63"/>
        <w:gridCol w:w="457"/>
        <w:gridCol w:w="188"/>
        <w:gridCol w:w="36"/>
        <w:gridCol w:w="36"/>
        <w:gridCol w:w="36"/>
        <w:gridCol w:w="42"/>
        <w:gridCol w:w="507"/>
        <w:gridCol w:w="187"/>
        <w:gridCol w:w="36"/>
        <w:gridCol w:w="36"/>
        <w:gridCol w:w="36"/>
        <w:gridCol w:w="41"/>
        <w:gridCol w:w="479"/>
        <w:gridCol w:w="187"/>
      </w:tblGrid>
      <w:tr w:rsidR="00000000">
        <w:trPr>
          <w:divId w:val="1056051488"/>
        </w:trPr>
        <w:tc>
          <w:tcPr>
            <w:tcW w:w="50" w:type="pct"/>
            <w:vAlign w:val="center"/>
            <w:hideMark/>
          </w:tcPr>
          <w:p w:rsidR="00000000" w:rsidRDefault="006F0EF5">
            <w:pPr>
              <w:rPr>
                <w:rFonts w:eastAsia="Times New Roman"/>
              </w:rPr>
            </w:pPr>
          </w:p>
        </w:tc>
        <w:tc>
          <w:tcPr>
            <w:tcW w:w="117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4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056051488"/>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Percentage of Total Revenue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Increase (Decrease)</w:t>
            </w:r>
          </w:p>
        </w:tc>
      </w:tr>
      <w:tr w:rsidR="00000000">
        <w:trPr>
          <w:divId w:val="1056051488"/>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2020 v 2019</w:t>
            </w:r>
          </w:p>
        </w:tc>
      </w:tr>
      <w:tr w:rsidR="006F0EF5">
        <w:trPr>
          <w:divId w:val="1056051488"/>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divId w:val="1334063956"/>
              <w:rPr>
                <w:rFonts w:eastAsia="Times New Roman"/>
              </w:rPr>
            </w:pP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4,166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6F0EF5">
        <w:trPr>
          <w:divId w:val="1056051488"/>
        </w:trPr>
        <w:tc>
          <w:tcPr>
            <w:tcW w:w="0" w:type="auto"/>
            <w:gridSpan w:val="3"/>
            <w:shd w:val="clear" w:color="auto" w:fill="CCEE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All other products and services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2,990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2,869 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3,733 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41.8 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46.2 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54.0 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6F0EF5">
        <w:trPr>
          <w:divId w:val="1056051488"/>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7,156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6,207 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divId w:val="2090535073"/>
        <w:rPr>
          <w:rFonts w:eastAsia="Times New Roman"/>
        </w:rPr>
      </w:pPr>
    </w:p>
    <w:p w:rsidR="00000000" w:rsidRDefault="006F0EF5">
      <w:pPr>
        <w:ind w:hanging="270"/>
        <w:jc w:val="both"/>
        <w:rPr>
          <w:rFonts w:eastAsia="Times New Roman"/>
        </w:rPr>
      </w:pPr>
      <w:r>
        <w:rPr>
          <w:rFonts w:eastAsia="Times New Roman"/>
          <w:color w:val="000000"/>
          <w:sz w:val="9"/>
          <w:szCs w:val="9"/>
        </w:rPr>
        <w:t>(1)</w:t>
      </w:r>
      <w:r>
        <w:rPr>
          <w:rFonts w:eastAsia="Times New Roman"/>
          <w:color w:val="000000"/>
          <w:sz w:val="9"/>
          <w:szCs w:val="9"/>
        </w:rPr>
        <w:t xml:space="preserve"> </w:t>
      </w:r>
      <w:r>
        <w:rPr>
          <w:rFonts w:eastAsia="Times New Roman"/>
          <w:color w:val="000000"/>
          <w:sz w:val="14"/>
          <w:szCs w:val="14"/>
        </w:rPr>
        <w:t xml:space="preserve">Recurring revenue includes all revenue streams from contracts where </w:t>
      </w:r>
      <w:r>
        <w:rPr>
          <w:rFonts w:eastAsia="Times New Roman"/>
          <w:color w:val="000000"/>
          <w:sz w:val="14"/>
          <w:szCs w:val="14"/>
        </w:rPr>
        <w:t>there is a predictable revenue pattern that will occur at regular intervals with a relatively high degree of certainty. This includes hardware and software maintenance revenue, cloud revenue, payment processing revenue, and certain professional services ar</w:t>
      </w:r>
      <w:r>
        <w:rPr>
          <w:rFonts w:eastAsia="Times New Roman"/>
          <w:color w:val="000000"/>
          <w:sz w:val="14"/>
          <w:szCs w:val="14"/>
        </w:rPr>
        <w:t>rangements as well as term-based software license arrangements that include customer termination rights.</w:t>
      </w:r>
    </w:p>
    <w:p w:rsidR="00000000" w:rsidRDefault="006F0EF5">
      <w:pPr>
        <w:ind w:hanging="270"/>
        <w:jc w:val="both"/>
        <w:rPr>
          <w:rFonts w:eastAsia="Times New Roman"/>
        </w:rPr>
      </w:pPr>
    </w:p>
    <w:p w:rsidR="00000000" w:rsidRDefault="006F0EF5">
      <w:pPr>
        <w:ind w:hanging="360"/>
        <w:jc w:val="both"/>
        <w:rPr>
          <w:rFonts w:eastAsia="Times New Roman"/>
        </w:rPr>
      </w:pPr>
      <w:r>
        <w:rPr>
          <w:rFonts w:eastAsia="Times New Roman"/>
          <w:b/>
          <w:bCs/>
          <w:i/>
          <w:iCs/>
          <w:color w:val="000000"/>
          <w:sz w:val="20"/>
          <w:szCs w:val="20"/>
        </w:rPr>
        <w:t>Net income (loss) from continuing operation and adjusted EBITD</w:t>
      </w:r>
      <w:r>
        <w:rPr>
          <w:rFonts w:eastAsia="Times New Roman"/>
          <w:b/>
          <w:bCs/>
          <w:i/>
          <w:iCs/>
          <w:color w:val="000000"/>
          <w:sz w:val="20"/>
          <w:szCs w:val="20"/>
        </w:rPr>
        <w:t>A</w:t>
      </w:r>
      <w:r>
        <w:rPr>
          <w:rFonts w:eastAsia="Times New Roman"/>
          <w:color w:val="000000"/>
          <w:sz w:val="13"/>
          <w:szCs w:val="13"/>
        </w:rPr>
        <w:t>(1</w:t>
      </w:r>
      <w:r>
        <w:rPr>
          <w:rFonts w:eastAsia="Times New Roman"/>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as a percentage of total revenue</w:t>
      </w:r>
    </w:p>
    <w:p w:rsidR="00000000" w:rsidRDefault="006F0EF5">
      <w:pPr>
        <w:jc w:val="both"/>
        <w:rPr>
          <w:rFonts w:eastAsia="Times New Roman"/>
        </w:rPr>
      </w:pPr>
    </w:p>
    <w:p w:rsidR="00000000" w:rsidRDefault="006F0EF5">
      <w:pPr>
        <w:jc w:val="center"/>
        <w:divId w:val="563684135"/>
        <w:rPr>
          <w:rFonts w:eastAsia="Times New Roman"/>
        </w:rPr>
      </w:pPr>
      <w:r>
        <w:rPr>
          <w:rFonts w:eastAsia="Times New Roman"/>
          <w:color w:val="000000"/>
          <w:sz w:val="20"/>
          <w:szCs w:val="20"/>
        </w:rPr>
        <w:t>34</w:t>
      </w:r>
    </w:p>
    <w:p w:rsidR="00000000" w:rsidRDefault="006F0EF5">
      <w:pPr>
        <w:rPr>
          <w:rFonts w:eastAsia="Times New Roman"/>
        </w:rPr>
      </w:pPr>
      <w:r>
        <w:rPr>
          <w:rFonts w:eastAsia="Times New Roman"/>
        </w:rPr>
        <w:pict>
          <v:rect id="_x0000_i1063" style="width:0;height:1.5pt" o:hralign="center" o:hrstd="t" o:hr="t" fillcolor="#a0a0a0" stroked="f"/>
        </w:pict>
      </w:r>
    </w:p>
    <w:p w:rsidR="00000000" w:rsidRDefault="006F0EF5">
      <w:pPr>
        <w:divId w:val="78777145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03064775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1787"/>
        <w:gridCol w:w="37"/>
        <w:gridCol w:w="36"/>
        <w:gridCol w:w="36"/>
        <w:gridCol w:w="36"/>
        <w:gridCol w:w="120"/>
        <w:gridCol w:w="512"/>
        <w:gridCol w:w="36"/>
        <w:gridCol w:w="36"/>
        <w:gridCol w:w="36"/>
        <w:gridCol w:w="36"/>
        <w:gridCol w:w="120"/>
        <w:gridCol w:w="512"/>
        <w:gridCol w:w="36"/>
        <w:gridCol w:w="36"/>
        <w:gridCol w:w="36"/>
        <w:gridCol w:w="36"/>
        <w:gridCol w:w="120"/>
        <w:gridCol w:w="512"/>
        <w:gridCol w:w="36"/>
        <w:gridCol w:w="36"/>
        <w:gridCol w:w="36"/>
        <w:gridCol w:w="36"/>
        <w:gridCol w:w="63"/>
        <w:gridCol w:w="457"/>
        <w:gridCol w:w="188"/>
        <w:gridCol w:w="36"/>
        <w:gridCol w:w="36"/>
        <w:gridCol w:w="36"/>
        <w:gridCol w:w="63"/>
        <w:gridCol w:w="457"/>
        <w:gridCol w:w="188"/>
        <w:gridCol w:w="36"/>
        <w:gridCol w:w="36"/>
        <w:gridCol w:w="36"/>
        <w:gridCol w:w="63"/>
        <w:gridCol w:w="457"/>
        <w:gridCol w:w="188"/>
        <w:gridCol w:w="36"/>
        <w:gridCol w:w="36"/>
        <w:gridCol w:w="36"/>
        <w:gridCol w:w="42"/>
        <w:gridCol w:w="508"/>
        <w:gridCol w:w="187"/>
        <w:gridCol w:w="36"/>
        <w:gridCol w:w="36"/>
        <w:gridCol w:w="36"/>
        <w:gridCol w:w="48"/>
        <w:gridCol w:w="472"/>
        <w:gridCol w:w="187"/>
      </w:tblGrid>
      <w:tr w:rsidR="00000000">
        <w:tc>
          <w:tcPr>
            <w:tcW w:w="50" w:type="pct"/>
            <w:vAlign w:val="center"/>
            <w:hideMark/>
          </w:tcPr>
          <w:p w:rsidR="00000000" w:rsidRDefault="006F0EF5">
            <w:pPr>
              <w:rPr>
                <w:rFonts w:eastAsia="Times New Roman"/>
              </w:rPr>
            </w:pPr>
          </w:p>
        </w:tc>
        <w:tc>
          <w:tcPr>
            <w:tcW w:w="117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4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Percentage of Total Revenue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Increase (Decrease)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8"/>
                <w:szCs w:val="18"/>
              </w:rPr>
              <w:t>2020 v 2019</w:t>
            </w:r>
          </w:p>
        </w:tc>
      </w:tr>
      <w:tr w:rsidR="006F0EF5">
        <w:tc>
          <w:tcPr>
            <w:tcW w:w="0" w:type="auto"/>
            <w:gridSpan w:val="3"/>
            <w:shd w:val="clear" w:color="auto" w:fill="FFFF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7,156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6,207 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6F0EF5">
        <w:tc>
          <w:tcPr>
            <w:tcW w:w="0" w:type="auto"/>
            <w:gridSpan w:val="3"/>
            <w:shd w:val="clear" w:color="auto" w:fill="CCEE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income (loss)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n/m</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6F0EF5">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divId w:val="1769539161"/>
              <w:rPr>
                <w:rFonts w:eastAsia="Times New Roman"/>
              </w:rPr>
            </w:pPr>
            <w:r>
              <w:rPr>
                <w:rFonts w:eastAsia="Times New Roman"/>
                <w:color w:val="000000"/>
                <w:sz w:val="20"/>
                <w:szCs w:val="20"/>
              </w:rPr>
              <w:t>Adjusted EBITDA</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896 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1,058 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jc w:val="both"/>
        <w:rPr>
          <w:rFonts w:eastAsia="Times New Roman"/>
        </w:rPr>
      </w:pPr>
    </w:p>
    <w:p w:rsidR="00000000" w:rsidRDefault="006F0EF5">
      <w:pPr>
        <w:jc w:val="both"/>
        <w:rPr>
          <w:rFonts w:eastAsia="Times New Roman"/>
        </w:rPr>
      </w:pPr>
    </w:p>
    <w:p w:rsidR="00000000" w:rsidRDefault="006F0EF5">
      <w:pPr>
        <w:ind w:hanging="270"/>
        <w:jc w:val="both"/>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NCR's management uses the non-GAAP measure adjusted EBITDA because it provides useful information to investors as an indicator of strength and performance of the Company's ongoing business operations</w:t>
      </w:r>
      <w:r>
        <w:rPr>
          <w:rFonts w:eastAsia="Times New Roman"/>
          <w:color w:val="000000"/>
          <w:sz w:val="14"/>
          <w:szCs w:val="14"/>
        </w:rPr>
        <w:t>, including funding discretionary spending such as capital expenditures, strategic acquisitions, and other investments. NCR determines adjusted EBITDA based on GAAP net income (loss) from continuing operations attributable to NCR plus interest expense, net</w:t>
      </w:r>
      <w:r>
        <w:rPr>
          <w:rFonts w:eastAsia="Times New Roman"/>
          <w:color w:val="000000"/>
          <w:sz w:val="14"/>
          <w:szCs w:val="14"/>
        </w:rPr>
        <w:t xml:space="preserve">; plus income tax expense (benefit); plus depreciation and amortization; plus stock-based compensation expense; plus other income (expense); plus pension mark-to-market adjustments, pension settlements, pension curtailments and pension special termination </w:t>
      </w:r>
      <w:r>
        <w:rPr>
          <w:rFonts w:eastAsia="Times New Roman"/>
          <w:color w:val="000000"/>
          <w:sz w:val="14"/>
          <w:szCs w:val="14"/>
        </w:rPr>
        <w:t>benefits and other special items, including amortization of acquisition-related intangibles, restructuring charges, among others. Refer to the table below for the reconciliations of net income (loss) from continuing operations (GAAP) to adjusted EBITDA (no</w:t>
      </w:r>
      <w:r>
        <w:rPr>
          <w:rFonts w:eastAsia="Times New Roman"/>
          <w:color w:val="000000"/>
          <w:sz w:val="14"/>
          <w:szCs w:val="14"/>
        </w:rPr>
        <w:t>n-GAAP).</w:t>
      </w:r>
    </w:p>
    <w:p w:rsidR="00000000" w:rsidRDefault="006F0EF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782"/>
        <w:gridCol w:w="37"/>
        <w:gridCol w:w="120"/>
        <w:gridCol w:w="693"/>
        <w:gridCol w:w="36"/>
        <w:gridCol w:w="36"/>
        <w:gridCol w:w="36"/>
        <w:gridCol w:w="36"/>
        <w:gridCol w:w="120"/>
        <w:gridCol w:w="511"/>
        <w:gridCol w:w="36"/>
        <w:gridCol w:w="36"/>
        <w:gridCol w:w="36"/>
        <w:gridCol w:w="36"/>
        <w:gridCol w:w="120"/>
        <w:gridCol w:w="560"/>
        <w:gridCol w:w="36"/>
      </w:tblGrid>
      <w:tr w:rsidR="00000000">
        <w:tc>
          <w:tcPr>
            <w:tcW w:w="50" w:type="pct"/>
            <w:vAlign w:val="center"/>
            <w:hideMark/>
          </w:tcPr>
          <w:p w:rsidR="00000000" w:rsidRDefault="006F0EF5">
            <w:pPr>
              <w:jc w:val="both"/>
              <w:rPr>
                <w:rFonts w:eastAsia="Times New Roman"/>
              </w:rPr>
            </w:pPr>
          </w:p>
        </w:tc>
        <w:tc>
          <w:tcPr>
            <w:tcW w:w="351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4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Net income (loss) from continuing operations (GAAP)</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Pension mark-to-market adjustments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Transformation and restructuring costs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Acquisition-related amortization of intangibles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Acquisition-related (gains) costs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Internal reorganization and IP transfer</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Loss on debt extinguishment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Depreciation and amortization (excluding acquisition-related amortization of intangibles)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Adjusted EBITDA (non-GAAP)</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divId w:val="714505525"/>
        <w:rPr>
          <w:rFonts w:eastAsia="Times New Roman"/>
        </w:rPr>
      </w:pPr>
    </w:p>
    <w:p w:rsidR="00000000" w:rsidRDefault="006F0EF5">
      <w:pPr>
        <w:divId w:val="319581984"/>
        <w:rPr>
          <w:rFonts w:eastAsia="Times New Roman"/>
        </w:rPr>
      </w:pPr>
      <w:r>
        <w:rPr>
          <w:rFonts w:eastAsia="Times New Roman"/>
          <w:b/>
          <w:bCs/>
          <w:color w:val="000000"/>
          <w:sz w:val="20"/>
          <w:szCs w:val="20"/>
        </w:rPr>
        <w:t>Consolidated Results</w:t>
      </w:r>
    </w:p>
    <w:p w:rsidR="00000000" w:rsidRDefault="006F0EF5">
      <w:pPr>
        <w:divId w:val="1072435297"/>
        <w:rPr>
          <w:rFonts w:eastAsia="Times New Roman"/>
        </w:rPr>
      </w:pPr>
    </w:p>
    <w:p w:rsidR="00000000" w:rsidRDefault="006F0EF5">
      <w:pPr>
        <w:divId w:val="1471630497"/>
        <w:rPr>
          <w:rFonts w:eastAsia="Times New Roman"/>
        </w:rPr>
      </w:pPr>
      <w:r>
        <w:rPr>
          <w:rFonts w:eastAsia="Times New Roman"/>
          <w:color w:val="000000"/>
          <w:sz w:val="20"/>
          <w:szCs w:val="20"/>
        </w:rPr>
        <w:t xml:space="preserve">The following table shows our results for the years December 31, the relative percentage that those amounts represent to revenue, and the change in those amounts year-over-year. </w:t>
      </w:r>
    </w:p>
    <w:p w:rsidR="00000000" w:rsidRDefault="006F0EF5">
      <w:pPr>
        <w:divId w:val="146835627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1897"/>
        <w:gridCol w:w="38"/>
        <w:gridCol w:w="120"/>
        <w:gridCol w:w="570"/>
        <w:gridCol w:w="36"/>
        <w:gridCol w:w="36"/>
        <w:gridCol w:w="36"/>
        <w:gridCol w:w="36"/>
        <w:gridCol w:w="120"/>
        <w:gridCol w:w="500"/>
        <w:gridCol w:w="36"/>
        <w:gridCol w:w="36"/>
        <w:gridCol w:w="36"/>
        <w:gridCol w:w="36"/>
        <w:gridCol w:w="120"/>
        <w:gridCol w:w="500"/>
        <w:gridCol w:w="36"/>
        <w:gridCol w:w="36"/>
        <w:gridCol w:w="36"/>
        <w:gridCol w:w="36"/>
        <w:gridCol w:w="68"/>
        <w:gridCol w:w="452"/>
        <w:gridCol w:w="188"/>
        <w:gridCol w:w="36"/>
        <w:gridCol w:w="36"/>
        <w:gridCol w:w="36"/>
        <w:gridCol w:w="64"/>
        <w:gridCol w:w="456"/>
        <w:gridCol w:w="188"/>
        <w:gridCol w:w="36"/>
        <w:gridCol w:w="36"/>
        <w:gridCol w:w="36"/>
        <w:gridCol w:w="59"/>
        <w:gridCol w:w="461"/>
        <w:gridCol w:w="188"/>
        <w:gridCol w:w="36"/>
        <w:gridCol w:w="36"/>
        <w:gridCol w:w="36"/>
        <w:gridCol w:w="42"/>
        <w:gridCol w:w="499"/>
        <w:gridCol w:w="188"/>
        <w:gridCol w:w="37"/>
        <w:gridCol w:w="36"/>
        <w:gridCol w:w="36"/>
        <w:gridCol w:w="40"/>
        <w:gridCol w:w="449"/>
        <w:gridCol w:w="187"/>
      </w:tblGrid>
      <w:tr w:rsidR="00000000">
        <w:trPr>
          <w:divId w:val="767428306"/>
        </w:trPr>
        <w:tc>
          <w:tcPr>
            <w:tcW w:w="50" w:type="pct"/>
            <w:vAlign w:val="center"/>
            <w:hideMark/>
          </w:tcPr>
          <w:p w:rsidR="00000000" w:rsidRDefault="006F0EF5">
            <w:pPr>
              <w:rPr>
                <w:rFonts w:eastAsia="Times New Roman"/>
              </w:rPr>
            </w:pPr>
          </w:p>
        </w:tc>
        <w:tc>
          <w:tcPr>
            <w:tcW w:w="122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5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767428306"/>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Increase (Decrease)</w:t>
            </w:r>
          </w:p>
        </w:tc>
      </w:tr>
      <w:tr w:rsidR="00000000">
        <w:trPr>
          <w:divId w:val="76742830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 v 2019</w:t>
            </w:r>
          </w:p>
        </w:tc>
      </w:tr>
      <w:tr w:rsidR="006F0EF5">
        <w:trPr>
          <w:divId w:val="767428306"/>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2,193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767428306"/>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Service revenue</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4,963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4,202 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4,234 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67.7 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767428306"/>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7,156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6,207 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767428306"/>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Product 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767428306"/>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Service gross margin</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1,550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1,252 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1,386 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767428306"/>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767428306"/>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1,069 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1,051 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767428306"/>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767428306"/>
        </w:trPr>
        <w:tc>
          <w:tcPr>
            <w:tcW w:w="0" w:type="auto"/>
            <w:gridSpan w:val="3"/>
            <w:vAlign w:val="center"/>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767428306"/>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6F0EF5">
        <w:trPr>
          <w:divId w:val="767428306"/>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Income from operations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divId w:val="1001548235"/>
        <w:rPr>
          <w:rFonts w:eastAsia="Times New Roman"/>
        </w:rPr>
      </w:pPr>
    </w:p>
    <w:p w:rsidR="00000000" w:rsidRDefault="006F0EF5">
      <w:pPr>
        <w:divId w:val="1058476587"/>
        <w:rPr>
          <w:rFonts w:eastAsia="Times New Roman"/>
        </w:rPr>
      </w:pPr>
    </w:p>
    <w:p w:rsidR="00000000" w:rsidRDefault="006F0EF5">
      <w:pPr>
        <w:jc w:val="center"/>
        <w:divId w:val="2063207770"/>
        <w:rPr>
          <w:rFonts w:eastAsia="Times New Roman"/>
        </w:rPr>
      </w:pPr>
      <w:r>
        <w:rPr>
          <w:rFonts w:eastAsia="Times New Roman"/>
          <w:color w:val="000000"/>
          <w:sz w:val="20"/>
          <w:szCs w:val="20"/>
        </w:rPr>
        <w:t>35</w:t>
      </w:r>
    </w:p>
    <w:p w:rsidR="00000000" w:rsidRDefault="006F0EF5">
      <w:pPr>
        <w:rPr>
          <w:rFonts w:eastAsia="Times New Roman"/>
        </w:rPr>
      </w:pPr>
      <w:r>
        <w:rPr>
          <w:rFonts w:eastAsia="Times New Roman"/>
        </w:rPr>
        <w:pict>
          <v:rect id="_x0000_i1064" style="width:0;height:1.5pt" o:hralign="center" o:hrstd="t" o:hr="t" fillcolor="#a0a0a0" stroked="f"/>
        </w:pict>
      </w:r>
    </w:p>
    <w:p w:rsidR="00000000" w:rsidRDefault="006F0EF5">
      <w:pPr>
        <w:divId w:val="52016554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801994689"/>
        <w:rPr>
          <w:rFonts w:eastAsia="Times New Roman"/>
        </w:rPr>
      </w:pPr>
    </w:p>
    <w:p w:rsidR="00000000" w:rsidRDefault="006F0EF5">
      <w:pPr>
        <w:jc w:val="both"/>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The percentage of revenue is calculated for each line item divided by total revenue, except for product gross margin, service gross margin and total gross margin, which are divided by the related component</w:t>
      </w:r>
      <w:r>
        <w:rPr>
          <w:rFonts w:eastAsia="Times New Roman"/>
          <w:color w:val="000000"/>
          <w:sz w:val="14"/>
          <w:szCs w:val="14"/>
        </w:rPr>
        <w:t xml:space="preserve"> of revenue.</w:t>
      </w:r>
    </w:p>
    <w:p w:rsidR="00000000" w:rsidRDefault="006F0EF5">
      <w:pPr>
        <w:divId w:val="2024550800"/>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Revenue</w:t>
      </w:r>
    </w:p>
    <w:p w:rsidR="00000000" w:rsidRDefault="006F0EF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907"/>
        <w:gridCol w:w="37"/>
        <w:gridCol w:w="120"/>
        <w:gridCol w:w="570"/>
        <w:gridCol w:w="36"/>
        <w:gridCol w:w="36"/>
        <w:gridCol w:w="36"/>
        <w:gridCol w:w="36"/>
        <w:gridCol w:w="120"/>
        <w:gridCol w:w="500"/>
        <w:gridCol w:w="36"/>
        <w:gridCol w:w="36"/>
        <w:gridCol w:w="36"/>
        <w:gridCol w:w="36"/>
        <w:gridCol w:w="120"/>
        <w:gridCol w:w="500"/>
        <w:gridCol w:w="36"/>
        <w:gridCol w:w="36"/>
        <w:gridCol w:w="36"/>
        <w:gridCol w:w="36"/>
        <w:gridCol w:w="68"/>
        <w:gridCol w:w="452"/>
        <w:gridCol w:w="188"/>
        <w:gridCol w:w="36"/>
        <w:gridCol w:w="36"/>
        <w:gridCol w:w="36"/>
        <w:gridCol w:w="64"/>
        <w:gridCol w:w="456"/>
        <w:gridCol w:w="188"/>
        <w:gridCol w:w="36"/>
        <w:gridCol w:w="36"/>
        <w:gridCol w:w="36"/>
        <w:gridCol w:w="59"/>
        <w:gridCol w:w="461"/>
        <w:gridCol w:w="188"/>
        <w:gridCol w:w="36"/>
        <w:gridCol w:w="36"/>
        <w:gridCol w:w="36"/>
        <w:gridCol w:w="41"/>
        <w:gridCol w:w="500"/>
        <w:gridCol w:w="188"/>
        <w:gridCol w:w="37"/>
        <w:gridCol w:w="36"/>
        <w:gridCol w:w="36"/>
        <w:gridCol w:w="40"/>
        <w:gridCol w:w="449"/>
        <w:gridCol w:w="187"/>
      </w:tblGrid>
      <w:tr w:rsidR="00000000">
        <w:tc>
          <w:tcPr>
            <w:tcW w:w="50" w:type="pct"/>
            <w:vAlign w:val="center"/>
            <w:hideMark/>
          </w:tcPr>
          <w:p w:rsidR="00000000" w:rsidRDefault="006F0EF5">
            <w:pPr>
              <w:jc w:val="both"/>
              <w:rPr>
                <w:rFonts w:eastAsia="Times New Roman"/>
              </w:rPr>
            </w:pPr>
          </w:p>
        </w:tc>
        <w:tc>
          <w:tcPr>
            <w:tcW w:w="122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5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 v 2019</w:t>
            </w:r>
          </w:p>
        </w:tc>
      </w:tr>
      <w:tr w:rsidR="006F0EF5">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2,193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Service revenue</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4,963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4,202 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4,234 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67.7 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6F0EF5">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7,156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6,207 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Product revenue includes our hardware and software license revenue streams. Service revenue includes hardware and software maintenance revenue, implementation services revenue, interchange and surcharge revenue, cloud revenue as well as professional servic</w:t>
      </w:r>
      <w:r>
        <w:rPr>
          <w:rFonts w:eastAsia="Times New Roman"/>
          <w:color w:val="000000"/>
          <w:sz w:val="20"/>
          <w:szCs w:val="20"/>
        </w:rPr>
        <w:t>es revenue.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Total revenue increased 15% in 2021 from 2020 driven by an increase in service revenue of 18% and an increase in product revenue of 9%. The increase in services was driven by growth in payments revenue, which includes the results of Cardtroni</w:t>
      </w:r>
      <w:r>
        <w:rPr>
          <w:rFonts w:eastAsia="Times New Roman"/>
          <w:color w:val="000000"/>
          <w:sz w:val="20"/>
          <w:szCs w:val="20"/>
        </w:rPr>
        <w:t>cs, and other recurring revenue streams, primarily in cloud and managed services. The increase in product revenue was due to higher self-checkout and point-of-sale revenue.</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Gross Margin</w:t>
      </w:r>
    </w:p>
    <w:p w:rsidR="00000000" w:rsidRDefault="006F0EF5">
      <w:pPr>
        <w:divId w:val="206525509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909"/>
        <w:gridCol w:w="36"/>
        <w:gridCol w:w="120"/>
        <w:gridCol w:w="570"/>
        <w:gridCol w:w="36"/>
        <w:gridCol w:w="36"/>
        <w:gridCol w:w="36"/>
        <w:gridCol w:w="36"/>
        <w:gridCol w:w="120"/>
        <w:gridCol w:w="500"/>
        <w:gridCol w:w="36"/>
        <w:gridCol w:w="36"/>
        <w:gridCol w:w="36"/>
        <w:gridCol w:w="36"/>
        <w:gridCol w:w="120"/>
        <w:gridCol w:w="500"/>
        <w:gridCol w:w="36"/>
        <w:gridCol w:w="36"/>
        <w:gridCol w:w="36"/>
        <w:gridCol w:w="36"/>
        <w:gridCol w:w="55"/>
        <w:gridCol w:w="401"/>
        <w:gridCol w:w="188"/>
        <w:gridCol w:w="36"/>
        <w:gridCol w:w="36"/>
        <w:gridCol w:w="36"/>
        <w:gridCol w:w="52"/>
        <w:gridCol w:w="457"/>
        <w:gridCol w:w="188"/>
        <w:gridCol w:w="36"/>
        <w:gridCol w:w="36"/>
        <w:gridCol w:w="36"/>
        <w:gridCol w:w="48"/>
        <w:gridCol w:w="520"/>
        <w:gridCol w:w="188"/>
        <w:gridCol w:w="36"/>
        <w:gridCol w:w="36"/>
        <w:gridCol w:w="36"/>
        <w:gridCol w:w="41"/>
        <w:gridCol w:w="527"/>
        <w:gridCol w:w="188"/>
        <w:gridCol w:w="37"/>
        <w:gridCol w:w="36"/>
        <w:gridCol w:w="36"/>
        <w:gridCol w:w="40"/>
        <w:gridCol w:w="449"/>
        <w:gridCol w:w="187"/>
      </w:tblGrid>
      <w:tr w:rsidR="00000000">
        <w:tc>
          <w:tcPr>
            <w:tcW w:w="50" w:type="pct"/>
            <w:vAlign w:val="center"/>
            <w:hideMark/>
          </w:tcPr>
          <w:p w:rsidR="00000000" w:rsidRDefault="006F0EF5">
            <w:pPr>
              <w:rPr>
                <w:rFonts w:eastAsia="Times New Roman"/>
              </w:rPr>
            </w:pPr>
          </w:p>
        </w:tc>
        <w:tc>
          <w:tcPr>
            <w:tcW w:w="122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5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 v 2019</w:t>
            </w:r>
          </w:p>
        </w:tc>
      </w:tr>
      <w:tr w:rsidR="006F0EF5">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Product gross margin</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Service gross margin</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1,550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1,252 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1,386 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29.8 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6F0EF5">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gross margin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jc w:val="both"/>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The percentage of revenue is calcula</w:t>
      </w:r>
      <w:r>
        <w:rPr>
          <w:rFonts w:eastAsia="Times New Roman"/>
          <w:color w:val="000000"/>
          <w:sz w:val="14"/>
          <w:szCs w:val="14"/>
        </w:rPr>
        <w:t>ted for each line item divided by the related component of revenue.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Gross margin as a percentage of revenue was 26.5%</w:t>
      </w:r>
      <w:r>
        <w:rPr>
          <w:rFonts w:eastAsia="Times New Roman"/>
          <w:color w:val="000000"/>
          <w:sz w:val="20"/>
          <w:szCs w:val="20"/>
        </w:rPr>
        <w:t xml:space="preserve"> in 2021</w:t>
      </w:r>
      <w:r>
        <w:rPr>
          <w:rFonts w:eastAsia="Times New Roman"/>
          <w:color w:val="000000"/>
          <w:sz w:val="20"/>
          <w:szCs w:val="20"/>
          <w:shd w:val="clear" w:color="auto" w:fill="FFFFFF"/>
        </w:rPr>
        <w:t xml:space="preserve"> compared to 24.6% in </w:t>
      </w:r>
      <w:r>
        <w:rPr>
          <w:rFonts w:eastAsia="Times New Roman"/>
          <w:color w:val="000000"/>
          <w:sz w:val="20"/>
          <w:szCs w:val="20"/>
        </w:rPr>
        <w:t>2020</w:t>
      </w:r>
      <w:r>
        <w:rPr>
          <w:rFonts w:eastAsia="Times New Roman"/>
          <w:color w:val="000000"/>
          <w:sz w:val="20"/>
          <w:szCs w:val="20"/>
          <w:shd w:val="clear" w:color="auto" w:fill="FFFFFF"/>
        </w:rPr>
        <w:t xml:space="preserve">. </w:t>
      </w:r>
      <w:r>
        <w:rPr>
          <w:rFonts w:eastAsia="Times New Roman"/>
          <w:color w:val="000000"/>
          <w:sz w:val="20"/>
          <w:szCs w:val="20"/>
        </w:rPr>
        <w:t xml:space="preserve">Gross margin for the year ended December 31, 2021 included $39 million related to transformation and </w:t>
      </w:r>
      <w:r>
        <w:rPr>
          <w:rFonts w:eastAsia="Times New Roman"/>
          <w:color w:val="000000"/>
          <w:sz w:val="20"/>
          <w:szCs w:val="20"/>
        </w:rPr>
        <w:t>restructuring costs and $60 million related to amortization of acquisition-related intangible assets. Gross margin for the year ended December 31, 2020 included $150 million related to transformation and restructuring costs and $22 million related to amort</w:t>
      </w:r>
      <w:r>
        <w:rPr>
          <w:rFonts w:eastAsia="Times New Roman"/>
          <w:color w:val="000000"/>
          <w:sz w:val="20"/>
          <w:szCs w:val="20"/>
        </w:rPr>
        <w:t>ization of acquisition-related intangible assets. Excluding these items, gross margin as a percentage of revenue increased from 27.3% to 27.8% due to higher revenue partially offset by increased component and freight costs due to supply chain challenges. C</w:t>
      </w:r>
      <w:r>
        <w:rPr>
          <w:rFonts w:eastAsia="Times New Roman"/>
          <w:color w:val="000000"/>
          <w:sz w:val="20"/>
          <w:szCs w:val="20"/>
        </w:rPr>
        <w:t>ontinued increases in labor costs as well as component parts, freight, services, and interest rates could negatively impact our gross margin in future periods.We are working to mitigate the impact of these rising costs through a variety of actions, such as</w:t>
      </w:r>
      <w:r>
        <w:rPr>
          <w:rFonts w:eastAsia="Times New Roman"/>
          <w:color w:val="000000"/>
          <w:sz w:val="20"/>
          <w:szCs w:val="20"/>
        </w:rPr>
        <w:t xml:space="preserve"> increasing the prices of our products and services, pre-purchasing materials, locking in prices in advance or utilizing alternate sources of materials. However, we may not be completely successful in these efforts and even when we are successful, there ma</w:t>
      </w:r>
      <w:r>
        <w:rPr>
          <w:rFonts w:eastAsia="Times New Roman"/>
          <w:color w:val="000000"/>
          <w:sz w:val="20"/>
          <w:szCs w:val="20"/>
        </w:rPr>
        <w:t>y be a time lag before the impacts of these actions are reflected in our margins.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Selling, General and Administrative Expenses</w:t>
      </w:r>
    </w:p>
    <w:p w:rsidR="00000000" w:rsidRDefault="006F0EF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1899"/>
        <w:gridCol w:w="36"/>
        <w:gridCol w:w="120"/>
        <w:gridCol w:w="570"/>
        <w:gridCol w:w="36"/>
        <w:gridCol w:w="36"/>
        <w:gridCol w:w="36"/>
        <w:gridCol w:w="36"/>
        <w:gridCol w:w="120"/>
        <w:gridCol w:w="500"/>
        <w:gridCol w:w="36"/>
        <w:gridCol w:w="36"/>
        <w:gridCol w:w="36"/>
        <w:gridCol w:w="36"/>
        <w:gridCol w:w="120"/>
        <w:gridCol w:w="500"/>
        <w:gridCol w:w="36"/>
        <w:gridCol w:w="36"/>
        <w:gridCol w:w="36"/>
        <w:gridCol w:w="36"/>
        <w:gridCol w:w="55"/>
        <w:gridCol w:w="401"/>
        <w:gridCol w:w="188"/>
        <w:gridCol w:w="36"/>
        <w:gridCol w:w="36"/>
        <w:gridCol w:w="36"/>
        <w:gridCol w:w="52"/>
        <w:gridCol w:w="457"/>
        <w:gridCol w:w="188"/>
        <w:gridCol w:w="36"/>
        <w:gridCol w:w="36"/>
        <w:gridCol w:w="36"/>
        <w:gridCol w:w="48"/>
        <w:gridCol w:w="520"/>
        <w:gridCol w:w="188"/>
        <w:gridCol w:w="36"/>
        <w:gridCol w:w="36"/>
        <w:gridCol w:w="36"/>
        <w:gridCol w:w="41"/>
        <w:gridCol w:w="527"/>
        <w:gridCol w:w="188"/>
        <w:gridCol w:w="37"/>
        <w:gridCol w:w="36"/>
        <w:gridCol w:w="36"/>
        <w:gridCol w:w="40"/>
        <w:gridCol w:w="449"/>
        <w:gridCol w:w="187"/>
      </w:tblGrid>
      <w:tr w:rsidR="00000000">
        <w:tc>
          <w:tcPr>
            <w:tcW w:w="50" w:type="pct"/>
            <w:vAlign w:val="center"/>
            <w:hideMark/>
          </w:tcPr>
          <w:p w:rsidR="00000000" w:rsidRDefault="006F0EF5">
            <w:pPr>
              <w:jc w:val="both"/>
              <w:rPr>
                <w:rFonts w:eastAsia="Times New Roman"/>
              </w:rPr>
            </w:pPr>
          </w:p>
        </w:tc>
        <w:tc>
          <w:tcPr>
            <w:tcW w:w="122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5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 v 2019</w:t>
            </w:r>
          </w:p>
        </w:tc>
      </w:tr>
      <w:tr w:rsidR="006F0EF5">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Selling, general and administrative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1,151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ind w:firstLine="495"/>
        <w:jc w:val="both"/>
        <w:rPr>
          <w:rFonts w:eastAsia="Times New Roman"/>
        </w:rPr>
      </w:pPr>
    </w:p>
    <w:p w:rsidR="00000000" w:rsidRDefault="006F0EF5">
      <w:pPr>
        <w:jc w:val="both"/>
        <w:rPr>
          <w:rFonts w:eastAsia="Times New Roman"/>
        </w:rPr>
      </w:pPr>
      <w:r>
        <w:rPr>
          <w:rFonts w:eastAsia="Times New Roman"/>
          <w:color w:val="000000"/>
          <w:sz w:val="20"/>
          <w:szCs w:val="20"/>
        </w:rPr>
        <w:t>Selling, general, and administrative expenses were $1.151 billion in 2021 up from $1.069 billion in 2020. As a percentage of revenue, selling, general and administrative expenses were 16.1% in 2021 and 17.2% in 2020. In 2021, selling, general and administr</w:t>
      </w:r>
      <w:r>
        <w:rPr>
          <w:rFonts w:eastAsia="Times New Roman"/>
          <w:color w:val="000000"/>
          <w:sz w:val="20"/>
          <w:szCs w:val="20"/>
        </w:rPr>
        <w:t>ative expenses included $20 million of transformation costs, $72 million of acquisition-related amortization of intangibles and $84 million of acquisition-related costs. In 2020, selling, general and administrative expenses included $66 million of transfor</w:t>
      </w:r>
      <w:r>
        <w:rPr>
          <w:rFonts w:eastAsia="Times New Roman"/>
          <w:color w:val="000000"/>
          <w:sz w:val="20"/>
          <w:szCs w:val="20"/>
        </w:rPr>
        <w:t xml:space="preserve">mation and restructuring costs, $59 million of acquisition-related amortization of intangibles and $1 million of acquisition-related costs. Excluding these items, selling, general and administrative expenses decreased as a percentage of revenue from 15.2% </w:t>
      </w:r>
    </w:p>
    <w:p w:rsidR="00000000" w:rsidRDefault="006F0EF5">
      <w:pPr>
        <w:jc w:val="center"/>
        <w:divId w:val="1341666141"/>
        <w:rPr>
          <w:rFonts w:eastAsia="Times New Roman"/>
        </w:rPr>
      </w:pPr>
      <w:r>
        <w:rPr>
          <w:rFonts w:eastAsia="Times New Roman"/>
          <w:color w:val="000000"/>
          <w:sz w:val="20"/>
          <w:szCs w:val="20"/>
        </w:rPr>
        <w:t>36</w:t>
      </w:r>
    </w:p>
    <w:p w:rsidR="00000000" w:rsidRDefault="006F0EF5">
      <w:pPr>
        <w:rPr>
          <w:rFonts w:eastAsia="Times New Roman"/>
        </w:rPr>
      </w:pPr>
      <w:r>
        <w:rPr>
          <w:rFonts w:eastAsia="Times New Roman"/>
        </w:rPr>
        <w:pict>
          <v:rect id="_x0000_i1065" style="width:0;height:1.5pt" o:hralign="center" o:hrstd="t" o:hr="t" fillcolor="#a0a0a0" stroked="f"/>
        </w:pict>
      </w:r>
    </w:p>
    <w:p w:rsidR="00000000" w:rsidRDefault="006F0EF5">
      <w:pPr>
        <w:divId w:val="143447049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388341594"/>
        <w:rPr>
          <w:rFonts w:eastAsia="Times New Roman"/>
        </w:rPr>
      </w:pPr>
    </w:p>
    <w:p w:rsidR="00000000" w:rsidRDefault="006F0EF5">
      <w:pPr>
        <w:jc w:val="both"/>
        <w:rPr>
          <w:rFonts w:eastAsia="Times New Roman"/>
        </w:rPr>
      </w:pPr>
      <w:r>
        <w:rPr>
          <w:rFonts w:eastAsia="Times New Roman"/>
          <w:color w:val="000000"/>
          <w:sz w:val="20"/>
          <w:szCs w:val="20"/>
        </w:rPr>
        <w:t>in 2020 to 13.6% in 2021 primarily due to the increase in revenue and the impact of expense reduction measures taken entering 2021.</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Research and Development Expenses</w:t>
      </w:r>
    </w:p>
    <w:p w:rsidR="00000000" w:rsidRDefault="006F0EF5">
      <w:pPr>
        <w:divId w:val="132960293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1903"/>
        <w:gridCol w:w="36"/>
        <w:gridCol w:w="120"/>
        <w:gridCol w:w="570"/>
        <w:gridCol w:w="36"/>
        <w:gridCol w:w="36"/>
        <w:gridCol w:w="36"/>
        <w:gridCol w:w="36"/>
        <w:gridCol w:w="120"/>
        <w:gridCol w:w="491"/>
        <w:gridCol w:w="36"/>
        <w:gridCol w:w="36"/>
        <w:gridCol w:w="36"/>
        <w:gridCol w:w="36"/>
        <w:gridCol w:w="120"/>
        <w:gridCol w:w="491"/>
        <w:gridCol w:w="36"/>
        <w:gridCol w:w="36"/>
        <w:gridCol w:w="36"/>
        <w:gridCol w:w="36"/>
        <w:gridCol w:w="46"/>
        <w:gridCol w:w="428"/>
        <w:gridCol w:w="188"/>
        <w:gridCol w:w="36"/>
        <w:gridCol w:w="36"/>
        <w:gridCol w:w="36"/>
        <w:gridCol w:w="44"/>
        <w:gridCol w:w="465"/>
        <w:gridCol w:w="188"/>
        <w:gridCol w:w="36"/>
        <w:gridCol w:w="36"/>
        <w:gridCol w:w="36"/>
        <w:gridCol w:w="41"/>
        <w:gridCol w:w="527"/>
        <w:gridCol w:w="188"/>
        <w:gridCol w:w="36"/>
        <w:gridCol w:w="36"/>
        <w:gridCol w:w="36"/>
        <w:gridCol w:w="41"/>
        <w:gridCol w:w="527"/>
        <w:gridCol w:w="188"/>
        <w:gridCol w:w="37"/>
        <w:gridCol w:w="36"/>
        <w:gridCol w:w="36"/>
        <w:gridCol w:w="40"/>
        <w:gridCol w:w="449"/>
        <w:gridCol w:w="187"/>
      </w:tblGrid>
      <w:tr w:rsidR="00000000">
        <w:tc>
          <w:tcPr>
            <w:tcW w:w="50" w:type="pct"/>
            <w:vAlign w:val="center"/>
            <w:hideMark/>
          </w:tcPr>
          <w:p w:rsidR="00000000" w:rsidRDefault="006F0EF5">
            <w:pPr>
              <w:rPr>
                <w:rFonts w:eastAsia="Times New Roman"/>
              </w:rPr>
            </w:pPr>
          </w:p>
        </w:tc>
        <w:tc>
          <w:tcPr>
            <w:tcW w:w="122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5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 v 2019</w:t>
            </w:r>
          </w:p>
        </w:tc>
      </w:tr>
      <w:tr w:rsidR="006F0EF5">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Research and development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Research and development expenses were $268 million in 2021, up from $234 million in 2020. </w:t>
      </w:r>
      <w:r>
        <w:rPr>
          <w:rFonts w:eastAsia="Times New Roman"/>
          <w:color w:val="000000"/>
          <w:sz w:val="20"/>
          <w:szCs w:val="20"/>
        </w:rPr>
        <w:t>As a percentage of revenue, these costs were 3.7% in 2021 and 3.8% in 2020. In 2021, research and development expenses included $1 million of costs related to our transformation and restructuring initiatives. In 2020, research and development expenses incl</w:t>
      </w:r>
      <w:r>
        <w:rPr>
          <w:rFonts w:eastAsia="Times New Roman"/>
          <w:color w:val="000000"/>
          <w:sz w:val="20"/>
          <w:szCs w:val="20"/>
        </w:rPr>
        <w:t>uded $11 million of transformation and restructuring costs. After considering this item, research and development expenses increased slightly as a percentage of revenue from 3.6% in 2020 to 3.7% in 2021 due to an increase in investments related to our stra</w:t>
      </w:r>
      <w:r>
        <w:rPr>
          <w:rFonts w:eastAsia="Times New Roman"/>
          <w:color w:val="000000"/>
          <w:sz w:val="20"/>
          <w:szCs w:val="20"/>
        </w:rPr>
        <w:t>tegic initiatives.</w:t>
      </w:r>
    </w:p>
    <w:p w:rsidR="00000000" w:rsidRDefault="006F0EF5">
      <w:pPr>
        <w:jc w:val="both"/>
        <w:rPr>
          <w:rFonts w:eastAsia="Times New Roman"/>
        </w:rPr>
      </w:pPr>
    </w:p>
    <w:p w:rsidR="00000000" w:rsidRDefault="006F0EF5">
      <w:pPr>
        <w:divId w:val="1851330217"/>
        <w:rPr>
          <w:rFonts w:eastAsia="Times New Roman"/>
        </w:rPr>
      </w:pPr>
      <w:r>
        <w:rPr>
          <w:rFonts w:eastAsia="Times New Roman"/>
          <w:b/>
          <w:bCs/>
          <w:color w:val="000000"/>
          <w:sz w:val="20"/>
          <w:szCs w:val="20"/>
        </w:rPr>
        <w:t>Loss on Extinguishment of Debt</w:t>
      </w:r>
    </w:p>
    <w:p w:rsidR="00000000" w:rsidRDefault="006F0EF5">
      <w:pPr>
        <w:divId w:val="212665951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080"/>
        <w:gridCol w:w="36"/>
        <w:gridCol w:w="120"/>
        <w:gridCol w:w="584"/>
        <w:gridCol w:w="36"/>
        <w:gridCol w:w="36"/>
        <w:gridCol w:w="36"/>
        <w:gridCol w:w="36"/>
        <w:gridCol w:w="120"/>
        <w:gridCol w:w="516"/>
        <w:gridCol w:w="36"/>
        <w:gridCol w:w="36"/>
        <w:gridCol w:w="36"/>
        <w:gridCol w:w="36"/>
        <w:gridCol w:w="120"/>
        <w:gridCol w:w="516"/>
        <w:gridCol w:w="36"/>
        <w:gridCol w:w="36"/>
        <w:gridCol w:w="36"/>
        <w:gridCol w:w="36"/>
        <w:gridCol w:w="41"/>
        <w:gridCol w:w="588"/>
        <w:gridCol w:w="188"/>
        <w:gridCol w:w="37"/>
        <w:gridCol w:w="36"/>
        <w:gridCol w:w="36"/>
        <w:gridCol w:w="40"/>
        <w:gridCol w:w="591"/>
        <w:gridCol w:w="187"/>
      </w:tblGrid>
      <w:tr w:rsidR="00000000">
        <w:trPr>
          <w:divId w:val="1378353752"/>
        </w:trPr>
        <w:tc>
          <w:tcPr>
            <w:tcW w:w="50" w:type="pct"/>
            <w:vAlign w:val="center"/>
            <w:hideMark/>
          </w:tcPr>
          <w:p w:rsidR="00000000" w:rsidRDefault="006F0EF5">
            <w:pPr>
              <w:rPr>
                <w:rFonts w:eastAsia="Times New Roman"/>
              </w:rPr>
            </w:pPr>
          </w:p>
        </w:tc>
        <w:tc>
          <w:tcPr>
            <w:tcW w:w="251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378353752"/>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Increase (Decrease)</w:t>
            </w:r>
          </w:p>
        </w:tc>
      </w:tr>
      <w:tr w:rsidR="00000000">
        <w:trPr>
          <w:divId w:val="1378353752"/>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 v 2019</w:t>
            </w:r>
          </w:p>
        </w:tc>
      </w:tr>
      <w:tr w:rsidR="00000000">
        <w:trPr>
          <w:divId w:val="1378353752"/>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Loss on extinguishment of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divId w:val="2050759470"/>
        <w:rPr>
          <w:rFonts w:eastAsia="Times New Roman"/>
        </w:rPr>
      </w:pPr>
    </w:p>
    <w:p w:rsidR="00000000" w:rsidRDefault="006F0EF5">
      <w:pPr>
        <w:jc w:val="both"/>
        <w:rPr>
          <w:rFonts w:eastAsia="Times New Roman"/>
        </w:rPr>
      </w:pPr>
      <w:r>
        <w:rPr>
          <w:rFonts w:eastAsia="Times New Roman"/>
          <w:color w:val="000000"/>
          <w:sz w:val="20"/>
          <w:szCs w:val="20"/>
        </w:rPr>
        <w:t>Loss on extinguishment of debt was $42 million in 2021 related to the premium paid for early redemption of $400 million aggregate principal amount of 8.125% senior secured notes due 2025, which includes the write-off of deferred financing fees of $5 millio</w:t>
      </w:r>
      <w:r>
        <w:rPr>
          <w:rFonts w:eastAsia="Times New Roman"/>
          <w:color w:val="000000"/>
          <w:sz w:val="20"/>
          <w:szCs w:val="20"/>
        </w:rPr>
        <w:t>n and a cash redemption premium of $37 million. Refer to Note 5, “Debt Obligations”, of the Notes to Consolidated Financial Statements for additional discussion on the financing transactions.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Loss on extinguishment of debt was $20 million in 2020 related</w:t>
      </w:r>
      <w:r>
        <w:rPr>
          <w:rFonts w:eastAsia="Times New Roman"/>
          <w:color w:val="000000"/>
          <w:sz w:val="20"/>
          <w:szCs w:val="20"/>
        </w:rPr>
        <w:t xml:space="preserve"> to the early extinguishment of the $600 million aggregate principal amount of 5.00% senior unsecured notes due in 2022 and the $700 million aggregate principal amount of 6.375% senior unsecured notes due in 2023. The loss included the write-off of deferre</w:t>
      </w:r>
      <w:r>
        <w:rPr>
          <w:rFonts w:eastAsia="Times New Roman"/>
          <w:color w:val="000000"/>
          <w:sz w:val="20"/>
          <w:szCs w:val="20"/>
        </w:rPr>
        <w:t>d financing fees of $5 million and a cash redemption premium of $15 million.</w:t>
      </w:r>
    </w:p>
    <w:p w:rsidR="00000000" w:rsidRDefault="006F0EF5">
      <w:pPr>
        <w:divId w:val="942614647"/>
        <w:rPr>
          <w:rFonts w:eastAsia="Times New Roman"/>
        </w:rPr>
      </w:pPr>
    </w:p>
    <w:p w:rsidR="00000000" w:rsidRDefault="006F0EF5">
      <w:pPr>
        <w:jc w:val="both"/>
        <w:rPr>
          <w:rFonts w:eastAsia="Times New Roman"/>
        </w:rPr>
      </w:pPr>
      <w:r>
        <w:rPr>
          <w:rFonts w:eastAsia="Times New Roman"/>
          <w:b/>
          <w:bCs/>
          <w:color w:val="000000"/>
          <w:sz w:val="20"/>
          <w:szCs w:val="20"/>
        </w:rPr>
        <w:t>Interest Expense</w:t>
      </w:r>
    </w:p>
    <w:p w:rsidR="00000000" w:rsidRDefault="006F0EF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153"/>
        <w:gridCol w:w="36"/>
        <w:gridCol w:w="120"/>
        <w:gridCol w:w="591"/>
        <w:gridCol w:w="36"/>
        <w:gridCol w:w="36"/>
        <w:gridCol w:w="36"/>
        <w:gridCol w:w="36"/>
        <w:gridCol w:w="120"/>
        <w:gridCol w:w="530"/>
        <w:gridCol w:w="36"/>
        <w:gridCol w:w="36"/>
        <w:gridCol w:w="36"/>
        <w:gridCol w:w="36"/>
        <w:gridCol w:w="120"/>
        <w:gridCol w:w="530"/>
        <w:gridCol w:w="36"/>
        <w:gridCol w:w="36"/>
        <w:gridCol w:w="36"/>
        <w:gridCol w:w="36"/>
        <w:gridCol w:w="41"/>
        <w:gridCol w:w="566"/>
        <w:gridCol w:w="188"/>
        <w:gridCol w:w="36"/>
        <w:gridCol w:w="36"/>
        <w:gridCol w:w="36"/>
        <w:gridCol w:w="40"/>
        <w:gridCol w:w="507"/>
        <w:gridCol w:w="187"/>
      </w:tblGrid>
      <w:tr w:rsidR="00000000">
        <w:tc>
          <w:tcPr>
            <w:tcW w:w="50" w:type="pct"/>
            <w:vAlign w:val="center"/>
            <w:hideMark/>
          </w:tcPr>
          <w:p w:rsidR="00000000" w:rsidRDefault="006F0EF5">
            <w:pPr>
              <w:jc w:val="both"/>
              <w:rPr>
                <w:rFonts w:eastAsia="Times New Roman"/>
              </w:rPr>
            </w:pPr>
          </w:p>
        </w:tc>
        <w:tc>
          <w:tcPr>
            <w:tcW w:w="255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 v 2019</w:t>
            </w:r>
          </w:p>
        </w:tc>
      </w:tr>
      <w:tr w:rsidR="00000000">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Interest expense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Interest expense was $238 million in 2021 compared to $218 million in 2020. Interest expense in all years was primarily related to the Company's senior unsecured notes and borrowings under the Company's senior secured credit facility. The increase in inter</w:t>
      </w:r>
      <w:r>
        <w:rPr>
          <w:rFonts w:eastAsia="Times New Roman"/>
          <w:color w:val="000000"/>
          <w:sz w:val="20"/>
          <w:szCs w:val="20"/>
        </w:rPr>
        <w:t xml:space="preserve">est expense in 2021 was related to the increase in total outstanding debt as a result of the closing of the acquisition of Cardtronics. The higher average outstanding principal balances during 2021 were partially offset by the lower average interest rates </w:t>
      </w:r>
      <w:r>
        <w:rPr>
          <w:rFonts w:eastAsia="Times New Roman"/>
          <w:color w:val="000000"/>
          <w:sz w:val="20"/>
          <w:szCs w:val="20"/>
        </w:rPr>
        <w:t>on the Company's senior unsecured notes, interest expense increased in 2021 compared to 2020.</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Other Income (Expense), net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Other income (expense), net was income of $90 million in 2021, expense of $42 million in 2020 and expense of $73 million in 2019, </w:t>
      </w:r>
      <w:r>
        <w:rPr>
          <w:rFonts w:eastAsia="Times New Roman"/>
          <w:color w:val="000000"/>
          <w:sz w:val="20"/>
          <w:szCs w:val="20"/>
        </w:rPr>
        <w:t>with the components reflected in the following table:</w:t>
      </w:r>
    </w:p>
    <w:p w:rsidR="00000000" w:rsidRDefault="006F0EF5">
      <w:pPr>
        <w:jc w:val="center"/>
        <w:divId w:val="302196865"/>
        <w:rPr>
          <w:rFonts w:eastAsia="Times New Roman"/>
        </w:rPr>
      </w:pPr>
      <w:r>
        <w:rPr>
          <w:rFonts w:eastAsia="Times New Roman"/>
          <w:color w:val="000000"/>
          <w:sz w:val="20"/>
          <w:szCs w:val="20"/>
        </w:rPr>
        <w:t>37</w:t>
      </w:r>
    </w:p>
    <w:p w:rsidR="00000000" w:rsidRDefault="006F0EF5">
      <w:pPr>
        <w:rPr>
          <w:rFonts w:eastAsia="Times New Roman"/>
        </w:rPr>
      </w:pPr>
      <w:r>
        <w:rPr>
          <w:rFonts w:eastAsia="Times New Roman"/>
        </w:rPr>
        <w:pict>
          <v:rect id="_x0000_i1066" style="width:0;height:1.5pt" o:hralign="center" o:hrstd="t" o:hr="t" fillcolor="#a0a0a0" stroked="f"/>
        </w:pict>
      </w:r>
    </w:p>
    <w:p w:rsidR="00000000" w:rsidRDefault="006F0EF5">
      <w:pPr>
        <w:divId w:val="30844410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65459839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80"/>
        <w:gridCol w:w="37"/>
        <w:gridCol w:w="120"/>
        <w:gridCol w:w="905"/>
        <w:gridCol w:w="36"/>
        <w:gridCol w:w="36"/>
        <w:gridCol w:w="36"/>
        <w:gridCol w:w="36"/>
        <w:gridCol w:w="120"/>
        <w:gridCol w:w="863"/>
        <w:gridCol w:w="36"/>
        <w:gridCol w:w="36"/>
        <w:gridCol w:w="36"/>
        <w:gridCol w:w="36"/>
        <w:gridCol w:w="120"/>
        <w:gridCol w:w="886"/>
        <w:gridCol w:w="36"/>
      </w:tblGrid>
      <w:tr w:rsidR="00000000">
        <w:trPr>
          <w:jc w:val="center"/>
        </w:trPr>
        <w:tc>
          <w:tcPr>
            <w:tcW w:w="50" w:type="pct"/>
            <w:vAlign w:val="center"/>
            <w:hideMark/>
          </w:tcPr>
          <w:p w:rsidR="00000000" w:rsidRDefault="006F0EF5">
            <w:pPr>
              <w:rPr>
                <w:rFonts w:eastAsia="Times New Roman"/>
              </w:rPr>
            </w:pPr>
          </w:p>
        </w:tc>
        <w:tc>
          <w:tcPr>
            <w:tcW w:w="297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7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7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Interest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Foreign currency fluctuations and foreign exchange contracts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Bank-related fees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Employee benefit plans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Gain on entity liquidations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Impairment of an equity investment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Bargain purchase gain on acquisition</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Other income (expense),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Employee benefit plans within Other income (expense), net includes the components of pension, postemployment and postretirement expense, other than service cost. This includes actuarial gains and losses from the annual pension mark-to-market adjustment. In</w:t>
      </w:r>
      <w:r>
        <w:rPr>
          <w:rFonts w:eastAsia="Times New Roman"/>
          <w:color w:val="000000"/>
          <w:sz w:val="20"/>
          <w:szCs w:val="20"/>
        </w:rPr>
        <w:t xml:space="preserve"> 2021, there was an actuarial gain of $118 million compared to actuarial loss of $34 million in 2020. The actuarial gain in 2021 was primarily due to an increase in discount rates as well as a favorable impact from an update to the mortality tables. The lo</w:t>
      </w:r>
      <w:r>
        <w:rPr>
          <w:rFonts w:eastAsia="Times New Roman"/>
          <w:color w:val="000000"/>
          <w:sz w:val="20"/>
          <w:szCs w:val="20"/>
        </w:rPr>
        <w:t>ss in 2020 was primarily due to a decrease in the discount rates.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2021, the increase in bank-related fees was primarily due to $19 million related to certain structuring and commitment fees as a result of the financing transactions entered into during</w:t>
      </w:r>
      <w:r>
        <w:rPr>
          <w:rFonts w:eastAsia="Times New Roman"/>
          <w:color w:val="000000"/>
          <w:sz w:val="20"/>
          <w:szCs w:val="20"/>
        </w:rPr>
        <w:t xml:space="preserve"> the first quarter of 2021 related to the transaction with Cardtronics.</w:t>
      </w: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Income Taxes</w:t>
      </w:r>
    </w:p>
    <w:p w:rsidR="00000000" w:rsidRDefault="006F0EF5">
      <w:pPr>
        <w:ind w:firstLine="495"/>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151"/>
        <w:gridCol w:w="37"/>
        <w:gridCol w:w="120"/>
        <w:gridCol w:w="591"/>
        <w:gridCol w:w="36"/>
        <w:gridCol w:w="36"/>
        <w:gridCol w:w="36"/>
        <w:gridCol w:w="36"/>
        <w:gridCol w:w="120"/>
        <w:gridCol w:w="530"/>
        <w:gridCol w:w="36"/>
        <w:gridCol w:w="36"/>
        <w:gridCol w:w="36"/>
        <w:gridCol w:w="36"/>
        <w:gridCol w:w="120"/>
        <w:gridCol w:w="530"/>
        <w:gridCol w:w="36"/>
        <w:gridCol w:w="36"/>
        <w:gridCol w:w="36"/>
        <w:gridCol w:w="36"/>
        <w:gridCol w:w="51"/>
        <w:gridCol w:w="556"/>
        <w:gridCol w:w="188"/>
        <w:gridCol w:w="36"/>
        <w:gridCol w:w="36"/>
        <w:gridCol w:w="36"/>
        <w:gridCol w:w="40"/>
        <w:gridCol w:w="507"/>
        <w:gridCol w:w="187"/>
      </w:tblGrid>
      <w:tr w:rsidR="00000000">
        <w:tc>
          <w:tcPr>
            <w:tcW w:w="50" w:type="pct"/>
            <w:vAlign w:val="center"/>
            <w:hideMark/>
          </w:tcPr>
          <w:p w:rsidR="00000000" w:rsidRDefault="006F0EF5">
            <w:pPr>
              <w:ind w:firstLine="495"/>
              <w:jc w:val="both"/>
              <w:rPr>
                <w:rFonts w:eastAsia="Times New Roman"/>
              </w:rPr>
            </w:pPr>
          </w:p>
        </w:tc>
        <w:tc>
          <w:tcPr>
            <w:tcW w:w="255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 v 2019</w:t>
            </w:r>
          </w:p>
        </w:tc>
      </w:tr>
      <w:tr w:rsidR="00000000">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Income tax expense (benefit)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Our effective tax rate was 65% in 2021 and 90% in 2020. During 2021, significant matters impacting our tax rate include a $36 million expense from recording a valuation allowance against interest expense deduction carryforwards in the United States, a $14 </w:t>
      </w:r>
      <w:r>
        <w:rPr>
          <w:rFonts w:eastAsia="Times New Roman"/>
          <w:color w:val="000000"/>
          <w:sz w:val="20"/>
          <w:szCs w:val="20"/>
        </w:rPr>
        <w:t>million benefit from the deferred tax impact of a tax law change in the United Kingdom and a $40 million non-cash expense resulting from an internal entity restructuring. During 2020, the tax rate was impacted by a $48 million benefit resulting from the re</w:t>
      </w:r>
      <w:r>
        <w:rPr>
          <w:rFonts w:eastAsia="Times New Roman"/>
          <w:color w:val="000000"/>
          <w:sz w:val="20"/>
          <w:szCs w:val="20"/>
        </w:rPr>
        <w:t xml:space="preserve">lease of a valuation allowance against U.S. foreign tax credits and the re-establishment of expected foreign tax credit offsets to unrecognized tax benefits.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the fourth quarter of 2021, the Company recorded $9 million of income tax expense ($4.7 mill</w:t>
      </w:r>
      <w:r>
        <w:rPr>
          <w:rFonts w:eastAsia="Times New Roman"/>
          <w:color w:val="000000"/>
          <w:sz w:val="20"/>
          <w:szCs w:val="20"/>
        </w:rPr>
        <w:t>ion of which related to multiple prior annual periods) related to the utilization of foreign tax credits in prior years and an additional valuation allowance required for interest expense carryforwards recognized in interim periods during 2021. The Company</w:t>
      </w:r>
      <w:r>
        <w:rPr>
          <w:rFonts w:eastAsia="Times New Roman"/>
          <w:color w:val="000000"/>
          <w:sz w:val="20"/>
          <w:szCs w:val="20"/>
        </w:rPr>
        <w:t xml:space="preserve"> determined that the adjustments in the fourth quarter of 2021 were not material, quantitatively or qualitatively, to the impacted annual and interim financial statements.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While we are subject to numerous federal, state and foreign tax audits, we believe</w:t>
      </w:r>
      <w:r>
        <w:rPr>
          <w:rFonts w:eastAsia="Times New Roman"/>
          <w:color w:val="000000"/>
          <w:sz w:val="20"/>
          <w:szCs w:val="20"/>
        </w:rPr>
        <w:t xml:space="preserve"> that appropriate reserves exist for issues that might arise from these audits. Should these audits be settled, the resulting tax effect could impact the tax provision and cash flows in future periods. During 2022, the Company expects to resolve certain ta</w:t>
      </w:r>
      <w:r>
        <w:rPr>
          <w:rFonts w:eastAsia="Times New Roman"/>
          <w:color w:val="000000"/>
          <w:sz w:val="20"/>
          <w:szCs w:val="20"/>
        </w:rPr>
        <w:t>x matters related to U.S. and foreign jurisdictions. These resolutions could have a material impact on the effective tax rate in 2022.</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regularly review our deferred tax assets for recoverability and establish a valuation allowance if it is more likely</w:t>
      </w:r>
      <w:r>
        <w:rPr>
          <w:rFonts w:eastAsia="Times New Roman"/>
          <w:color w:val="000000"/>
          <w:sz w:val="20"/>
          <w:szCs w:val="20"/>
        </w:rPr>
        <w:t xml:space="preserve"> than not that some portion or all of a deferred tax asset will not be realized.  The determination as to whether a deferred tax asset will be realized is made on a jurisdictional basis and is based on the evaluation of positive and negative evidence.  Thi</w:t>
      </w:r>
      <w:r>
        <w:rPr>
          <w:rFonts w:eastAsia="Times New Roman"/>
          <w:color w:val="000000"/>
          <w:sz w:val="20"/>
          <w:szCs w:val="20"/>
        </w:rPr>
        <w:t>s evidence includes historical taxable income/loss, projected future taxable income, the expected timing of the reversal of existing temporary differences and the implementation of tax planning strategies. </w:t>
      </w:r>
    </w:p>
    <w:p w:rsidR="00000000" w:rsidRDefault="006F0EF5">
      <w:pPr>
        <w:divId w:val="403379684"/>
        <w:rPr>
          <w:rFonts w:eastAsia="Times New Roman"/>
        </w:rPr>
      </w:pPr>
    </w:p>
    <w:p w:rsidR="00000000" w:rsidRDefault="006F0EF5">
      <w:pPr>
        <w:jc w:val="both"/>
        <w:rPr>
          <w:rFonts w:eastAsia="Times New Roman"/>
        </w:rPr>
      </w:pPr>
      <w:r>
        <w:rPr>
          <w:rFonts w:eastAsia="Times New Roman"/>
          <w:b/>
          <w:bCs/>
          <w:color w:val="000000"/>
          <w:sz w:val="20"/>
          <w:szCs w:val="20"/>
        </w:rPr>
        <w:t>Loss from Discontinued Operations, net of tax</w:t>
      </w:r>
    </w:p>
    <w:p w:rsidR="00000000" w:rsidRDefault="006F0EF5">
      <w:pPr>
        <w:jc w:val="both"/>
        <w:rPr>
          <w:rFonts w:eastAsia="Times New Roman"/>
        </w:rPr>
      </w:pPr>
    </w:p>
    <w:p w:rsidR="00000000" w:rsidRDefault="006F0EF5">
      <w:pPr>
        <w:jc w:val="center"/>
        <w:divId w:val="1396590078"/>
        <w:rPr>
          <w:rFonts w:eastAsia="Times New Roman"/>
        </w:rPr>
      </w:pPr>
      <w:r>
        <w:rPr>
          <w:rFonts w:eastAsia="Times New Roman"/>
          <w:color w:val="000000"/>
          <w:sz w:val="20"/>
          <w:szCs w:val="20"/>
        </w:rPr>
        <w:t>38</w:t>
      </w:r>
    </w:p>
    <w:p w:rsidR="00000000" w:rsidRDefault="006F0EF5">
      <w:pPr>
        <w:rPr>
          <w:rFonts w:eastAsia="Times New Roman"/>
        </w:rPr>
      </w:pPr>
      <w:r>
        <w:rPr>
          <w:rFonts w:eastAsia="Times New Roman"/>
        </w:rPr>
        <w:pict>
          <v:rect id="_x0000_i1067" style="width:0;height:1.5pt" o:hralign="center" o:hrstd="t" o:hr="t" fillcolor="#a0a0a0" stroked="f"/>
        </w:pict>
      </w:r>
    </w:p>
    <w:p w:rsidR="00000000" w:rsidRDefault="006F0EF5">
      <w:pPr>
        <w:divId w:val="135909035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2290023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152"/>
        <w:gridCol w:w="36"/>
        <w:gridCol w:w="120"/>
        <w:gridCol w:w="591"/>
        <w:gridCol w:w="36"/>
        <w:gridCol w:w="36"/>
        <w:gridCol w:w="36"/>
        <w:gridCol w:w="36"/>
        <w:gridCol w:w="120"/>
        <w:gridCol w:w="530"/>
        <w:gridCol w:w="36"/>
        <w:gridCol w:w="36"/>
        <w:gridCol w:w="36"/>
        <w:gridCol w:w="36"/>
        <w:gridCol w:w="120"/>
        <w:gridCol w:w="530"/>
        <w:gridCol w:w="36"/>
        <w:gridCol w:w="36"/>
        <w:gridCol w:w="36"/>
        <w:gridCol w:w="36"/>
        <w:gridCol w:w="51"/>
        <w:gridCol w:w="556"/>
        <w:gridCol w:w="188"/>
        <w:gridCol w:w="36"/>
        <w:gridCol w:w="36"/>
        <w:gridCol w:w="36"/>
        <w:gridCol w:w="40"/>
        <w:gridCol w:w="507"/>
        <w:gridCol w:w="187"/>
      </w:tblGrid>
      <w:tr w:rsidR="00000000">
        <w:tc>
          <w:tcPr>
            <w:tcW w:w="50" w:type="pct"/>
            <w:vAlign w:val="center"/>
            <w:hideMark/>
          </w:tcPr>
          <w:p w:rsidR="00000000" w:rsidRDefault="006F0EF5">
            <w:pPr>
              <w:rPr>
                <w:rFonts w:eastAsia="Times New Roman"/>
              </w:rPr>
            </w:pPr>
          </w:p>
        </w:tc>
        <w:tc>
          <w:tcPr>
            <w:tcW w:w="255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 v 2019</w:t>
            </w:r>
          </w:p>
        </w:tc>
      </w:tr>
      <w:tr w:rsidR="00000000">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Income (loss) from discontinued operations, net of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ind w:firstLine="495"/>
        <w:jc w:val="both"/>
        <w:rPr>
          <w:rFonts w:eastAsia="Times New Roman"/>
        </w:rPr>
      </w:pPr>
    </w:p>
    <w:p w:rsidR="00000000" w:rsidRDefault="006F0EF5">
      <w:pPr>
        <w:jc w:val="both"/>
        <w:rPr>
          <w:rFonts w:eastAsia="Times New Roman"/>
        </w:rPr>
      </w:pPr>
      <w:r>
        <w:rPr>
          <w:rFonts w:eastAsia="Times New Roman"/>
          <w:color w:val="000000"/>
          <w:sz w:val="20"/>
          <w:szCs w:val="20"/>
        </w:rPr>
        <w:t>In 2021, income (loss) from discontinued operations was zero, net of tax.</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2020, the loss from discontinued operations was $72 million, net of tax, primarily related to updates in estimates and assumptions for the Fox River and Kalamazoo River environm</w:t>
      </w:r>
      <w:r>
        <w:rPr>
          <w:rFonts w:eastAsia="Times New Roman"/>
          <w:color w:val="000000"/>
          <w:sz w:val="20"/>
          <w:szCs w:val="20"/>
        </w:rPr>
        <w:t>ental reserves.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Revenue and Adjusted EBITDA by Segment</w:t>
      </w:r>
    </w:p>
    <w:p w:rsidR="00000000" w:rsidRDefault="006F0EF5">
      <w:pPr>
        <w:ind w:firstLine="495"/>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Company manages and reports its businesses in the following segments: Banking, Retail, Hospitality and T&amp;T. Each of these segments derives its revenue by selling in the sales theaters in which </w:t>
      </w:r>
      <w:r>
        <w:rPr>
          <w:rFonts w:eastAsia="Times New Roman"/>
          <w:color w:val="000000"/>
          <w:sz w:val="20"/>
          <w:szCs w:val="20"/>
        </w:rPr>
        <w:t>NCR operates. Segments are measured for profitability by the Company’s chief operating decision maker based on revenue and segment adjusted EBITDA. Adjusted EBITDA is defined as GAAP net income (loss) from continuing operations attributable to NCR plus int</w:t>
      </w:r>
      <w:r>
        <w:rPr>
          <w:rFonts w:eastAsia="Times New Roman"/>
          <w:color w:val="000000"/>
          <w:sz w:val="20"/>
          <w:szCs w:val="20"/>
        </w:rPr>
        <w:t>erest expense, net; plus income tax expense (benefit); plus depreciation and amortization; plus stock-based compensation expense; plus other income (expense); plus pension mark-to-market adjustments, pension settlements, pension curtailments and pension sp</w:t>
      </w:r>
      <w:r>
        <w:rPr>
          <w:rFonts w:eastAsia="Times New Roman"/>
          <w:color w:val="000000"/>
          <w:sz w:val="20"/>
          <w:szCs w:val="20"/>
        </w:rPr>
        <w:t>ecial termination benefits and other special items, including amortization of acquisition-related intangibles, restructuring charges, among others. The special items are considered non-operational so are excluded from the adjusted EBITDA metric utilized by</w:t>
      </w:r>
      <w:r>
        <w:rPr>
          <w:rFonts w:eastAsia="Times New Roman"/>
          <w:color w:val="000000"/>
          <w:sz w:val="20"/>
          <w:szCs w:val="20"/>
        </w:rPr>
        <w:t xml:space="preserve"> our chief operating decision maker in evaluating segment performance and are separately delineated to reconcile back to total reported income from operations. Management believes this format is useful to investors because it allows analysis and comparabil</w:t>
      </w:r>
      <w:r>
        <w:rPr>
          <w:rFonts w:eastAsia="Times New Roman"/>
          <w:color w:val="000000"/>
          <w:sz w:val="20"/>
          <w:szCs w:val="20"/>
        </w:rPr>
        <w:t xml:space="preserve">ity of operating trends. It also includes the same information that is used by NCR management to make decisions regarding the segments and to assess our financial performance. </w:t>
      </w:r>
    </w:p>
    <w:p w:rsidR="00000000" w:rsidRDefault="006F0EF5">
      <w:pPr>
        <w:divId w:val="674725502"/>
        <w:rPr>
          <w:rFonts w:eastAsia="Times New Roman"/>
        </w:rPr>
      </w:pPr>
    </w:p>
    <w:p w:rsidR="00000000" w:rsidRDefault="006F0EF5">
      <w:pPr>
        <w:jc w:val="both"/>
        <w:rPr>
          <w:rFonts w:eastAsia="Times New Roman"/>
        </w:rPr>
      </w:pPr>
      <w:r>
        <w:rPr>
          <w:rFonts w:eastAsia="Times New Roman"/>
          <w:color w:val="000000"/>
          <w:sz w:val="20"/>
          <w:szCs w:val="20"/>
        </w:rPr>
        <w:t xml:space="preserve">Corporate and Other reconciles our segment results to adjusted EBITDA, which </w:t>
      </w:r>
      <w:r>
        <w:rPr>
          <w:rFonts w:eastAsia="Times New Roman"/>
          <w:color w:val="000000"/>
          <w:sz w:val="20"/>
          <w:szCs w:val="20"/>
        </w:rPr>
        <w:t>primarily includes other income (expense) that are managed only on a total company basis and are, accordingly, reflected only in consolidated results.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following table shows our segment revenue and adjusted EBITDA for the years ended December 31, the </w:t>
      </w:r>
      <w:r>
        <w:rPr>
          <w:rFonts w:eastAsia="Times New Roman"/>
          <w:color w:val="000000"/>
          <w:sz w:val="20"/>
          <w:szCs w:val="20"/>
        </w:rPr>
        <w:t>relative percentage that those amounts represent to revenue, and the change in those amounts year-over-year. The Banking revenue and adjusted EBITDA metrics below include the results of operations of Cardtronics for the period from the date of acquisition,</w:t>
      </w:r>
      <w:r>
        <w:rPr>
          <w:rFonts w:eastAsia="Times New Roman"/>
          <w:color w:val="000000"/>
          <w:sz w:val="20"/>
          <w:szCs w:val="20"/>
        </w:rPr>
        <w:t xml:space="preserve"> June 21, 2021 to December 31, 2021.</w:t>
      </w:r>
    </w:p>
    <w:p w:rsidR="00000000" w:rsidRDefault="006F0EF5">
      <w:pPr>
        <w:divId w:val="122240248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1923"/>
        <w:gridCol w:w="37"/>
        <w:gridCol w:w="120"/>
        <w:gridCol w:w="578"/>
        <w:gridCol w:w="36"/>
        <w:gridCol w:w="36"/>
        <w:gridCol w:w="36"/>
        <w:gridCol w:w="36"/>
        <w:gridCol w:w="120"/>
        <w:gridCol w:w="503"/>
        <w:gridCol w:w="36"/>
        <w:gridCol w:w="36"/>
        <w:gridCol w:w="36"/>
        <w:gridCol w:w="36"/>
        <w:gridCol w:w="120"/>
        <w:gridCol w:w="500"/>
        <w:gridCol w:w="36"/>
        <w:gridCol w:w="36"/>
        <w:gridCol w:w="36"/>
        <w:gridCol w:w="36"/>
        <w:gridCol w:w="67"/>
        <w:gridCol w:w="453"/>
        <w:gridCol w:w="188"/>
        <w:gridCol w:w="36"/>
        <w:gridCol w:w="36"/>
        <w:gridCol w:w="36"/>
        <w:gridCol w:w="64"/>
        <w:gridCol w:w="456"/>
        <w:gridCol w:w="188"/>
        <w:gridCol w:w="36"/>
        <w:gridCol w:w="36"/>
        <w:gridCol w:w="36"/>
        <w:gridCol w:w="59"/>
        <w:gridCol w:w="461"/>
        <w:gridCol w:w="188"/>
        <w:gridCol w:w="36"/>
        <w:gridCol w:w="36"/>
        <w:gridCol w:w="36"/>
        <w:gridCol w:w="41"/>
        <w:gridCol w:w="446"/>
        <w:gridCol w:w="188"/>
        <w:gridCol w:w="36"/>
        <w:gridCol w:w="36"/>
        <w:gridCol w:w="36"/>
        <w:gridCol w:w="40"/>
        <w:gridCol w:w="470"/>
        <w:gridCol w:w="187"/>
      </w:tblGrid>
      <w:tr w:rsidR="00000000">
        <w:trPr>
          <w:divId w:val="419105008"/>
        </w:trPr>
        <w:tc>
          <w:tcPr>
            <w:tcW w:w="50" w:type="pct"/>
            <w:vAlign w:val="center"/>
            <w:hideMark/>
          </w:tcPr>
          <w:p w:rsidR="00000000" w:rsidRDefault="006F0EF5">
            <w:pPr>
              <w:rPr>
                <w:rFonts w:eastAsia="Times New Roman"/>
              </w:rPr>
            </w:pPr>
          </w:p>
        </w:tc>
        <w:tc>
          <w:tcPr>
            <w:tcW w:w="123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4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9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419105008"/>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Increase (Decrease)</w:t>
            </w:r>
          </w:p>
        </w:tc>
      </w:tr>
      <w:tr w:rsidR="00000000">
        <w:trPr>
          <w:divId w:val="419105008"/>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 v 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 v 2019</w:t>
            </w:r>
          </w:p>
        </w:tc>
      </w:tr>
      <w:tr w:rsidR="00000000">
        <w:trPr>
          <w:divId w:val="419105008"/>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6F0EF5">
        <w:trPr>
          <w:divId w:val="419105008"/>
        </w:trPr>
        <w:tc>
          <w:tcPr>
            <w:tcW w:w="0" w:type="auto"/>
            <w:gridSpan w:val="3"/>
            <w:shd w:val="clear" w:color="auto" w:fill="CCEE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Banking</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3,730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3,098 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3,512 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52.1 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49.9 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419105008"/>
        </w:trPr>
        <w:tc>
          <w:tcPr>
            <w:tcW w:w="0" w:type="auto"/>
            <w:gridSpan w:val="3"/>
            <w:shd w:val="clear" w:color="auto" w:fill="FFFF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2,281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2,080 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2,217 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419105008"/>
        </w:trPr>
        <w:tc>
          <w:tcPr>
            <w:tcW w:w="0" w:type="auto"/>
            <w:gridSpan w:val="3"/>
            <w:shd w:val="clear" w:color="auto" w:fill="CCEE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684 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843 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419105008"/>
        </w:trPr>
        <w:tc>
          <w:tcPr>
            <w:tcW w:w="0" w:type="auto"/>
            <w:gridSpan w:val="3"/>
            <w:shd w:val="clear" w:color="auto" w:fill="FFFF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T&amp;T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6F0EF5">
        <w:trPr>
          <w:divId w:val="419105008"/>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Consolidated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7,156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419105008"/>
          <w:trHeight w:val="300"/>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419105008"/>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Adjusted EBITDA by segment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6F0EF5">
        <w:trPr>
          <w:divId w:val="419105008"/>
        </w:trPr>
        <w:tc>
          <w:tcPr>
            <w:tcW w:w="0" w:type="auto"/>
            <w:gridSpan w:val="3"/>
            <w:shd w:val="clear" w:color="auto" w:fill="FFFF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Banking</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663 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419105008"/>
        </w:trPr>
        <w:tc>
          <w:tcPr>
            <w:tcW w:w="0" w:type="auto"/>
            <w:gridSpan w:val="3"/>
            <w:shd w:val="clear" w:color="auto" w:fill="CCEE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Retail</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419105008"/>
        </w:trPr>
        <w:tc>
          <w:tcPr>
            <w:tcW w:w="0" w:type="auto"/>
            <w:gridSpan w:val="3"/>
            <w:shd w:val="clear" w:color="auto" w:fill="FFFF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419105008"/>
        </w:trPr>
        <w:tc>
          <w:tcPr>
            <w:tcW w:w="0" w:type="auto"/>
            <w:gridSpan w:val="3"/>
            <w:shd w:val="clear" w:color="auto" w:fill="CCEE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T&amp;T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419105008"/>
        </w:trPr>
        <w:tc>
          <w:tcPr>
            <w:tcW w:w="0" w:type="auto"/>
            <w:gridSpan w:val="3"/>
            <w:shd w:val="clear" w:color="auto" w:fill="FFFF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Corporate and Other</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6F0EF5">
        <w:trPr>
          <w:divId w:val="419105008"/>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Adjusted 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jc w:val="both"/>
        <w:rPr>
          <w:rFonts w:eastAsia="Times New Roman"/>
        </w:rPr>
      </w:pPr>
      <w:r>
        <w:rPr>
          <w:rFonts w:eastAsia="Times New Roman"/>
          <w:color w:val="000000"/>
          <w:sz w:val="9"/>
          <w:szCs w:val="9"/>
        </w:rPr>
        <w:t>(1)</w:t>
      </w:r>
      <w:r>
        <w:rPr>
          <w:rFonts w:eastAsia="Times New Roman"/>
          <w:color w:val="000000"/>
          <w:sz w:val="9"/>
          <w:szCs w:val="9"/>
        </w:rPr>
        <w:t xml:space="preserve"> </w:t>
      </w:r>
      <w:r>
        <w:rPr>
          <w:rFonts w:eastAsia="Times New Roman"/>
          <w:color w:val="000000"/>
          <w:sz w:val="14"/>
          <w:szCs w:val="14"/>
        </w:rPr>
        <w:t>For segment reven</w:t>
      </w:r>
      <w:r>
        <w:rPr>
          <w:rFonts w:eastAsia="Times New Roman"/>
          <w:color w:val="000000"/>
          <w:sz w:val="14"/>
          <w:szCs w:val="14"/>
        </w:rPr>
        <w:t>ue, the percentage of revenue is calculated for each line item divided by total revenue. For segment adjusted EBITDA, the percentage of revenue is calculated for each line item divided by the related segment revenue amount.</w:t>
      </w:r>
    </w:p>
    <w:p w:rsidR="00000000" w:rsidRDefault="006F0EF5">
      <w:pPr>
        <w:divId w:val="1857495417"/>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Segment Revenue</w:t>
      </w:r>
    </w:p>
    <w:p w:rsidR="00000000" w:rsidRDefault="006F0EF5">
      <w:pPr>
        <w:jc w:val="both"/>
        <w:rPr>
          <w:rFonts w:eastAsia="Times New Roman"/>
        </w:rPr>
      </w:pPr>
    </w:p>
    <w:p w:rsidR="00000000" w:rsidRDefault="006F0EF5">
      <w:pPr>
        <w:jc w:val="center"/>
        <w:divId w:val="527256982"/>
        <w:rPr>
          <w:rFonts w:eastAsia="Times New Roman"/>
        </w:rPr>
      </w:pPr>
      <w:r>
        <w:rPr>
          <w:rFonts w:eastAsia="Times New Roman"/>
          <w:color w:val="000000"/>
          <w:sz w:val="20"/>
          <w:szCs w:val="20"/>
        </w:rPr>
        <w:t>39</w:t>
      </w:r>
    </w:p>
    <w:p w:rsidR="00000000" w:rsidRDefault="006F0EF5">
      <w:pPr>
        <w:rPr>
          <w:rFonts w:eastAsia="Times New Roman"/>
        </w:rPr>
      </w:pPr>
      <w:r>
        <w:rPr>
          <w:rFonts w:eastAsia="Times New Roman"/>
        </w:rPr>
        <w:pict>
          <v:rect id="_x0000_i1068" style="width:0;height:1.5pt" o:hralign="center" o:hrstd="t" o:hr="t" fillcolor="#a0a0a0" stroked="f"/>
        </w:pict>
      </w:r>
    </w:p>
    <w:p w:rsidR="00000000" w:rsidRDefault="006F0EF5">
      <w:pPr>
        <w:divId w:val="171476791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891840966"/>
        <w:rPr>
          <w:rFonts w:eastAsia="Times New Roman"/>
        </w:rPr>
      </w:pPr>
    </w:p>
    <w:p w:rsidR="00000000" w:rsidRDefault="006F0EF5">
      <w:pPr>
        <w:jc w:val="both"/>
        <w:rPr>
          <w:rFonts w:eastAsia="Times New Roman"/>
        </w:rPr>
      </w:pPr>
      <w:r>
        <w:rPr>
          <w:rFonts w:eastAsia="Times New Roman"/>
          <w:color w:val="000000"/>
          <w:sz w:val="20"/>
          <w:szCs w:val="20"/>
        </w:rPr>
        <w:t>Banking revenue increased 20% due to the inclusion of Cardtronics, as well as higher software and services revenue. Retail revenue increased 10% due to higher point-of-sale and self-checkout solutions revenue. Hospitality revenue increased 24% driven prima</w:t>
      </w:r>
      <w:r>
        <w:rPr>
          <w:rFonts w:eastAsia="Times New Roman"/>
          <w:color w:val="000000"/>
          <w:sz w:val="20"/>
          <w:szCs w:val="20"/>
        </w:rPr>
        <w:t xml:space="preserve">rily by an increase in point-of-sale solutions revenue. T&amp;T revenue decreased 14% in 2021 compared to 2020 driven by a decrease in services revenue.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Segment Adjusted EBITDA</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For the year ended December 31, 2021 compared to the year ended December 31, 2</w:t>
      </w:r>
      <w:r>
        <w:rPr>
          <w:rFonts w:eastAsia="Times New Roman"/>
          <w:i/>
          <w:iCs/>
          <w:color w:val="000000"/>
          <w:sz w:val="20"/>
          <w:szCs w:val="20"/>
        </w:rPr>
        <w:t>020</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Banking, Retail and Hospitality adjusted EBITDA increased in 2021 compared to 2020 primarily driven by higher revenue as well as cost reduction actions taken in the prior year. T&amp;T adjusted EBITDA increased in 2021 compared to 2020 driven by cost red</w:t>
      </w:r>
      <w:r>
        <w:rPr>
          <w:rFonts w:eastAsia="Times New Roman"/>
          <w:color w:val="000000"/>
          <w:sz w:val="20"/>
          <w:szCs w:val="20"/>
        </w:rPr>
        <w:t xml:space="preserve">uction actions taken in the prior year partially offset by lower revenue.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For the year ended December 31, 2020 compared to the year ended December 31, 2019</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Banking, Retail and Hospitality adjusted EBITDA decreased in 2020 compared to 2019 primarily dr</w:t>
      </w:r>
      <w:r>
        <w:rPr>
          <w:rFonts w:eastAsia="Times New Roman"/>
          <w:color w:val="000000"/>
          <w:sz w:val="20"/>
          <w:szCs w:val="20"/>
        </w:rPr>
        <w:t xml:space="preserve">iven by lower hardware revenue partially offset by cost saving initiatives implemented in 2020. T&amp;T adjusted EBITDA decreased in 2020 compared to 2019 driven by an unfavorable mix of revenue partially offset by the increase in revenue.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FINANCIAL CONDITI</w:t>
      </w:r>
      <w:r>
        <w:rPr>
          <w:rFonts w:eastAsia="Times New Roman"/>
          <w:b/>
          <w:bCs/>
          <w:color w:val="000000"/>
          <w:sz w:val="20"/>
          <w:szCs w:val="20"/>
        </w:rPr>
        <w:t>ON, LIQUIDITY AND CAPITAL RESOURCES</w:t>
      </w:r>
    </w:p>
    <w:p w:rsidR="00000000" w:rsidRDefault="006F0EF5">
      <w:pPr>
        <w:divId w:val="177551998"/>
        <w:rPr>
          <w:rFonts w:eastAsia="Times New Roman"/>
        </w:rPr>
      </w:pPr>
    </w:p>
    <w:p w:rsidR="00000000" w:rsidRDefault="006F0EF5">
      <w:pPr>
        <w:jc w:val="both"/>
        <w:rPr>
          <w:rFonts w:eastAsia="Times New Roman"/>
        </w:rPr>
      </w:pPr>
      <w:r>
        <w:rPr>
          <w:rFonts w:eastAsia="Times New Roman"/>
          <w:color w:val="000000"/>
          <w:sz w:val="20"/>
          <w:szCs w:val="20"/>
        </w:rPr>
        <w:t>In the year ended December 31, 2021, net cash provided by operating activities was $1.077 billion and in the year ended December 31, 2020, net cash provided by operating activities was $641 million. The increase in net</w:t>
      </w:r>
      <w:r>
        <w:rPr>
          <w:rFonts w:eastAsia="Times New Roman"/>
          <w:color w:val="000000"/>
          <w:sz w:val="20"/>
          <w:szCs w:val="20"/>
        </w:rPr>
        <w:t xml:space="preserve"> cash provided by operating activities was due to higher operating earnings as well as the agreement entered into during the third quarter of 2021 to sell short term receivables from certain trade accounts to an unaffiliated financial institution which pro</w:t>
      </w:r>
      <w:r>
        <w:rPr>
          <w:rFonts w:eastAsia="Times New Roman"/>
          <w:color w:val="000000"/>
          <w:sz w:val="20"/>
          <w:szCs w:val="20"/>
        </w:rPr>
        <w:t xml:space="preserve">vided a $300 million benefit to operating cash flows. Refer to Note 6, “Trade Receivables Facility”, in the Notes to Consolidated Financial Statements for more information.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w:t>
      </w:r>
      <w:r>
        <w:rPr>
          <w:rFonts w:eastAsia="Times New Roman"/>
          <w:color w:val="000000"/>
          <w:sz w:val="20"/>
          <w:szCs w:val="20"/>
        </w:rPr>
        <w:t>s management uses a non-GAAP measure called “free cash flow” to assess the financial performance of the Company. We previously defined free cash flow as net cash provided by (used in) operating activities and cash provided by (used in) discontinued operati</w:t>
      </w:r>
      <w:r>
        <w:rPr>
          <w:rFonts w:eastAsia="Times New Roman"/>
          <w:color w:val="000000"/>
          <w:sz w:val="20"/>
          <w:szCs w:val="20"/>
        </w:rPr>
        <w:t>ons, less capital expenditures for property, plant and equipment, less additions to capitalized software, plus discretionary pension contributions and settlements (if any). In 2021, with the increase in our restricted cash settlement activity and the initi</w:t>
      </w:r>
      <w:r>
        <w:rPr>
          <w:rFonts w:eastAsia="Times New Roman"/>
          <w:color w:val="000000"/>
          <w:sz w:val="20"/>
          <w:szCs w:val="20"/>
        </w:rPr>
        <w:t>al sale of trade accounts receivables under the agreement entered into during the 3rd quarter, we began defining free cash flow as net cash provided by (used in) operating activities less capital expenditures for property, plant and equipment, less additio</w:t>
      </w:r>
      <w:r>
        <w:rPr>
          <w:rFonts w:eastAsia="Times New Roman"/>
          <w:color w:val="000000"/>
          <w:sz w:val="20"/>
          <w:szCs w:val="20"/>
        </w:rPr>
        <w:t>ns to capitalized software, plus/minus restricted cash settlement activity, plus acquisition-related items, less the impact from the initial sale of trade accounts receivables under the agreement entered into during the 3rd quarter of 2021, and plus pensio</w:t>
      </w:r>
      <w:r>
        <w:rPr>
          <w:rFonts w:eastAsia="Times New Roman"/>
          <w:color w:val="000000"/>
          <w:sz w:val="20"/>
          <w:szCs w:val="20"/>
        </w:rPr>
        <w:t>n contributions and settlements. All periods presented have been recast to reflect this new definition. We believe free cash flow information is useful for investors because it relates the operating cash flows from the Company’s continuing operations to th</w:t>
      </w:r>
      <w:r>
        <w:rPr>
          <w:rFonts w:eastAsia="Times New Roman"/>
          <w:color w:val="000000"/>
          <w:sz w:val="20"/>
          <w:szCs w:val="20"/>
        </w:rPr>
        <w:t>e capital that is spent and to improve business operations. In particular, free cash flow indicates the amount of cash available after capital expenditures for, among other things, investments in the Company’s existing businesses, strategic acquisitions an</w:t>
      </w:r>
      <w:r>
        <w:rPr>
          <w:rFonts w:eastAsia="Times New Roman"/>
          <w:color w:val="000000"/>
          <w:sz w:val="20"/>
          <w:szCs w:val="20"/>
        </w:rPr>
        <w:t xml:space="preserve">d investments, repurchase of NCR stock and repayment of debt obligations. Free cash flow does not represent the residual cash flow available for discretionary expenditures, since there may be other non-discretionary expenditures that are not deducted from </w:t>
      </w:r>
      <w:r>
        <w:rPr>
          <w:rFonts w:eastAsia="Times New Roman"/>
          <w:color w:val="000000"/>
          <w:sz w:val="20"/>
          <w:szCs w:val="20"/>
        </w:rPr>
        <w:t>the measure. Free cash flow does not have a uniform definition under GAAP, and therefore NCR’s definition of this measure may differ from that of other companies. This non-GAAP measure should not be considered a substitute for, or superior to, cash flows f</w:t>
      </w:r>
      <w:r>
        <w:rPr>
          <w:rFonts w:eastAsia="Times New Roman"/>
          <w:color w:val="000000"/>
          <w:sz w:val="20"/>
          <w:szCs w:val="20"/>
        </w:rPr>
        <w:t xml:space="preserve">rom operating activities under GAAP.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table below reconciles net cash provided by (used in) operating activities, the most directly comparable GAAP measure, to NCR’s non-GAAP measure of free cash flow for the years ended December 31:</w:t>
      </w:r>
    </w:p>
    <w:p w:rsidR="00000000" w:rsidRDefault="006F0EF5">
      <w:pPr>
        <w:jc w:val="both"/>
        <w:rPr>
          <w:rFonts w:eastAsia="Times New Roman"/>
        </w:rPr>
      </w:pPr>
      <w:r>
        <w:rPr>
          <w:rFonts w:eastAsia="Times New Roman"/>
          <w:color w:val="000000"/>
          <w:sz w:val="20"/>
          <w:szCs w:val="20"/>
        </w:rPr>
        <w:t> </w:t>
      </w:r>
    </w:p>
    <w:p w:rsidR="00000000" w:rsidRDefault="006F0EF5">
      <w:pPr>
        <w:jc w:val="center"/>
        <w:divId w:val="396055917"/>
        <w:rPr>
          <w:rFonts w:eastAsia="Times New Roman"/>
        </w:rPr>
      </w:pPr>
      <w:r>
        <w:rPr>
          <w:rFonts w:eastAsia="Times New Roman"/>
          <w:color w:val="000000"/>
          <w:sz w:val="20"/>
          <w:szCs w:val="20"/>
        </w:rPr>
        <w:t>40</w:t>
      </w:r>
    </w:p>
    <w:p w:rsidR="00000000" w:rsidRDefault="006F0EF5">
      <w:pPr>
        <w:rPr>
          <w:rFonts w:eastAsia="Times New Roman"/>
        </w:rPr>
      </w:pPr>
      <w:r>
        <w:rPr>
          <w:rFonts w:eastAsia="Times New Roman"/>
        </w:rPr>
        <w:pict>
          <v:rect id="_x0000_i1069" style="width:0;height:1.5pt" o:hralign="center" o:hrstd="t" o:hr="t" fillcolor="#a0a0a0" stroked="f"/>
        </w:pict>
      </w:r>
    </w:p>
    <w:p w:rsidR="00000000" w:rsidRDefault="006F0EF5">
      <w:pPr>
        <w:divId w:val="7158761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2097509990"/>
        <w:rPr>
          <w:rFonts w:eastAsia="Times New Roman"/>
        </w:rPr>
      </w:pPr>
    </w:p>
    <w:tbl>
      <w:tblPr>
        <w:tblW w:w="4823" w:type="pct"/>
        <w:jc w:val="center"/>
        <w:tblCellMar>
          <w:top w:w="15" w:type="dxa"/>
          <w:left w:w="15" w:type="dxa"/>
          <w:bottom w:w="15" w:type="dxa"/>
          <w:right w:w="15" w:type="dxa"/>
        </w:tblCellMar>
        <w:tblLook w:val="04A0" w:firstRow="1" w:lastRow="0" w:firstColumn="1" w:lastColumn="0" w:noHBand="0" w:noVBand="1"/>
      </w:tblPr>
      <w:tblGrid>
        <w:gridCol w:w="55"/>
        <w:gridCol w:w="5989"/>
        <w:gridCol w:w="37"/>
        <w:gridCol w:w="80"/>
        <w:gridCol w:w="503"/>
        <w:gridCol w:w="36"/>
        <w:gridCol w:w="36"/>
        <w:gridCol w:w="36"/>
        <w:gridCol w:w="36"/>
        <w:gridCol w:w="67"/>
        <w:gridCol w:w="436"/>
        <w:gridCol w:w="36"/>
        <w:gridCol w:w="36"/>
        <w:gridCol w:w="36"/>
        <w:gridCol w:w="36"/>
        <w:gridCol w:w="67"/>
        <w:gridCol w:w="454"/>
        <w:gridCol w:w="36"/>
      </w:tblGrid>
      <w:tr w:rsidR="00000000">
        <w:trPr>
          <w:divId w:val="1245535379"/>
          <w:jc w:val="center"/>
        </w:trPr>
        <w:tc>
          <w:tcPr>
            <w:tcW w:w="50" w:type="pct"/>
            <w:vAlign w:val="center"/>
            <w:hideMark/>
          </w:tcPr>
          <w:p w:rsidR="00000000" w:rsidRDefault="006F0EF5">
            <w:pPr>
              <w:rPr>
                <w:rFonts w:eastAsia="Times New Roman"/>
              </w:rPr>
            </w:pPr>
          </w:p>
        </w:tc>
        <w:tc>
          <w:tcPr>
            <w:tcW w:w="375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245535379"/>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87" w:type="dxa"/>
              <w:bottom w:w="30" w:type="dxa"/>
              <w:right w:w="87"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87" w:type="dxa"/>
              <w:bottom w:w="30" w:type="dxa"/>
              <w:right w:w="87"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87" w:type="dxa"/>
              <w:bottom w:w="30" w:type="dxa"/>
              <w:right w:w="87"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1245535379"/>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Net cash provided by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$1,077</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$641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$634</w:t>
            </w:r>
          </w:p>
        </w:tc>
      </w:tr>
      <w:tr w:rsidR="00000000">
        <w:trPr>
          <w:divId w:val="1245535379"/>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Capital expenditures for property, plant and equipment</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(106)</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(31)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(91)</w:t>
            </w:r>
          </w:p>
        </w:tc>
      </w:tr>
      <w:tr w:rsidR="00000000">
        <w:trPr>
          <w:divId w:val="1245535379"/>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Additions to capitalized software</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(242)</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(232)</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(238)</w:t>
            </w:r>
          </w:p>
        </w:tc>
      </w:tr>
      <w:tr w:rsidR="00000000">
        <w:trPr>
          <w:divId w:val="1245535379"/>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Restricted cash settlement activity</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(41)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(5)</w:t>
            </w:r>
          </w:p>
        </w:tc>
      </w:tr>
      <w:tr w:rsidR="00000000">
        <w:trPr>
          <w:divId w:val="1245535379"/>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Transaction costs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55</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w:t>
            </w:r>
          </w:p>
        </w:tc>
      </w:tr>
      <w:tr w:rsidR="00000000">
        <w:trPr>
          <w:divId w:val="1245535379"/>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Sale of accounts receivables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(300)</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w:t>
            </w:r>
          </w:p>
        </w:tc>
      </w:tr>
      <w:tr w:rsidR="00000000">
        <w:trPr>
          <w:divId w:val="1245535379"/>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Pension contribution</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89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23</w:t>
            </w:r>
          </w:p>
        </w:tc>
      </w:tr>
      <w:tr w:rsidR="00000000">
        <w:trPr>
          <w:divId w:val="1245535379"/>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Free cash flow (non-GAAP)</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$460</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$467</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$323</w:t>
            </w:r>
          </w:p>
        </w:tc>
      </w:tr>
    </w:tbl>
    <w:p w:rsidR="00000000" w:rsidRDefault="006F0EF5">
      <w:pPr>
        <w:divId w:val="674649211"/>
        <w:rPr>
          <w:rFonts w:eastAsia="Times New Roman"/>
        </w:rPr>
      </w:pPr>
    </w:p>
    <w:p w:rsidR="00000000" w:rsidRDefault="006F0EF5">
      <w:pPr>
        <w:jc w:val="both"/>
        <w:rPr>
          <w:rFonts w:eastAsia="Times New Roman"/>
        </w:rPr>
      </w:pPr>
      <w:r>
        <w:rPr>
          <w:rFonts w:eastAsia="Times New Roman"/>
          <w:color w:val="000000"/>
          <w:sz w:val="20"/>
          <w:szCs w:val="20"/>
        </w:rPr>
        <w:t xml:space="preserve">In 2021, free cash flow decreased slightly from 2020 as a result of higher capital expenditures for property, plant and equipment related to ATMs to be deployed, and higher additions to capitalized software of $10 million due to an increase in investments </w:t>
      </w:r>
      <w:r>
        <w:rPr>
          <w:rFonts w:eastAsia="Times New Roman"/>
          <w:color w:val="000000"/>
          <w:sz w:val="20"/>
          <w:szCs w:val="20"/>
        </w:rPr>
        <w:t>related to our strategic initiatives. In addition, working capital also increased primarily due to inventory and the higher component costs.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2020, net cash provided by operating activities increased $7 million, which contributed to a net increase in f</w:t>
      </w:r>
      <w:r>
        <w:rPr>
          <w:rFonts w:eastAsia="Times New Roman"/>
          <w:color w:val="000000"/>
          <w:sz w:val="20"/>
          <w:szCs w:val="20"/>
        </w:rPr>
        <w:t>ree cash flow of $144 million in comparison to 2019. Additionally, capital expenditures for property, plant and equipment decreased $60 million primarily due to the initiatives implemented earlier in the year to address the business impacts from the COVID-</w:t>
      </w:r>
      <w:r>
        <w:rPr>
          <w:rFonts w:eastAsia="Times New Roman"/>
          <w:color w:val="000000"/>
          <w:sz w:val="20"/>
          <w:szCs w:val="20"/>
        </w:rPr>
        <w:t>19 pandemic. Additions to capitalized software decreased slightly $6 million as the Company continued to focus on investment in our strategic growth platforms.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Certain financing activities and certain other investing activities are not included in our ca</w:t>
      </w:r>
      <w:r>
        <w:rPr>
          <w:rFonts w:eastAsia="Times New Roman"/>
          <w:color w:val="000000"/>
          <w:sz w:val="20"/>
          <w:szCs w:val="20"/>
        </w:rPr>
        <w:t>lculation of free cash flow. Our other investing activities primarily include business acquisitions, investments, as well as proceeds from the sales of property, plant and equipment. During the year ended December 31, 2021, the payments for business combin</w:t>
      </w:r>
      <w:r>
        <w:rPr>
          <w:rFonts w:eastAsia="Times New Roman"/>
          <w:color w:val="000000"/>
          <w:sz w:val="20"/>
          <w:szCs w:val="20"/>
        </w:rPr>
        <w:t>ations was $2.47 billion, net of cash acquired, mainly for the consideration paid related to the acquisition of Cardtronics completed in 2021.</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financing activities include borrowings and repayments of credit facilities and notes. During the year ended December 31, 2021, we issued new senior unsecured notes for an aggregate principal amount of $1.2 billion and amended and restated the senior s</w:t>
      </w:r>
      <w:r>
        <w:rPr>
          <w:rFonts w:eastAsia="Times New Roman"/>
          <w:color w:val="000000"/>
          <w:sz w:val="20"/>
          <w:szCs w:val="20"/>
        </w:rPr>
        <w:t>ecured credit facility to add an incremental term loan for $1.505 billion, of which $200 million converted into the revolving credit facility. We paid $53 million of deferred financing fees related to these transactions. Additionally, we redeemed all of th</w:t>
      </w:r>
      <w:r>
        <w:rPr>
          <w:rFonts w:eastAsia="Times New Roman"/>
          <w:color w:val="000000"/>
          <w:sz w:val="20"/>
          <w:szCs w:val="20"/>
        </w:rPr>
        <w:t>e $400 million outstanding aggregate principal amount of the Company’s 8.125% senior notes due 2025. We paid $37 million of early redemption fees related to this transaction. The $300 million trade receivables securitization facility was extinguished as pa</w:t>
      </w:r>
      <w:r>
        <w:rPr>
          <w:rFonts w:eastAsia="Times New Roman"/>
          <w:color w:val="000000"/>
          <w:sz w:val="20"/>
          <w:szCs w:val="20"/>
        </w:rPr>
        <w:t>rt of the purchase agreement and the sale agreements. Refer to Note 5, “Debt Obligations”, and Note 6, “Trade Receivables Facility”, in the Notes to Consolidated Financial Statements for more information.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During the year ended December 31, 2020, we issue</w:t>
      </w:r>
      <w:r>
        <w:rPr>
          <w:rFonts w:eastAsia="Times New Roman"/>
          <w:color w:val="000000"/>
          <w:sz w:val="20"/>
          <w:szCs w:val="20"/>
        </w:rPr>
        <w:t>d new senior unsecured notes for an aggregate principal amount of $1.5 billion and we paid $21 million of deferred financing fees related to these transactions. Additionally, in the year ended December 31, 2020, we redeemed the $600 million aggregate princ</w:t>
      </w:r>
      <w:r>
        <w:rPr>
          <w:rFonts w:eastAsia="Times New Roman"/>
          <w:color w:val="000000"/>
          <w:sz w:val="20"/>
          <w:szCs w:val="20"/>
        </w:rPr>
        <w:t>ipal amount of 5.000% senior unsecured notes due in 2022 and $700 million aggregate principal amount of 6.375% senior unsecured notes due in 2023. As a part of our debt extinguishment, we recognized a loss of $20 million, which includes the write-off of de</w:t>
      </w:r>
      <w:r>
        <w:rPr>
          <w:rFonts w:eastAsia="Times New Roman"/>
          <w:color w:val="000000"/>
          <w:sz w:val="20"/>
          <w:szCs w:val="20"/>
        </w:rPr>
        <w:t>ferred financing fees of $5 million and a cash redemption premium of $15 million.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Financing activities during the year ended December 31, 2021 also included the proceeds from stock employee plans of $44 million and tax withholding payments on behalf of e</w:t>
      </w:r>
      <w:r>
        <w:rPr>
          <w:rFonts w:eastAsia="Times New Roman"/>
          <w:color w:val="000000"/>
          <w:sz w:val="20"/>
          <w:szCs w:val="20"/>
        </w:rPr>
        <w:t>mployees for stock based awards that vested of $50 million. Financing activities during the year ended December 31, 2020 also included the redemption of the outstanding Series A Convertible Preferred Stock owned by two affiliated shareholders for a total c</w:t>
      </w:r>
      <w:r>
        <w:rPr>
          <w:rFonts w:eastAsia="Times New Roman"/>
          <w:color w:val="000000"/>
          <w:sz w:val="20"/>
          <w:szCs w:val="20"/>
        </w:rPr>
        <w:t>ash consideration of $144 million, the repurchase of our common stock for $41 million, dividends paid on the Series A preferred stock of $9 million, proceeds from stock employee plans of $17 million as well as tax withholding payments on behalf of employee</w:t>
      </w:r>
      <w:r>
        <w:rPr>
          <w:rFonts w:eastAsia="Times New Roman"/>
          <w:color w:val="000000"/>
          <w:sz w:val="20"/>
          <w:szCs w:val="20"/>
        </w:rPr>
        <w:t xml:space="preserve">s for stock based awards that vested of $28 million.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Long Term Borrowings </w:t>
      </w:r>
      <w:r>
        <w:rPr>
          <w:rFonts w:eastAsia="Times New Roman"/>
          <w:color w:val="000000"/>
          <w:sz w:val="20"/>
          <w:szCs w:val="20"/>
        </w:rPr>
        <w:t>The senior secured credit facility consists of term loan facilities in an aggregate principal amount of $2.055 billion, of which $1.94 billion was outstanding as of December 31, 2</w:t>
      </w:r>
      <w:r>
        <w:rPr>
          <w:rFonts w:eastAsia="Times New Roman"/>
          <w:color w:val="000000"/>
          <w:sz w:val="20"/>
          <w:szCs w:val="20"/>
        </w:rPr>
        <w:t>021. Additionally, the senior secured credit facility provides for a five-year revolving credit facility with an aggregate principal amount of $1.3 billion, of which $380 million was outstanding as of December 31, 2021. The revolving credit facility also a</w:t>
      </w:r>
      <w:r>
        <w:rPr>
          <w:rFonts w:eastAsia="Times New Roman"/>
          <w:color w:val="000000"/>
          <w:sz w:val="20"/>
          <w:szCs w:val="20"/>
        </w:rPr>
        <w:t>llows a portion of the availability to be used for letters of credit, and as of December 31, 2021, there were $26 million in letters of credit outstanding.</w:t>
      </w:r>
    </w:p>
    <w:p w:rsidR="00000000" w:rsidRDefault="006F0EF5">
      <w:pPr>
        <w:jc w:val="both"/>
        <w:rPr>
          <w:rFonts w:eastAsia="Times New Roman"/>
        </w:rPr>
      </w:pPr>
    </w:p>
    <w:p w:rsidR="00000000" w:rsidRDefault="006F0EF5">
      <w:pPr>
        <w:jc w:val="center"/>
        <w:divId w:val="464277882"/>
        <w:rPr>
          <w:rFonts w:eastAsia="Times New Roman"/>
        </w:rPr>
      </w:pPr>
      <w:r>
        <w:rPr>
          <w:rFonts w:eastAsia="Times New Roman"/>
          <w:color w:val="000000"/>
          <w:sz w:val="20"/>
          <w:szCs w:val="20"/>
        </w:rPr>
        <w:t>41</w:t>
      </w:r>
    </w:p>
    <w:p w:rsidR="00000000" w:rsidRDefault="006F0EF5">
      <w:pPr>
        <w:rPr>
          <w:rFonts w:eastAsia="Times New Roman"/>
        </w:rPr>
      </w:pPr>
      <w:r>
        <w:rPr>
          <w:rFonts w:eastAsia="Times New Roman"/>
        </w:rPr>
        <w:pict>
          <v:rect id="_x0000_i1070" style="width:0;height:1.5pt" o:hralign="center" o:hrstd="t" o:hr="t" fillcolor="#a0a0a0" stroked="f"/>
        </w:pict>
      </w:r>
    </w:p>
    <w:p w:rsidR="00000000" w:rsidRDefault="006F0EF5">
      <w:pPr>
        <w:divId w:val="152162112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2133404554"/>
        <w:rPr>
          <w:rFonts w:eastAsia="Times New Roman"/>
        </w:rPr>
      </w:pPr>
    </w:p>
    <w:p w:rsidR="00000000" w:rsidRDefault="006F0EF5">
      <w:pPr>
        <w:jc w:val="both"/>
        <w:rPr>
          <w:rFonts w:eastAsia="Times New Roman"/>
        </w:rPr>
      </w:pPr>
      <w:r>
        <w:rPr>
          <w:rFonts w:eastAsia="Times New Roman"/>
          <w:color w:val="000000"/>
          <w:sz w:val="20"/>
          <w:szCs w:val="20"/>
        </w:rPr>
        <w:t>As of December 31, 2021, we had outstanding $1.2 billion in aggregate principal balance of 5.125% senior unsecured notes due in 2029, $500 million in aggregate principal balance of 5.750% senior unsecured notes due in 2027, $650 millio</w:t>
      </w:r>
      <w:r>
        <w:rPr>
          <w:rFonts w:eastAsia="Times New Roman"/>
          <w:color w:val="000000"/>
          <w:sz w:val="20"/>
          <w:szCs w:val="20"/>
        </w:rPr>
        <w:t>n aggregate principal balance of 5.000% senior unsecured notes due in 2028, $500 million in aggregate principal balance of 6.125% senior unsecured notes due in 2029, and $450 million in aggregate principal balance of 5.250% senior unsecured notes due in 20</w:t>
      </w:r>
      <w:r>
        <w:rPr>
          <w:rFonts w:eastAsia="Times New Roman"/>
          <w:color w:val="000000"/>
          <w:sz w:val="20"/>
          <w:szCs w:val="20"/>
        </w:rPr>
        <w:t>30.</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August 12, 2021 (the “Redemption Date”), the Company redeemed all of the outstanding $400 million 8.125% Notes at a redemption price equal to 100% of the principal amount of the 8.125% Notes plus the excess of (if any) (a) the present value at the</w:t>
      </w:r>
      <w:r>
        <w:rPr>
          <w:rFonts w:eastAsia="Times New Roman"/>
          <w:color w:val="000000"/>
          <w:sz w:val="20"/>
          <w:szCs w:val="20"/>
        </w:rPr>
        <w:t xml:space="preserve"> Redemption Date of (i) the redemption price of 8.125% Notes on April 15, 2022, plus (ii) all required remaining scheduled interest payments due on the 8.125% Notes through April 15, 2022 (but excluding accrued and unpaid interest to and excluding the Rede</w:t>
      </w:r>
      <w:r>
        <w:rPr>
          <w:rFonts w:eastAsia="Times New Roman"/>
          <w:color w:val="000000"/>
          <w:sz w:val="20"/>
          <w:szCs w:val="20"/>
        </w:rPr>
        <w:t>mption Date), computed using a discount rate equal to the Adjusted Treasury Rate (as described in the terms of the indenture relating to the 8.125% Notes), over (b) the principal amount of the 8.125% Notes on the Redemption Date, and accrued and unpaid int</w:t>
      </w:r>
      <w:r>
        <w:rPr>
          <w:rFonts w:eastAsia="Times New Roman"/>
          <w:color w:val="000000"/>
          <w:sz w:val="20"/>
          <w:szCs w:val="20"/>
        </w:rPr>
        <w:t>erest to and excluding the Redemption Date (the “Redemption Price”).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On September 30, 2021 NCR amended and restated its existing Receivables Financing Agreement to modify certain terms of the Company’s existing revolving trade receivables securitization </w:t>
      </w:r>
      <w:r>
        <w:rPr>
          <w:rFonts w:eastAsia="Times New Roman"/>
          <w:color w:val="000000"/>
          <w:sz w:val="20"/>
          <w:szCs w:val="20"/>
        </w:rPr>
        <w:t>facility (the “T/R Facility”). As part of the amendment, the Company repaid the outstanding balances under the facility and the borrowing capacity under the facility was eliminated.</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See Note 5, “Debt Obligations”, of the Notes to Consolidated Financial S</w:t>
      </w:r>
      <w:r>
        <w:rPr>
          <w:rFonts w:eastAsia="Times New Roman"/>
          <w:color w:val="000000"/>
          <w:sz w:val="20"/>
          <w:szCs w:val="20"/>
        </w:rPr>
        <w:t>tatements included in Item 8 of Part II of this Report for further information on the senior secured credit facility (including certain amendments to such facility), the senior unsecured notes, the trade receivables securitization facility and our financin</w:t>
      </w:r>
      <w:r>
        <w:rPr>
          <w:rFonts w:eastAsia="Times New Roman"/>
          <w:color w:val="000000"/>
          <w:sz w:val="20"/>
          <w:szCs w:val="20"/>
        </w:rPr>
        <w:t>g activities in connection with the Cardtronics transaction.</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Employee Benefit Plans </w:t>
      </w:r>
      <w:r>
        <w:rPr>
          <w:rFonts w:eastAsia="Times New Roman"/>
          <w:color w:val="000000"/>
          <w:sz w:val="20"/>
          <w:szCs w:val="20"/>
        </w:rPr>
        <w:t>We expect to make pension, postemployment and postretirement plan contributions of approximately $46 million in 2022. See Note 9, “Employee Benefit Plans”, of the Notes t</w:t>
      </w:r>
      <w:r>
        <w:rPr>
          <w:rFonts w:eastAsia="Times New Roman"/>
          <w:color w:val="000000"/>
          <w:sz w:val="20"/>
          <w:szCs w:val="20"/>
        </w:rPr>
        <w:t>o Consolidated Financial Statements included in Item 8 of Part II of this Report for additional discussion on our pension, postemployment and postretirement plans.</w:t>
      </w: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Series A Convertible Preferred Stock</w:t>
      </w:r>
      <w:r>
        <w:rPr>
          <w:rFonts w:eastAsia="Times New Roman"/>
          <w:color w:val="000000"/>
          <w:sz w:val="20"/>
          <w:szCs w:val="20"/>
        </w:rPr>
        <w:t xml:space="preserve"> In 2015, NCR issued 820,000 shares of Series A Conv</w:t>
      </w:r>
      <w:r>
        <w:rPr>
          <w:rFonts w:eastAsia="Times New Roman"/>
          <w:color w:val="000000"/>
          <w:sz w:val="20"/>
          <w:szCs w:val="20"/>
        </w:rPr>
        <w:t>ertible Preferred Stock. As of December 31, 2021, there were approximately 300,000 shares that remained issued and outstanding. Holders of Series A Convertible Preferred Stock are entitled to a cumulative dividend at the rate of 5.5% per annum, which was p</w:t>
      </w:r>
      <w:r>
        <w:rPr>
          <w:rFonts w:eastAsia="Times New Roman"/>
          <w:color w:val="000000"/>
          <w:sz w:val="20"/>
          <w:szCs w:val="20"/>
        </w:rPr>
        <w:t>ayable quarterly in arrears and payable in-kind for the first sixteen dividend payments, after which, beginning in the first quarter of 2020, are payable in cash or in-kind at the option of the Company. The holders also have certain redemption rights or pu</w:t>
      </w:r>
      <w:r>
        <w:rPr>
          <w:rFonts w:eastAsia="Times New Roman"/>
          <w:color w:val="000000"/>
          <w:sz w:val="20"/>
          <w:szCs w:val="20"/>
        </w:rPr>
        <w:t>t rights, including the right to require us to repurchase all or any portion of the Series A Convertible Preferred Stock on any date during the three months commencing on and immediately following March 16, 2024 and the three months commencing on and immed</w:t>
      </w:r>
      <w:r>
        <w:rPr>
          <w:rFonts w:eastAsia="Times New Roman"/>
          <w:color w:val="000000"/>
          <w:sz w:val="20"/>
          <w:szCs w:val="20"/>
        </w:rPr>
        <w:t>iately following every third anniversary of such date, at 100% of the liquidation preference plus all accrued but unpaid dividends.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Additionally, the Series A Convertible Preferred Stock is convertible at the option of the holders at any time into shares</w:t>
      </w:r>
      <w:r>
        <w:rPr>
          <w:rFonts w:eastAsia="Times New Roman"/>
          <w:color w:val="000000"/>
          <w:sz w:val="20"/>
          <w:szCs w:val="20"/>
        </w:rPr>
        <w:t xml:space="preserve"> of common stock at a conversion price of $30.00 per share, or a conversion rate of 33.333 shares of common stock per share of Series A Convertible Preferred Stock. As of December 31, 2021, the maximum number of common shares that could be required to be i</w:t>
      </w:r>
      <w:r>
        <w:rPr>
          <w:rFonts w:eastAsia="Times New Roman"/>
          <w:color w:val="000000"/>
          <w:sz w:val="20"/>
          <w:szCs w:val="20"/>
        </w:rPr>
        <w:t>ssued upon conversion of the outstanding shares of the Series A Convertible Preferred Stock was 9.2 million shares which would represent approximately 7% of our outstanding common stock as of December 31, 2021 including the preferred shares on an as-conver</w:t>
      </w:r>
      <w:r>
        <w:rPr>
          <w:rFonts w:eastAsia="Times New Roman"/>
          <w:color w:val="000000"/>
          <w:sz w:val="20"/>
          <w:szCs w:val="20"/>
        </w:rPr>
        <w:t>ted basis.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Cash and Cash Equivalents Held by Foreign Subsidiaries </w:t>
      </w:r>
      <w:r>
        <w:rPr>
          <w:rFonts w:eastAsia="Times New Roman"/>
          <w:color w:val="000000"/>
          <w:sz w:val="20"/>
          <w:szCs w:val="20"/>
        </w:rPr>
        <w:t>Cash and cash equivalents held by the Company's foreign subsidiaries were $412 million and $329 million at December 31, 2021 and 2020, respectively. As a result of the Tax Cuts and Jobs Act of 2017, including the repatriation tax, in general we will not be</w:t>
      </w:r>
      <w:r>
        <w:rPr>
          <w:rFonts w:eastAsia="Times New Roman"/>
          <w:color w:val="000000"/>
          <w:sz w:val="20"/>
          <w:szCs w:val="20"/>
        </w:rPr>
        <w:t xml:space="preserve"> subject to additional U.S. taxes if cash and cash equivalents and short-term investments held outside the United States are distributed to the United States in the form of dividends or otherwise. However, we may be subject to foreign withholding taxes, wh</w:t>
      </w:r>
      <w:r>
        <w:rPr>
          <w:rFonts w:eastAsia="Times New Roman"/>
          <w:color w:val="000000"/>
          <w:sz w:val="20"/>
          <w:szCs w:val="20"/>
        </w:rPr>
        <w:t>ich could be significant.</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Summary</w:t>
      </w:r>
      <w:r>
        <w:rPr>
          <w:rFonts w:eastAsia="Times New Roman"/>
          <w:color w:val="000000"/>
          <w:sz w:val="20"/>
          <w:szCs w:val="20"/>
        </w:rPr>
        <w:t xml:space="preserve"> As of December 31, 2021, our cash and cash equivalents totaled $447 million and our total debt was $5.62 billion. Our borrowing capacity under our senior secured credit facility was $894 million at December 31, 2021. Our</w:t>
      </w:r>
      <w:r>
        <w:rPr>
          <w:rFonts w:eastAsia="Times New Roman"/>
          <w:color w:val="000000"/>
          <w:sz w:val="20"/>
          <w:szCs w:val="20"/>
        </w:rPr>
        <w:t xml:space="preserve"> ability to generate positive cash flows from operations is dependent on general economic conditions, the competitive environment in our industry, and is subject to the business and other risk factors described in Item 1A of Part I of this Report. If we ar</w:t>
      </w:r>
      <w:r>
        <w:rPr>
          <w:rFonts w:eastAsia="Times New Roman"/>
          <w:color w:val="000000"/>
          <w:sz w:val="20"/>
          <w:szCs w:val="20"/>
        </w:rPr>
        <w:t xml:space="preserve">e unable to generate sufficient cash flows from operations, or otherwise comply with the terms of our credit facilities, we may be required to seek additional financing alternatives.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believe that we have sufficient liquidity based on our current cash</w:t>
      </w:r>
      <w:r>
        <w:rPr>
          <w:rFonts w:eastAsia="Times New Roman"/>
          <w:color w:val="000000"/>
          <w:sz w:val="20"/>
          <w:szCs w:val="20"/>
        </w:rPr>
        <w:t xml:space="preserve"> position, cash flows from operations and existing financing to meet our expected pension, postemployment and postretirement plan contributions, remediation payments related to environmental </w:t>
      </w:r>
    </w:p>
    <w:p w:rsidR="00000000" w:rsidRDefault="006F0EF5">
      <w:pPr>
        <w:jc w:val="center"/>
        <w:divId w:val="223880236"/>
        <w:rPr>
          <w:rFonts w:eastAsia="Times New Roman"/>
        </w:rPr>
      </w:pPr>
      <w:r>
        <w:rPr>
          <w:rFonts w:eastAsia="Times New Roman"/>
          <w:color w:val="000000"/>
          <w:sz w:val="20"/>
          <w:szCs w:val="20"/>
        </w:rPr>
        <w:t>42</w:t>
      </w:r>
    </w:p>
    <w:p w:rsidR="00000000" w:rsidRDefault="006F0EF5">
      <w:pPr>
        <w:rPr>
          <w:rFonts w:eastAsia="Times New Roman"/>
        </w:rPr>
      </w:pPr>
      <w:r>
        <w:rPr>
          <w:rFonts w:eastAsia="Times New Roman"/>
        </w:rPr>
        <w:pict>
          <v:rect id="_x0000_i1071" style="width:0;height:1.5pt" o:hralign="center" o:hrstd="t" o:hr="t" fillcolor="#a0a0a0" stroked="f"/>
        </w:pict>
      </w:r>
    </w:p>
    <w:p w:rsidR="00000000" w:rsidRDefault="006F0EF5">
      <w:pPr>
        <w:divId w:val="68914323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356388504"/>
        <w:rPr>
          <w:rFonts w:eastAsia="Times New Roman"/>
        </w:rPr>
      </w:pPr>
    </w:p>
    <w:p w:rsidR="00000000" w:rsidRDefault="006F0EF5">
      <w:pPr>
        <w:jc w:val="both"/>
        <w:rPr>
          <w:rFonts w:eastAsia="Times New Roman"/>
        </w:rPr>
      </w:pPr>
      <w:r>
        <w:rPr>
          <w:rFonts w:eastAsia="Times New Roman"/>
          <w:color w:val="000000"/>
          <w:sz w:val="20"/>
          <w:szCs w:val="20"/>
        </w:rPr>
        <w:t>matters, debt servicing obligations, payments related to transformation initiatives, and our operating requirements for the next twelve months, and in the long-term (i.e. beyond December 31, 2022) to m</w:t>
      </w:r>
      <w:r>
        <w:rPr>
          <w:rFonts w:eastAsia="Times New Roman"/>
          <w:color w:val="000000"/>
          <w:sz w:val="20"/>
          <w:szCs w:val="20"/>
        </w:rPr>
        <w:t xml:space="preserve">eet our material cash requirements described below.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Material Cash Requirements from Contractual and Other Obligations</w:t>
      </w:r>
      <w:r>
        <w:rPr>
          <w:rFonts w:eastAsia="Times New Roman"/>
          <w:color w:val="000000"/>
          <w:sz w:val="20"/>
          <w:szCs w:val="20"/>
        </w:rPr>
        <w:t xml:space="preserve"> In the normal course of business, we enter into various contractual obligations that impact, or could impact, the liquidity of our oper</w:t>
      </w:r>
      <w:r>
        <w:rPr>
          <w:rFonts w:eastAsia="Times New Roman"/>
          <w:color w:val="000000"/>
          <w:sz w:val="20"/>
          <w:szCs w:val="20"/>
        </w:rPr>
        <w:t>ations. The following table and discussion outlines our material obligations as of December 31, 2021 on an undiscounted basis, with projected cash payments in the years shown:</w:t>
      </w:r>
    </w:p>
    <w:tbl>
      <w:tblPr>
        <w:tblW w:w="4540" w:type="pct"/>
        <w:jc w:val="center"/>
        <w:tblCellMar>
          <w:top w:w="15" w:type="dxa"/>
          <w:left w:w="15" w:type="dxa"/>
          <w:bottom w:w="15" w:type="dxa"/>
          <w:right w:w="15" w:type="dxa"/>
        </w:tblCellMar>
        <w:tblLook w:val="04A0" w:firstRow="1" w:lastRow="0" w:firstColumn="1" w:lastColumn="0" w:noHBand="0" w:noVBand="1"/>
      </w:tblPr>
      <w:tblGrid>
        <w:gridCol w:w="39"/>
        <w:gridCol w:w="3427"/>
        <w:gridCol w:w="37"/>
        <w:gridCol w:w="121"/>
        <w:gridCol w:w="630"/>
        <w:gridCol w:w="36"/>
        <w:gridCol w:w="120"/>
        <w:gridCol w:w="631"/>
        <w:gridCol w:w="36"/>
        <w:gridCol w:w="120"/>
        <w:gridCol w:w="632"/>
        <w:gridCol w:w="36"/>
        <w:gridCol w:w="120"/>
        <w:gridCol w:w="632"/>
        <w:gridCol w:w="36"/>
        <w:gridCol w:w="121"/>
        <w:gridCol w:w="696"/>
        <w:gridCol w:w="36"/>
        <w:gridCol w:w="36"/>
      </w:tblGrid>
      <w:tr w:rsidR="00000000">
        <w:trPr>
          <w:divId w:val="1788888473"/>
          <w:jc w:val="center"/>
        </w:trPr>
        <w:tc>
          <w:tcPr>
            <w:tcW w:w="50" w:type="pct"/>
            <w:vAlign w:val="center"/>
            <w:hideMark/>
          </w:tcPr>
          <w:p w:rsidR="00000000" w:rsidRDefault="006F0EF5">
            <w:pPr>
              <w:jc w:val="both"/>
              <w:rPr>
                <w:rFonts w:eastAsia="Times New Roman"/>
              </w:rPr>
            </w:pPr>
          </w:p>
        </w:tc>
        <w:tc>
          <w:tcPr>
            <w:tcW w:w="234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6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6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6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6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6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r>
      <w:tr w:rsidR="00000000">
        <w:trPr>
          <w:divId w:val="1788888473"/>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 Amounts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2022</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2023-2024</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2025-2026</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2027 &amp; Thereafter</w:t>
            </w:r>
          </w:p>
        </w:tc>
        <w:tc>
          <w:tcPr>
            <w:tcW w:w="0" w:type="auto"/>
            <w:vAlign w:val="center"/>
            <w:hideMark/>
          </w:tcPr>
          <w:p w:rsidR="00000000" w:rsidRDefault="006F0EF5">
            <w:pPr>
              <w:spacing w:after="100"/>
              <w:jc w:val="center"/>
              <w:rPr>
                <w:rFonts w:eastAsia="Times New Roman"/>
              </w:rPr>
            </w:pPr>
          </w:p>
        </w:tc>
      </w:tr>
      <w:tr w:rsidR="00000000">
        <w:trPr>
          <w:divId w:val="178888847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Debt obligations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5,622 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r>
      <w:tr w:rsidR="00000000">
        <w:trPr>
          <w:divId w:val="1788888473"/>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Interest on debt obligations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1,553 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467 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r>
      <w:tr w:rsidR="00000000">
        <w:trPr>
          <w:divId w:val="178888847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Estimated environmental liability payments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r>
      <w:tr w:rsidR="00000000">
        <w:trPr>
          <w:divId w:val="1788888473"/>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Lease obligations</w:t>
            </w:r>
          </w:p>
        </w:tc>
        <w:tc>
          <w:tcPr>
            <w:tcW w:w="0" w:type="auto"/>
            <w:gridSpan w:val="2"/>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651 </w:t>
            </w:r>
          </w:p>
        </w:tc>
        <w:tc>
          <w:tcPr>
            <w:tcW w:w="0" w:type="auto"/>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137 </w:t>
            </w:r>
          </w:p>
        </w:tc>
        <w:tc>
          <w:tcPr>
            <w:tcW w:w="0" w:type="auto"/>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159 </w:t>
            </w:r>
          </w:p>
        </w:tc>
        <w:tc>
          <w:tcPr>
            <w:tcW w:w="0" w:type="auto"/>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97 </w:t>
            </w:r>
          </w:p>
        </w:tc>
        <w:tc>
          <w:tcPr>
            <w:tcW w:w="0" w:type="auto"/>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258 </w:t>
            </w:r>
          </w:p>
        </w:tc>
        <w:tc>
          <w:tcPr>
            <w:tcW w:w="0" w:type="auto"/>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r>
      <w:tr w:rsidR="00000000">
        <w:trPr>
          <w:divId w:val="178888847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Purchase obligations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1,438 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1,405 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r>
      <w:tr w:rsidR="00000000">
        <w:trPr>
          <w:divId w:val="1788888473"/>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obligations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9,384 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4,025 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r>
    </w:tbl>
    <w:p w:rsidR="00000000" w:rsidRDefault="006F0EF5">
      <w:pPr>
        <w:divId w:val="387267895"/>
        <w:rPr>
          <w:rFonts w:eastAsia="Times New Roman"/>
        </w:rPr>
      </w:pPr>
    </w:p>
    <w:p w:rsidR="00000000" w:rsidRDefault="006F0EF5">
      <w:pPr>
        <w:jc w:val="both"/>
        <w:rPr>
          <w:rFonts w:eastAsia="Times New Roman"/>
        </w:rPr>
      </w:pPr>
      <w:r>
        <w:rPr>
          <w:rFonts w:eastAsia="Times New Roman"/>
          <w:color w:val="000000"/>
          <w:sz w:val="20"/>
          <w:szCs w:val="20"/>
        </w:rPr>
        <w:t>For purposes of this table, we used interest rates as of December 31, 2021 to estimate the future interest on debt obligations outstanding as of December 31, 2021 and have assumed no voluntary prepayments of existing debt. See Note 5, “Debt Obligations”, o</w:t>
      </w:r>
      <w:r>
        <w:rPr>
          <w:rFonts w:eastAsia="Times New Roman"/>
          <w:color w:val="000000"/>
          <w:sz w:val="20"/>
          <w:szCs w:val="20"/>
        </w:rPr>
        <w:t>f the Notes to Consolidated Financial Statements included in Item 8 of Part II of this Report for additional disclosure related to our debt obligations and the related interest rate terms.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estimated environmental liability payments included in the t</w:t>
      </w:r>
      <w:r>
        <w:rPr>
          <w:rFonts w:eastAsia="Times New Roman"/>
          <w:color w:val="000000"/>
          <w:sz w:val="20"/>
          <w:szCs w:val="20"/>
        </w:rPr>
        <w:t>able of material cash requirements shown above are related to the Fox River, Kalamazoo River and Ebina environmental matters. The amounts shown are our expected payments, net of the payment obligations of co-obligors and an estimate for payments to be rece</w:t>
      </w:r>
      <w:r>
        <w:rPr>
          <w:rFonts w:eastAsia="Times New Roman"/>
          <w:color w:val="000000"/>
          <w:sz w:val="20"/>
          <w:szCs w:val="20"/>
        </w:rPr>
        <w:t>ived from indemnification parties. For additional information, refer to Note 10, “Commitments and Contingencies”, of the Notes to Consolidated Financial Statements included in Item 8 of Part II of this Report.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lease obligations are primarily for futu</w:t>
      </w:r>
      <w:r>
        <w:rPr>
          <w:rFonts w:eastAsia="Times New Roman"/>
          <w:color w:val="000000"/>
          <w:sz w:val="20"/>
          <w:szCs w:val="20"/>
        </w:rPr>
        <w:t>re rental amounts for our world headquarters in Atlanta, Georgia, as well as for certain sales and manufacturing facilities in various domestic and international locations and leases related to equipment and vehicles.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Purchase obligations represent commi</w:t>
      </w:r>
      <w:r>
        <w:rPr>
          <w:rFonts w:eastAsia="Times New Roman"/>
          <w:color w:val="000000"/>
          <w:sz w:val="20"/>
          <w:szCs w:val="20"/>
        </w:rPr>
        <w:t>tted purchase orders and other contractual commitments for goods or services. The purchase obligation amounts were determined through information in our procurement systems and payment schedules for significant contracts. Included in the amounts are commit</w:t>
      </w:r>
      <w:r>
        <w:rPr>
          <w:rFonts w:eastAsia="Times New Roman"/>
          <w:color w:val="000000"/>
          <w:sz w:val="20"/>
          <w:szCs w:val="20"/>
        </w:rPr>
        <w:t xml:space="preserve">ted payments in relation to the long-term service agreement with Accenture under which NCR’s transaction processing activities and functions are performed.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have a liability related to our uncertain tax positions. Due to the nature of the underlying l</w:t>
      </w:r>
      <w:r>
        <w:rPr>
          <w:rFonts w:eastAsia="Times New Roman"/>
          <w:color w:val="000000"/>
          <w:sz w:val="20"/>
          <w:szCs w:val="20"/>
        </w:rPr>
        <w:t>iabilities and the extended time often needed to resolve income tax uncertainties, we cannot make reliable estimates of the amount or timing of cash payments that may be required to settle these liabilities. For additional information, refer to Note 7, “In</w:t>
      </w:r>
      <w:r>
        <w:rPr>
          <w:rFonts w:eastAsia="Times New Roman"/>
          <w:color w:val="000000"/>
          <w:sz w:val="20"/>
          <w:szCs w:val="20"/>
        </w:rPr>
        <w:t xml:space="preserve">come Taxes”, of the Notes to Consolidated Financial Statements included in Item 8 of Part II of this Report.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U.S. and international employee benefit plans, which are described in Note 9, “Employee Benefit Plans”, of the Notes to Consolidated Financi</w:t>
      </w:r>
      <w:r>
        <w:rPr>
          <w:rFonts w:eastAsia="Times New Roman"/>
          <w:color w:val="000000"/>
          <w:sz w:val="20"/>
          <w:szCs w:val="20"/>
        </w:rPr>
        <w:t xml:space="preserve">al Statements included in Item 8 of Part II of this Report, could require significant future cash payments. </w:t>
      </w:r>
      <w:r>
        <w:rPr>
          <w:rFonts w:eastAsia="Times New Roman"/>
          <w:color w:val="000000"/>
          <w:sz w:val="20"/>
          <w:szCs w:val="20"/>
          <w:shd w:val="clear" w:color="auto" w:fill="FFFFFF"/>
        </w:rPr>
        <w:t>In 2021, we made no discretionary contributions to our U.S. pension plan. We do not expect mandatory contributions until 2026 based on current fundi</w:t>
      </w:r>
      <w:r>
        <w:rPr>
          <w:rFonts w:eastAsia="Times New Roman"/>
          <w:color w:val="000000"/>
          <w:sz w:val="20"/>
          <w:szCs w:val="20"/>
          <w:shd w:val="clear" w:color="auto" w:fill="FFFFFF"/>
        </w:rPr>
        <w:t>ng requirements and assuming the Company does not complete any further actions, including, but not limited to, a further pre-fund or de-risking action. The funded status of N</w:t>
      </w:r>
      <w:r>
        <w:rPr>
          <w:rFonts w:eastAsia="Times New Roman"/>
          <w:color w:val="000000"/>
          <w:sz w:val="20"/>
          <w:szCs w:val="20"/>
        </w:rPr>
        <w:t>CR’s U.S. pension plan is an underfunded position of $503 million as of December 3</w:t>
      </w:r>
      <w:r>
        <w:rPr>
          <w:rFonts w:eastAsia="Times New Roman"/>
          <w:color w:val="000000"/>
          <w:sz w:val="20"/>
          <w:szCs w:val="20"/>
        </w:rPr>
        <w:t>1, 2021 compared to an underfunded position of $539 million as of December 31, 2020. Our international retirement plans were in a funded position of $1 million as of December 31, 2021, as compared to an underfunded position of $128 million as of December 3</w:t>
      </w:r>
      <w:r>
        <w:rPr>
          <w:rFonts w:eastAsia="Times New Roman"/>
          <w:color w:val="000000"/>
          <w:sz w:val="20"/>
          <w:szCs w:val="20"/>
        </w:rPr>
        <w:t>1, 2020. The decrease in our underfunded position is primarily attributable to an increase in discount rates as well as a favorable impact from a mortality update. Contributions to international pension plans are expected to be approximately $15 million in</w:t>
      </w:r>
      <w:r>
        <w:rPr>
          <w:rFonts w:eastAsia="Times New Roman"/>
          <w:color w:val="000000"/>
          <w:sz w:val="20"/>
          <w:szCs w:val="20"/>
        </w:rPr>
        <w:t xml:space="preserve"> 2022.</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also have product warranties that may affect future cash flows. These items are not included in the table of obligations shown above, but are described in detail in Note 10, “Commitments and Contingencies”, of the Notes to Consolidated Financia</w:t>
      </w:r>
      <w:r>
        <w:rPr>
          <w:rFonts w:eastAsia="Times New Roman"/>
          <w:color w:val="000000"/>
          <w:sz w:val="20"/>
          <w:szCs w:val="20"/>
        </w:rPr>
        <w:t>l Statements included in Item 8 of Part II of this Report.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senior secured credit facility and the indentures for our senior unsecured notes include affirmative and negative covenants that restrict or limit our ability to, among other things, incur in</w:t>
      </w:r>
      <w:r>
        <w:rPr>
          <w:rFonts w:eastAsia="Times New Roman"/>
          <w:color w:val="000000"/>
          <w:sz w:val="20"/>
          <w:szCs w:val="20"/>
        </w:rPr>
        <w:t xml:space="preserve">debtedness; create liens on assets; engage in certain fundamental corporate </w:t>
      </w:r>
    </w:p>
    <w:p w:rsidR="00000000" w:rsidRDefault="006F0EF5">
      <w:pPr>
        <w:jc w:val="center"/>
        <w:divId w:val="149292172"/>
        <w:rPr>
          <w:rFonts w:eastAsia="Times New Roman"/>
        </w:rPr>
      </w:pPr>
      <w:r>
        <w:rPr>
          <w:rFonts w:eastAsia="Times New Roman"/>
          <w:color w:val="000000"/>
          <w:sz w:val="20"/>
          <w:szCs w:val="20"/>
        </w:rPr>
        <w:t>43</w:t>
      </w:r>
    </w:p>
    <w:p w:rsidR="00000000" w:rsidRDefault="006F0EF5">
      <w:pPr>
        <w:rPr>
          <w:rFonts w:eastAsia="Times New Roman"/>
        </w:rPr>
      </w:pPr>
      <w:r>
        <w:rPr>
          <w:rFonts w:eastAsia="Times New Roman"/>
        </w:rPr>
        <w:pict>
          <v:rect id="_x0000_i1072" style="width:0;height:1.5pt" o:hralign="center" o:hrstd="t" o:hr="t" fillcolor="#a0a0a0" stroked="f"/>
        </w:pict>
      </w:r>
    </w:p>
    <w:p w:rsidR="00000000" w:rsidRDefault="006F0EF5">
      <w:pPr>
        <w:divId w:val="40580997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871644225"/>
        <w:rPr>
          <w:rFonts w:eastAsia="Times New Roman"/>
        </w:rPr>
      </w:pPr>
    </w:p>
    <w:p w:rsidR="00000000" w:rsidRDefault="006F0EF5">
      <w:pPr>
        <w:jc w:val="both"/>
        <w:rPr>
          <w:rFonts w:eastAsia="Times New Roman"/>
        </w:rPr>
      </w:pPr>
      <w:r>
        <w:rPr>
          <w:rFonts w:eastAsia="Times New Roman"/>
          <w:color w:val="000000"/>
          <w:sz w:val="20"/>
          <w:szCs w:val="20"/>
        </w:rPr>
        <w:t>changes or changes to our business activities; make investments; sell or otherwise dispose of assets; engage in sale-leaseback or hedging transactions; pay dividends or make similar distributions; repay other indebtedness; engage in certain affiliate trans</w:t>
      </w:r>
      <w:r>
        <w:rPr>
          <w:rFonts w:eastAsia="Times New Roman"/>
          <w:color w:val="000000"/>
          <w:sz w:val="20"/>
          <w:szCs w:val="20"/>
        </w:rPr>
        <w:t xml:space="preserve">actions; or enter into agreements that restrict our ability to create liens, pay dividends or make loan repayments. Our senior secured credit facility also includes financial covenants that require us to maintain: </w:t>
      </w:r>
    </w:p>
    <w:p w:rsidR="00000000" w:rsidRDefault="006F0EF5">
      <w:pPr>
        <w:ind w:hanging="360"/>
        <w:jc w:val="both"/>
        <w:divId w:val="801848659"/>
        <w:rPr>
          <w:rFonts w:eastAsia="Times New Roman"/>
        </w:rPr>
      </w:pPr>
      <w:r>
        <w:rPr>
          <w:rFonts w:eastAsia="Times New Roman"/>
          <w:color w:val="000000"/>
          <w:sz w:val="20"/>
          <w:szCs w:val="20"/>
          <w:shd w:val="clear" w:color="auto" w:fill="FFFFFF"/>
        </w:rPr>
        <w:t>•</w:t>
      </w:r>
      <w:r>
        <w:rPr>
          <w:rFonts w:eastAsia="Times New Roman"/>
          <w:color w:val="000000"/>
          <w:sz w:val="20"/>
          <w:szCs w:val="20"/>
        </w:rPr>
        <w:t>A consolidated leverage ratio on the las</w:t>
      </w:r>
      <w:r>
        <w:rPr>
          <w:rFonts w:eastAsia="Times New Roman"/>
          <w:color w:val="000000"/>
          <w:sz w:val="20"/>
          <w:szCs w:val="20"/>
        </w:rPr>
        <w:t xml:space="preserve">t day of any fiscal quarter, not to exceed (i) in the case of any fiscal quarter ending on or prior to December 31, 2021, 5.50 to 1.00, (ii) in the case of any fiscal quarter ending on or prior to September 30, 2022, 5.25 to 1.00, and (iii) in the case of </w:t>
      </w:r>
      <w:r>
        <w:rPr>
          <w:rFonts w:eastAsia="Times New Roman"/>
          <w:color w:val="000000"/>
          <w:sz w:val="20"/>
          <w:szCs w:val="20"/>
        </w:rPr>
        <w:t>any fiscal quarter ending on or after December 31, 2022, 4.75 to 1.00.</w:t>
      </w:r>
    </w:p>
    <w:p w:rsidR="00000000" w:rsidRDefault="006F0EF5">
      <w:pPr>
        <w:jc w:val="both"/>
        <w:rPr>
          <w:rFonts w:eastAsia="Times New Roman"/>
        </w:rPr>
      </w:pPr>
      <w:r>
        <w:rPr>
          <w:rFonts w:eastAsia="Times New Roman"/>
          <w:color w:val="000000"/>
          <w:sz w:val="20"/>
          <w:szCs w:val="20"/>
        </w:rPr>
        <w:t xml:space="preserve">The Company has the option to elect to increase the maximum permitted leverage ratio for the periods described in the foregoing clause (iii) by 0.25 in connection with the consummation </w:t>
      </w:r>
      <w:r>
        <w:rPr>
          <w:rFonts w:eastAsia="Times New Roman"/>
          <w:color w:val="000000"/>
          <w:sz w:val="20"/>
          <w:szCs w:val="20"/>
        </w:rPr>
        <w:t>of any material acquisition (as defined in the Senior Secured Credit Facility) for three fiscal quarters.</w:t>
      </w: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CRITICAL ACCOUNTING ESTIMATES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consolidated financial statements are prepared in accordance with GAAP. In connection with the preparation of these financial statements, we are required to make assumptions, estimates and judgments that affect the reported amounts of assets, liabiliti</w:t>
      </w:r>
      <w:r>
        <w:rPr>
          <w:rFonts w:eastAsia="Times New Roman"/>
          <w:color w:val="000000"/>
          <w:sz w:val="20"/>
          <w:szCs w:val="20"/>
        </w:rPr>
        <w:t>es, revenue, expenses and the related disclosure of contingent liabilities. These assumptions, estimates and judgments are based on historical experience and are believed to be reasonable at the time. However, because future events and their effects cannot</w:t>
      </w:r>
      <w:r>
        <w:rPr>
          <w:rFonts w:eastAsia="Times New Roman"/>
          <w:color w:val="000000"/>
          <w:sz w:val="20"/>
          <w:szCs w:val="20"/>
        </w:rPr>
        <w:t xml:space="preserve"> be determined with certainty, the determination of estimates requires the exercise of judgment. Our critical accounting policies are those that require assumptions to be made about matters that are highly uncertain. Different estimates could have a materi</w:t>
      </w:r>
      <w:r>
        <w:rPr>
          <w:rFonts w:eastAsia="Times New Roman"/>
          <w:color w:val="000000"/>
          <w:sz w:val="20"/>
          <w:szCs w:val="20"/>
        </w:rPr>
        <w:t>al impact on our financial results. Judgments and uncertainties affecting the application of these policies and estimates may result in materially different amounts being reported under different conditions or circumstances. Our management continually revi</w:t>
      </w:r>
      <w:r>
        <w:rPr>
          <w:rFonts w:eastAsia="Times New Roman"/>
          <w:color w:val="000000"/>
          <w:sz w:val="20"/>
          <w:szCs w:val="20"/>
        </w:rPr>
        <w:t xml:space="preserve">ews these assumptions, estimates and judgments to ensure that our financial statements are presented fairly and are materially correct.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many cases, the accounting treatment of a particular transaction is specifically dictated by GAAP and does not req</w:t>
      </w:r>
      <w:r>
        <w:rPr>
          <w:rFonts w:eastAsia="Times New Roman"/>
          <w:color w:val="000000"/>
          <w:sz w:val="20"/>
          <w:szCs w:val="20"/>
        </w:rPr>
        <w:t>uire significant management judgment in its application. There are also areas in which management’s judgment in selecting among available alternatives would not produce a materially different result. The significant accounting policies and estimates that w</w:t>
      </w:r>
      <w:r>
        <w:rPr>
          <w:rFonts w:eastAsia="Times New Roman"/>
          <w:color w:val="000000"/>
          <w:sz w:val="20"/>
          <w:szCs w:val="20"/>
        </w:rPr>
        <w:t>e believe are the most critical to aid in fully understanding and evaluating our reported financial results are discussed in the paragraphs below. Our senior management has reviewed these critical accounting estimates and related disclosures with our indep</w:t>
      </w:r>
      <w:r>
        <w:rPr>
          <w:rFonts w:eastAsia="Times New Roman"/>
          <w:color w:val="000000"/>
          <w:sz w:val="20"/>
          <w:szCs w:val="20"/>
        </w:rPr>
        <w:t>endent registered public accounting firm and the Audit Committee of our Board of Directors. See Note 1, “Basis of Presentation and Significant Accounting Policies”, of the Notes to Consolidated Financial Statements in Item 8 of Part II of this Report, whic</w:t>
      </w:r>
      <w:r>
        <w:rPr>
          <w:rFonts w:eastAsia="Times New Roman"/>
          <w:color w:val="000000"/>
          <w:sz w:val="20"/>
          <w:szCs w:val="20"/>
        </w:rPr>
        <w:t xml:space="preserve">h contains additional information regarding our accounting policies and other disclosures required by GAAP.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Revenue Recognition</w:t>
      </w:r>
      <w:r>
        <w:rPr>
          <w:rFonts w:eastAsia="Times New Roman"/>
          <w:color w:val="000000"/>
          <w:sz w:val="20"/>
          <w:szCs w:val="20"/>
        </w:rPr>
        <w:t xml:space="preserve"> We enter into contracts to sell our products and services, which may be sold separately or bundled with other products and se</w:t>
      </w:r>
      <w:r>
        <w:rPr>
          <w:rFonts w:eastAsia="Times New Roman"/>
          <w:color w:val="000000"/>
          <w:sz w:val="20"/>
          <w:szCs w:val="20"/>
        </w:rPr>
        <w:t>rvices. As a result, interpretation and judgment are sometimes required to determine the appropriate accounting for these transactions, including: (1) whether performance obligations are considered distinct that should be accounted for separately versus to</w:t>
      </w:r>
      <w:r>
        <w:rPr>
          <w:rFonts w:eastAsia="Times New Roman"/>
          <w:color w:val="000000"/>
          <w:sz w:val="20"/>
          <w:szCs w:val="20"/>
        </w:rPr>
        <w:t>gether, how the price should be allocated among the performance obligations, and when to recognize revenue for each performance obligation</w:t>
      </w:r>
      <w:r>
        <w:rPr>
          <w:rFonts w:eastAsia="Times New Roman"/>
          <w:color w:val="000000"/>
          <w:sz w:val="20"/>
          <w:szCs w:val="20"/>
        </w:rPr>
        <w:t>;</w:t>
      </w:r>
      <w:r>
        <w:rPr>
          <w:rFonts w:eastAsia="Times New Roman"/>
          <w:color w:val="000000"/>
          <w:sz w:val="20"/>
          <w:szCs w:val="20"/>
        </w:rPr>
        <w:t xml:space="preserve"> (2) developing an estimate of the stand-alone selling price, or SSP, of each distinct performance obligation</w:t>
      </w:r>
      <w:r>
        <w:rPr>
          <w:rFonts w:eastAsia="Times New Roman"/>
          <w:color w:val="000000"/>
          <w:sz w:val="20"/>
          <w:szCs w:val="20"/>
        </w:rPr>
        <w:t>;</w:t>
      </w:r>
      <w:r>
        <w:rPr>
          <w:rFonts w:eastAsia="Times New Roman"/>
          <w:color w:val="000000"/>
          <w:sz w:val="20"/>
          <w:szCs w:val="20"/>
        </w:rPr>
        <w:t xml:space="preserve"> (3) co</w:t>
      </w:r>
      <w:r>
        <w:rPr>
          <w:rFonts w:eastAsia="Times New Roman"/>
          <w:color w:val="000000"/>
          <w:sz w:val="20"/>
          <w:szCs w:val="20"/>
        </w:rPr>
        <w:t>mbining contracts that may impact the allocation of the transaction price between product and services</w:t>
      </w:r>
      <w:r>
        <w:rPr>
          <w:rFonts w:eastAsia="Times New Roman"/>
          <w:color w:val="000000"/>
          <w:sz w:val="20"/>
          <w:szCs w:val="20"/>
        </w:rPr>
        <w:t>;</w:t>
      </w:r>
      <w:r>
        <w:rPr>
          <w:rFonts w:eastAsia="Times New Roman"/>
          <w:color w:val="000000"/>
          <w:sz w:val="20"/>
          <w:szCs w:val="20"/>
        </w:rPr>
        <w:t xml:space="preserve"> and (4) estimating and accounting for variable consideration, including rights of return, rebates, expected penalties or other price concessions as a re</w:t>
      </w:r>
      <w:r>
        <w:rPr>
          <w:rFonts w:eastAsia="Times New Roman"/>
          <w:color w:val="000000"/>
          <w:sz w:val="20"/>
          <w:szCs w:val="20"/>
        </w:rPr>
        <w:t>duction of the transaction price.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estimates of SSP for each performance obligation require judgment that considers multiple factors, including, but not limited to, historical discounting trends for products and services, pricing practices in differen</w:t>
      </w:r>
      <w:r>
        <w:rPr>
          <w:rFonts w:eastAsia="Times New Roman"/>
          <w:color w:val="000000"/>
          <w:sz w:val="20"/>
          <w:szCs w:val="20"/>
        </w:rPr>
        <w:t>t geographies and industries, gross margin objectives, and internal costs. Our estimates for rights of return and rebates are based on historical sales returns and credits, specific criteria outlined in customer contracts or rebate agreements, and other fa</w:t>
      </w:r>
      <w:r>
        <w:rPr>
          <w:rFonts w:eastAsia="Times New Roman"/>
          <w:color w:val="000000"/>
          <w:sz w:val="20"/>
          <w:szCs w:val="20"/>
        </w:rPr>
        <w:t>ctors known at the time. Our estimates for expected penalties and other price concessions are based on historical trends and expectations regarding future occurrence.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Changes in judgments with respect to these assumptions and estimates could impact the t</w:t>
      </w:r>
      <w:r>
        <w:rPr>
          <w:rFonts w:eastAsia="Times New Roman"/>
          <w:color w:val="000000"/>
          <w:sz w:val="20"/>
          <w:szCs w:val="20"/>
        </w:rPr>
        <w:t>iming or amount of revenue recognition. Additional information regarding our revenue recognition policy is included in Note 1, “Basis of Presentation and Significant Accounting Policies” in the Notes to Consolidated Financial Statements.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Inventory Valuat</w:t>
      </w:r>
      <w:r>
        <w:rPr>
          <w:rFonts w:eastAsia="Times New Roman"/>
          <w:b/>
          <w:bCs/>
          <w:color w:val="000000"/>
          <w:sz w:val="20"/>
          <w:szCs w:val="20"/>
        </w:rPr>
        <w:t>ion</w:t>
      </w:r>
      <w:r>
        <w:rPr>
          <w:rFonts w:eastAsia="Times New Roman"/>
          <w:color w:val="000000"/>
          <w:sz w:val="20"/>
          <w:szCs w:val="20"/>
        </w:rPr>
        <w:t xml:space="preserve"> We assess the valuation of our inventory on a periodic basis and make adjustments to the value to properly provide for potential exposure due to slow-moving, excess, obsolete or unusable inventory. Inventories are written down to net realizable value b</w:t>
      </w:r>
      <w:r>
        <w:rPr>
          <w:rFonts w:eastAsia="Times New Roman"/>
          <w:color w:val="000000"/>
          <w:sz w:val="20"/>
          <w:szCs w:val="20"/>
        </w:rPr>
        <w:t xml:space="preserve">ased on forecasted usage of part, sales orders, technological obsolescence and inventory aging. These factors can be impacted by market conditions, technology changes, changes in strategic direction, and customer demand and require estimates </w:t>
      </w:r>
    </w:p>
    <w:p w:rsidR="00000000" w:rsidRDefault="006F0EF5">
      <w:pPr>
        <w:jc w:val="center"/>
        <w:divId w:val="750586904"/>
        <w:rPr>
          <w:rFonts w:eastAsia="Times New Roman"/>
        </w:rPr>
      </w:pPr>
      <w:r>
        <w:rPr>
          <w:rFonts w:eastAsia="Times New Roman"/>
          <w:color w:val="000000"/>
          <w:sz w:val="20"/>
          <w:szCs w:val="20"/>
        </w:rPr>
        <w:t>44</w:t>
      </w:r>
    </w:p>
    <w:p w:rsidR="00000000" w:rsidRDefault="006F0EF5">
      <w:pPr>
        <w:rPr>
          <w:rFonts w:eastAsia="Times New Roman"/>
        </w:rPr>
      </w:pPr>
      <w:r>
        <w:rPr>
          <w:rFonts w:eastAsia="Times New Roman"/>
        </w:rPr>
        <w:pict>
          <v:rect id="_x0000_i1073" style="width:0;height:1.5pt" o:hralign="center" o:hrstd="t" o:hr="t" fillcolor="#a0a0a0" stroked="f"/>
        </w:pict>
      </w:r>
    </w:p>
    <w:p w:rsidR="00000000" w:rsidRDefault="006F0EF5">
      <w:pPr>
        <w:divId w:val="212985800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755273602"/>
        <w:rPr>
          <w:rFonts w:eastAsia="Times New Roman"/>
        </w:rPr>
      </w:pPr>
    </w:p>
    <w:p w:rsidR="00000000" w:rsidRDefault="006F0EF5">
      <w:pPr>
        <w:jc w:val="both"/>
        <w:rPr>
          <w:rFonts w:eastAsia="Times New Roman"/>
        </w:rPr>
      </w:pPr>
      <w:r>
        <w:rPr>
          <w:rFonts w:eastAsia="Times New Roman"/>
          <w:color w:val="000000"/>
          <w:sz w:val="20"/>
          <w:szCs w:val="20"/>
        </w:rPr>
        <w:t>and management judgment that may include elements that are uncertain. On a quarterly basis, we review the current net realizable value of inventory and</w:t>
      </w:r>
      <w:r>
        <w:rPr>
          <w:rFonts w:eastAsia="Times New Roman"/>
          <w:color w:val="000000"/>
          <w:sz w:val="20"/>
          <w:szCs w:val="20"/>
        </w:rPr>
        <w:t xml:space="preserve"> adjust for any inventory exposure due to age, obsolescence, or excess of cost over net realizable value.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Goodwill </w:t>
      </w:r>
      <w:r>
        <w:rPr>
          <w:rFonts w:eastAsia="Times New Roman"/>
          <w:color w:val="000000"/>
          <w:sz w:val="20"/>
          <w:szCs w:val="20"/>
        </w:rPr>
        <w:t>Goodwill is tested at the reporting unit level for impairment on an annual basis during the fourth quarter or more frequently if certain e</w:t>
      </w:r>
      <w:r>
        <w:rPr>
          <w:rFonts w:eastAsia="Times New Roman"/>
          <w:color w:val="000000"/>
          <w:sz w:val="20"/>
          <w:szCs w:val="20"/>
        </w:rPr>
        <w:t xml:space="preserve">vents occur indicating that the carrying value of goodwill may be impaired. A significant amount of judgment is involved in determining if an indicator of impairment has occurred. Such indicators may include a decline in expected cash flows, a significant </w:t>
      </w:r>
      <w:r>
        <w:rPr>
          <w:rFonts w:eastAsia="Times New Roman"/>
          <w:color w:val="000000"/>
          <w:sz w:val="20"/>
          <w:szCs w:val="20"/>
        </w:rPr>
        <w:t xml:space="preserve">adverse change in legal factors or in the business climate, a decision to sell a business, unanticipated competition, or slower growth rates, among others.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the evaluation of goodwill for impairment, we have the option to perform a qualitative assessm</w:t>
      </w:r>
      <w:r>
        <w:rPr>
          <w:rFonts w:eastAsia="Times New Roman"/>
          <w:color w:val="000000"/>
          <w:sz w:val="20"/>
          <w:szCs w:val="20"/>
        </w:rPr>
        <w:t>ent to determine whether further impairment testing is necessary or to perform a quantitative assessment by comparing the fair value of a reporting unit to its carrying amount, including goodwill. Under the qualitative assessment, an entity is not required</w:t>
      </w:r>
      <w:r>
        <w:rPr>
          <w:rFonts w:eastAsia="Times New Roman"/>
          <w:color w:val="000000"/>
          <w:sz w:val="20"/>
          <w:szCs w:val="20"/>
        </w:rPr>
        <w:t xml:space="preserve"> to calculate the fair value of a reporting unit unless the entity determines that it is more likely than not that its fair value is less than its carrying amount. If under the quantitative assessment the fair value of a reporting unit is less than its car</w:t>
      </w:r>
      <w:r>
        <w:rPr>
          <w:rFonts w:eastAsia="Times New Roman"/>
          <w:color w:val="000000"/>
          <w:sz w:val="20"/>
          <w:szCs w:val="20"/>
        </w:rPr>
        <w:t>rying amount, then the amount of the impairment loss, if any, is determined based on the amount by which the carrying amount exceeds the fair value up to the total value of goodwill assigned to the reporting unit. Fair values of the reporting units are est</w:t>
      </w:r>
      <w:r>
        <w:rPr>
          <w:rFonts w:eastAsia="Times New Roman"/>
          <w:color w:val="000000"/>
          <w:sz w:val="20"/>
          <w:szCs w:val="20"/>
        </w:rPr>
        <w:t>imated using a weighted methodology considering the output from both the income and market approaches. The income approach incorporates the use of a discounted cash flow (“DCF”) analysis. A number of significant assumptions and estimates are involved in th</w:t>
      </w:r>
      <w:r>
        <w:rPr>
          <w:rFonts w:eastAsia="Times New Roman"/>
          <w:color w:val="000000"/>
          <w:sz w:val="20"/>
          <w:szCs w:val="20"/>
        </w:rPr>
        <w:t>e application of the DCF model to forecast operating cash flows, including revenue growth, operating income margin and discount rate. Several of these assumptions vary among reporting units. The cash flow forecasts are generally based on approved strategic</w:t>
      </w:r>
      <w:r>
        <w:rPr>
          <w:rFonts w:eastAsia="Times New Roman"/>
          <w:color w:val="000000"/>
          <w:sz w:val="20"/>
          <w:szCs w:val="20"/>
        </w:rPr>
        <w:t xml:space="preserve"> operating plans. The market approach is performed using the Guideline Public Companies (“GPC”) method which is based on earnings multiple data. We perform a reconciliation between our market capitalization and our estimate of the aggregate fair value of t</w:t>
      </w:r>
      <w:r>
        <w:rPr>
          <w:rFonts w:eastAsia="Times New Roman"/>
          <w:color w:val="000000"/>
          <w:sz w:val="20"/>
          <w:szCs w:val="20"/>
        </w:rPr>
        <w:t>he reporting units, including consideration of a control premium.</w:t>
      </w:r>
    </w:p>
    <w:p w:rsidR="00000000" w:rsidRDefault="006F0EF5">
      <w:pPr>
        <w:divId w:val="621032154"/>
        <w:rPr>
          <w:rFonts w:eastAsia="Times New Roman"/>
        </w:rPr>
      </w:pPr>
    </w:p>
    <w:p w:rsidR="00000000" w:rsidRDefault="006F0EF5">
      <w:pPr>
        <w:jc w:val="both"/>
        <w:rPr>
          <w:rFonts w:eastAsia="Times New Roman"/>
        </w:rPr>
      </w:pPr>
      <w:r>
        <w:rPr>
          <w:rFonts w:eastAsia="Times New Roman"/>
          <w:b/>
          <w:bCs/>
          <w:color w:val="000000"/>
          <w:sz w:val="20"/>
          <w:szCs w:val="20"/>
        </w:rPr>
        <w:t xml:space="preserve">Valuation of Long-lived Assets and Amortizable Other Intangible Assets </w:t>
      </w:r>
      <w:r>
        <w:rPr>
          <w:rFonts w:eastAsia="Times New Roman"/>
          <w:color w:val="000000"/>
          <w:sz w:val="20"/>
          <w:szCs w:val="20"/>
        </w:rPr>
        <w:t xml:space="preserve">We perform impairment tests for our long-lived assets if an event or circumstance indicates that the carrying amount </w:t>
      </w:r>
      <w:r>
        <w:rPr>
          <w:rFonts w:eastAsia="Times New Roman"/>
          <w:color w:val="000000"/>
          <w:sz w:val="20"/>
          <w:szCs w:val="20"/>
        </w:rPr>
        <w:t>of our long-lived assets may not be recoverable. In response to changes in industry and market conditions, we may also strategically realign our resources and consider restructuring, disposing of, or otherwise exiting businesses. Such activities could resu</w:t>
      </w:r>
      <w:r>
        <w:rPr>
          <w:rFonts w:eastAsia="Times New Roman"/>
          <w:color w:val="000000"/>
          <w:sz w:val="20"/>
          <w:szCs w:val="20"/>
        </w:rPr>
        <w:t>lt in impairment of our long-lived assets or other intangible assets. We also are subject to the possibility of impairment of long-lived assets arising in the ordinary course of business. We consider the likelihood of impairment if certain events occur ind</w:t>
      </w:r>
      <w:r>
        <w:rPr>
          <w:rFonts w:eastAsia="Times New Roman"/>
          <w:color w:val="000000"/>
          <w:sz w:val="20"/>
          <w:szCs w:val="20"/>
        </w:rPr>
        <w:t>icating that the carrying value of the long-lived assets may be impaired and we may recognize impairment if the carrying amount of a long-lived asset or intangible asset is not recoverable from its undiscounted cash flows. Impairment is measured as the dif</w:t>
      </w:r>
      <w:r>
        <w:rPr>
          <w:rFonts w:eastAsia="Times New Roman"/>
          <w:color w:val="000000"/>
          <w:sz w:val="20"/>
          <w:szCs w:val="20"/>
        </w:rPr>
        <w:t>ference between the carrying amount and the fair value of the asset. We use both the income approach and market approach to estimate fair value. Our estimates of fair value are subject to a high degree of judgment since they include a long-term forecast of</w:t>
      </w:r>
      <w:r>
        <w:rPr>
          <w:rFonts w:eastAsia="Times New Roman"/>
          <w:color w:val="000000"/>
          <w:sz w:val="20"/>
          <w:szCs w:val="20"/>
        </w:rPr>
        <w:t xml:space="preserve"> future operations. Accordingly, any value ultimately derived from our long-lived assets may differ from our estimate of fair value.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make strategic acquisitions that may have a material impact on our consolidated results of operations or financial po</w:t>
      </w:r>
      <w:r>
        <w:rPr>
          <w:rFonts w:eastAsia="Times New Roman"/>
          <w:color w:val="000000"/>
          <w:sz w:val="20"/>
          <w:szCs w:val="20"/>
        </w:rPr>
        <w:t xml:space="preserve">sition. We allocate the purchase price of acquired businesses to the assets acquired and liabilities assumed in the transaction at their estimated fair values. The estimates used to determine the fair value of long-lived assets, such as intangible assets, </w:t>
      </w:r>
      <w:r>
        <w:rPr>
          <w:rFonts w:eastAsia="Times New Roman"/>
          <w:color w:val="000000"/>
          <w:sz w:val="20"/>
          <w:szCs w:val="20"/>
        </w:rPr>
        <w:t>can be complex and require significant judgments. We use information available to us to make fair value determinations and engage independent valuation specialists, when necessary, to assist in the fair value determination of significant acquired long-live</w:t>
      </w:r>
      <w:r>
        <w:rPr>
          <w:rFonts w:eastAsia="Times New Roman"/>
          <w:color w:val="000000"/>
          <w:sz w:val="20"/>
          <w:szCs w:val="20"/>
        </w:rPr>
        <w:t>d assets. The determination of fair value requires estimates about cash flow forecasts, discount rates, revenue growth rates, EBITDA margin, customer attrition rate, and other future events that are judgmental in nature. While we use our best estimates and</w:t>
      </w:r>
      <w:r>
        <w:rPr>
          <w:rFonts w:eastAsia="Times New Roman"/>
          <w:color w:val="000000"/>
          <w:sz w:val="20"/>
          <w:szCs w:val="20"/>
        </w:rPr>
        <w:t xml:space="preserve"> assumptions as a part of the purchase price allocation process, our estimates are inherently uncertain and subject to refinement. As a result, during the measurement period, which may be up to one year from the acquisition date, we may record adjustments </w:t>
      </w:r>
      <w:r>
        <w:rPr>
          <w:rFonts w:eastAsia="Times New Roman"/>
          <w:color w:val="000000"/>
          <w:sz w:val="20"/>
          <w:szCs w:val="20"/>
        </w:rPr>
        <w:t>to the assets acquired and liabilities assumed, with the corresponding offset to goodwill. Any adjustments subsequent to the measurement period are recorded to our consolidated statements of income. We are also required to estimate the useful lives of inta</w:t>
      </w:r>
      <w:r>
        <w:rPr>
          <w:rFonts w:eastAsia="Times New Roman"/>
          <w:color w:val="000000"/>
          <w:sz w:val="20"/>
          <w:szCs w:val="20"/>
        </w:rPr>
        <w:t>ngible assets to determine the amount of acquisition-related intangible asset amortization expense to record in future periods. Additional information regarding our acquisitions is included in Note 3, “Business Combinations and Divestitures”,in Notes to Co</w:t>
      </w:r>
      <w:r>
        <w:rPr>
          <w:rFonts w:eastAsia="Times New Roman"/>
          <w:color w:val="000000"/>
          <w:sz w:val="20"/>
          <w:szCs w:val="20"/>
        </w:rPr>
        <w:t>nsolidated Financial Statements.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Pension, Postretirement and Postemployment Benefits </w:t>
      </w:r>
      <w:r>
        <w:rPr>
          <w:rFonts w:eastAsia="Times New Roman"/>
          <w:color w:val="000000"/>
          <w:sz w:val="20"/>
          <w:szCs w:val="20"/>
        </w:rPr>
        <w:t>We sponsor domestic and foreign defined benefit pension and postemployment plans as well as domestic postretirement plans. As a result, we have significant pension, post</w:t>
      </w:r>
      <w:r>
        <w:rPr>
          <w:rFonts w:eastAsia="Times New Roman"/>
          <w:color w:val="000000"/>
          <w:sz w:val="20"/>
          <w:szCs w:val="20"/>
        </w:rPr>
        <w:t>retirement and postemployment benefit costs, which are developed from actuarial valuations. Actuarial assumptions attempt to anticipate future events and are used in calculating the expense and liability relating to these plans. These factors include assum</w:t>
      </w:r>
      <w:r>
        <w:rPr>
          <w:rFonts w:eastAsia="Times New Roman"/>
          <w:color w:val="000000"/>
          <w:sz w:val="20"/>
          <w:szCs w:val="20"/>
        </w:rPr>
        <w:t>ptions we make about interest rates, expected investment return on plan assets, involuntary turnover rates, and rates of future compensation increases. In addition, our actuarial consultants advise us about subjective factors such as withdrawal rates and m</w:t>
      </w:r>
      <w:r>
        <w:rPr>
          <w:rFonts w:eastAsia="Times New Roman"/>
          <w:color w:val="000000"/>
          <w:sz w:val="20"/>
          <w:szCs w:val="20"/>
        </w:rPr>
        <w:t>ortality rates to use in our valuations. We generally review and update these assumptions on an annual basis at the end of each fiscal year. We are required to consider current market conditions, including changes in interest rates, in making these assumpt</w:t>
      </w:r>
      <w:r>
        <w:rPr>
          <w:rFonts w:eastAsia="Times New Roman"/>
          <w:color w:val="000000"/>
          <w:sz w:val="20"/>
          <w:szCs w:val="20"/>
        </w:rPr>
        <w:t xml:space="preserve">ions. The actuarial assumptions that </w:t>
      </w:r>
    </w:p>
    <w:p w:rsidR="00000000" w:rsidRDefault="006F0EF5">
      <w:pPr>
        <w:jc w:val="center"/>
        <w:divId w:val="2094667788"/>
        <w:rPr>
          <w:rFonts w:eastAsia="Times New Roman"/>
        </w:rPr>
      </w:pPr>
      <w:r>
        <w:rPr>
          <w:rFonts w:eastAsia="Times New Roman"/>
          <w:color w:val="000000"/>
          <w:sz w:val="20"/>
          <w:szCs w:val="20"/>
        </w:rPr>
        <w:t>45</w:t>
      </w:r>
    </w:p>
    <w:p w:rsidR="00000000" w:rsidRDefault="006F0EF5">
      <w:pPr>
        <w:rPr>
          <w:rFonts w:eastAsia="Times New Roman"/>
        </w:rPr>
      </w:pPr>
      <w:r>
        <w:rPr>
          <w:rFonts w:eastAsia="Times New Roman"/>
        </w:rPr>
        <w:pict>
          <v:rect id="_x0000_i1074" style="width:0;height:1.5pt" o:hralign="center" o:hrstd="t" o:hr="t" fillcolor="#a0a0a0" stroked="f"/>
        </w:pict>
      </w:r>
    </w:p>
    <w:p w:rsidR="00000000" w:rsidRDefault="006F0EF5">
      <w:pPr>
        <w:divId w:val="197552565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877550483"/>
        <w:rPr>
          <w:rFonts w:eastAsia="Times New Roman"/>
        </w:rPr>
      </w:pPr>
    </w:p>
    <w:p w:rsidR="00000000" w:rsidRDefault="006F0EF5">
      <w:pPr>
        <w:jc w:val="both"/>
        <w:rPr>
          <w:rFonts w:eastAsia="Times New Roman"/>
        </w:rPr>
      </w:pPr>
      <w:r>
        <w:rPr>
          <w:rFonts w:eastAsia="Times New Roman"/>
          <w:color w:val="000000"/>
          <w:sz w:val="20"/>
          <w:szCs w:val="20"/>
        </w:rPr>
        <w:t>we use may differ materially from actual results due to changing market and economic conditions, higher or lower withdrawal rates, or longer or shorter life spans of participants. These differences may result in a significant impact to the amount of pensio</w:t>
      </w:r>
      <w:r>
        <w:rPr>
          <w:rFonts w:eastAsia="Times New Roman"/>
          <w:color w:val="000000"/>
          <w:sz w:val="20"/>
          <w:szCs w:val="20"/>
        </w:rPr>
        <w:t>n, postretirement or postemployment benefits expense we have recorded or may record. Ongoing pension, postemployment and postretirement expense impacts all of our segments. Pension mark-to-market adjustments, settlements, curtailments and special terminati</w:t>
      </w:r>
      <w:r>
        <w:rPr>
          <w:rFonts w:eastAsia="Times New Roman"/>
          <w:color w:val="000000"/>
          <w:sz w:val="20"/>
          <w:szCs w:val="20"/>
        </w:rPr>
        <w:t>on benefits are excluded from our segment results as those items are not included in the evaluation of segment performance. See Note 4, “Segment Information and Concentrations”, in the Notes to Consolidated Financial Statements in Item 8 of Part II of this</w:t>
      </w:r>
      <w:r>
        <w:rPr>
          <w:rFonts w:eastAsia="Times New Roman"/>
          <w:color w:val="000000"/>
          <w:sz w:val="20"/>
          <w:szCs w:val="20"/>
        </w:rPr>
        <w:t xml:space="preserve"> Report for a reconciliation of our segment results to income from operations.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key assumptions used in developing our 2021 expense were discount rates of 1.7% for our U.S. pension plan and 1.4% for our postretirement plan, and an expected return on </w:t>
      </w:r>
      <w:r>
        <w:rPr>
          <w:rFonts w:eastAsia="Times New Roman"/>
          <w:color w:val="000000"/>
          <w:sz w:val="20"/>
          <w:szCs w:val="20"/>
        </w:rPr>
        <w:t>assets assumption of 2.1% for our U.S. pension plan in 2021. The U.S. plan represented 63% of the pension obligation and 100% of the postretirement plan obligation as of December 31, 2021</w:t>
      </w:r>
      <w:r>
        <w:rPr>
          <w:rFonts w:eastAsia="Times New Roman"/>
          <w:color w:val="330E74"/>
          <w:sz w:val="20"/>
          <w:szCs w:val="20"/>
        </w:rPr>
        <w:t>.</w:t>
      </w:r>
      <w:r>
        <w:rPr>
          <w:rFonts w:eastAsia="Times New Roman"/>
          <w:color w:val="000000"/>
          <w:sz w:val="20"/>
          <w:szCs w:val="20"/>
        </w:rPr>
        <w:t xml:space="preserve"> Holding all other assumptions constant, a 0.25% change in the disco</w:t>
      </w:r>
      <w:r>
        <w:rPr>
          <w:rFonts w:eastAsia="Times New Roman"/>
          <w:color w:val="000000"/>
          <w:sz w:val="20"/>
          <w:szCs w:val="20"/>
        </w:rPr>
        <w:t>unt rate used for the U.S. plan would have increased or decreased 2021 ongoing pension expense by approximately $4 million and would have had an immaterial impact on 2021 postretirement income. A 0.25% change in the expected rate of return on plan assets a</w:t>
      </w:r>
      <w:r>
        <w:rPr>
          <w:rFonts w:eastAsia="Times New Roman"/>
          <w:color w:val="000000"/>
          <w:sz w:val="20"/>
          <w:szCs w:val="20"/>
        </w:rPr>
        <w:t>ssumption for the U.S. pension plan would have increased or decreased 2021 ongoing pension expense by approximately $4 million. Our expected return on plan assets has historically been and will likely continue to be material to net income. For 2022, we int</w:t>
      </w:r>
      <w:r>
        <w:rPr>
          <w:rFonts w:eastAsia="Times New Roman"/>
          <w:color w:val="000000"/>
          <w:sz w:val="20"/>
          <w:szCs w:val="20"/>
        </w:rPr>
        <w:t xml:space="preserve">end to use discount rates of 2.1% and 1.9% in determining the U.S. pension and postretirement expense, respectively. We intend to use an expected rate of return on assets assumption of 5.0% for the U.S. pension plan.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recognize additional changes in t</w:t>
      </w:r>
      <w:r>
        <w:rPr>
          <w:rFonts w:eastAsia="Times New Roman"/>
          <w:color w:val="000000"/>
          <w:sz w:val="20"/>
          <w:szCs w:val="20"/>
        </w:rPr>
        <w:t>he fair value of plan assets and net actuarial gains or losses of our pension plans upon remeasurement, which occurs at least annually in the fourth quarter of each year. The remaining components of pension expense, primarily net service cost, interest cos</w:t>
      </w:r>
      <w:r>
        <w:rPr>
          <w:rFonts w:eastAsia="Times New Roman"/>
          <w:color w:val="000000"/>
          <w:sz w:val="20"/>
          <w:szCs w:val="20"/>
        </w:rPr>
        <w:t>t, and the expected return on plan assets, are recorded on a quarterly basis as ongoing pension expense. While it is required that we review our actuarial assumptions each year at the measurement date, we generally do not change them between measurement da</w:t>
      </w:r>
      <w:r>
        <w:rPr>
          <w:rFonts w:eastAsia="Times New Roman"/>
          <w:color w:val="000000"/>
          <w:sz w:val="20"/>
          <w:szCs w:val="20"/>
        </w:rPr>
        <w:t>tes. We use a measurement date of December 31 for all of our plans. Changes in assumptions or asset values may have a significant effect on the annual measurement of expense or income in the fourth quarter.</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most significant assumption used in develop</w:t>
      </w:r>
      <w:r>
        <w:rPr>
          <w:rFonts w:eastAsia="Times New Roman"/>
          <w:color w:val="000000"/>
          <w:sz w:val="20"/>
          <w:szCs w:val="20"/>
        </w:rPr>
        <w:t>ing our 2021 postemployment plan expense is the assumed rate of involuntary turnover of 3.8%. The involuntary turnover rate is based on historical trends and projections of involuntary turnover in the future. A 0.25% change in the rate of involuntary turno</w:t>
      </w:r>
      <w:r>
        <w:rPr>
          <w:rFonts w:eastAsia="Times New Roman"/>
          <w:color w:val="000000"/>
          <w:sz w:val="20"/>
          <w:szCs w:val="20"/>
        </w:rPr>
        <w:t>ver would have increased or decreased 2021 expense by approximately $2 million. The sensitivity of the assumptions described above is specific to each individual plan and not to our pension, postretirement and postemployment plans in the aggregate. We inte</w:t>
      </w:r>
      <w:r>
        <w:rPr>
          <w:rFonts w:eastAsia="Times New Roman"/>
          <w:color w:val="000000"/>
          <w:sz w:val="20"/>
          <w:szCs w:val="20"/>
        </w:rPr>
        <w:t>nd to use an involuntary turnover assumption of 3.8% in determining the 2022 postemployment expense.</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Environmental and Legal Contingencies </w:t>
      </w:r>
      <w:r>
        <w:rPr>
          <w:rFonts w:eastAsia="Times New Roman"/>
          <w:color w:val="000000"/>
          <w:sz w:val="20"/>
          <w:szCs w:val="20"/>
        </w:rPr>
        <w:t xml:space="preserve">Each quarter, we review the status of each claim and legal proceeding and assess our potential financial exposure. </w:t>
      </w:r>
      <w:r>
        <w:rPr>
          <w:rFonts w:eastAsia="Times New Roman"/>
          <w:color w:val="000000"/>
          <w:sz w:val="20"/>
          <w:szCs w:val="20"/>
        </w:rPr>
        <w:t>If the potential loss from any claim or legal proceeding would be material and is considered probable and the amount can be reasonably estimated, we accrue a liability for the estimated loss. To the extent that the amount of such a probable loss is estimab</w:t>
      </w:r>
      <w:r>
        <w:rPr>
          <w:rFonts w:eastAsia="Times New Roman"/>
          <w:color w:val="000000"/>
          <w:sz w:val="20"/>
          <w:szCs w:val="20"/>
        </w:rPr>
        <w:t>le only by reference to a range of equally likely outcomes, and no amount within the range appears to be a better estimate than any other amount, we accrue the amount at the low end of the range. Because of uncertainties related to these matters, the use o</w:t>
      </w:r>
      <w:r>
        <w:rPr>
          <w:rFonts w:eastAsia="Times New Roman"/>
          <w:color w:val="000000"/>
          <w:sz w:val="20"/>
          <w:szCs w:val="20"/>
        </w:rPr>
        <w:t xml:space="preserve">f estimates, assumptions and judgments, and external factors beyond our control, accruals are based on the best information available at the time. At environmental sites, or portions of environmental sites, where liability is determined to be probable but </w:t>
      </w:r>
      <w:r>
        <w:rPr>
          <w:rFonts w:eastAsia="Times New Roman"/>
          <w:color w:val="000000"/>
          <w:sz w:val="20"/>
          <w:szCs w:val="20"/>
        </w:rPr>
        <w:t>a remedy has not yet been determined, we accrue for the costs of investigations and studies for the affected areas but not for the costs of remediation. As additional information becomes available, we reassess the potential liability related to our pending</w:t>
      </w:r>
      <w:r>
        <w:rPr>
          <w:rFonts w:eastAsia="Times New Roman"/>
          <w:color w:val="000000"/>
          <w:sz w:val="20"/>
          <w:szCs w:val="20"/>
        </w:rPr>
        <w:t xml:space="preserve"> claims and litigation and may revise our estimates. Such revisions in the estimates of the potential liabilities could have a material impact on our results of operations and financial position. When insurance carriers or third parties have agreed to pay </w:t>
      </w:r>
      <w:r>
        <w:rPr>
          <w:rFonts w:eastAsia="Times New Roman"/>
          <w:color w:val="000000"/>
          <w:sz w:val="20"/>
          <w:szCs w:val="20"/>
        </w:rPr>
        <w:t xml:space="preserve">any amounts related to costs, and we believe that it is probable that we can collect such amounts, those amounts are reflected as receivables in our Consolidated Balance Sheet.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most significant legal contingencies impacting our Company are the Fox R</w:t>
      </w:r>
      <w:r>
        <w:rPr>
          <w:rFonts w:eastAsia="Times New Roman"/>
          <w:color w:val="000000"/>
          <w:sz w:val="20"/>
          <w:szCs w:val="20"/>
        </w:rPr>
        <w:t>iver, Kalamazoo River, and Ebina matters, which are further described in detail in Note 10, “Commitments and Contingencies”, in the Notes to Consolidated Financial Statements in Item 8 of Part II of this Report. NCR has been identified as a potentially res</w:t>
      </w:r>
      <w:r>
        <w:rPr>
          <w:rFonts w:eastAsia="Times New Roman"/>
          <w:color w:val="000000"/>
          <w:sz w:val="20"/>
          <w:szCs w:val="20"/>
        </w:rPr>
        <w:t xml:space="preserve">ponsible party (“PRP”) at both the Fox River and Kalamazoo River sites.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described below and in Note 10, “Commitments and Contingencies”, in the Notes to Consolidated Financial Statements in Item 8 of Part II of this Report, while litigation activitie</w:t>
      </w:r>
      <w:r>
        <w:rPr>
          <w:rFonts w:eastAsia="Times New Roman"/>
          <w:color w:val="000000"/>
          <w:sz w:val="20"/>
          <w:szCs w:val="20"/>
        </w:rPr>
        <w:t xml:space="preserve">s have largely concluded with respect to the Fox River and Kalamazoo River matters and while the Company has engaged in cooperative regulatory compliance activities with the government of Japan with respect to the Ebina matter, the extent of our potential </w:t>
      </w:r>
      <w:r>
        <w:rPr>
          <w:rFonts w:eastAsia="Times New Roman"/>
          <w:color w:val="000000"/>
          <w:sz w:val="20"/>
          <w:szCs w:val="20"/>
        </w:rPr>
        <w:t xml:space="preserve">liabilities continues to be subject to significant uncertainties. The uncertainties related to the Fox River and Kalamazoo River matters include the total cost of clean-up as well as the solvency and </w:t>
      </w:r>
    </w:p>
    <w:p w:rsidR="00000000" w:rsidRDefault="006F0EF5">
      <w:pPr>
        <w:jc w:val="center"/>
        <w:divId w:val="1734543590"/>
        <w:rPr>
          <w:rFonts w:eastAsia="Times New Roman"/>
        </w:rPr>
      </w:pPr>
      <w:r>
        <w:rPr>
          <w:rFonts w:eastAsia="Times New Roman"/>
          <w:color w:val="000000"/>
          <w:sz w:val="20"/>
          <w:szCs w:val="20"/>
        </w:rPr>
        <w:t>46</w:t>
      </w:r>
    </w:p>
    <w:p w:rsidR="00000000" w:rsidRDefault="006F0EF5">
      <w:pPr>
        <w:rPr>
          <w:rFonts w:eastAsia="Times New Roman"/>
        </w:rPr>
      </w:pPr>
      <w:r>
        <w:rPr>
          <w:rFonts w:eastAsia="Times New Roman"/>
        </w:rPr>
        <w:pict>
          <v:rect id="_x0000_i1075" style="width:0;height:1.5pt" o:hralign="center" o:hrstd="t" o:hr="t" fillcolor="#a0a0a0" stroked="f"/>
        </w:pict>
      </w:r>
    </w:p>
    <w:p w:rsidR="00000000" w:rsidRDefault="006F0EF5">
      <w:pPr>
        <w:divId w:val="42187796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689407236"/>
        <w:rPr>
          <w:rFonts w:eastAsia="Times New Roman"/>
        </w:rPr>
      </w:pPr>
    </w:p>
    <w:p w:rsidR="00000000" w:rsidRDefault="006F0EF5">
      <w:pPr>
        <w:jc w:val="both"/>
        <w:rPr>
          <w:rFonts w:eastAsia="Times New Roman"/>
        </w:rPr>
      </w:pPr>
      <w:r>
        <w:rPr>
          <w:rFonts w:eastAsia="Times New Roman"/>
          <w:color w:val="000000"/>
          <w:sz w:val="20"/>
          <w:szCs w:val="20"/>
        </w:rPr>
        <w:t>willingness of the co-obligors or indemnitors to pay. The uncertainties related to the Ebina matter include total cost of clean-up subject to approval by local agencies in Japan.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net rese</w:t>
      </w:r>
      <w:r>
        <w:rPr>
          <w:rFonts w:eastAsia="Times New Roman"/>
          <w:color w:val="000000"/>
          <w:sz w:val="20"/>
          <w:szCs w:val="20"/>
        </w:rPr>
        <w:t>rves for the Fox River matter, the Kalamazoo River matter and the Ebina matter, as of December 31, 2021 were approximately $26 million, $99 million, and $16 million, respectively, as further discussed in Note 10, “Commitments and Contingencies”, in the Not</w:t>
      </w:r>
      <w:r>
        <w:rPr>
          <w:rFonts w:eastAsia="Times New Roman"/>
          <w:color w:val="000000"/>
          <w:sz w:val="20"/>
          <w:szCs w:val="20"/>
        </w:rPr>
        <w:t>es to Consolidated Financial Statements in Item 8 of Part II of this Report. The Company regularly re-evaluates the assumptions used in determining the appropriate reserve for these matters as additional information becomes available and, when warranted, m</w:t>
      </w:r>
      <w:r>
        <w:rPr>
          <w:rFonts w:eastAsia="Times New Roman"/>
          <w:color w:val="000000"/>
          <w:sz w:val="20"/>
          <w:szCs w:val="20"/>
        </w:rPr>
        <w:t xml:space="preserve">akes appropriate adjustments.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Income Taxes </w:t>
      </w:r>
      <w:r>
        <w:rPr>
          <w:rFonts w:eastAsia="Times New Roman"/>
          <w:color w:val="000000"/>
          <w:sz w:val="20"/>
          <w:szCs w:val="20"/>
        </w:rPr>
        <w:t>We recognize deferred tax assets and liabilities based on the differences between the financial statement carrying amounts and the tax basis of assets and liabilities. The deferred tax assets and liabilities ar</w:t>
      </w:r>
      <w:r>
        <w:rPr>
          <w:rFonts w:eastAsia="Times New Roman"/>
          <w:color w:val="000000"/>
          <w:sz w:val="20"/>
          <w:szCs w:val="20"/>
        </w:rPr>
        <w:t>e determined based on the enacted tax rates expected to apply in the periods in which the deferred tax assets or liabilities are anticipated to be settled or realized.</w:t>
      </w:r>
    </w:p>
    <w:p w:rsidR="00000000" w:rsidRDefault="006F0EF5">
      <w:pPr>
        <w:jc w:val="both"/>
        <w:rPr>
          <w:rFonts w:eastAsia="Times New Roman"/>
        </w:rPr>
      </w:pPr>
    </w:p>
    <w:p w:rsidR="00000000" w:rsidRDefault="006F0EF5">
      <w:pPr>
        <w:jc w:val="both"/>
        <w:divId w:val="1620529438"/>
        <w:rPr>
          <w:rFonts w:eastAsia="Times New Roman"/>
        </w:rPr>
      </w:pPr>
      <w:r>
        <w:rPr>
          <w:rFonts w:eastAsia="Times New Roman"/>
          <w:color w:val="000000"/>
          <w:sz w:val="20"/>
          <w:szCs w:val="20"/>
        </w:rPr>
        <w:t>We regularly review our deferred tax assets for recoverability and establish a valuati</w:t>
      </w:r>
      <w:r>
        <w:rPr>
          <w:rFonts w:eastAsia="Times New Roman"/>
          <w:color w:val="000000"/>
          <w:sz w:val="20"/>
          <w:szCs w:val="20"/>
        </w:rPr>
        <w:t>on allowance if it is more likely than not that some portion or all of a deferred tax asset will not be realized. The determination as to whether a deferred tax asset will be realized is made on a jurisdictional basis and is based on the evaluation of posi</w:t>
      </w:r>
      <w:r>
        <w:rPr>
          <w:rFonts w:eastAsia="Times New Roman"/>
          <w:color w:val="000000"/>
          <w:sz w:val="20"/>
          <w:szCs w:val="20"/>
        </w:rPr>
        <w:t>tive and negative evidence. This evidence includes historical taxable income, projected future taxable income, the expected timing of the reversal of existing temporary differences and the implementation of tax planning strategies. Projected future taxable</w:t>
      </w:r>
      <w:r>
        <w:rPr>
          <w:rFonts w:eastAsia="Times New Roman"/>
          <w:color w:val="000000"/>
          <w:sz w:val="20"/>
          <w:szCs w:val="20"/>
        </w:rPr>
        <w:t xml:space="preserve"> income is based on our expected results and assumptions as to the jurisdiction in which the income will be earned. The expected timing of the reversals of existing temporary differences is based on current tax law and our tax methods of accounting. As a r</w:t>
      </w:r>
      <w:r>
        <w:rPr>
          <w:rFonts w:eastAsia="Times New Roman"/>
          <w:color w:val="000000"/>
          <w:sz w:val="20"/>
          <w:szCs w:val="20"/>
        </w:rPr>
        <w:t>esult of this determination, we had valuation allowances of $368 million as of December 31, 2021 and $341 million as of December 31, 2020, related to certain deferred income tax assets, primarily tax loss carryforwards, in jurisdictions where there is unce</w:t>
      </w:r>
      <w:r>
        <w:rPr>
          <w:rFonts w:eastAsia="Times New Roman"/>
          <w:color w:val="000000"/>
          <w:sz w:val="20"/>
          <w:szCs w:val="20"/>
        </w:rPr>
        <w:t>rtainty as to the ultimate realization of a benefit from those tax assets.</w:t>
      </w:r>
    </w:p>
    <w:p w:rsidR="00000000" w:rsidRDefault="006F0EF5">
      <w:pPr>
        <w:jc w:val="both"/>
        <w:divId w:val="248389202"/>
        <w:rPr>
          <w:rFonts w:eastAsia="Times New Roman"/>
        </w:rPr>
      </w:pPr>
      <w:r>
        <w:rPr>
          <w:rFonts w:eastAsia="Times New Roman"/>
          <w:color w:val="000000"/>
          <w:sz w:val="20"/>
          <w:szCs w:val="20"/>
        </w:rPr>
        <w:t>If we are unable to generate sufficient future taxable income, or if there is a material change in the actual effective tax rates or the time period within which the underlying temporary differences become taxable or deductible, or if the tax laws change u</w:t>
      </w:r>
      <w:r>
        <w:rPr>
          <w:rFonts w:eastAsia="Times New Roman"/>
          <w:color w:val="000000"/>
          <w:sz w:val="20"/>
          <w:szCs w:val="20"/>
        </w:rPr>
        <w:t>nfavorably, then we could be required to increase our valuation allowance against our deferred tax assets, resulting in an increase in our effective tax rate.</w:t>
      </w:r>
    </w:p>
    <w:p w:rsidR="00000000" w:rsidRDefault="006F0EF5">
      <w:pPr>
        <w:jc w:val="both"/>
        <w:divId w:val="1086266509"/>
        <w:rPr>
          <w:rFonts w:eastAsia="Times New Roman"/>
        </w:rPr>
      </w:pPr>
      <w:r>
        <w:rPr>
          <w:rFonts w:eastAsia="Times New Roman"/>
          <w:color w:val="000000"/>
          <w:sz w:val="20"/>
          <w:szCs w:val="20"/>
        </w:rPr>
        <w:t>The Company recognizes the tax benefit from an uncertain tax position only if it is more likely t</w:t>
      </w:r>
      <w:r>
        <w:rPr>
          <w:rFonts w:eastAsia="Times New Roman"/>
          <w:color w:val="000000"/>
          <w:sz w:val="20"/>
          <w:szCs w:val="20"/>
        </w:rPr>
        <w:t>han not that the tax position will be sustained on examination by the taxing authorities, based on the technical merits of the position. The tax benefits recognized in the consolidated financial statements from such a position are measured based on the lar</w:t>
      </w:r>
      <w:r>
        <w:rPr>
          <w:rFonts w:eastAsia="Times New Roman"/>
          <w:color w:val="000000"/>
          <w:sz w:val="20"/>
          <w:szCs w:val="20"/>
        </w:rPr>
        <w:t>gest benefit that has a greater than fifty percent likelihood of being realized upon settlement. Interest and penalties related to uncertain tax positions are recognized as part of the provision for income taxes and are accrued beginning in the period that</w:t>
      </w:r>
      <w:r>
        <w:rPr>
          <w:rFonts w:eastAsia="Times New Roman"/>
          <w:color w:val="000000"/>
          <w:sz w:val="20"/>
          <w:szCs w:val="20"/>
        </w:rPr>
        <w:t xml:space="preserve"> such interest and penalties would be applicable under relevant tax law until such time that the related tax benefits are recognized.</w:t>
      </w:r>
    </w:p>
    <w:p w:rsidR="00000000" w:rsidRDefault="006F0EF5">
      <w:pPr>
        <w:jc w:val="both"/>
        <w:divId w:val="1459763298"/>
        <w:rPr>
          <w:rFonts w:eastAsia="Times New Roman"/>
        </w:rPr>
      </w:pPr>
      <w:r>
        <w:rPr>
          <w:rFonts w:eastAsia="Times New Roman"/>
          <w:color w:val="000000"/>
          <w:sz w:val="20"/>
          <w:szCs w:val="20"/>
        </w:rPr>
        <w:t>During 2019, we transferred certain intangible assets among our wholly-owned subsidiaries, which resulted in the establish</w:t>
      </w:r>
      <w:r>
        <w:rPr>
          <w:rFonts w:eastAsia="Times New Roman"/>
          <w:color w:val="000000"/>
          <w:sz w:val="20"/>
          <w:szCs w:val="20"/>
        </w:rPr>
        <w:t>ment of deferred tax assets of $274 million. The establishment of deferred tax assets from intra-entity transfers of intangible assets required us to make significant estimates and assumptions to determine the fair value of such intangible assets. Critical</w:t>
      </w:r>
      <w:r>
        <w:rPr>
          <w:rFonts w:eastAsia="Times New Roman"/>
          <w:color w:val="000000"/>
          <w:sz w:val="20"/>
          <w:szCs w:val="20"/>
        </w:rPr>
        <w:t xml:space="preserve"> estimates in valuing the intangible assets include, but are not limited to, internal revenue and expense forecasts, and discount rates. The sustainability of our future tax benefits is dependent upon the acceptance of these valuation estimates and assumpt</w:t>
      </w:r>
      <w:r>
        <w:rPr>
          <w:rFonts w:eastAsia="Times New Roman"/>
          <w:color w:val="000000"/>
          <w:sz w:val="20"/>
          <w:szCs w:val="20"/>
        </w:rPr>
        <w:t>ions by the taxing authorities.</w:t>
      </w:r>
    </w:p>
    <w:p w:rsidR="00000000" w:rsidRDefault="006F0EF5">
      <w:pPr>
        <w:jc w:val="both"/>
        <w:divId w:val="806823339"/>
        <w:rPr>
          <w:rFonts w:eastAsia="Times New Roman"/>
        </w:rPr>
      </w:pPr>
      <w:r>
        <w:rPr>
          <w:rFonts w:eastAsia="Times New Roman"/>
          <w:color w:val="000000"/>
          <w:sz w:val="20"/>
          <w:szCs w:val="20"/>
        </w:rPr>
        <w:t>The provision for income taxes may change period-to-period based on non-recurring events, such as the settlement of income tax audits and changes in tax laws, as well as recurring factors including the geographic mix of inco</w:t>
      </w:r>
      <w:r>
        <w:rPr>
          <w:rFonts w:eastAsia="Times New Roman"/>
          <w:color w:val="000000"/>
          <w:sz w:val="20"/>
          <w:szCs w:val="20"/>
        </w:rPr>
        <w:t>me before taxes, state and local taxes and the effects of various global income tax strategies. We maintain certain strategic management and operational activities in overseas subsidiaries and our foreign earnings are taxed at rates that are generally lowe</w:t>
      </w:r>
      <w:r>
        <w:rPr>
          <w:rFonts w:eastAsia="Times New Roman"/>
          <w:color w:val="000000"/>
          <w:sz w:val="20"/>
          <w:szCs w:val="20"/>
        </w:rPr>
        <w:t>r than in the United States. As of December 31, 2021, we did not provide for U.S. federal income taxes or foreign withholding taxes on approximately $3.5 billion of undistributed earnings of our foreign subsidiaries as such earnings are expected to be rein</w:t>
      </w:r>
      <w:r>
        <w:rPr>
          <w:rFonts w:eastAsia="Times New Roman"/>
          <w:color w:val="000000"/>
          <w:sz w:val="20"/>
          <w:szCs w:val="20"/>
        </w:rPr>
        <w:t>vested indefinitely. The amount of unrecognized deferred tax liability associated with these indefinitely reinvested earnings is approximately $145 million.</w:t>
      </w:r>
    </w:p>
    <w:p w:rsidR="00000000" w:rsidRDefault="006F0EF5">
      <w:pPr>
        <w:jc w:val="both"/>
        <w:rPr>
          <w:rFonts w:eastAsia="Times New Roman"/>
        </w:rPr>
      </w:pPr>
      <w:r>
        <w:rPr>
          <w:rFonts w:eastAsia="Times New Roman"/>
          <w:color w:val="000000"/>
          <w:sz w:val="20"/>
          <w:szCs w:val="20"/>
        </w:rPr>
        <w:t>Refer to Note 7, “Income Taxes”, in the Notes to Consolidated Financial Statements in Item 8 of Par</w:t>
      </w:r>
      <w:r>
        <w:rPr>
          <w:rFonts w:eastAsia="Times New Roman"/>
          <w:color w:val="000000"/>
          <w:sz w:val="20"/>
          <w:szCs w:val="20"/>
        </w:rPr>
        <w:t>t II of this Report for disclosures related to foreign and domestic pretax income, foreign and domestic income tax (benefit) expense and the effect foreign taxes have on our overall effective tax rate.</w:t>
      </w: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RECENTLY ISSUED ACCOUNTING PRONOUNCEMENTS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 disc</w:t>
      </w:r>
      <w:r>
        <w:rPr>
          <w:rFonts w:eastAsia="Times New Roman"/>
          <w:color w:val="000000"/>
          <w:sz w:val="20"/>
          <w:szCs w:val="20"/>
        </w:rPr>
        <w:t xml:space="preserve">ussion of recently issued accounting pronouncements is described in Note 1, “Basis of Presentation and Significant Accounting Policies”, of the Notes to Consolidated Financial Statements in Item 8 of Part II of this Report, and we incorporate by reference </w:t>
      </w:r>
      <w:r>
        <w:rPr>
          <w:rFonts w:eastAsia="Times New Roman"/>
          <w:color w:val="000000"/>
          <w:sz w:val="20"/>
          <w:szCs w:val="20"/>
        </w:rPr>
        <w:t xml:space="preserve">such discussion in this MD&amp;A. </w:t>
      </w:r>
    </w:p>
    <w:p w:rsidR="00000000" w:rsidRDefault="006F0EF5">
      <w:pPr>
        <w:jc w:val="center"/>
        <w:divId w:val="340546818"/>
        <w:rPr>
          <w:rFonts w:eastAsia="Times New Roman"/>
        </w:rPr>
      </w:pPr>
      <w:r>
        <w:rPr>
          <w:rFonts w:eastAsia="Times New Roman"/>
          <w:color w:val="000000"/>
          <w:sz w:val="20"/>
          <w:szCs w:val="20"/>
        </w:rPr>
        <w:t>47</w:t>
      </w:r>
    </w:p>
    <w:p w:rsidR="00000000" w:rsidRDefault="006F0EF5">
      <w:pPr>
        <w:rPr>
          <w:rFonts w:eastAsia="Times New Roman"/>
        </w:rPr>
      </w:pPr>
      <w:r>
        <w:rPr>
          <w:rFonts w:eastAsia="Times New Roman"/>
        </w:rPr>
        <w:pict>
          <v:rect id="_x0000_i1076" style="width:0;height:1.5pt" o:hralign="center" o:hrstd="t" o:hr="t" fillcolor="#a0a0a0" stroked="f"/>
        </w:pict>
      </w:r>
    </w:p>
    <w:p w:rsidR="00000000" w:rsidRDefault="006F0EF5">
      <w:pPr>
        <w:divId w:val="207515911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723943328"/>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ind w:hanging="1170"/>
        <w:jc w:val="both"/>
        <w:rPr>
          <w:rFonts w:eastAsia="Times New Roman"/>
        </w:rPr>
      </w:pPr>
    </w:p>
    <w:p w:rsidR="00000000" w:rsidRDefault="006F0EF5">
      <w:pPr>
        <w:ind w:hanging="1170"/>
        <w:jc w:val="both"/>
        <w:rPr>
          <w:rFonts w:eastAsia="Times New Roman"/>
        </w:rPr>
      </w:pPr>
      <w:r>
        <w:rPr>
          <w:rFonts w:eastAsia="Times New Roman"/>
          <w:b/>
          <w:bCs/>
          <w:color w:val="000000"/>
          <w:sz w:val="20"/>
          <w:szCs w:val="20"/>
        </w:rPr>
        <w:t>Item 7A.    </w:t>
      </w:r>
      <w:r>
        <w:rPr>
          <w:rFonts w:eastAsia="Times New Roman"/>
          <w:b/>
          <w:bCs/>
          <w:color w:val="000000"/>
          <w:sz w:val="20"/>
          <w:szCs w:val="20"/>
        </w:rPr>
        <w:t>QUANTITATIVE AND QUALITATIVE DISCLOSURES ABOUT MARKET RISK</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Market Risk</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are exposed to market risks primarily from changes in foreign currency exchange rates and interest rates. It is our policy to manage our foreign exchange exposure and debt struct</w:t>
      </w:r>
      <w:r>
        <w:rPr>
          <w:rFonts w:eastAsia="Times New Roman"/>
          <w:color w:val="000000"/>
          <w:sz w:val="20"/>
          <w:szCs w:val="20"/>
        </w:rPr>
        <w:t>ure in order to manage capital costs, control financial risks and maintain financial flexibility over the long term. In managing market risks, we employ derivatives according to documented policies and procedures, including foreign currency contracts and i</w:t>
      </w:r>
      <w:r>
        <w:rPr>
          <w:rFonts w:eastAsia="Times New Roman"/>
          <w:color w:val="000000"/>
          <w:sz w:val="20"/>
          <w:szCs w:val="20"/>
        </w:rPr>
        <w:t xml:space="preserve">nterest rate swaps. We do not use derivatives for trading or speculative purposes.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shd w:val="clear" w:color="auto" w:fill="FFFFFF"/>
        </w:rPr>
        <w:t>Foreign Exchange Risk</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Since a substantial portion of our operations and revenue occur outside the United States, and in currencies other than the U.S. Dollar, our resul</w:t>
      </w:r>
      <w:r>
        <w:rPr>
          <w:rFonts w:eastAsia="Times New Roman"/>
          <w:color w:val="000000"/>
          <w:sz w:val="20"/>
          <w:szCs w:val="20"/>
          <w:shd w:val="clear" w:color="auto" w:fill="FFFFFF"/>
        </w:rPr>
        <w:t>ts can be significantly impacted by changes in foreign currency exchange rates. We have exposure to approximately 50 functional currencies and are exposed to foreign currency exchange risk with respect to our sales, profits and assets and liabilities denom</w:t>
      </w:r>
      <w:r>
        <w:rPr>
          <w:rFonts w:eastAsia="Times New Roman"/>
          <w:color w:val="000000"/>
          <w:sz w:val="20"/>
          <w:szCs w:val="20"/>
          <w:shd w:val="clear" w:color="auto" w:fill="FFFFFF"/>
        </w:rPr>
        <w:t>inated in currencies other than the U.S. Dollar. Although we use financial instruments to hedge certain foreign currency risks, we are not fully protected against foreign currency fluctuations and our reported results of operations could be affected by cha</w:t>
      </w:r>
      <w:r>
        <w:rPr>
          <w:rFonts w:eastAsia="Times New Roman"/>
          <w:color w:val="000000"/>
          <w:sz w:val="20"/>
          <w:szCs w:val="20"/>
          <w:shd w:val="clear" w:color="auto" w:fill="FFFFFF"/>
        </w:rPr>
        <w:t>nges in foreign currency exchange rates. To manage our exposures and mitigate the impact of currency fluctuations on the operations of our foreign subsidiaries, we hedge our main transactional exposures through the use of foreign exchange forward and optio</w:t>
      </w:r>
      <w:r>
        <w:rPr>
          <w:rFonts w:eastAsia="Times New Roman"/>
          <w:color w:val="000000"/>
          <w:sz w:val="20"/>
          <w:szCs w:val="20"/>
          <w:shd w:val="clear" w:color="auto" w:fill="FFFFFF"/>
        </w:rPr>
        <w:t>n contracts. This is primarily done through the hedging of foreign currency denominated inter-company inventory purchases by the marketing units and the foreign currency denominated inputs to our manufacturing units. All of these transactions are forecaste</w:t>
      </w:r>
      <w:r>
        <w:rPr>
          <w:rFonts w:eastAsia="Times New Roman"/>
          <w:color w:val="000000"/>
          <w:sz w:val="20"/>
          <w:szCs w:val="20"/>
          <w:shd w:val="clear" w:color="auto" w:fill="FFFFFF"/>
        </w:rPr>
        <w:t>d. If these contracts are designated as highly effective cash flow hedges, the gains or losses are deferred into accumulated other comprehensive income (</w:t>
      </w:r>
      <w:r>
        <w:rPr>
          <w:rFonts w:eastAsia="Times New Roman"/>
          <w:color w:val="000000"/>
          <w:sz w:val="20"/>
          <w:szCs w:val="20"/>
        </w:rPr>
        <w:t>“</w:t>
      </w:r>
      <w:r>
        <w:rPr>
          <w:rFonts w:eastAsia="Times New Roman"/>
          <w:color w:val="000000"/>
          <w:sz w:val="20"/>
          <w:szCs w:val="20"/>
          <w:shd w:val="clear" w:color="auto" w:fill="FFFFFF"/>
        </w:rPr>
        <w:t>AOCI</w:t>
      </w:r>
      <w:r>
        <w:rPr>
          <w:rFonts w:eastAsia="Times New Roman"/>
          <w:color w:val="000000"/>
          <w:sz w:val="20"/>
          <w:szCs w:val="20"/>
        </w:rPr>
        <w:t>”</w:t>
      </w:r>
      <w:r>
        <w:rPr>
          <w:rFonts w:eastAsia="Times New Roman"/>
          <w:color w:val="000000"/>
          <w:sz w:val="20"/>
          <w:szCs w:val="20"/>
          <w:shd w:val="clear" w:color="auto" w:fill="FFFFFF"/>
        </w:rPr>
        <w:t>).The gains or losses from derivative contracts that are designated as highly effective cash flow</w:t>
      </w:r>
      <w:r>
        <w:rPr>
          <w:rFonts w:eastAsia="Times New Roman"/>
          <w:color w:val="000000"/>
          <w:sz w:val="20"/>
          <w:szCs w:val="20"/>
          <w:shd w:val="clear" w:color="auto" w:fill="FFFFFF"/>
        </w:rPr>
        <w:t xml:space="preserve"> hedges related to inventory purchases are recorded in cost of products when the inventory is sold to an unrelated third party. Otherwise, the gains or losses from these contracts are recognized in earnings as exchange rates change. We also use derivatives</w:t>
      </w:r>
      <w:r>
        <w:rPr>
          <w:rFonts w:eastAsia="Times New Roman"/>
          <w:color w:val="000000"/>
          <w:sz w:val="20"/>
          <w:szCs w:val="20"/>
          <w:shd w:val="clear" w:color="auto" w:fill="FFFFFF"/>
        </w:rPr>
        <w:t xml:space="preserve"> not designated as hedging instruments consisting primarily of forward contracts to hedge foreign currency denominated balance sheet exposures. For these derivatives we recognize gains and losses in the same period as the remeasurement losses and gains of </w:t>
      </w:r>
      <w:r>
        <w:rPr>
          <w:rFonts w:eastAsia="Times New Roman"/>
          <w:color w:val="000000"/>
          <w:sz w:val="20"/>
          <w:szCs w:val="20"/>
          <w:shd w:val="clear" w:color="auto" w:fill="FFFFFF"/>
        </w:rPr>
        <w:t xml:space="preserve">the related foreign currency-denominated exposures.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We utilize non-exchange traded financial instruments, such as foreign exchange forward and option contracts, that we purchase exclusively from highly rated financial institutions. We record these contracts on our balance sheet at fair market value based up</w:t>
      </w:r>
      <w:r>
        <w:rPr>
          <w:rFonts w:eastAsia="Times New Roman"/>
          <w:color w:val="000000"/>
          <w:sz w:val="20"/>
          <w:szCs w:val="20"/>
          <w:shd w:val="clear" w:color="auto" w:fill="FFFFFF"/>
        </w:rPr>
        <w:t xml:space="preserve">on market price quotations from the financial institutions. We do not enter into non-exchange traded contracts that require the use of fair value estimation techniques, but if we did, they could have a material impact on our financial results.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For purpo</w:t>
      </w:r>
      <w:r>
        <w:rPr>
          <w:rFonts w:eastAsia="Times New Roman"/>
          <w:color w:val="000000"/>
          <w:sz w:val="20"/>
          <w:szCs w:val="20"/>
          <w:shd w:val="clear" w:color="auto" w:fill="FFFFFF"/>
        </w:rPr>
        <w:t>ses of analyzing potential risk, we use sensitivity analysis to quantify potential impacts that market rate changes may have on the fair values of our hedge portfolio related to firmly committed or forecasted transactions. The sensitivity analysis represen</w:t>
      </w:r>
      <w:r>
        <w:rPr>
          <w:rFonts w:eastAsia="Times New Roman"/>
          <w:color w:val="000000"/>
          <w:sz w:val="20"/>
          <w:szCs w:val="20"/>
          <w:shd w:val="clear" w:color="auto" w:fill="FFFFFF"/>
        </w:rPr>
        <w:t>ts the hypothetical changes in value of the hedge position and does not reflect the related gain or loss on the forecasted underlying transaction. A 10% appreciation or depreciation in the value of the U.S. Dollar against foreign currencies from the prevai</w:t>
      </w:r>
      <w:r>
        <w:rPr>
          <w:rFonts w:eastAsia="Times New Roman"/>
          <w:color w:val="000000"/>
          <w:sz w:val="20"/>
          <w:szCs w:val="20"/>
          <w:shd w:val="clear" w:color="auto" w:fill="FFFFFF"/>
        </w:rPr>
        <w:t>ling market rates would have resulted in a corresponding increase or decrease of $20 million as of December 31, 2021 in the fair value of the hedge portfolio. The Company expects that any increase or decrease in the fair value of the portfolio would be sub</w:t>
      </w:r>
      <w:r>
        <w:rPr>
          <w:rFonts w:eastAsia="Times New Roman"/>
          <w:color w:val="000000"/>
          <w:sz w:val="20"/>
          <w:szCs w:val="20"/>
          <w:shd w:val="clear" w:color="auto" w:fill="FFFFFF"/>
        </w:rPr>
        <w:t xml:space="preserve">stantially offset by increases or decreases in the underlying exposures being hedged.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U.S. Dollar was slightly weaker in 2021 compared to 2020 based on comparable weighted averages for our functional currencies. This had a favorable impact of 1% on </w:t>
      </w:r>
      <w:r>
        <w:rPr>
          <w:rFonts w:eastAsia="Times New Roman"/>
          <w:color w:val="000000"/>
          <w:sz w:val="20"/>
          <w:szCs w:val="20"/>
        </w:rPr>
        <w:t xml:space="preserve">2021 revenue versus 2020 revenue. This excludes the effects of our hedging activities and, therefore, does not reflect the actual impact of fluctuations in exchange rates on our operating income.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Interest Rate Risk</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are subject to interest rate risk</w:t>
      </w:r>
      <w:r>
        <w:rPr>
          <w:rFonts w:eastAsia="Times New Roman"/>
          <w:color w:val="000000"/>
          <w:sz w:val="20"/>
          <w:szCs w:val="20"/>
        </w:rPr>
        <w:t xml:space="preserve"> principally in relation to variable-rate debt. Approximately 59% of our borrowings were on a fixed rate basis as of December 31, 2021. The increase in pre-tax interest expense for the year ended December 31, 2021 from a hypothetical 100 basis point increa</w:t>
      </w:r>
      <w:r>
        <w:rPr>
          <w:rFonts w:eastAsia="Times New Roman"/>
          <w:color w:val="000000"/>
          <w:sz w:val="20"/>
          <w:szCs w:val="20"/>
        </w:rPr>
        <w:t xml:space="preserve">se in variable interest rates would be approximately $12 million.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utilize interest rate cap agreements to add stability to interest expense and to manage exposure to interest rate movements as part of our interest rate risk management strategy. Payme</w:t>
      </w:r>
      <w:r>
        <w:rPr>
          <w:rFonts w:eastAsia="Times New Roman"/>
          <w:color w:val="000000"/>
          <w:sz w:val="20"/>
          <w:szCs w:val="20"/>
        </w:rPr>
        <w:t xml:space="preserve">nts and receipts related to interest rate cap agreements are included in cash flows from operating activities in the Consolidated Statements of Cash Flows. </w:t>
      </w:r>
    </w:p>
    <w:p w:rsidR="00000000" w:rsidRDefault="006F0EF5">
      <w:pPr>
        <w:jc w:val="center"/>
        <w:divId w:val="71003114"/>
        <w:rPr>
          <w:rFonts w:eastAsia="Times New Roman"/>
        </w:rPr>
      </w:pPr>
      <w:r>
        <w:rPr>
          <w:rFonts w:eastAsia="Times New Roman"/>
          <w:color w:val="000000"/>
          <w:sz w:val="20"/>
          <w:szCs w:val="20"/>
        </w:rPr>
        <w:t>48</w:t>
      </w:r>
    </w:p>
    <w:p w:rsidR="00000000" w:rsidRDefault="006F0EF5">
      <w:pPr>
        <w:rPr>
          <w:rFonts w:eastAsia="Times New Roman"/>
        </w:rPr>
      </w:pPr>
      <w:r>
        <w:rPr>
          <w:rFonts w:eastAsia="Times New Roman"/>
        </w:rPr>
        <w:pict>
          <v:rect id="_x0000_i1077" style="width:0;height:1.5pt" o:hralign="center" o:hrstd="t" o:hr="t" fillcolor="#a0a0a0" stroked="f"/>
        </w:pict>
      </w:r>
    </w:p>
    <w:p w:rsidR="00000000" w:rsidRDefault="006F0EF5">
      <w:pPr>
        <w:divId w:val="809520822"/>
        <w:rPr>
          <w:rFonts w:eastAsia="Times New Roman"/>
        </w:rPr>
      </w:pPr>
      <w:hyperlink w:anchor="i820834c26f61401cb1d426994ba52a61_10" w:history="1">
        <w:r>
          <w:rPr>
            <w:rStyle w:val="a3"/>
            <w:rFonts w:eastAsia="Times New Roman"/>
            <w:sz w:val="16"/>
            <w:szCs w:val="16"/>
          </w:rPr>
          <w:t>T</w:t>
        </w:r>
        <w:r>
          <w:rPr>
            <w:rStyle w:val="a3"/>
            <w:rFonts w:eastAsia="Times New Roman"/>
            <w:sz w:val="16"/>
            <w:szCs w:val="16"/>
          </w:rPr>
          <w:t>able of Contents</w:t>
        </w:r>
      </w:hyperlink>
    </w:p>
    <w:p w:rsidR="00000000" w:rsidRDefault="006F0EF5">
      <w:pPr>
        <w:divId w:val="1220750104"/>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our ATM vault cash rental expense is based on market rates of interest, it is sensitive to changes in the general level of interest rates in the respective countries in which we operate. We pay a monthly fee on the average outstandi</w:t>
      </w:r>
      <w:r>
        <w:rPr>
          <w:rFonts w:eastAsia="Times New Roman"/>
          <w:color w:val="000000"/>
          <w:sz w:val="20"/>
          <w:szCs w:val="20"/>
        </w:rPr>
        <w:t>ng vault cash balances in our ATMs under floating rate formulas based on a spread above various interbank offered rates. The increase in vault cash rental expense for the year ended December 31, 2021 from a hypothetical 100 basis point increase in variable</w:t>
      </w:r>
      <w:r>
        <w:rPr>
          <w:rFonts w:eastAsia="Times New Roman"/>
          <w:color w:val="000000"/>
          <w:sz w:val="20"/>
          <w:szCs w:val="20"/>
        </w:rPr>
        <w:t xml:space="preserve"> interest rates would be approximately $44 million, excluding the impact from outstanding interest rate cap agreements.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Concentrations of Credit Risk</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are potentially subject to concentrations of credit risk on accounts receivable and financial inst</w:t>
      </w:r>
      <w:r>
        <w:rPr>
          <w:rFonts w:eastAsia="Times New Roman"/>
          <w:color w:val="000000"/>
          <w:sz w:val="20"/>
          <w:szCs w:val="20"/>
        </w:rPr>
        <w:t>ruments, such as hedging instruments and cash and cash equivalents. Credit risk includes the risk of nonperformance by counterparties. The maximum potential loss may exceed the amount recognized on the balance sheet. Exposure to credit risk is managed thro</w:t>
      </w:r>
      <w:r>
        <w:rPr>
          <w:rFonts w:eastAsia="Times New Roman"/>
          <w:color w:val="000000"/>
          <w:sz w:val="20"/>
          <w:szCs w:val="20"/>
        </w:rPr>
        <w:t>ugh credit approvals, credit limits, selecting major international financial institutions as counterparties to hedging transactions and monitoring procedures. Our business often involves large transactions with customers for which we do not require collate</w:t>
      </w:r>
      <w:r>
        <w:rPr>
          <w:rFonts w:eastAsia="Times New Roman"/>
          <w:color w:val="000000"/>
          <w:sz w:val="20"/>
          <w:szCs w:val="20"/>
        </w:rPr>
        <w:t>ral. If one or more of those customers were to default in its obligations under applicable contractual arrangements, we could be exposed to potentially significant losses. Moreover, a prolonged downturn in the global economy could have an adverse impact on</w:t>
      </w:r>
      <w:r>
        <w:rPr>
          <w:rFonts w:eastAsia="Times New Roman"/>
          <w:color w:val="000000"/>
          <w:sz w:val="20"/>
          <w:szCs w:val="20"/>
        </w:rPr>
        <w:t xml:space="preserve"> the ability of our customers to pay their obligations on a timely basis. We believe that the reserves for potential losses are adequate. As of December 31, 2021, we did not have any significant concentration of credit risk related to financial instruments</w:t>
      </w:r>
      <w:r>
        <w:rPr>
          <w:rFonts w:eastAsia="Times New Roman"/>
          <w:color w:val="000000"/>
          <w:sz w:val="20"/>
          <w:szCs w:val="20"/>
        </w:rPr>
        <w:t>.</w:t>
      </w: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divId w:val="1774663378"/>
        <w:rPr>
          <w:rFonts w:eastAsia="Times New Roman"/>
        </w:rPr>
      </w:pPr>
    </w:p>
    <w:p w:rsidR="00000000" w:rsidRDefault="006F0EF5">
      <w:pPr>
        <w:divId w:val="693698985"/>
        <w:rPr>
          <w:rFonts w:eastAsia="Times New Roman"/>
        </w:rPr>
      </w:pPr>
    </w:p>
    <w:p w:rsidR="00000000" w:rsidRDefault="006F0EF5">
      <w:pPr>
        <w:jc w:val="center"/>
        <w:rPr>
          <w:rFonts w:eastAsia="Times New Roman"/>
        </w:rPr>
      </w:pPr>
    </w:p>
    <w:p w:rsidR="00000000" w:rsidRDefault="006F0EF5">
      <w:pPr>
        <w:jc w:val="center"/>
        <w:rPr>
          <w:rFonts w:eastAsia="Times New Roman"/>
        </w:rPr>
      </w:pPr>
      <w:r>
        <w:rPr>
          <w:rFonts w:eastAsia="Times New Roman"/>
          <w:b/>
          <w:bCs/>
          <w:color w:val="000000"/>
          <w:sz w:val="20"/>
          <w:szCs w:val="20"/>
        </w:rPr>
        <w:t>Index to Financial Statements and Supplemental Data</w:t>
      </w:r>
    </w:p>
    <w:p w:rsidR="00000000" w:rsidRDefault="006F0EF5">
      <w:pPr>
        <w:jc w:val="center"/>
        <w:divId w:val="736247238"/>
        <w:rPr>
          <w:rFonts w:eastAsia="Times New Roman"/>
        </w:rPr>
      </w:pPr>
      <w:r>
        <w:rPr>
          <w:rFonts w:eastAsia="Times New Roman"/>
          <w:color w:val="000000"/>
          <w:sz w:val="20"/>
          <w:szCs w:val="20"/>
        </w:rPr>
        <w:t>49</w:t>
      </w:r>
    </w:p>
    <w:p w:rsidR="00000000" w:rsidRDefault="006F0EF5">
      <w:pPr>
        <w:rPr>
          <w:rFonts w:eastAsia="Times New Roman"/>
        </w:rPr>
      </w:pPr>
      <w:r>
        <w:rPr>
          <w:rFonts w:eastAsia="Times New Roman"/>
        </w:rPr>
        <w:pict>
          <v:rect id="_x0000_i1078" style="width:0;height:1.5pt" o:hralign="center" o:hrstd="t" o:hr="t" fillcolor="#a0a0a0" stroked="f"/>
        </w:pict>
      </w:r>
    </w:p>
    <w:p w:rsidR="00000000" w:rsidRDefault="006F0EF5">
      <w:pPr>
        <w:divId w:val="17819972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877766186"/>
        <w:rPr>
          <w:rFonts w:eastAsia="Times New Roman"/>
        </w:rPr>
      </w:pPr>
    </w:p>
    <w:tbl>
      <w:tblPr>
        <w:tblW w:w="4427" w:type="pct"/>
        <w:tblCellMar>
          <w:top w:w="15" w:type="dxa"/>
          <w:left w:w="15" w:type="dxa"/>
          <w:bottom w:w="15" w:type="dxa"/>
          <w:right w:w="15" w:type="dxa"/>
        </w:tblCellMar>
        <w:tblLook w:val="04A0" w:firstRow="1" w:lastRow="0" w:firstColumn="1" w:lastColumn="0" w:noHBand="0" w:noVBand="1"/>
      </w:tblPr>
      <w:tblGrid>
        <w:gridCol w:w="59"/>
        <w:gridCol w:w="6789"/>
        <w:gridCol w:w="38"/>
        <w:gridCol w:w="59"/>
        <w:gridCol w:w="373"/>
        <w:gridCol w:w="36"/>
      </w:tblGrid>
      <w:tr w:rsidR="00000000">
        <w:trPr>
          <w:divId w:val="7952303"/>
        </w:trPr>
        <w:tc>
          <w:tcPr>
            <w:tcW w:w="50" w:type="pct"/>
            <w:vAlign w:val="center"/>
            <w:hideMark/>
          </w:tcPr>
          <w:p w:rsidR="00000000" w:rsidRDefault="006F0EF5">
            <w:pPr>
              <w:rPr>
                <w:rFonts w:eastAsia="Times New Roman"/>
              </w:rPr>
            </w:pPr>
          </w:p>
        </w:tc>
        <w:tc>
          <w:tcPr>
            <w:tcW w:w="46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6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7952303"/>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16"/>
                <w:szCs w:val="16"/>
                <w:u w:val="single"/>
              </w:rPr>
              <w:t>Page</w:t>
            </w:r>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749280520"/>
              <w:rPr>
                <w:rFonts w:eastAsia="Times New Roman"/>
              </w:rPr>
            </w:pPr>
            <w:hyperlink w:anchor="i820834c26f61401cb1d426994ba52a61_136" w:history="1">
              <w:r>
                <w:rPr>
                  <w:rStyle w:val="a3"/>
                  <w:rFonts w:eastAsia="Times New Roman"/>
                  <w:sz w:val="20"/>
                  <w:szCs w:val="20"/>
                </w:rPr>
                <w:t xml:space="preserve">Report of Independent Registered Public Accounting Firm (PCAOB ID </w:t>
              </w:r>
            </w:hyperlink>
            <w:r>
              <w:rPr>
                <w:rFonts w:eastAsia="Times New Roman"/>
                <w:color w:val="0000EE"/>
                <w:sz w:val="20"/>
                <w:szCs w:val="20"/>
                <w:u w:val="single"/>
              </w:rPr>
              <w:t>238</w:t>
            </w:r>
            <w:hyperlink w:anchor="i820834c26f61401cb1d426994ba52a61_136" w:history="1">
              <w:r>
                <w:rPr>
                  <w:rStyle w:val="a3"/>
                  <w:rFonts w:eastAsia="Times New Roman"/>
                  <w:sz w:val="20"/>
                  <w:szCs w:val="20"/>
                </w:rPr>
                <w:t>)</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36" w:history="1">
              <w:r>
                <w:rPr>
                  <w:rStyle w:val="a3"/>
                  <w:rFonts w:eastAsia="Times New Roman"/>
                  <w:sz w:val="20"/>
                  <w:szCs w:val="20"/>
                </w:rPr>
                <w:t>51</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1317539822"/>
              <w:rPr>
                <w:rFonts w:eastAsia="Times New Roman"/>
              </w:rPr>
            </w:pPr>
            <w:hyperlink w:anchor="i820834c26f61401cb1d426994ba52a61_139" w:history="1">
              <w:r>
                <w:rPr>
                  <w:rStyle w:val="a3"/>
                  <w:rFonts w:eastAsia="Times New Roman"/>
                  <w:sz w:val="20"/>
                  <w:szCs w:val="20"/>
                </w:rPr>
                <w:t>Consolidated Statements of Operations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39" w:history="1">
              <w:r>
                <w:rPr>
                  <w:rStyle w:val="a3"/>
                  <w:rFonts w:eastAsia="Times New Roman"/>
                  <w:sz w:val="20"/>
                  <w:szCs w:val="20"/>
                </w:rPr>
                <w:t>54</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751202097"/>
              <w:rPr>
                <w:rFonts w:eastAsia="Times New Roman"/>
              </w:rPr>
            </w:pPr>
            <w:hyperlink w:anchor="i820834c26f61401cb1d426994ba52a61_142" w:history="1">
              <w:r>
                <w:rPr>
                  <w:rStyle w:val="a3"/>
                  <w:rFonts w:eastAsia="Times New Roman"/>
                  <w:sz w:val="20"/>
                  <w:szCs w:val="20"/>
                </w:rPr>
                <w:t>Consolidated Statements of Comprehensive Income (Loss)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42" w:history="1">
              <w:r>
                <w:rPr>
                  <w:rStyle w:val="a3"/>
                  <w:rFonts w:eastAsia="Times New Roman"/>
                  <w:sz w:val="20"/>
                  <w:szCs w:val="20"/>
                </w:rPr>
                <w:t>55</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1728333824"/>
              <w:rPr>
                <w:rFonts w:eastAsia="Times New Roman"/>
              </w:rPr>
            </w:pPr>
            <w:hyperlink w:anchor="i820834c26f61401cb1d426994ba52a61_145" w:history="1">
              <w:r>
                <w:rPr>
                  <w:rStyle w:val="a3"/>
                  <w:rFonts w:eastAsia="Times New Roman"/>
                  <w:sz w:val="20"/>
                  <w:szCs w:val="20"/>
                </w:rPr>
                <w:t>Consolidated Balance Sheets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45" w:history="1">
              <w:r>
                <w:rPr>
                  <w:rStyle w:val="a3"/>
                  <w:rFonts w:eastAsia="Times New Roman"/>
                  <w:sz w:val="20"/>
                  <w:szCs w:val="20"/>
                </w:rPr>
                <w:t>56</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1424567508"/>
              <w:rPr>
                <w:rFonts w:eastAsia="Times New Roman"/>
              </w:rPr>
            </w:pPr>
            <w:hyperlink w:anchor="i820834c26f61401cb1d426994ba52a61_148" w:history="1">
              <w:r>
                <w:rPr>
                  <w:rStyle w:val="a3"/>
                  <w:rFonts w:eastAsia="Times New Roman"/>
                  <w:sz w:val="20"/>
                  <w:szCs w:val="20"/>
                </w:rPr>
                <w:t>Consolidated Statements of Cash Flows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48" w:history="1">
              <w:r>
                <w:rPr>
                  <w:rStyle w:val="a3"/>
                  <w:rFonts w:eastAsia="Times New Roman"/>
                  <w:sz w:val="20"/>
                  <w:szCs w:val="20"/>
                </w:rPr>
                <w:t>57</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1484470347"/>
              <w:rPr>
                <w:rFonts w:eastAsia="Times New Roman"/>
              </w:rPr>
            </w:pPr>
            <w:hyperlink w:anchor="i820834c26f61401cb1d426994ba52a61_151" w:history="1">
              <w:r>
                <w:rPr>
                  <w:rStyle w:val="a3"/>
                  <w:rFonts w:eastAsia="Times New Roman"/>
                  <w:sz w:val="20"/>
                  <w:szCs w:val="20"/>
                </w:rPr>
                <w:t>Consolidated Statements of Changes in Stockholders' Equity</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51" w:history="1">
              <w:r>
                <w:rPr>
                  <w:rStyle w:val="a3"/>
                  <w:rFonts w:eastAsia="Times New Roman"/>
                  <w:sz w:val="20"/>
                  <w:szCs w:val="20"/>
                </w:rPr>
                <w:t>58</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486553447"/>
              <w:rPr>
                <w:rFonts w:eastAsia="Times New Roman"/>
              </w:rPr>
            </w:pPr>
            <w:hyperlink w:anchor="i820834c26f61401cb1d426994ba52a61_154" w:history="1">
              <w:r>
                <w:rPr>
                  <w:rStyle w:val="a3"/>
                  <w:rFonts w:eastAsia="Times New Roman"/>
                  <w:sz w:val="20"/>
                  <w:szCs w:val="20"/>
                </w:rPr>
                <w:t xml:space="preserve">Notes to </w:t>
              </w:r>
              <w:r>
                <w:rPr>
                  <w:rStyle w:val="a3"/>
                  <w:rFonts w:eastAsia="Times New Roman"/>
                  <w:sz w:val="20"/>
                  <w:szCs w:val="20"/>
                </w:rPr>
                <w:t>Consolidated Financial Statements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54" w:history="1">
              <w:r>
                <w:rPr>
                  <w:rStyle w:val="a3"/>
                  <w:rFonts w:eastAsia="Times New Roman"/>
                  <w:sz w:val="20"/>
                  <w:szCs w:val="20"/>
                </w:rPr>
                <w:t>59</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2100247404"/>
              <w:rPr>
                <w:rFonts w:eastAsia="Times New Roman"/>
              </w:rPr>
            </w:pPr>
            <w:hyperlink w:anchor="i820834c26f61401cb1d426994ba52a61_157" w:history="1">
              <w:r>
                <w:rPr>
                  <w:rStyle w:val="a3"/>
                  <w:rFonts w:eastAsia="Times New Roman"/>
                  <w:sz w:val="20"/>
                  <w:szCs w:val="20"/>
                </w:rPr>
                <w:t>Note 1. Basis of Presentation and Significant Accounting Policies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57" w:history="1">
              <w:r>
                <w:rPr>
                  <w:rStyle w:val="a3"/>
                  <w:rFonts w:eastAsia="Times New Roman"/>
                  <w:sz w:val="20"/>
                  <w:szCs w:val="20"/>
                </w:rPr>
                <w:t>59</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852301115"/>
              <w:rPr>
                <w:rFonts w:eastAsia="Times New Roman"/>
              </w:rPr>
            </w:pPr>
            <w:hyperlink w:anchor="i820834c26f61401cb1d426994ba52a61_160" w:history="1">
              <w:r>
                <w:rPr>
                  <w:rStyle w:val="a3"/>
                  <w:rFonts w:eastAsia="Times New Roman"/>
                  <w:sz w:val="20"/>
                  <w:szCs w:val="20"/>
                </w:rPr>
                <w:t>Note 2. Goodwill and Purchased Intangible Assets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60" w:history="1">
              <w:r>
                <w:rPr>
                  <w:rStyle w:val="a3"/>
                  <w:rFonts w:eastAsia="Times New Roman"/>
                  <w:sz w:val="20"/>
                  <w:szCs w:val="20"/>
                </w:rPr>
                <w:t>71</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132872189"/>
              <w:rPr>
                <w:rFonts w:eastAsia="Times New Roman"/>
              </w:rPr>
            </w:pPr>
            <w:hyperlink w:anchor="i820834c26f61401cb1d426994ba52a61_163" w:history="1">
              <w:r>
                <w:rPr>
                  <w:rStyle w:val="a3"/>
                  <w:rFonts w:eastAsia="Times New Roman"/>
                  <w:sz w:val="20"/>
                  <w:szCs w:val="20"/>
                </w:rPr>
                <w:t>Note 3. Business Combinations and Divestitures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63" w:history="1">
              <w:r>
                <w:rPr>
                  <w:rStyle w:val="a3"/>
                  <w:rFonts w:eastAsia="Times New Roman"/>
                  <w:sz w:val="20"/>
                  <w:szCs w:val="20"/>
                </w:rPr>
                <w:t>73</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1613436095"/>
              <w:rPr>
                <w:rFonts w:eastAsia="Times New Roman"/>
              </w:rPr>
            </w:pPr>
            <w:hyperlink w:anchor="i820834c26f61401cb1d426994ba52a61_166" w:history="1">
              <w:r>
                <w:rPr>
                  <w:rStyle w:val="a3"/>
                  <w:rFonts w:eastAsia="Times New Roman"/>
                  <w:sz w:val="20"/>
                  <w:szCs w:val="20"/>
                </w:rPr>
                <w:t>Note 4. Segment Information</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66" w:history="1">
              <w:r>
                <w:rPr>
                  <w:rStyle w:val="a3"/>
                  <w:rFonts w:eastAsia="Times New Roman"/>
                  <w:sz w:val="20"/>
                  <w:szCs w:val="20"/>
                </w:rPr>
                <w:t>79</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1785808552"/>
              <w:rPr>
                <w:rFonts w:eastAsia="Times New Roman"/>
              </w:rPr>
            </w:pPr>
            <w:hyperlink w:anchor="i820834c26f61401cb1d426994ba52a61_169" w:history="1">
              <w:r>
                <w:rPr>
                  <w:rStyle w:val="a3"/>
                  <w:rFonts w:eastAsia="Times New Roman"/>
                  <w:sz w:val="20"/>
                  <w:szCs w:val="20"/>
                </w:rPr>
                <w:t>Note 5. Debt Obligations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69" w:history="1">
              <w:r>
                <w:rPr>
                  <w:rStyle w:val="a3"/>
                  <w:rFonts w:eastAsia="Times New Roman"/>
                  <w:sz w:val="20"/>
                  <w:szCs w:val="20"/>
                </w:rPr>
                <w:t>82</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890265141"/>
              <w:rPr>
                <w:rFonts w:eastAsia="Times New Roman"/>
              </w:rPr>
            </w:pPr>
            <w:hyperlink w:anchor="i820834c26f61401cb1d426994ba52a61_1811" w:history="1">
              <w:r>
                <w:rPr>
                  <w:rStyle w:val="a3"/>
                  <w:rFonts w:eastAsia="Times New Roman"/>
                  <w:sz w:val="20"/>
                  <w:szCs w:val="20"/>
                </w:rPr>
                <w:t>Note 6. Trade Receivables Fa</w:t>
              </w:r>
            </w:hyperlink>
            <w:hyperlink w:anchor="i820834c26f61401cb1d426994ba52a61_1811" w:history="1">
              <w:r>
                <w:rPr>
                  <w:rStyle w:val="a3"/>
                  <w:rFonts w:eastAsia="Times New Roman"/>
                  <w:sz w:val="20"/>
                  <w:szCs w:val="20"/>
                </w:rPr>
                <w:t>cility</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811" w:history="1">
              <w:r>
                <w:rPr>
                  <w:rStyle w:val="a3"/>
                  <w:rFonts w:eastAsia="Times New Roman"/>
                  <w:sz w:val="20"/>
                  <w:szCs w:val="20"/>
                </w:rPr>
                <w:t>88</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970982881"/>
              <w:rPr>
                <w:rFonts w:eastAsia="Times New Roman"/>
              </w:rPr>
            </w:pPr>
            <w:hyperlink w:anchor="i820834c26f61401cb1d426994ba52a61_172" w:history="1">
              <w:r>
                <w:rPr>
                  <w:rStyle w:val="a3"/>
                  <w:rFonts w:eastAsia="Times New Roman"/>
                  <w:sz w:val="20"/>
                  <w:szCs w:val="20"/>
                </w:rPr>
                <w:t>Note 7. Income Taxes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72" w:history="1">
              <w:r>
                <w:rPr>
                  <w:rStyle w:val="a3"/>
                  <w:rFonts w:eastAsia="Times New Roman"/>
                  <w:sz w:val="20"/>
                  <w:szCs w:val="20"/>
                </w:rPr>
                <w:t>89</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33429371"/>
              <w:rPr>
                <w:rFonts w:eastAsia="Times New Roman"/>
              </w:rPr>
            </w:pPr>
            <w:hyperlink w:anchor="i820834c26f61401cb1d426994ba52a61_175" w:history="1">
              <w:r>
                <w:rPr>
                  <w:rStyle w:val="a3"/>
                  <w:rFonts w:eastAsia="Times New Roman"/>
                  <w:sz w:val="20"/>
                  <w:szCs w:val="20"/>
                </w:rPr>
                <w:t>Note 8. Stock Compensation Plans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75" w:history="1">
              <w:r>
                <w:rPr>
                  <w:rStyle w:val="a3"/>
                  <w:rFonts w:eastAsia="Times New Roman"/>
                  <w:sz w:val="20"/>
                  <w:szCs w:val="20"/>
                </w:rPr>
                <w:t>92</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1765570879"/>
              <w:rPr>
                <w:rFonts w:eastAsia="Times New Roman"/>
              </w:rPr>
            </w:pPr>
            <w:hyperlink w:anchor="i820834c26f61401cb1d426994ba52a61_178" w:history="1">
              <w:r>
                <w:rPr>
                  <w:rStyle w:val="a3"/>
                  <w:rFonts w:eastAsia="Times New Roman"/>
                  <w:sz w:val="20"/>
                  <w:szCs w:val="20"/>
                </w:rPr>
                <w:t>Note 9. Employee Benefit Plans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78" w:history="1">
              <w:r>
                <w:rPr>
                  <w:rStyle w:val="a3"/>
                  <w:rFonts w:eastAsia="Times New Roman"/>
                  <w:sz w:val="20"/>
                  <w:szCs w:val="20"/>
                </w:rPr>
                <w:t>95</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214396561"/>
              <w:rPr>
                <w:rFonts w:eastAsia="Times New Roman"/>
              </w:rPr>
            </w:pPr>
            <w:hyperlink w:anchor="i820834c26f61401cb1d426994ba52a61_181" w:history="1">
              <w:r>
                <w:rPr>
                  <w:rStyle w:val="a3"/>
                  <w:rFonts w:eastAsia="Times New Roman"/>
                  <w:sz w:val="20"/>
                  <w:szCs w:val="20"/>
                </w:rPr>
                <w:t>Note 10. Commitments and Contingencies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81" w:history="1">
              <w:r>
                <w:rPr>
                  <w:rStyle w:val="a3"/>
                  <w:rFonts w:eastAsia="Times New Roman"/>
                  <w:sz w:val="20"/>
                  <w:szCs w:val="20"/>
                </w:rPr>
                <w:t>105</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1236159985"/>
              <w:rPr>
                <w:rFonts w:eastAsia="Times New Roman"/>
              </w:rPr>
            </w:pPr>
            <w:hyperlink w:anchor="i820834c26f61401cb1d426994ba52a61_184" w:history="1">
              <w:r>
                <w:rPr>
                  <w:rStyle w:val="a3"/>
                  <w:rFonts w:eastAsia="Times New Roman"/>
                  <w:sz w:val="20"/>
                  <w:szCs w:val="20"/>
                </w:rPr>
                <w:t>Note 11. Leasing</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84" w:history="1">
              <w:r>
                <w:rPr>
                  <w:rStyle w:val="a3"/>
                  <w:rFonts w:eastAsia="Times New Roman"/>
                  <w:sz w:val="20"/>
                  <w:szCs w:val="20"/>
                </w:rPr>
                <w:t>110</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1127966486"/>
              <w:rPr>
                <w:rFonts w:eastAsia="Times New Roman"/>
              </w:rPr>
            </w:pPr>
            <w:hyperlink w:anchor="i820834c26f61401cb1d426994ba52a61_187" w:history="1">
              <w:r>
                <w:rPr>
                  <w:rStyle w:val="a3"/>
                  <w:rFonts w:eastAsia="Times New Roman"/>
                  <w:sz w:val="20"/>
                  <w:szCs w:val="20"/>
                </w:rPr>
                <w:t>Note 12. Series A Preferred Stock</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87" w:history="1">
              <w:r>
                <w:rPr>
                  <w:rStyle w:val="a3"/>
                  <w:rFonts w:eastAsia="Times New Roman"/>
                  <w:sz w:val="20"/>
                  <w:szCs w:val="20"/>
                </w:rPr>
                <w:t>113</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1369453472"/>
              <w:rPr>
                <w:rFonts w:eastAsia="Times New Roman"/>
              </w:rPr>
            </w:pPr>
            <w:hyperlink w:anchor="i820834c26f61401cb1d426994ba52a61_49478" w:history="1">
              <w:r>
                <w:rPr>
                  <w:rStyle w:val="a3"/>
                  <w:rFonts w:eastAsia="Times New Roman"/>
                  <w:sz w:val="20"/>
                  <w:szCs w:val="20"/>
                </w:rPr>
                <w:t>Note 13. Derivatives and Hedging Instruments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49478" w:history="1">
              <w:r>
                <w:rPr>
                  <w:rStyle w:val="a3"/>
                  <w:rFonts w:eastAsia="Times New Roman"/>
                  <w:sz w:val="20"/>
                  <w:szCs w:val="20"/>
                </w:rPr>
                <w:t>115</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437062804"/>
              <w:rPr>
                <w:rFonts w:eastAsia="Times New Roman"/>
              </w:rPr>
            </w:pPr>
            <w:hyperlink w:anchor="i820834c26f61401cb1d426994ba52a61_193" w:history="1">
              <w:r>
                <w:rPr>
                  <w:rStyle w:val="a3"/>
                  <w:rFonts w:eastAsia="Times New Roman"/>
                  <w:sz w:val="20"/>
                  <w:szCs w:val="20"/>
                </w:rPr>
                <w:t>Note 14. Fair Valu</w:t>
              </w:r>
              <w:r>
                <w:rPr>
                  <w:rStyle w:val="a3"/>
                  <w:rFonts w:eastAsia="Times New Roman"/>
                  <w:sz w:val="20"/>
                  <w:szCs w:val="20"/>
                </w:rPr>
                <w:t>e of Assets and Liabilities</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93" w:history="1">
              <w:r>
                <w:rPr>
                  <w:rStyle w:val="a3"/>
                  <w:rFonts w:eastAsia="Times New Roman"/>
                  <w:sz w:val="20"/>
                  <w:szCs w:val="20"/>
                </w:rPr>
                <w:t>118</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362361509"/>
              <w:rPr>
                <w:rFonts w:eastAsia="Times New Roman"/>
              </w:rPr>
            </w:pPr>
            <w:hyperlink w:anchor="i820834c26f61401cb1d426994ba52a61_196" w:history="1">
              <w:r>
                <w:rPr>
                  <w:rStyle w:val="a3"/>
                  <w:rFonts w:eastAsia="Times New Roman"/>
                  <w:sz w:val="20"/>
                  <w:szCs w:val="20"/>
                </w:rPr>
                <w:t>Note 15. Accumulated Other Comprehensive Income</w:t>
              </w:r>
            </w:hyperlink>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196" w:history="1">
              <w:r>
                <w:rPr>
                  <w:rStyle w:val="a3"/>
                  <w:rFonts w:eastAsia="Times New Roman"/>
                  <w:sz w:val="20"/>
                  <w:szCs w:val="20"/>
                </w:rPr>
                <w:t>119</w:t>
              </w:r>
            </w:hyperlink>
          </w:p>
        </w:tc>
      </w:tr>
      <w:tr w:rsidR="00000000">
        <w:trPr>
          <w:divId w:val="7952303"/>
        </w:trPr>
        <w:tc>
          <w:tcPr>
            <w:tcW w:w="0" w:type="auto"/>
            <w:gridSpan w:val="3"/>
            <w:tcMar>
              <w:top w:w="30" w:type="dxa"/>
              <w:left w:w="20" w:type="dxa"/>
              <w:bottom w:w="30" w:type="dxa"/>
              <w:right w:w="20" w:type="dxa"/>
            </w:tcMar>
            <w:vAlign w:val="bottom"/>
            <w:hideMark/>
          </w:tcPr>
          <w:p w:rsidR="00000000" w:rsidRDefault="006F0EF5">
            <w:pPr>
              <w:spacing w:after="100"/>
              <w:divId w:val="21825360"/>
              <w:rPr>
                <w:rFonts w:eastAsia="Times New Roman"/>
              </w:rPr>
            </w:pPr>
            <w:hyperlink w:anchor="i820834c26f61401cb1d426994ba52a61_205" w:history="1">
              <w:r>
                <w:rPr>
                  <w:rStyle w:val="a3"/>
                  <w:rFonts w:eastAsia="Times New Roman"/>
                  <w:sz w:val="20"/>
                  <w:szCs w:val="20"/>
                </w:rPr>
                <w:t>Note 16. Supplemental Financial Information</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hyperlink w:anchor="i820834c26f61401cb1d426994ba52a61_205" w:history="1">
              <w:r>
                <w:rPr>
                  <w:rStyle w:val="a3"/>
                  <w:rFonts w:eastAsia="Times New Roman"/>
                  <w:sz w:val="20"/>
                  <w:szCs w:val="20"/>
                </w:rPr>
                <w:t>121</w:t>
              </w:r>
            </w:hyperlink>
          </w:p>
        </w:tc>
      </w:tr>
    </w:tbl>
    <w:p w:rsidR="00000000" w:rsidRDefault="006F0EF5">
      <w:pPr>
        <w:divId w:val="2008828985"/>
        <w:rPr>
          <w:rFonts w:eastAsia="Times New Roman"/>
        </w:rPr>
      </w:pPr>
    </w:p>
    <w:p w:rsidR="00000000" w:rsidRDefault="006F0EF5">
      <w:pPr>
        <w:divId w:val="1291518631"/>
        <w:rPr>
          <w:rFonts w:eastAsia="Times New Roman"/>
        </w:rPr>
      </w:pPr>
    </w:p>
    <w:p w:rsidR="00000000" w:rsidRDefault="006F0EF5">
      <w:pPr>
        <w:divId w:val="1371413332"/>
        <w:rPr>
          <w:rFonts w:eastAsia="Times New Roman"/>
        </w:rPr>
      </w:pPr>
    </w:p>
    <w:p w:rsidR="00000000" w:rsidRDefault="006F0EF5">
      <w:pPr>
        <w:jc w:val="center"/>
        <w:divId w:val="1753895958"/>
        <w:rPr>
          <w:rFonts w:eastAsia="Times New Roman"/>
        </w:rPr>
      </w:pPr>
      <w:r>
        <w:rPr>
          <w:rFonts w:eastAsia="Times New Roman"/>
          <w:color w:val="000000"/>
          <w:sz w:val="20"/>
          <w:szCs w:val="20"/>
        </w:rPr>
        <w:t>50</w:t>
      </w:r>
    </w:p>
    <w:p w:rsidR="00000000" w:rsidRDefault="006F0EF5">
      <w:pPr>
        <w:rPr>
          <w:rFonts w:eastAsia="Times New Roman"/>
        </w:rPr>
      </w:pPr>
      <w:r>
        <w:rPr>
          <w:rFonts w:eastAsia="Times New Roman"/>
        </w:rPr>
        <w:pict>
          <v:rect id="_x0000_i1079" style="width:0;height:1.5pt" o:hralign="center" o:hrstd="t" o:hr="t" fillcolor="#a0a0a0" stroked="f"/>
        </w:pict>
      </w:r>
    </w:p>
    <w:p w:rsidR="00000000" w:rsidRDefault="006F0EF5">
      <w:pPr>
        <w:divId w:val="205681163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472795453"/>
        <w:rPr>
          <w:rFonts w:eastAsia="Times New Roman"/>
        </w:rPr>
      </w:pPr>
    </w:p>
    <w:p w:rsidR="00000000" w:rsidRDefault="006F0EF5">
      <w:pPr>
        <w:divId w:val="773087675"/>
        <w:rPr>
          <w:rFonts w:eastAsia="Times New Roman"/>
        </w:rPr>
      </w:pPr>
      <w:r>
        <w:rPr>
          <w:rFonts w:eastAsia="Times New Roman"/>
          <w:b/>
          <w:bCs/>
          <w:color w:val="000000"/>
          <w:sz w:val="20"/>
          <w:szCs w:val="20"/>
        </w:rPr>
        <w:t>Item 8.        FINANCIAL STATEMENTS AND SUPPLEMENTAL DATA</w:t>
      </w:r>
    </w:p>
    <w:p w:rsidR="00000000" w:rsidRDefault="006F0EF5">
      <w:pPr>
        <w:jc w:val="center"/>
        <w:rPr>
          <w:rFonts w:eastAsia="Times New Roman"/>
        </w:rPr>
      </w:pPr>
    </w:p>
    <w:p w:rsidR="00000000" w:rsidRDefault="006F0EF5">
      <w:pPr>
        <w:jc w:val="both"/>
        <w:rPr>
          <w:rFonts w:eastAsia="Times New Roman"/>
        </w:rPr>
      </w:pPr>
      <w:r>
        <w:rPr>
          <w:rFonts w:eastAsia="Times New Roman"/>
          <w:b/>
          <w:bCs/>
          <w:color w:val="000000"/>
          <w:sz w:val="20"/>
          <w:szCs w:val="20"/>
        </w:rPr>
        <w:t>Report of Independent Registered Public Accounting Firm</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To the</w:t>
      </w:r>
      <w:r>
        <w:rPr>
          <w:rFonts w:eastAsia="Times New Roman"/>
          <w:b/>
          <w:bCs/>
          <w:color w:val="FF0000"/>
          <w:sz w:val="20"/>
          <w:szCs w:val="20"/>
        </w:rPr>
        <w:t xml:space="preserve"> </w:t>
      </w:r>
      <w:r>
        <w:rPr>
          <w:rFonts w:eastAsia="Times New Roman"/>
          <w:color w:val="000000"/>
          <w:sz w:val="20"/>
          <w:szCs w:val="20"/>
        </w:rPr>
        <w:t>Board of Directors and Stockholders of NCR Corporation</w:t>
      </w:r>
      <w:r>
        <w:rPr>
          <w:rFonts w:eastAsia="Times New Roman"/>
          <w:b/>
          <w:bCs/>
          <w:color w:val="FF0000"/>
          <w:sz w:val="20"/>
          <w:szCs w:val="20"/>
        </w:rPr>
        <w:t xml:space="preserve"> </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Opinions on the Financial Statements and Internal Control over Financial Reporting</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have audited the accompanying consolidated ba</w:t>
      </w:r>
      <w:r>
        <w:rPr>
          <w:rFonts w:eastAsia="Times New Roman"/>
          <w:color w:val="000000"/>
          <w:sz w:val="20"/>
          <w:szCs w:val="20"/>
        </w:rPr>
        <w:t>lance sheets of NCR Corporation and its subsidiaries (the “Company”) as of December 31, 2021 and 2020, and the related consolidated statements of operations, of comprehensive income (loss), of stockholders' equity and of cash flows for each of the three ye</w:t>
      </w:r>
      <w:r>
        <w:rPr>
          <w:rFonts w:eastAsia="Times New Roman"/>
          <w:color w:val="000000"/>
          <w:sz w:val="20"/>
          <w:szCs w:val="20"/>
        </w:rPr>
        <w:t>ars in the period ended December 31, 2021, including the related notes and financial statement schedule listed in the index appearing under Item 15(a)(2) (collectively referred to as the “consolidated financial statements”).We also have audited the Company</w:t>
      </w:r>
      <w:r>
        <w:rPr>
          <w:rFonts w:eastAsia="Times New Roman"/>
          <w:color w:val="000000"/>
          <w:sz w:val="20"/>
          <w:szCs w:val="20"/>
        </w:rPr>
        <w:t xml:space="preserve">'s internal control over financial reporting as of December 31, 2021, based on criteria established in </w:t>
      </w:r>
      <w:r>
        <w:rPr>
          <w:rFonts w:eastAsia="Times New Roman"/>
          <w:i/>
          <w:iCs/>
          <w:color w:val="000000"/>
          <w:sz w:val="20"/>
          <w:szCs w:val="20"/>
        </w:rPr>
        <w:t>Internal Control - Integrated Framework</w:t>
      </w:r>
      <w:r>
        <w:rPr>
          <w:rFonts w:eastAsia="Times New Roman"/>
          <w:color w:val="000000"/>
          <w:sz w:val="20"/>
          <w:szCs w:val="20"/>
        </w:rPr>
        <w:t xml:space="preserve"> (2013) issued by the Committee of Sponsoring Organizations of the Treadway Commission (COSO).</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our opinion, t</w:t>
      </w:r>
      <w:r>
        <w:rPr>
          <w:rFonts w:eastAsia="Times New Roman"/>
          <w:color w:val="000000"/>
          <w:sz w:val="20"/>
          <w:szCs w:val="20"/>
        </w:rPr>
        <w:t>he consolidated financial statements referred to above present fairly, in all material respects, the financial position of the Company as of December 31, 2021 and 2020, and the results of its operations and its cash flows for each of the three years in the</w:t>
      </w:r>
      <w:r>
        <w:rPr>
          <w:rFonts w:eastAsia="Times New Roman"/>
          <w:color w:val="000000"/>
          <w:sz w:val="20"/>
          <w:szCs w:val="20"/>
        </w:rPr>
        <w:t xml:space="preserve"> period ended December 31, 2021 in conformity with accounting principles generally accepted in the United States of America. Also in our opinion, the Company maintained, in all material respects, effective internal control over financial reporting as of De</w:t>
      </w:r>
      <w:r>
        <w:rPr>
          <w:rFonts w:eastAsia="Times New Roman"/>
          <w:color w:val="000000"/>
          <w:sz w:val="20"/>
          <w:szCs w:val="20"/>
        </w:rPr>
        <w:t xml:space="preserve">cember 31, 2021, based on criteria established in </w:t>
      </w:r>
      <w:r>
        <w:rPr>
          <w:rFonts w:eastAsia="Times New Roman"/>
          <w:i/>
          <w:iCs/>
          <w:color w:val="000000"/>
          <w:sz w:val="20"/>
          <w:szCs w:val="20"/>
        </w:rPr>
        <w:t>Internal Control - Integrated Framework</w:t>
      </w:r>
      <w:r>
        <w:rPr>
          <w:rFonts w:eastAsia="Times New Roman"/>
          <w:color w:val="000000"/>
          <w:sz w:val="20"/>
          <w:szCs w:val="20"/>
        </w:rPr>
        <w:t xml:space="preserve"> (2013) issued by the COSO.</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Basis for Opinions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Company's management is responsible for these consolidated financial statements, for maintaining effective inter</w:t>
      </w:r>
      <w:r>
        <w:rPr>
          <w:rFonts w:eastAsia="Times New Roman"/>
          <w:color w:val="000000"/>
          <w:sz w:val="20"/>
          <w:szCs w:val="20"/>
        </w:rPr>
        <w:t>nal control over financial reporting, and for its assessment of the effectiveness of internal control over financial reporting, included in Management’s Report on Internal Control over Financial Reporting appearing under Item 9A. Our responsibility is to e</w:t>
      </w:r>
      <w:r>
        <w:rPr>
          <w:rFonts w:eastAsia="Times New Roman"/>
          <w:color w:val="000000"/>
          <w:sz w:val="20"/>
          <w:szCs w:val="20"/>
        </w:rPr>
        <w:t>xpress opinions on the Company’s consolidated financial statements and on the Company's internal control over financial reporting based on our audits. We are a public accounting firm registered with the Public Company Accounting Oversight Board (United Sta</w:t>
      </w:r>
      <w:r>
        <w:rPr>
          <w:rFonts w:eastAsia="Times New Roman"/>
          <w:color w:val="000000"/>
          <w:sz w:val="20"/>
          <w:szCs w:val="20"/>
        </w:rPr>
        <w:t>tes) (PCAOB) and are required to be independent with respect to the Company in accordance with the U.S. federal securities laws and the applicable rules and regulations of the Securities and Exchange Commission and the PCAOB.</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conducted our audits in a</w:t>
      </w:r>
      <w:r>
        <w:rPr>
          <w:rFonts w:eastAsia="Times New Roman"/>
          <w:color w:val="000000"/>
          <w:sz w:val="20"/>
          <w:szCs w:val="20"/>
        </w:rPr>
        <w:t xml:space="preserve">ccordance with the standards of the PCAOB. Those standards require that we plan and perform the audits to obtain reasonable assurance about whether the consolidated financial statements are free of material misstatement, whether due to error or fraud, and </w:t>
      </w:r>
      <w:r>
        <w:rPr>
          <w:rFonts w:eastAsia="Times New Roman"/>
          <w:color w:val="000000"/>
          <w:sz w:val="20"/>
          <w:szCs w:val="20"/>
        </w:rPr>
        <w:t>whether effective internal control over financial reporting was maintained in all material respects.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audits of the consolidated financial statements included performing procedures to assess the risks of material misstatement of the consolidated finan</w:t>
      </w:r>
      <w:r>
        <w:rPr>
          <w:rFonts w:eastAsia="Times New Roman"/>
          <w:color w:val="000000"/>
          <w:sz w:val="20"/>
          <w:szCs w:val="20"/>
        </w:rPr>
        <w:t xml:space="preserve">cial statements, whether due to error or fraud, and performing procedures that respond to those risks. Such procedures included examining, on a test basis, evidence regarding the amounts and disclosures in the consolidated financial statements. Our audits </w:t>
      </w:r>
      <w:r>
        <w:rPr>
          <w:rFonts w:eastAsia="Times New Roman"/>
          <w:color w:val="000000"/>
          <w:sz w:val="20"/>
          <w:szCs w:val="20"/>
        </w:rPr>
        <w:t>also included evaluating the accounting principles used and significant estimates made by management, as well as evaluating the overall presentation of the consolidated financial statements. Our audit of internal control over financial reporting included o</w:t>
      </w:r>
      <w:r>
        <w:rPr>
          <w:rFonts w:eastAsia="Times New Roman"/>
          <w:color w:val="000000"/>
          <w:sz w:val="20"/>
          <w:szCs w:val="20"/>
        </w:rPr>
        <w:t>btaining an understanding of internal control over financial reporting, assessing the risk that a material weakness exists, and testing and evaluating the design and operating effectiveness of internal control based on the assessed risk. Our audits also in</w:t>
      </w:r>
      <w:r>
        <w:rPr>
          <w:rFonts w:eastAsia="Times New Roman"/>
          <w:color w:val="000000"/>
          <w:sz w:val="20"/>
          <w:szCs w:val="20"/>
        </w:rPr>
        <w:t>cluded performing such other procedures as we considered necessary in the circumstances. We believe that our audits provide a reasonable basis for our opinions.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As described in Management’s Report on Internal Control over Financial Reporting, management </w:t>
      </w:r>
      <w:r>
        <w:rPr>
          <w:rFonts w:eastAsia="Times New Roman"/>
          <w:color w:val="000000"/>
          <w:sz w:val="20"/>
          <w:szCs w:val="20"/>
        </w:rPr>
        <w:t>has excluded Cardtronics plc from its assessment of internal control over financial reporting as of December 31, 2021 because it was acquired by the Company in a purchase business combination during 2021. We have also excluded Cardtronics plc from our audi</w:t>
      </w:r>
      <w:r>
        <w:rPr>
          <w:rFonts w:eastAsia="Times New Roman"/>
          <w:color w:val="000000"/>
          <w:sz w:val="20"/>
          <w:szCs w:val="20"/>
        </w:rPr>
        <w:t>t of internal control over financial reporting. Cardtronics plc is a wholly-owned subsidiary whose total assets and total revenues excluded from management’s assessment and our audit of internal control over financial reporting represent approximately 8% a</w:t>
      </w:r>
      <w:r>
        <w:rPr>
          <w:rFonts w:eastAsia="Times New Roman"/>
          <w:color w:val="000000"/>
          <w:sz w:val="20"/>
          <w:szCs w:val="20"/>
        </w:rPr>
        <w:t>nd 9%, respectively, of the related consolidated financial statement amounts as of and for the year ended December 31, 2021.</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Definition and Limitations of Internal Control over Financial Reporting</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w:t>
      </w:r>
      <w:r>
        <w:rPr>
          <w:rFonts w:eastAsia="Times New Roman"/>
          <w:color w:val="000000"/>
          <w:sz w:val="20"/>
          <w:szCs w:val="20"/>
        </w:rPr>
        <w:t>nancial statements for external purposes in accordance with generally accepted accounting principles. A company’s internal control over financial reporting includes those policies and procedures that (i) pertain to the maintenance of records that, in reaso</w:t>
      </w:r>
      <w:r>
        <w:rPr>
          <w:rFonts w:eastAsia="Times New Roman"/>
          <w:color w:val="000000"/>
          <w:sz w:val="20"/>
          <w:szCs w:val="20"/>
        </w:rPr>
        <w:t xml:space="preserve">nable detail, accurately and fairly reflect the transactions and dispositions of the assets of </w:t>
      </w:r>
    </w:p>
    <w:p w:rsidR="00000000" w:rsidRDefault="006F0EF5">
      <w:pPr>
        <w:jc w:val="center"/>
        <w:divId w:val="1643464335"/>
        <w:rPr>
          <w:rFonts w:eastAsia="Times New Roman"/>
        </w:rPr>
      </w:pPr>
      <w:r>
        <w:rPr>
          <w:rFonts w:eastAsia="Times New Roman"/>
          <w:color w:val="000000"/>
          <w:sz w:val="20"/>
          <w:szCs w:val="20"/>
        </w:rPr>
        <w:t>51</w:t>
      </w:r>
    </w:p>
    <w:p w:rsidR="00000000" w:rsidRDefault="006F0EF5">
      <w:pPr>
        <w:rPr>
          <w:rFonts w:eastAsia="Times New Roman"/>
        </w:rPr>
      </w:pPr>
      <w:r>
        <w:rPr>
          <w:rFonts w:eastAsia="Times New Roman"/>
        </w:rPr>
        <w:pict>
          <v:rect id="_x0000_i1080" style="width:0;height:1.5pt" o:hralign="center" o:hrstd="t" o:hr="t" fillcolor="#a0a0a0" stroked="f"/>
        </w:pict>
      </w:r>
    </w:p>
    <w:p w:rsidR="00000000" w:rsidRDefault="006F0EF5">
      <w:pPr>
        <w:divId w:val="109053845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876384628"/>
        <w:rPr>
          <w:rFonts w:eastAsia="Times New Roman"/>
        </w:rPr>
      </w:pPr>
    </w:p>
    <w:p w:rsidR="00000000" w:rsidRDefault="006F0EF5">
      <w:pPr>
        <w:jc w:val="both"/>
        <w:rPr>
          <w:rFonts w:eastAsia="Times New Roman"/>
        </w:rPr>
      </w:pPr>
      <w:r>
        <w:rPr>
          <w:rFonts w:eastAsia="Times New Roman"/>
          <w:color w:val="000000"/>
          <w:sz w:val="20"/>
          <w:szCs w:val="20"/>
        </w:rPr>
        <w:t>the company; (ii) provide reasonable assu</w:t>
      </w:r>
      <w:r>
        <w:rPr>
          <w:rFonts w:eastAsia="Times New Roman"/>
          <w:color w:val="000000"/>
          <w:sz w:val="20"/>
          <w:szCs w:val="20"/>
        </w:rPr>
        <w:t>rance that transactions are recorded as necessary to permit preparation of financial statements in accordance with generally accepted accounting principles, and that receipts and expenditures of the company are being made only in accordance with authorizat</w:t>
      </w:r>
      <w:r>
        <w:rPr>
          <w:rFonts w:eastAsia="Times New Roman"/>
          <w:color w:val="000000"/>
          <w:sz w:val="20"/>
          <w:szCs w:val="20"/>
        </w:rPr>
        <w:t>ions of management and directors of the company; and (iii) provide reasonable assurance regarding prevention or timely detection of unauthorized acquisition, use, or disposition of the company’s assets that could have a material effect on the financial sta</w:t>
      </w:r>
      <w:r>
        <w:rPr>
          <w:rFonts w:eastAsia="Times New Roman"/>
          <w:color w:val="000000"/>
          <w:sz w:val="20"/>
          <w:szCs w:val="20"/>
        </w:rPr>
        <w:t>tements.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 controls may become inade</w:t>
      </w:r>
      <w:r>
        <w:rPr>
          <w:rFonts w:eastAsia="Times New Roman"/>
          <w:color w:val="000000"/>
          <w:sz w:val="20"/>
          <w:szCs w:val="20"/>
        </w:rPr>
        <w:t>quate because of changes in conditions, or that the degree of compliance with the policies or procedures may deteriorate.</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Critical Audit Matters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critical audit matter communicated below is a matter arising from the current period audit of the consolidated financial statements that was communicated or required to be communicated to the audit committee and that (i) relates to accounts or disclosu</w:t>
      </w:r>
      <w:r>
        <w:rPr>
          <w:rFonts w:eastAsia="Times New Roman"/>
          <w:color w:val="000000"/>
          <w:sz w:val="20"/>
          <w:szCs w:val="20"/>
        </w:rPr>
        <w:t>res that are material to the consolidated financial statements and (ii) involved our especially challenging, subjective, or complex judgments. The communication of critical audit matters does not alter in any way our opinion on the consolidated financial s</w:t>
      </w:r>
      <w:r>
        <w:rPr>
          <w:rFonts w:eastAsia="Times New Roman"/>
          <w:color w:val="000000"/>
          <w:sz w:val="20"/>
          <w:szCs w:val="20"/>
        </w:rPr>
        <w:t>tatements, taken as a whole, and we are not, by communicating the critical audit matter below, providing a separate opinion on the critical audit matter or on the accounts or disclosures to which it relates.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Acquisition of Cardtronics plc - Valuation of </w:t>
      </w:r>
      <w:r>
        <w:rPr>
          <w:rFonts w:eastAsia="Times New Roman"/>
          <w:i/>
          <w:iCs/>
          <w:color w:val="000000"/>
          <w:sz w:val="20"/>
          <w:szCs w:val="20"/>
        </w:rPr>
        <w:t>Certain Direct Customer Relationships and Technology – Software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As described in Notes 1 and 3 to the consolidated financial statements, the Company completed the acquisition of Cardtronics plc for total purchase consideration of $2.7 billion on June 21, </w:t>
      </w:r>
      <w:r>
        <w:rPr>
          <w:rFonts w:eastAsia="Times New Roman"/>
          <w:color w:val="000000"/>
          <w:sz w:val="20"/>
          <w:szCs w:val="20"/>
        </w:rPr>
        <w:t>2021. The fair value of consideration transferred was allocated to the identifiable intangible assets acquired and liabilities assumed based upon their estimated fair value which resulted in the recognition of $864 million of intangible assets. Identifiabl</w:t>
      </w:r>
      <w:r>
        <w:rPr>
          <w:rFonts w:eastAsia="Times New Roman"/>
          <w:color w:val="000000"/>
          <w:sz w:val="20"/>
          <w:szCs w:val="20"/>
        </w:rPr>
        <w:t>e intangible assets primarily consist of direct customer relationships of $373 million and technology – software of $441 million. In determining the fair value, management utilized various forms of the income, cost, and market approaches depending on the a</w:t>
      </w:r>
      <w:r>
        <w:rPr>
          <w:rFonts w:eastAsia="Times New Roman"/>
          <w:color w:val="000000"/>
          <w:sz w:val="20"/>
          <w:szCs w:val="20"/>
        </w:rPr>
        <w:t>sset. The estimation of fair value required significant judgment related to cash flow forecasts, discount rates reflecting the risk inherent in each cash flow stream, competitive trends, market comparables, and other factors. Inputs were generally determin</w:t>
      </w:r>
      <w:r>
        <w:rPr>
          <w:rFonts w:eastAsia="Times New Roman"/>
          <w:color w:val="000000"/>
          <w:sz w:val="20"/>
          <w:szCs w:val="20"/>
        </w:rPr>
        <w:t>ed using historical data supplemented by current and anticipated market conditions, and growth rates. Direct customer relationships and technology - software were valued using an excess earnings method. Significant assumptions used in the discounted cash f</w:t>
      </w:r>
      <w:r>
        <w:rPr>
          <w:rFonts w:eastAsia="Times New Roman"/>
          <w:color w:val="000000"/>
          <w:sz w:val="20"/>
          <w:szCs w:val="20"/>
        </w:rPr>
        <w:t>low analysis for (i) direct customer relationships were the revenue growth rate, customer attrition rate, and discount rate, and (ii) technology - software were the revenue growth rate, earnings before interest, taxes, depreciation, and amortization (“EBIT</w:t>
      </w:r>
      <w:r>
        <w:rPr>
          <w:rFonts w:eastAsia="Times New Roman"/>
          <w:color w:val="000000"/>
          <w:sz w:val="20"/>
          <w:szCs w:val="20"/>
        </w:rPr>
        <w:t xml:space="preserve">DA”) margins, and discount rate.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principal considerations for our determination that performing procedures relating to the acquisition of Cardtronics plc - valuation of certain direct customer relationships and technology – software is a critical au</w:t>
      </w:r>
      <w:r>
        <w:rPr>
          <w:rFonts w:eastAsia="Times New Roman"/>
          <w:color w:val="000000"/>
          <w:sz w:val="20"/>
          <w:szCs w:val="20"/>
        </w:rPr>
        <w:t>dit matter are (i) the significant judgment by management when developing the fair value estimates of the intangible assets acquired; (ii) the significant auditor judgment, subjectivity, and effort in performing procedures evaluating management’s estimates</w:t>
      </w:r>
      <w:r>
        <w:rPr>
          <w:rFonts w:eastAsia="Times New Roman"/>
          <w:color w:val="000000"/>
          <w:sz w:val="20"/>
          <w:szCs w:val="20"/>
        </w:rPr>
        <w:t xml:space="preserve"> of the fair value of the direct customer relationships and technology – software and significant assumptions related to the revenue growth rate, customer attrition rate, and discount rate used in the valuation of direct customer relationships and the reve</w:t>
      </w:r>
      <w:r>
        <w:rPr>
          <w:rFonts w:eastAsia="Times New Roman"/>
          <w:color w:val="000000"/>
          <w:sz w:val="20"/>
          <w:szCs w:val="20"/>
        </w:rPr>
        <w:t xml:space="preserve">nue growth rate, EBITDA margins, and discount rate used in the valuation of technology - software; and (iii) the audit effort involved the use of professionals with specialized skill and knowledge.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Addressing the matter involved performing procedures an</w:t>
      </w:r>
      <w:r>
        <w:rPr>
          <w:rFonts w:eastAsia="Times New Roman"/>
          <w:color w:val="000000"/>
          <w:sz w:val="20"/>
          <w:szCs w:val="20"/>
        </w:rPr>
        <w:t>d evaluating audit evidence in connection with forming our overall opinion on the consolidated financial statements. These procedures included testing the effectiveness of certain controls relating to the valuation of the acquired intangible assets, includ</w:t>
      </w:r>
      <w:r>
        <w:rPr>
          <w:rFonts w:eastAsia="Times New Roman"/>
          <w:color w:val="000000"/>
          <w:sz w:val="20"/>
          <w:szCs w:val="20"/>
        </w:rPr>
        <w:t>ing controls over management’s valuation of direct customer relationships and technology – software and controls over the development of significant assumptions related to the revenue growth rate, customer attrition rate, and EBITDA margin used in the valu</w:t>
      </w:r>
      <w:r>
        <w:rPr>
          <w:rFonts w:eastAsia="Times New Roman"/>
          <w:color w:val="000000"/>
          <w:sz w:val="20"/>
          <w:szCs w:val="20"/>
        </w:rPr>
        <w:t>ation of direct customer relationships and the revenue growth rate, EBITDA margins, and discount rate used in the valuation of technology – software. These procedures also included, among others (i) reading the purchase agreement and (ii) testing managemen</w:t>
      </w:r>
      <w:r>
        <w:rPr>
          <w:rFonts w:eastAsia="Times New Roman"/>
          <w:color w:val="000000"/>
          <w:sz w:val="20"/>
          <w:szCs w:val="20"/>
        </w:rPr>
        <w:t xml:space="preserve">t’s process for estimating the fair value of certain direct customer relationships and technology – software. Testing management’s process included evaluating the appropriateness of the excess earnings method, testing the completeness and accuracy of data </w:t>
      </w:r>
      <w:r>
        <w:rPr>
          <w:rFonts w:eastAsia="Times New Roman"/>
          <w:color w:val="000000"/>
          <w:sz w:val="20"/>
          <w:szCs w:val="20"/>
        </w:rPr>
        <w:t>used by management, and evaluating the reasonableness of significant assumptions used by management related to the revenue growth rate, customer attrition rate, and discount rate used in the valuation of the direct customer relationships and the revenue gr</w:t>
      </w:r>
      <w:r>
        <w:rPr>
          <w:rFonts w:eastAsia="Times New Roman"/>
          <w:color w:val="000000"/>
          <w:sz w:val="20"/>
          <w:szCs w:val="20"/>
        </w:rPr>
        <w:t>owth rate, EBITDA margins, and discount rate used in the valuation of technology - software. Evaluating the reasonableness of management’s significant assumptions related to the revenue growth rate and customer attrition rate used in the valuation of the d</w:t>
      </w:r>
      <w:r>
        <w:rPr>
          <w:rFonts w:eastAsia="Times New Roman"/>
          <w:color w:val="000000"/>
          <w:sz w:val="20"/>
          <w:szCs w:val="20"/>
        </w:rPr>
        <w:t xml:space="preserve">irect customer relationships and revenue growth rate and EBITDA margins used in the valuation of the technology – software involved considering (i) the past performance of the acquired business, (ii) the consistency with external market and industry data, </w:t>
      </w:r>
      <w:r>
        <w:rPr>
          <w:rFonts w:eastAsia="Times New Roman"/>
          <w:color w:val="000000"/>
          <w:sz w:val="20"/>
          <w:szCs w:val="20"/>
        </w:rPr>
        <w:t xml:space="preserve">and (iii) whether these assumptions were consistent with evidence obtained in other areas of </w:t>
      </w:r>
    </w:p>
    <w:p w:rsidR="00000000" w:rsidRDefault="006F0EF5">
      <w:pPr>
        <w:jc w:val="center"/>
        <w:divId w:val="937219"/>
        <w:rPr>
          <w:rFonts w:eastAsia="Times New Roman"/>
        </w:rPr>
      </w:pPr>
      <w:r>
        <w:rPr>
          <w:rFonts w:eastAsia="Times New Roman"/>
          <w:color w:val="000000"/>
          <w:sz w:val="20"/>
          <w:szCs w:val="20"/>
        </w:rPr>
        <w:t>52</w:t>
      </w:r>
    </w:p>
    <w:p w:rsidR="00000000" w:rsidRDefault="006F0EF5">
      <w:pPr>
        <w:rPr>
          <w:rFonts w:eastAsia="Times New Roman"/>
        </w:rPr>
      </w:pPr>
      <w:r>
        <w:rPr>
          <w:rFonts w:eastAsia="Times New Roman"/>
        </w:rPr>
        <w:pict>
          <v:rect id="_x0000_i1081" style="width:0;height:1.5pt" o:hralign="center" o:hrstd="t" o:hr="t" fillcolor="#a0a0a0" stroked="f"/>
        </w:pict>
      </w:r>
    </w:p>
    <w:p w:rsidR="00000000" w:rsidRDefault="006F0EF5">
      <w:pPr>
        <w:divId w:val="28385126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111901362"/>
        <w:rPr>
          <w:rFonts w:eastAsia="Times New Roman"/>
        </w:rPr>
      </w:pPr>
    </w:p>
    <w:p w:rsidR="00000000" w:rsidRDefault="006F0EF5">
      <w:pPr>
        <w:jc w:val="both"/>
        <w:rPr>
          <w:rFonts w:eastAsia="Times New Roman"/>
        </w:rPr>
      </w:pPr>
      <w:r>
        <w:rPr>
          <w:rFonts w:eastAsia="Times New Roman"/>
          <w:color w:val="000000"/>
          <w:sz w:val="20"/>
          <w:szCs w:val="20"/>
        </w:rPr>
        <w:t>the audit. Professionals with specialized s</w:t>
      </w:r>
      <w:r>
        <w:rPr>
          <w:rFonts w:eastAsia="Times New Roman"/>
          <w:color w:val="000000"/>
          <w:sz w:val="20"/>
          <w:szCs w:val="20"/>
        </w:rPr>
        <w:t xml:space="preserve">kill and knowledge were used to assist in the evaluation of the appropriateness of the Company’s excess earnings method and the reasonableness of the customer attrition rate and discount rate significant assumptions. </w:t>
      </w:r>
    </w:p>
    <w:p w:rsidR="00000000" w:rsidRDefault="006F0EF5">
      <w:pPr>
        <w:jc w:val="both"/>
        <w:divId w:val="976758669"/>
        <w:rPr>
          <w:rFonts w:eastAsia="Times New Roman"/>
        </w:rPr>
      </w:pPr>
    </w:p>
    <w:p w:rsidR="00000000" w:rsidRDefault="006F0EF5">
      <w:pPr>
        <w:divId w:val="1759981254"/>
        <w:rPr>
          <w:rFonts w:eastAsia="Times New Roman"/>
        </w:rPr>
      </w:pPr>
    </w:p>
    <w:p w:rsidR="00000000" w:rsidRDefault="006F0EF5">
      <w:pPr>
        <w:divId w:val="2056201683"/>
        <w:rPr>
          <w:rFonts w:eastAsia="Times New Roman"/>
        </w:rPr>
      </w:pPr>
      <w:r>
        <w:rPr>
          <w:rFonts w:eastAsia="Times New Roman"/>
          <w:color w:val="000000"/>
          <w:sz w:val="20"/>
          <w:szCs w:val="20"/>
        </w:rPr>
        <w:t xml:space="preserve">/s/ </w:t>
      </w:r>
      <w:r>
        <w:rPr>
          <w:rFonts w:eastAsia="Times New Roman"/>
          <w:color w:val="000000"/>
          <w:sz w:val="20"/>
          <w:szCs w:val="20"/>
        </w:rPr>
        <w:t>PricewaterhouseCoopers LLP</w:t>
      </w:r>
    </w:p>
    <w:p w:rsidR="00000000" w:rsidRDefault="006F0EF5">
      <w:pPr>
        <w:divId w:val="869952114"/>
        <w:rPr>
          <w:rFonts w:eastAsia="Times New Roman"/>
        </w:rPr>
      </w:pPr>
      <w:r>
        <w:rPr>
          <w:rFonts w:eastAsia="Times New Roman"/>
          <w:color w:val="000000"/>
          <w:sz w:val="20"/>
          <w:szCs w:val="20"/>
        </w:rPr>
        <w:t>Atlanta, Georgia</w:t>
      </w:r>
    </w:p>
    <w:p w:rsidR="00000000" w:rsidRDefault="006F0EF5">
      <w:pPr>
        <w:divId w:val="1180046274"/>
        <w:rPr>
          <w:rFonts w:eastAsia="Times New Roman"/>
        </w:rPr>
      </w:pPr>
      <w:r>
        <w:rPr>
          <w:rFonts w:eastAsia="Times New Roman"/>
          <w:color w:val="000000"/>
          <w:sz w:val="20"/>
          <w:szCs w:val="20"/>
        </w:rPr>
        <w:t xml:space="preserve">February 25, 2022 </w:t>
      </w:r>
    </w:p>
    <w:p w:rsidR="00000000" w:rsidRDefault="006F0EF5">
      <w:pPr>
        <w:jc w:val="both"/>
        <w:rPr>
          <w:rFonts w:eastAsia="Times New Roman"/>
        </w:rPr>
      </w:pPr>
      <w:r>
        <w:rPr>
          <w:rFonts w:eastAsia="Times New Roman"/>
          <w:color w:val="000000"/>
          <w:sz w:val="20"/>
          <w:szCs w:val="20"/>
        </w:rPr>
        <w:t>We have served as the Company’s auditor since 1993</w:t>
      </w:r>
      <w:r>
        <w:rPr>
          <w:rFonts w:eastAsia="Times New Roman"/>
          <w:color w:val="000000"/>
          <w:sz w:val="20"/>
          <w:szCs w:val="20"/>
        </w:rPr>
        <w:t>.</w:t>
      </w:r>
      <w:r>
        <w:rPr>
          <w:rFonts w:eastAsia="Times New Roman"/>
          <w:color w:val="000000"/>
          <w:sz w:val="13"/>
          <w:szCs w:val="13"/>
        </w:rPr>
        <w:t xml:space="preserve"> </w:t>
      </w:r>
    </w:p>
    <w:p w:rsidR="00000000" w:rsidRDefault="006F0EF5">
      <w:pPr>
        <w:divId w:val="311643358"/>
        <w:rPr>
          <w:rFonts w:eastAsia="Times New Roman"/>
        </w:rPr>
      </w:pPr>
    </w:p>
    <w:p w:rsidR="00000000" w:rsidRDefault="006F0EF5">
      <w:pPr>
        <w:jc w:val="center"/>
        <w:divId w:val="25762144"/>
        <w:rPr>
          <w:rFonts w:eastAsia="Times New Roman"/>
        </w:rPr>
      </w:pPr>
      <w:r>
        <w:rPr>
          <w:rFonts w:eastAsia="Times New Roman"/>
          <w:color w:val="000000"/>
          <w:sz w:val="20"/>
          <w:szCs w:val="20"/>
        </w:rPr>
        <w:t>53</w:t>
      </w:r>
    </w:p>
    <w:p w:rsidR="00000000" w:rsidRDefault="006F0EF5">
      <w:pPr>
        <w:rPr>
          <w:rFonts w:eastAsia="Times New Roman"/>
        </w:rPr>
      </w:pPr>
      <w:r>
        <w:rPr>
          <w:rFonts w:eastAsia="Times New Roman"/>
        </w:rPr>
        <w:pict>
          <v:rect id="_x0000_i1082" style="width:0;height:1.5pt" o:hralign="center" o:hrstd="t" o:hr="t" fillcolor="#a0a0a0" stroked="f"/>
        </w:pict>
      </w:r>
    </w:p>
    <w:p w:rsidR="00000000" w:rsidRDefault="006F0EF5">
      <w:pPr>
        <w:divId w:val="144161092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723023191"/>
        <w:rPr>
          <w:rFonts w:eastAsia="Times New Roman"/>
        </w:rPr>
      </w:pPr>
    </w:p>
    <w:p w:rsidR="00000000" w:rsidRDefault="006F0EF5">
      <w:pPr>
        <w:jc w:val="center"/>
        <w:divId w:val="2090272887"/>
        <w:rPr>
          <w:rFonts w:eastAsia="Times New Roman"/>
        </w:rPr>
      </w:pPr>
      <w:r>
        <w:rPr>
          <w:rFonts w:eastAsia="Times New Roman"/>
          <w:b/>
          <w:bCs/>
          <w:color w:val="000000"/>
          <w:sz w:val="20"/>
          <w:szCs w:val="20"/>
        </w:rPr>
        <w:t>NCR Corporation</w:t>
      </w:r>
    </w:p>
    <w:p w:rsidR="00000000" w:rsidRDefault="006F0EF5">
      <w:pPr>
        <w:jc w:val="center"/>
        <w:divId w:val="1361009109"/>
        <w:rPr>
          <w:rFonts w:eastAsia="Times New Roman"/>
        </w:rPr>
      </w:pPr>
      <w:r>
        <w:rPr>
          <w:rFonts w:eastAsia="Times New Roman"/>
          <w:b/>
          <w:bCs/>
          <w:color w:val="000000"/>
          <w:sz w:val="20"/>
          <w:szCs w:val="20"/>
        </w:rPr>
        <w:t>Con</w:t>
      </w:r>
      <w:r>
        <w:rPr>
          <w:rFonts w:eastAsia="Times New Roman"/>
          <w:b/>
          <w:bCs/>
          <w:color w:val="000000"/>
          <w:sz w:val="20"/>
          <w:szCs w:val="20"/>
        </w:rPr>
        <w:t>solidated Statements of Operations</w:t>
      </w:r>
    </w:p>
    <w:p w:rsidR="00000000" w:rsidRDefault="006F0EF5">
      <w:pPr>
        <w:divId w:val="1925990347"/>
        <w:rPr>
          <w:rFonts w:eastAsia="Times New Roman"/>
        </w:rPr>
      </w:pPr>
      <w:r>
        <w:rPr>
          <w:rFonts w:eastAsia="Times New Roman"/>
          <w:color w:val="000000"/>
          <w:sz w:val="18"/>
          <w:szCs w:val="18"/>
        </w:rPr>
        <w:t> </w:t>
      </w:r>
    </w:p>
    <w:tbl>
      <w:tblPr>
        <w:tblW w:w="4957" w:type="pct"/>
        <w:jc w:val="center"/>
        <w:tblCellMar>
          <w:top w:w="15" w:type="dxa"/>
          <w:left w:w="15" w:type="dxa"/>
          <w:bottom w:w="15" w:type="dxa"/>
          <w:right w:w="15" w:type="dxa"/>
        </w:tblCellMar>
        <w:tblLook w:val="04A0" w:firstRow="1" w:lastRow="0" w:firstColumn="1" w:lastColumn="0" w:noHBand="0" w:noVBand="1"/>
      </w:tblPr>
      <w:tblGrid>
        <w:gridCol w:w="40"/>
        <w:gridCol w:w="5725"/>
        <w:gridCol w:w="39"/>
        <w:gridCol w:w="120"/>
        <w:gridCol w:w="611"/>
        <w:gridCol w:w="36"/>
        <w:gridCol w:w="36"/>
        <w:gridCol w:w="36"/>
        <w:gridCol w:w="36"/>
        <w:gridCol w:w="120"/>
        <w:gridCol w:w="568"/>
        <w:gridCol w:w="36"/>
        <w:gridCol w:w="36"/>
        <w:gridCol w:w="36"/>
        <w:gridCol w:w="36"/>
        <w:gridCol w:w="120"/>
        <w:gridCol w:w="568"/>
        <w:gridCol w:w="36"/>
      </w:tblGrid>
      <w:tr w:rsidR="00000000">
        <w:trPr>
          <w:divId w:val="1452481072"/>
          <w:jc w:val="center"/>
        </w:trPr>
        <w:tc>
          <w:tcPr>
            <w:tcW w:w="50" w:type="pct"/>
            <w:vAlign w:val="center"/>
            <w:hideMark/>
          </w:tcPr>
          <w:p w:rsidR="00000000" w:rsidRDefault="006F0EF5">
            <w:pPr>
              <w:rPr>
                <w:rFonts w:eastAsia="Times New Roman"/>
              </w:rPr>
            </w:pPr>
          </w:p>
        </w:tc>
        <w:tc>
          <w:tcPr>
            <w:tcW w:w="350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0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0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0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452481072"/>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For the years ended December 31, (in millions, except per share amounts)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2,193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Service revenue</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4,963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4,202 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4,234 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7,156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Cost of products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3,413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2,950 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2,848 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1,069 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1,051 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1452481072"/>
          <w:jc w:val="center"/>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6,682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5,986 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6,304 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Income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Other income (expense), net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Income (loss)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Loss from discontinued operations, net of tax</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Net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Net income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Net income (loss) attributable to NCR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Amounts attributable to NCR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Income (loss) from continuing operations</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Series A convertible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Income (loss) from continuing operations attributable to NCR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Loss from discontinued operations, net of tax</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Net income (loss) attributable to NCR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Income (loss) per share attributable to NCR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Income (loss) per common share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452481072"/>
          <w:jc w:val="center"/>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(0.30)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0.58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(0.30)</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Net income (loss)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452481072"/>
          <w:jc w:val="center"/>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(0.86)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0.58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(0.86)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Weighted average common shares outstanding</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452481072"/>
          <w:jc w:val="center"/>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128.4 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122.1 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52481072"/>
          <w:jc w:val="center"/>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128.4 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145.2 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center"/>
        <w:divId w:val="833492788"/>
        <w:rPr>
          <w:rFonts w:eastAsia="Times New Roman"/>
        </w:rPr>
      </w:pPr>
      <w:r>
        <w:rPr>
          <w:rFonts w:eastAsia="Times New Roman"/>
          <w:color w:val="000000"/>
          <w:sz w:val="20"/>
          <w:szCs w:val="20"/>
        </w:rPr>
        <w:t>The accompanying notes are an integral part of the Consolidated Financial Statements.</w:t>
      </w:r>
    </w:p>
    <w:p w:rsidR="00000000" w:rsidRDefault="006F0EF5">
      <w:pPr>
        <w:jc w:val="center"/>
        <w:divId w:val="619410188"/>
        <w:rPr>
          <w:rFonts w:eastAsia="Times New Roman"/>
        </w:rPr>
      </w:pPr>
      <w:r>
        <w:rPr>
          <w:rFonts w:eastAsia="Times New Roman"/>
          <w:color w:val="000000"/>
          <w:sz w:val="20"/>
          <w:szCs w:val="20"/>
        </w:rPr>
        <w:t>54</w:t>
      </w:r>
    </w:p>
    <w:p w:rsidR="00000000" w:rsidRDefault="006F0EF5">
      <w:pPr>
        <w:rPr>
          <w:rFonts w:eastAsia="Times New Roman"/>
        </w:rPr>
      </w:pPr>
      <w:r>
        <w:rPr>
          <w:rFonts w:eastAsia="Times New Roman"/>
        </w:rPr>
        <w:pict>
          <v:rect id="_x0000_i1083" style="width:0;height:1.5pt" o:hralign="center" o:hrstd="t" o:hr="t" fillcolor="#a0a0a0" stroked="f"/>
        </w:pict>
      </w:r>
    </w:p>
    <w:p w:rsidR="00000000" w:rsidRDefault="006F0EF5">
      <w:pPr>
        <w:divId w:val="62031013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917863253"/>
        <w:rPr>
          <w:rFonts w:eastAsia="Times New Roman"/>
        </w:rPr>
      </w:pPr>
    </w:p>
    <w:p w:rsidR="00000000" w:rsidRDefault="006F0EF5">
      <w:pPr>
        <w:jc w:val="center"/>
        <w:rPr>
          <w:rFonts w:eastAsia="Times New Roman"/>
        </w:rPr>
      </w:pPr>
      <w:r>
        <w:rPr>
          <w:rFonts w:eastAsia="Times New Roman"/>
          <w:b/>
          <w:bCs/>
          <w:color w:val="000000"/>
          <w:sz w:val="20"/>
          <w:szCs w:val="20"/>
        </w:rPr>
        <w:t>NCR Corporation</w:t>
      </w:r>
    </w:p>
    <w:p w:rsidR="00000000" w:rsidRDefault="006F0EF5">
      <w:pPr>
        <w:jc w:val="center"/>
        <w:divId w:val="815809"/>
        <w:rPr>
          <w:rFonts w:eastAsia="Times New Roman"/>
        </w:rPr>
      </w:pPr>
      <w:r>
        <w:rPr>
          <w:rFonts w:eastAsia="Times New Roman"/>
          <w:b/>
          <w:bCs/>
          <w:color w:val="000000"/>
          <w:sz w:val="20"/>
          <w:szCs w:val="20"/>
        </w:rPr>
        <w:t>Consolidated Statements of Comprehensive Income (Loss)</w:t>
      </w:r>
    </w:p>
    <w:p w:rsidR="00000000" w:rsidRDefault="006F0EF5">
      <w:pPr>
        <w:divId w:val="1915507409"/>
        <w:rPr>
          <w:rFonts w:eastAsia="Times New Roman"/>
        </w:rPr>
      </w:pPr>
      <w:r>
        <w:rPr>
          <w:rFonts w:eastAsia="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90"/>
        <w:gridCol w:w="39"/>
        <w:gridCol w:w="120"/>
        <w:gridCol w:w="766"/>
        <w:gridCol w:w="36"/>
        <w:gridCol w:w="36"/>
        <w:gridCol w:w="36"/>
        <w:gridCol w:w="36"/>
        <w:gridCol w:w="120"/>
        <w:gridCol w:w="722"/>
        <w:gridCol w:w="36"/>
        <w:gridCol w:w="36"/>
        <w:gridCol w:w="36"/>
        <w:gridCol w:w="36"/>
        <w:gridCol w:w="120"/>
        <w:gridCol w:w="965"/>
        <w:gridCol w:w="36"/>
      </w:tblGrid>
      <w:tr w:rsidR="00000000">
        <w:trPr>
          <w:jc w:val="center"/>
        </w:trPr>
        <w:tc>
          <w:tcPr>
            <w:tcW w:w="50" w:type="pct"/>
            <w:vAlign w:val="center"/>
            <w:hideMark/>
          </w:tcPr>
          <w:p w:rsidR="00000000" w:rsidRDefault="006F0EF5">
            <w:pPr>
              <w:rPr>
                <w:rFonts w:eastAsia="Times New Roman"/>
              </w:rPr>
            </w:pPr>
          </w:p>
        </w:tc>
        <w:tc>
          <w:tcPr>
            <w:tcW w:w="30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9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9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3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For the years ended December 31 (in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Unrealized gain (loss) on derivatives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w:t>
            </w:r>
            <w:r>
              <w:rPr>
                <w:rFonts w:eastAsia="Times New Roman"/>
                <w:color w:val="000000"/>
                <w:sz w:val="20"/>
                <w:szCs w:val="20"/>
              </w:rPr>
              <w:t>Loss (gains) on derivatives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Less 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Employee benefit plans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Prior service benefit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w:t>
            </w:r>
            <w:r>
              <w:rPr>
                <w:rFonts w:eastAsia="Times New Roman"/>
                <w:color w:val="000000"/>
                <w:sz w:val="20"/>
                <w:szCs w:val="20"/>
              </w:rPr>
              <w:t>Amortization of prior service cost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Net gain (loss)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Amortization of actuarial gain (loss)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w:t>
            </w:r>
            <w:r>
              <w:rPr>
                <w:rFonts w:eastAsia="Times New Roman"/>
                <w:color w:val="000000"/>
                <w:sz w:val="20"/>
                <w:szCs w:val="20"/>
              </w:rPr>
              <w:t>Less 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Other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Less comprehensive income attributable to 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Net income</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Amounts attributable to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Comprehensive income (loss) attributable to NCR common stockholders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center"/>
        <w:divId w:val="367149551"/>
        <w:rPr>
          <w:rFonts w:eastAsia="Times New Roman"/>
        </w:rPr>
      </w:pPr>
      <w:r>
        <w:rPr>
          <w:rFonts w:eastAsia="Times New Roman"/>
          <w:color w:val="000000"/>
          <w:sz w:val="20"/>
          <w:szCs w:val="20"/>
        </w:rPr>
        <w:t>The accompanying notes are an integral part of the Consolidated Financial Statements.</w:t>
      </w:r>
    </w:p>
    <w:p w:rsidR="00000000" w:rsidRDefault="006F0EF5">
      <w:pPr>
        <w:jc w:val="center"/>
        <w:divId w:val="2074154884"/>
        <w:rPr>
          <w:rFonts w:eastAsia="Times New Roman"/>
        </w:rPr>
      </w:pPr>
      <w:r>
        <w:rPr>
          <w:rFonts w:eastAsia="Times New Roman"/>
          <w:color w:val="000000"/>
          <w:sz w:val="20"/>
          <w:szCs w:val="20"/>
        </w:rPr>
        <w:t>55</w:t>
      </w:r>
    </w:p>
    <w:p w:rsidR="00000000" w:rsidRDefault="006F0EF5">
      <w:pPr>
        <w:rPr>
          <w:rFonts w:eastAsia="Times New Roman"/>
        </w:rPr>
      </w:pPr>
      <w:r>
        <w:rPr>
          <w:rFonts w:eastAsia="Times New Roman"/>
        </w:rPr>
        <w:pict>
          <v:rect id="_x0000_i1084" style="width:0;height:1.5pt" o:hralign="center" o:hrstd="t" o:hr="t" fillcolor="#a0a0a0" stroked="f"/>
        </w:pict>
      </w:r>
    </w:p>
    <w:p w:rsidR="00000000" w:rsidRDefault="006F0EF5">
      <w:pPr>
        <w:divId w:val="134008126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594437645"/>
        <w:rPr>
          <w:rFonts w:eastAsia="Times New Roman"/>
        </w:rPr>
      </w:pPr>
    </w:p>
    <w:p w:rsidR="00000000" w:rsidRDefault="006F0EF5">
      <w:pPr>
        <w:jc w:val="center"/>
        <w:rPr>
          <w:rFonts w:eastAsia="Times New Roman"/>
        </w:rPr>
      </w:pPr>
      <w:r>
        <w:rPr>
          <w:rFonts w:eastAsia="Times New Roman"/>
          <w:b/>
          <w:bCs/>
          <w:color w:val="000000"/>
          <w:sz w:val="20"/>
          <w:szCs w:val="20"/>
        </w:rPr>
        <w:t>NCR Corporation</w:t>
      </w:r>
    </w:p>
    <w:p w:rsidR="00000000" w:rsidRDefault="006F0EF5">
      <w:pPr>
        <w:jc w:val="center"/>
        <w:divId w:val="307783467"/>
        <w:rPr>
          <w:rFonts w:eastAsia="Times New Roman"/>
        </w:rPr>
      </w:pPr>
      <w:r>
        <w:rPr>
          <w:rFonts w:eastAsia="Times New Roman"/>
          <w:b/>
          <w:bCs/>
          <w:color w:val="000000"/>
          <w:sz w:val="20"/>
          <w:szCs w:val="20"/>
        </w:rPr>
        <w:t>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0"/>
        <w:gridCol w:w="5759"/>
        <w:gridCol w:w="39"/>
        <w:gridCol w:w="120"/>
        <w:gridCol w:w="1072"/>
        <w:gridCol w:w="36"/>
        <w:gridCol w:w="36"/>
        <w:gridCol w:w="36"/>
        <w:gridCol w:w="36"/>
        <w:gridCol w:w="120"/>
        <w:gridCol w:w="976"/>
        <w:gridCol w:w="36"/>
      </w:tblGrid>
      <w:tr w:rsidR="00000000">
        <w:trPr>
          <w:divId w:val="1744260585"/>
        </w:trPr>
        <w:tc>
          <w:tcPr>
            <w:tcW w:w="50" w:type="pct"/>
            <w:vAlign w:val="center"/>
            <w:hideMark/>
          </w:tcPr>
          <w:p w:rsidR="00000000" w:rsidRDefault="006F0EF5">
            <w:pPr>
              <w:jc w:val="center"/>
              <w:rPr>
                <w:rFonts w:eastAsia="Times New Roman"/>
              </w:rPr>
            </w:pPr>
          </w:p>
        </w:tc>
        <w:tc>
          <w:tcPr>
            <w:tcW w:w="349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7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1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744260585"/>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1744260585"/>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As of December 31 (in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44260585"/>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divId w:val="68312234"/>
              <w:rPr>
                <w:rFonts w:eastAsia="Times New Roman"/>
              </w:rPr>
            </w:pPr>
            <w:r>
              <w:rPr>
                <w:rFonts w:eastAsia="Times New Roman"/>
                <w:color w:val="000000"/>
                <w:sz w:val="20"/>
                <w:szCs w:val="20"/>
              </w:rPr>
              <w:t>Accounts receivable, net of allowances of $24 and $51 as of December 31, 2021 and 2020, respectively</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959</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1,117 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Inventories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754</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601 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Restricted cash</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295</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Other current assets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421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363 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Total current assets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2,876</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Property, plant and equipment, net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703</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Goodwill</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4,519</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2,837 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Intangibles, net</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1,316</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Operating lease assets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419</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Prepaid pension cost</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300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Deferred income taxes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732</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965 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Other assets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776</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686 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11,641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8,414 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44260585"/>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Short-term borrowings</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826</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632 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Payroll and benefits liabilities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389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Contract liabilities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516</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Settlement liabilities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263</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Other current liabilities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757</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642 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Total current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2,808</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Long-term debt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5,505</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Pension and indemnity plan liabilities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789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851 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Postretirement and postemployment benefits liabilities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119</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Income tax accruals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116</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Operating lease liabilities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388</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383</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10,108</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7,090 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Commitments and Contingencies (Note 10)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divId w:val="2055229742"/>
              <w:rPr>
                <w:rFonts w:eastAsia="Times New Roman"/>
              </w:rPr>
            </w:pPr>
            <w:r>
              <w:rPr>
                <w:rFonts w:eastAsia="Times New Roman"/>
                <w:color w:val="000000"/>
                <w:sz w:val="20"/>
                <w:szCs w:val="20"/>
              </w:rPr>
              <w:t xml:space="preserve">Series A convertible preferred stock: par value $0.01 per share, 3.0 shares authorized, 0.3 shares issued and outstanding as of December 31, 2021 and 2020, respectively; redemption amount and liquidation </w:t>
            </w:r>
            <w:r>
              <w:rPr>
                <w:rFonts w:eastAsia="Times New Roman"/>
                <w:color w:val="000000"/>
                <w:sz w:val="20"/>
                <w:szCs w:val="20"/>
              </w:rPr>
              <w:t>preference of $276 as of December 31, 2021 and 2020, respectively</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274</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NCR stockholders’ equity</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 xml:space="preserve">Preferred stock: par value $0.01 per share, 100.0 shares authorized, no </w:t>
            </w:r>
            <w:r>
              <w:rPr>
                <w:rFonts w:eastAsia="Times New Roman"/>
                <w:color w:val="000000"/>
                <w:sz w:val="20"/>
                <w:szCs w:val="20"/>
              </w:rPr>
              <w:t>shares issued and outstanding as of December 31, 2021 and 2020, respectively</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 xml:space="preserve">Common stock: par value $0.01 per share, 500.0 shares authorized, 132.2 and 129.1 </w:t>
            </w:r>
            <w:r>
              <w:rPr>
                <w:rFonts w:eastAsia="Times New Roman"/>
                <w:color w:val="000000"/>
                <w:sz w:val="20"/>
                <w:szCs w:val="20"/>
              </w:rPr>
              <w:t>shares issued and outstanding as of December 31, 2021 and 2020, respectively</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Paid-in capital</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950 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(291)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NCR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1,256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Noncontrolling interests in subsidiaries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1,259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4426058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11,641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8,414 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center"/>
        <w:divId w:val="2023973006"/>
        <w:rPr>
          <w:rFonts w:eastAsia="Times New Roman"/>
        </w:rPr>
      </w:pPr>
      <w:r>
        <w:rPr>
          <w:rFonts w:eastAsia="Times New Roman"/>
          <w:color w:val="000000"/>
          <w:sz w:val="20"/>
          <w:szCs w:val="20"/>
        </w:rPr>
        <w:t>The accompanying notes are an integral part of the Consolidated Financial Statements.</w:t>
      </w:r>
    </w:p>
    <w:p w:rsidR="00000000" w:rsidRDefault="006F0EF5">
      <w:pPr>
        <w:jc w:val="center"/>
        <w:divId w:val="1593589598"/>
        <w:rPr>
          <w:rFonts w:eastAsia="Times New Roman"/>
        </w:rPr>
      </w:pPr>
      <w:r>
        <w:rPr>
          <w:rFonts w:eastAsia="Times New Roman"/>
          <w:color w:val="000000"/>
          <w:sz w:val="20"/>
          <w:szCs w:val="20"/>
        </w:rPr>
        <w:t>56</w:t>
      </w:r>
    </w:p>
    <w:p w:rsidR="00000000" w:rsidRDefault="006F0EF5">
      <w:pPr>
        <w:rPr>
          <w:rFonts w:eastAsia="Times New Roman"/>
        </w:rPr>
      </w:pPr>
      <w:r>
        <w:rPr>
          <w:rFonts w:eastAsia="Times New Roman"/>
        </w:rPr>
        <w:pict>
          <v:rect id="_x0000_i1085" style="width:0;height:1.5pt" o:hralign="center" o:hrstd="t" o:hr="t" fillcolor="#a0a0a0" stroked="f"/>
        </w:pict>
      </w:r>
    </w:p>
    <w:p w:rsidR="00000000" w:rsidRDefault="006F0EF5">
      <w:pPr>
        <w:divId w:val="171692713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723141182"/>
        <w:rPr>
          <w:rFonts w:eastAsia="Times New Roman"/>
        </w:rPr>
      </w:pPr>
    </w:p>
    <w:p w:rsidR="00000000" w:rsidRDefault="006F0EF5">
      <w:pPr>
        <w:jc w:val="center"/>
        <w:rPr>
          <w:rFonts w:eastAsia="Times New Roman"/>
        </w:rPr>
      </w:pPr>
      <w:r>
        <w:rPr>
          <w:rFonts w:eastAsia="Times New Roman"/>
          <w:b/>
          <w:bCs/>
          <w:color w:val="000000"/>
          <w:sz w:val="20"/>
          <w:szCs w:val="20"/>
        </w:rPr>
        <w:t>NCR Corporation</w:t>
      </w:r>
    </w:p>
    <w:p w:rsidR="00000000" w:rsidRDefault="006F0EF5">
      <w:pPr>
        <w:jc w:val="center"/>
        <w:rPr>
          <w:rFonts w:eastAsia="Times New Roman"/>
        </w:rPr>
      </w:pPr>
      <w:r>
        <w:rPr>
          <w:rFonts w:eastAsia="Times New Roman"/>
          <w:b/>
          <w:bCs/>
          <w:color w:val="000000"/>
          <w:sz w:val="20"/>
          <w:szCs w:val="20"/>
        </w:rPr>
        <w:t>Consolidated Statements of Cash Flows</w:t>
      </w:r>
    </w:p>
    <w:tbl>
      <w:tblPr>
        <w:tblW w:w="4858" w:type="pct"/>
        <w:jc w:val="center"/>
        <w:tblCellMar>
          <w:top w:w="15" w:type="dxa"/>
          <w:left w:w="15" w:type="dxa"/>
          <w:bottom w:w="15" w:type="dxa"/>
          <w:right w:w="15" w:type="dxa"/>
        </w:tblCellMar>
        <w:tblLook w:val="04A0" w:firstRow="1" w:lastRow="0" w:firstColumn="1" w:lastColumn="0" w:noHBand="0" w:noVBand="1"/>
      </w:tblPr>
      <w:tblGrid>
        <w:gridCol w:w="41"/>
        <w:gridCol w:w="4761"/>
        <w:gridCol w:w="40"/>
        <w:gridCol w:w="101"/>
        <w:gridCol w:w="890"/>
        <w:gridCol w:w="36"/>
        <w:gridCol w:w="36"/>
        <w:gridCol w:w="36"/>
        <w:gridCol w:w="36"/>
        <w:gridCol w:w="101"/>
        <w:gridCol w:w="855"/>
        <w:gridCol w:w="36"/>
        <w:gridCol w:w="36"/>
        <w:gridCol w:w="36"/>
        <w:gridCol w:w="36"/>
        <w:gridCol w:w="101"/>
        <w:gridCol w:w="856"/>
        <w:gridCol w:w="36"/>
      </w:tblGrid>
      <w:tr w:rsidR="00000000">
        <w:trPr>
          <w:divId w:val="280192294"/>
          <w:jc w:val="center"/>
        </w:trPr>
        <w:tc>
          <w:tcPr>
            <w:tcW w:w="50" w:type="pct"/>
            <w:vAlign w:val="center"/>
            <w:hideMark/>
          </w:tcPr>
          <w:p w:rsidR="00000000" w:rsidRDefault="006F0EF5">
            <w:pPr>
              <w:jc w:val="center"/>
              <w:rPr>
                <w:rFonts w:eastAsia="Times New Roman"/>
              </w:rPr>
            </w:pPr>
          </w:p>
        </w:tc>
        <w:tc>
          <w:tcPr>
            <w:tcW w:w="297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7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7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7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80192294"/>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For the years ended December 31 (in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28019229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16"/>
                <w:szCs w:val="16"/>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8019229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98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564 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16"/>
                <w:szCs w:val="16"/>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Loss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Loss on debt extinguishment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42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517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364 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333 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154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108 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107 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89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(112)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(355)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Impairment of other assets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Gain (loss) on disposal of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Bargain purchase gain on acquisition</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Changes in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80192294"/>
          <w:jc w:val="center"/>
        </w:trPr>
        <w:tc>
          <w:tcPr>
            <w:tcW w:w="0" w:type="auto"/>
            <w:gridSpan w:val="3"/>
            <w:shd w:val="clear" w:color="auto" w:fill="CCEEFF"/>
            <w:tcMar>
              <w:top w:w="30" w:type="dxa"/>
              <w:left w:w="605" w:type="dxa"/>
              <w:bottom w:w="30" w:type="dxa"/>
              <w:right w:w="20" w:type="dxa"/>
            </w:tcMar>
            <w:hideMark/>
          </w:tcPr>
          <w:p w:rsidR="00000000" w:rsidRDefault="006F0EF5">
            <w:pPr>
              <w:spacing w:after="100"/>
              <w:rPr>
                <w:rFonts w:eastAsia="Times New Roman"/>
              </w:rPr>
            </w:pPr>
            <w:r>
              <w:rPr>
                <w:rFonts w:eastAsia="Times New Roman"/>
                <w:color w:val="000000"/>
                <w:sz w:val="16"/>
                <w:szCs w:val="16"/>
              </w:rPr>
              <w:t>Receivables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215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420 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(144)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605" w:type="dxa"/>
              <w:bottom w:w="30" w:type="dxa"/>
              <w:right w:w="20" w:type="dxa"/>
            </w:tcMar>
            <w:hideMark/>
          </w:tcPr>
          <w:p w:rsidR="00000000" w:rsidRDefault="006F0EF5">
            <w:pPr>
              <w:spacing w:after="100"/>
              <w:rPr>
                <w:rFonts w:eastAsia="Times New Roman"/>
              </w:rPr>
            </w:pPr>
            <w:r>
              <w:rPr>
                <w:rFonts w:eastAsia="Times New Roman"/>
                <w:color w:val="000000"/>
                <w:sz w:val="16"/>
                <w:szCs w:val="16"/>
              </w:rPr>
              <w:t>Inventories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(195)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168 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605" w:type="dxa"/>
              <w:bottom w:w="30" w:type="dxa"/>
              <w:right w:w="20" w:type="dxa"/>
            </w:tcMar>
            <w:hideMark/>
          </w:tcPr>
          <w:p w:rsidR="00000000" w:rsidRDefault="006F0EF5">
            <w:pPr>
              <w:spacing w:after="100"/>
              <w:rPr>
                <w:rFonts w:eastAsia="Times New Roman"/>
              </w:rPr>
            </w:pPr>
            <w:r>
              <w:rPr>
                <w:rFonts w:eastAsia="Times New Roman"/>
                <w:color w:val="000000"/>
                <w:sz w:val="16"/>
                <w:szCs w:val="16"/>
              </w:rPr>
              <w:t>Current payables and accrued expenses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255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(295)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605" w:type="dxa"/>
              <w:bottom w:w="30" w:type="dxa"/>
              <w:right w:w="20" w:type="dxa"/>
            </w:tcMar>
            <w:hideMark/>
          </w:tcPr>
          <w:p w:rsidR="00000000" w:rsidRDefault="006F0EF5">
            <w:pPr>
              <w:spacing w:after="100"/>
              <w:rPr>
                <w:rFonts w:eastAsia="Times New Roman"/>
              </w:rPr>
            </w:pPr>
            <w:r>
              <w:rPr>
                <w:rFonts w:eastAsia="Times New Roman"/>
                <w:color w:val="000000"/>
                <w:sz w:val="16"/>
                <w:szCs w:val="16"/>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605" w:type="dxa"/>
              <w:bottom w:w="30" w:type="dxa"/>
              <w:right w:w="20" w:type="dxa"/>
            </w:tcMar>
            <w:hideMark/>
          </w:tcPr>
          <w:p w:rsidR="00000000" w:rsidRDefault="006F0EF5">
            <w:pPr>
              <w:spacing w:after="100"/>
              <w:rPr>
                <w:rFonts w:eastAsia="Times New Roman"/>
              </w:rPr>
            </w:pPr>
            <w:r>
              <w:rPr>
                <w:rFonts w:eastAsia="Times New Roman"/>
                <w:color w:val="000000"/>
                <w:sz w:val="16"/>
                <w:szCs w:val="16"/>
              </w:rPr>
              <w:t>Employee benefit plans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(147)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605" w:type="dxa"/>
              <w:bottom w:w="30" w:type="dxa"/>
              <w:right w:w="20" w:type="dxa"/>
            </w:tcMar>
            <w:hideMark/>
          </w:tcPr>
          <w:p w:rsidR="00000000" w:rsidRDefault="006F0EF5">
            <w:pPr>
              <w:spacing w:after="100"/>
              <w:rPr>
                <w:rFonts w:eastAsia="Times New Roman"/>
              </w:rPr>
            </w:pPr>
            <w:r>
              <w:rPr>
                <w:rFonts w:eastAsia="Times New Roman"/>
                <w:color w:val="000000"/>
                <w:sz w:val="16"/>
                <w:szCs w:val="16"/>
              </w:rPr>
              <w:t>Other assets and liabilities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40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16"/>
                <w:szCs w:val="16"/>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1,077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641 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634 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16"/>
                <w:szCs w:val="16"/>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Expenditures for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(106)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Proceeds from sales of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Additions to capitalized software</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(242)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(232)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(238)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Business acquisitions, net of cash acquired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(2,473)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(203)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Purchases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Proceeds from sales of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Other investing activities, net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16"/>
                <w:szCs w:val="16"/>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(2,826)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16"/>
                <w:szCs w:val="16"/>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Payments of senior unsecured notes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(400)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(1,300)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(900)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Payments on term credit facilities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(107)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(761)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Payments on revolving credit facilities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(1,650)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(1,998)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(3,216)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Borrowings on term credit facilities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1,505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750 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Borrowings on revolving credit facilities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1,756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1,535 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3,535 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Proceeds from issuance of senior unsecured notes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1,200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1,500 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Debt issuance costs and bridge commitment fees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(53)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Call premium paid on debt extinguishment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(37)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Cash dividend paid for Series A Preferred shares dividends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Repurchase of Series A Preferred shares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(144)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(302)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Proceeds from employee stock plans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44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Tax withholding payments on behalf of employees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(50)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Net change in client funds obligations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Principal payments for 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Purchase of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Other financing activities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Net cash provided by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2,178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Cash flows from discontinued operations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8019229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16"/>
                <w:szCs w:val="16"/>
              </w:rPr>
              <w:t>Net cash provided by (used in) 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(68)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16"/>
                <w:szCs w:val="16"/>
              </w:rPr>
              <w:t>Effect of exchange rate changes on cash, cash equivalents and restricted cash</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16"/>
                <w:szCs w:val="16"/>
              </w:rPr>
              <w:t>Increase (decrease)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343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16"/>
                <w:szCs w:val="16"/>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406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563 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532 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16"/>
                <w:szCs w:val="16"/>
              </w:rPr>
              <w:t>Cash, cash equivalents and restricted cash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749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8019229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16"/>
                <w:szCs w:val="16"/>
              </w:rPr>
              <w:t>Supplemental data</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8019229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16"/>
                <w:szCs w:val="16"/>
              </w:rPr>
              <w:t>Cash paid during the year for:</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8019229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16"/>
                <w:szCs w:val="16"/>
              </w:rPr>
              <w:t>Income taxes</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84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82 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61 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8019229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16"/>
                <w:szCs w:val="16"/>
              </w:rPr>
              <w:t>Interest</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215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196 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168 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center"/>
        <w:rPr>
          <w:rFonts w:eastAsia="Times New Roman"/>
        </w:rPr>
      </w:pPr>
      <w:r>
        <w:rPr>
          <w:rFonts w:eastAsia="Times New Roman"/>
          <w:color w:val="000000"/>
          <w:sz w:val="20"/>
          <w:szCs w:val="20"/>
        </w:rPr>
        <w:t>The accompanying notes are an integral part of the Consolidated Financial Statements.</w:t>
      </w:r>
    </w:p>
    <w:p w:rsidR="00000000" w:rsidRDefault="006F0EF5">
      <w:pPr>
        <w:jc w:val="center"/>
        <w:divId w:val="73823832"/>
        <w:rPr>
          <w:rFonts w:eastAsia="Times New Roman"/>
        </w:rPr>
      </w:pPr>
      <w:r>
        <w:rPr>
          <w:rFonts w:eastAsia="Times New Roman"/>
          <w:color w:val="000000"/>
          <w:sz w:val="20"/>
          <w:szCs w:val="20"/>
        </w:rPr>
        <w:t>57</w:t>
      </w:r>
    </w:p>
    <w:p w:rsidR="00000000" w:rsidRDefault="006F0EF5">
      <w:pPr>
        <w:rPr>
          <w:rFonts w:eastAsia="Times New Roman"/>
        </w:rPr>
      </w:pPr>
      <w:r>
        <w:rPr>
          <w:rFonts w:eastAsia="Times New Roman"/>
        </w:rPr>
        <w:pict>
          <v:rect id="_x0000_i1086" style="width:0;height:1.5pt" o:hralign="center" o:hrstd="t" o:hr="t" fillcolor="#a0a0a0" stroked="f"/>
        </w:pict>
      </w:r>
    </w:p>
    <w:p w:rsidR="00000000" w:rsidRDefault="006F0EF5">
      <w:pPr>
        <w:divId w:val="272446569"/>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947394599"/>
        <w:rPr>
          <w:rFonts w:eastAsia="Times New Roman"/>
        </w:rPr>
      </w:pPr>
    </w:p>
    <w:p w:rsidR="00000000" w:rsidRDefault="006F0EF5">
      <w:pPr>
        <w:jc w:val="center"/>
        <w:rPr>
          <w:rFonts w:eastAsia="Times New Roman"/>
        </w:rPr>
      </w:pPr>
      <w:r>
        <w:rPr>
          <w:rFonts w:eastAsia="Times New Roman"/>
          <w:b/>
          <w:bCs/>
          <w:color w:val="000000"/>
          <w:sz w:val="20"/>
          <w:szCs w:val="20"/>
        </w:rPr>
        <w:t>NCR Corporation</w:t>
      </w:r>
    </w:p>
    <w:p w:rsidR="00000000" w:rsidRDefault="006F0EF5">
      <w:pPr>
        <w:jc w:val="center"/>
        <w:rPr>
          <w:rFonts w:eastAsia="Times New Roman"/>
        </w:rPr>
      </w:pPr>
      <w:r>
        <w:rPr>
          <w:rFonts w:eastAsia="Times New Roman"/>
          <w:b/>
          <w:bCs/>
          <w:color w:val="000000"/>
          <w:sz w:val="20"/>
          <w:szCs w:val="20"/>
        </w:rPr>
        <w:t>Consolidated Statements of Changes in Stockholders' Equity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2201"/>
        <w:gridCol w:w="39"/>
        <w:gridCol w:w="36"/>
        <w:gridCol w:w="36"/>
        <w:gridCol w:w="36"/>
        <w:gridCol w:w="70"/>
        <w:gridCol w:w="427"/>
        <w:gridCol w:w="37"/>
        <w:gridCol w:w="37"/>
        <w:gridCol w:w="36"/>
        <w:gridCol w:w="36"/>
        <w:gridCol w:w="101"/>
        <w:gridCol w:w="509"/>
        <w:gridCol w:w="36"/>
        <w:gridCol w:w="36"/>
        <w:gridCol w:w="36"/>
        <w:gridCol w:w="36"/>
        <w:gridCol w:w="101"/>
        <w:gridCol w:w="456"/>
        <w:gridCol w:w="36"/>
        <w:gridCol w:w="36"/>
        <w:gridCol w:w="36"/>
        <w:gridCol w:w="36"/>
        <w:gridCol w:w="101"/>
        <w:gridCol w:w="561"/>
        <w:gridCol w:w="36"/>
        <w:gridCol w:w="36"/>
        <w:gridCol w:w="36"/>
        <w:gridCol w:w="36"/>
        <w:gridCol w:w="101"/>
        <w:gridCol w:w="1001"/>
        <w:gridCol w:w="36"/>
        <w:gridCol w:w="36"/>
        <w:gridCol w:w="36"/>
        <w:gridCol w:w="36"/>
        <w:gridCol w:w="101"/>
        <w:gridCol w:w="974"/>
        <w:gridCol w:w="36"/>
        <w:gridCol w:w="36"/>
        <w:gridCol w:w="36"/>
        <w:gridCol w:w="36"/>
        <w:gridCol w:w="100"/>
        <w:gridCol w:w="400"/>
        <w:gridCol w:w="36"/>
      </w:tblGrid>
      <w:tr w:rsidR="00000000">
        <w:trPr>
          <w:divId w:val="1287004654"/>
          <w:jc w:val="center"/>
        </w:trPr>
        <w:tc>
          <w:tcPr>
            <w:tcW w:w="50" w:type="pct"/>
            <w:vAlign w:val="center"/>
            <w:hideMark/>
          </w:tcPr>
          <w:p w:rsidR="00000000" w:rsidRDefault="006F0EF5">
            <w:pPr>
              <w:jc w:val="center"/>
              <w:rPr>
                <w:rFonts w:eastAsia="Times New Roman"/>
              </w:rPr>
            </w:pPr>
          </w:p>
        </w:tc>
        <w:tc>
          <w:tcPr>
            <w:tcW w:w="17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0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0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7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0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1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4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0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287004654"/>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NCR Stockholders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287004654"/>
          <w:trHeight w:val="24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Accumulated Other Comprehensive (Loss) Income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Noncontrolling Interests in Subsidiaries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287004654"/>
          <w:trHeight w:val="660"/>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Retained Earnings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vMerge/>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w:t>
            </w:r>
          </w:p>
        </w:tc>
      </w:tr>
      <w:tr w:rsidR="006F0EF5">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December 31, 2018</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118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34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606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399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287004654"/>
          <w:jc w:val="center"/>
        </w:trPr>
        <w:tc>
          <w:tcPr>
            <w:tcW w:w="0" w:type="auto"/>
            <w:gridSpan w:val="3"/>
            <w:shd w:val="clear" w:color="auto" w:fill="CCEE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564 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566 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FFFF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w:t>
            </w:r>
            <w:r>
              <w:rPr>
                <w:rFonts w:eastAsia="Times New Roman"/>
                <w:color w:val="000000"/>
                <w:sz w:val="16"/>
                <w:szCs w:val="16"/>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Redemption of Series A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272 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(67)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205 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Repurchase of Company common stock</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Dividends paid to minority shareholder</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Purchase of redeemable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December 31, 2019</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127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312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1,060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1,107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287004654"/>
          <w:jc w:val="center"/>
        </w:trPr>
        <w:tc>
          <w:tcPr>
            <w:tcW w:w="0" w:type="auto"/>
            <w:gridSpan w:val="3"/>
            <w:shd w:val="clear" w:color="auto" w:fill="FFFF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Deemed dividend from redemption of Series A preferred stock</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Repurchase of Company common stock</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Dividends paid to minority shareholder</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129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368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950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1,051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287004654"/>
          <w:jc w:val="center"/>
        </w:trPr>
        <w:tc>
          <w:tcPr>
            <w:tcW w:w="0" w:type="auto"/>
            <w:gridSpan w:val="3"/>
            <w:shd w:val="clear" w:color="auto" w:fill="FFFF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128 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128 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Fair value of converted Cardtronics awards attributable to pre-combination services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1287004654"/>
          <w:jc w:val="center"/>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8700465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Dividends paid to minority shareholder</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divId w:val="128700465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132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515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1,031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1,259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center"/>
        <w:rPr>
          <w:rFonts w:eastAsia="Times New Roman"/>
        </w:rPr>
      </w:pPr>
    </w:p>
    <w:p w:rsidR="00000000" w:rsidRDefault="006F0EF5">
      <w:pPr>
        <w:jc w:val="center"/>
        <w:rPr>
          <w:rFonts w:eastAsia="Times New Roman"/>
        </w:rPr>
      </w:pPr>
      <w:r>
        <w:rPr>
          <w:rFonts w:eastAsia="Times New Roman"/>
          <w:color w:val="000000"/>
          <w:sz w:val="20"/>
          <w:szCs w:val="20"/>
        </w:rPr>
        <w:t>The accompanying notes are an integral part of the Consolidated Fin</w:t>
      </w:r>
      <w:r>
        <w:rPr>
          <w:rFonts w:eastAsia="Times New Roman"/>
          <w:color w:val="000000"/>
          <w:sz w:val="20"/>
          <w:szCs w:val="20"/>
        </w:rPr>
        <w:t>ancial Statements.</w:t>
      </w:r>
    </w:p>
    <w:p w:rsidR="00000000" w:rsidRDefault="006F0EF5">
      <w:pPr>
        <w:jc w:val="center"/>
        <w:divId w:val="713425910"/>
        <w:rPr>
          <w:rFonts w:eastAsia="Times New Roman"/>
        </w:rPr>
      </w:pPr>
      <w:r>
        <w:rPr>
          <w:rFonts w:eastAsia="Times New Roman"/>
          <w:color w:val="000000"/>
          <w:sz w:val="20"/>
          <w:szCs w:val="20"/>
        </w:rPr>
        <w:t>58</w:t>
      </w:r>
    </w:p>
    <w:p w:rsidR="00000000" w:rsidRDefault="006F0EF5">
      <w:pPr>
        <w:rPr>
          <w:rFonts w:eastAsia="Times New Roman"/>
        </w:rPr>
      </w:pPr>
      <w:r>
        <w:rPr>
          <w:rFonts w:eastAsia="Times New Roman"/>
        </w:rPr>
        <w:pict>
          <v:rect id="_x0000_i1087" style="width:0;height:1.5pt" o:hralign="center" o:hrstd="t" o:hr="t" fillcolor="#a0a0a0" stroked="f"/>
        </w:pict>
      </w:r>
    </w:p>
    <w:p w:rsidR="00000000" w:rsidRDefault="006F0EF5">
      <w:pPr>
        <w:divId w:val="26130783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779836089"/>
        <w:rPr>
          <w:rFonts w:eastAsia="Times New Roman"/>
        </w:rPr>
      </w:pPr>
    </w:p>
    <w:p w:rsidR="00000000" w:rsidRDefault="006F0EF5">
      <w:pPr>
        <w:jc w:val="center"/>
        <w:rPr>
          <w:rFonts w:eastAsia="Times New Roman"/>
        </w:rPr>
      </w:pPr>
      <w:r>
        <w:rPr>
          <w:rFonts w:eastAsia="Times New Roman"/>
          <w:b/>
          <w:bCs/>
          <w:color w:val="000000"/>
          <w:sz w:val="20"/>
          <w:szCs w:val="20"/>
        </w:rPr>
        <w:t>NCR Corporation</w:t>
      </w:r>
    </w:p>
    <w:p w:rsidR="00000000" w:rsidRDefault="006F0EF5">
      <w:pPr>
        <w:jc w:val="center"/>
        <w:divId w:val="159391578"/>
        <w:rPr>
          <w:rFonts w:eastAsia="Times New Roman"/>
        </w:rPr>
      </w:pPr>
      <w:r>
        <w:rPr>
          <w:rFonts w:eastAsia="Times New Roman"/>
          <w:b/>
          <w:bCs/>
          <w:color w:val="000000"/>
          <w:sz w:val="20"/>
          <w:szCs w:val="20"/>
        </w:rPr>
        <w:t>Notes to Consolidated Financial Statements</w:t>
      </w:r>
    </w:p>
    <w:p w:rsidR="00000000" w:rsidRDefault="006F0EF5">
      <w:pPr>
        <w:jc w:val="both"/>
        <w:divId w:val="1111314339"/>
        <w:rPr>
          <w:rFonts w:eastAsia="Times New Roman"/>
        </w:rPr>
      </w:pPr>
      <w:r>
        <w:rPr>
          <w:rFonts w:eastAsia="Times New Roman"/>
          <w:b/>
          <w:bCs/>
          <w:color w:val="7ACE05"/>
          <w:sz w:val="20"/>
          <w:szCs w:val="20"/>
        </w:rPr>
        <w:t>1. BASIS OF PRESENTATION AND SIGNIFICANT ACCOUNTING POLICIES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Description of Business</w:t>
      </w:r>
      <w:r>
        <w:rPr>
          <w:rFonts w:eastAsia="Times New Roman"/>
          <w:color w:val="000000"/>
          <w:sz w:val="20"/>
          <w:szCs w:val="20"/>
        </w:rPr>
        <w:t xml:space="preserve"> NCR Corporation (“NCR”, the “Company”, “we” or “us”</w:t>
      </w:r>
      <w:r>
        <w:rPr>
          <w:rFonts w:eastAsia="Times New Roman"/>
          <w:color w:val="000000"/>
          <w:sz w:val="20"/>
          <w:szCs w:val="20"/>
        </w:rPr>
        <w:t>) was originally incorporated in 1884 and is a software- and services-led enterprise technology provider that runs stores, restaurants and self-directed banking for our customers, which includes businesses of all sizes. Our software platform, which runs in</w:t>
      </w:r>
      <w:r>
        <w:rPr>
          <w:rFonts w:eastAsia="Times New Roman"/>
          <w:color w:val="000000"/>
          <w:sz w:val="20"/>
          <w:szCs w:val="20"/>
        </w:rPr>
        <w:t xml:space="preserve"> the cloud and includes microservices and APIs that integrate with our customers' systems, and our NCR-as-a-Service solutions bring together all of the capabilities and competencies of NCR to power the technology to run our customers’ operations. Our portf</w:t>
      </w:r>
      <w:r>
        <w:rPr>
          <w:rFonts w:eastAsia="Times New Roman"/>
          <w:color w:val="000000"/>
          <w:sz w:val="20"/>
          <w:szCs w:val="20"/>
        </w:rPr>
        <w:t>olio includes digital first software and services offerings for banking, retailers and restaurants, as well as payments processing and networks, multi-vendor connected device services, automated teller machines (“ATMs”), self-checkout (“SCO”), point of sal</w:t>
      </w:r>
      <w:r>
        <w:rPr>
          <w:rFonts w:eastAsia="Times New Roman"/>
          <w:color w:val="000000"/>
          <w:sz w:val="20"/>
          <w:szCs w:val="20"/>
        </w:rPr>
        <w:t xml:space="preserve">e (“POS”) terminals and other self-service technologies. We also resell third-party networking products and provide related service offerings in the telecommunications and technology sector. Our solutions are designed to support our transition to becoming </w:t>
      </w:r>
      <w:r>
        <w:rPr>
          <w:rFonts w:eastAsia="Times New Roman"/>
          <w:color w:val="000000"/>
          <w:sz w:val="20"/>
          <w:szCs w:val="20"/>
        </w:rPr>
        <w:t>a software platform and payments company.</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Use of Estimates</w:t>
      </w:r>
      <w:r>
        <w:rPr>
          <w:rFonts w:eastAsia="Times New Roman"/>
          <w:color w:val="000000"/>
          <w:sz w:val="20"/>
          <w:szCs w:val="20"/>
        </w:rPr>
        <w:t xml:space="preserve"> The preparation of financial statements in accordance with generally accepted accounting principles in the United States (“U.S. GAAP”) requires management to make estimates and judgments that aff</w:t>
      </w:r>
      <w:r>
        <w:rPr>
          <w:rFonts w:eastAsia="Times New Roman"/>
          <w:color w:val="000000"/>
          <w:sz w:val="20"/>
          <w:szCs w:val="20"/>
        </w:rPr>
        <w:t>ect the reported amounts of assets and liabilities, the disclosure of contingent assets and liabilities at the date of the financial statements, and revenue and expenses during the periods reported.</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Although our estimates contemplate current and expected</w:t>
      </w:r>
      <w:r>
        <w:rPr>
          <w:rFonts w:eastAsia="Times New Roman"/>
          <w:color w:val="000000"/>
          <w:sz w:val="20"/>
          <w:szCs w:val="20"/>
        </w:rPr>
        <w:t xml:space="preserve"> future conditions, as applicable, it is reasonably possible that actual conditions could differ from our expectations, which could materially affect our results of operations and financial position. In particular, a number of estimates have been and will </w:t>
      </w:r>
      <w:r>
        <w:rPr>
          <w:rFonts w:eastAsia="Times New Roman"/>
          <w:color w:val="000000"/>
          <w:sz w:val="20"/>
          <w:szCs w:val="20"/>
        </w:rPr>
        <w:t>continue to be affected by the ongoing novel coronavirus (“COVID-19”) pandemic. The ultimate impact on our overall financial condition and operating results will depend on the currently unknowable duration and severity of the pandemic, supply chain challen</w:t>
      </w:r>
      <w:r>
        <w:rPr>
          <w:rFonts w:eastAsia="Times New Roman"/>
          <w:color w:val="000000"/>
          <w:sz w:val="20"/>
          <w:szCs w:val="20"/>
        </w:rPr>
        <w:t>ges and cost escalations including materials, labor and freight, and any additional governmental and public actions taken in response. As a result, our accounting estimates and assumptions may change over time as a consequence of the effects of COVID-19. S</w:t>
      </w:r>
      <w:r>
        <w:rPr>
          <w:rFonts w:eastAsia="Times New Roman"/>
          <w:color w:val="000000"/>
          <w:sz w:val="20"/>
          <w:szCs w:val="20"/>
        </w:rPr>
        <w:t>uch changes could result in future impairments of goodwill, intangible assets, long-lived assets, incremental credit losses on accounts receivable and decreases in the carrying amount of our tax assets.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Subsequent Events </w:t>
      </w:r>
      <w:r>
        <w:rPr>
          <w:rFonts w:eastAsia="Times New Roman"/>
          <w:color w:val="000000"/>
          <w:sz w:val="20"/>
          <w:szCs w:val="20"/>
        </w:rPr>
        <w:t xml:space="preserve">The Company evaluated subsequent </w:t>
      </w:r>
      <w:r>
        <w:rPr>
          <w:rFonts w:eastAsia="Times New Roman"/>
          <w:color w:val="000000"/>
          <w:sz w:val="20"/>
          <w:szCs w:val="20"/>
        </w:rPr>
        <w:t>events through the date that our Consolidated Financial Statements were issued. Other than the items discussed below and within the Notes to Consolidated Financial Statements, no matters were identified that required adjustment of the Consolidated Financia</w:t>
      </w:r>
      <w:r>
        <w:rPr>
          <w:rFonts w:eastAsia="Times New Roman"/>
          <w:color w:val="000000"/>
          <w:sz w:val="20"/>
          <w:szCs w:val="20"/>
        </w:rPr>
        <w:t>l Statements or additional disclosure.</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Change in reportable segments</w:t>
      </w:r>
      <w:r>
        <w:rPr>
          <w:rFonts w:eastAsia="Times New Roman"/>
          <w:color w:val="000000"/>
          <w:sz w:val="20"/>
          <w:szCs w:val="20"/>
        </w:rPr>
        <w:t xml:space="preserve"> Effective January 1, 2022, the Company realigned its reportable segments to correspond with changes to its operating model, management structure and organizational responsibilities. The</w:t>
      </w:r>
      <w:r>
        <w:rPr>
          <w:rFonts w:eastAsia="Times New Roman"/>
          <w:color w:val="000000"/>
          <w:sz w:val="20"/>
          <w:szCs w:val="20"/>
        </w:rPr>
        <w:t xml:space="preserve"> reportable segments effective January 1, 2022 include: Payments &amp; Network; Digital Banking, Self-Service Banking, Retail, and Hospitality. Additionally, effective January 1, 2022, the Company manages Corporate &amp; Other, which includes income and expense th</w:t>
      </w:r>
      <w:r>
        <w:rPr>
          <w:rFonts w:eastAsia="Times New Roman"/>
          <w:color w:val="000000"/>
          <w:sz w:val="20"/>
          <w:szCs w:val="20"/>
        </w:rPr>
        <w:t xml:space="preserve">at are not specifically attributable to an individual reportable segment and thus will be reflected only in consolidated results, as well as our Telecommunications &amp; Technology business, an immaterial operating segment.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Completed acquisition of LibertyX</w:t>
      </w:r>
      <w:r>
        <w:rPr>
          <w:rFonts w:eastAsia="Times New Roman"/>
          <w:i/>
          <w:iCs/>
          <w:color w:val="000000"/>
          <w:sz w:val="20"/>
          <w:szCs w:val="20"/>
        </w:rPr>
        <w:t xml:space="preserve"> </w:t>
      </w:r>
      <w:r>
        <w:rPr>
          <w:rFonts w:eastAsia="Times New Roman"/>
          <w:color w:val="000000"/>
          <w:sz w:val="20"/>
          <w:szCs w:val="20"/>
        </w:rPr>
        <w:t>On January 5, 2022, NCR completed its acquisition of Moon Inc. dba LibertyX, for which we purchased all outstanding shares for approximately 1.4 million shares of the Company's common stock and as a result LibertyX will become a wholly-owned subsidiary of</w:t>
      </w:r>
      <w:r>
        <w:rPr>
          <w:rFonts w:eastAsia="Times New Roman"/>
          <w:color w:val="000000"/>
          <w:sz w:val="20"/>
          <w:szCs w:val="20"/>
        </w:rPr>
        <w:t xml:space="preserve"> NCR in the first quarter of 2022. LibertyX is a leading cryptocurrency software provider. The initial accounting for the business combination is incomplete as a result of the timing of the acquisition.</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Executed interest rate swap contract </w:t>
      </w:r>
      <w:r>
        <w:rPr>
          <w:rFonts w:eastAsia="Times New Roman"/>
          <w:color w:val="000000"/>
          <w:sz w:val="20"/>
          <w:szCs w:val="20"/>
        </w:rPr>
        <w:t>On January 18,</w:t>
      </w:r>
      <w:r>
        <w:rPr>
          <w:rFonts w:eastAsia="Times New Roman"/>
          <w:color w:val="000000"/>
          <w:sz w:val="20"/>
          <w:szCs w:val="20"/>
        </w:rPr>
        <w:t xml:space="preserve"> 2022, the Company entered into an interest rate swap contract to hedge its exposure on variable interest rates on vault cash rental obligations. The swap was implemented at a notional value of $250 million and protects the Company against potential intere</w:t>
      </w:r>
      <w:r>
        <w:rPr>
          <w:rFonts w:eastAsia="Times New Roman"/>
          <w:color w:val="000000"/>
          <w:sz w:val="20"/>
          <w:szCs w:val="20"/>
        </w:rPr>
        <w:t xml:space="preserve">st rate fluctuations in line with our interest rate risk management strategy outlined in Note 13, “Derivatives and Hedging Instruments”.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Basis of Consolidation</w:t>
      </w:r>
      <w:r>
        <w:rPr>
          <w:rFonts w:eastAsia="Times New Roman"/>
          <w:color w:val="000000"/>
          <w:sz w:val="20"/>
          <w:szCs w:val="20"/>
        </w:rPr>
        <w:t xml:space="preserve"> The consolidated financial statements include the accounts of NCR and its majority-owned subs</w:t>
      </w:r>
      <w:r>
        <w:rPr>
          <w:rFonts w:eastAsia="Times New Roman"/>
          <w:color w:val="000000"/>
          <w:sz w:val="20"/>
          <w:szCs w:val="20"/>
        </w:rPr>
        <w:t>idiaries. Long-term investments in affiliated companies in which NCR owns between 20% and 50%, and therefore, exercises significant influence, but which it does not control, are accounted for using the equity method. Investments in which NCR does not exerc</w:t>
      </w:r>
      <w:r>
        <w:rPr>
          <w:rFonts w:eastAsia="Times New Roman"/>
          <w:color w:val="000000"/>
          <w:sz w:val="20"/>
          <w:szCs w:val="20"/>
        </w:rPr>
        <w:t xml:space="preserve">ise significant influence (generally, when NCR has an investment of less than 20% and no significant influence, such as representation on the investee’s board of directors) are accounted for using the cost method. All significant </w:t>
      </w:r>
    </w:p>
    <w:p w:rsidR="00000000" w:rsidRDefault="006F0EF5">
      <w:pPr>
        <w:jc w:val="center"/>
        <w:divId w:val="993335820"/>
        <w:rPr>
          <w:rFonts w:eastAsia="Times New Roman"/>
        </w:rPr>
      </w:pPr>
      <w:r>
        <w:rPr>
          <w:rFonts w:eastAsia="Times New Roman"/>
          <w:color w:val="000000"/>
          <w:sz w:val="20"/>
          <w:szCs w:val="20"/>
        </w:rPr>
        <w:t>59</w:t>
      </w:r>
    </w:p>
    <w:p w:rsidR="00000000" w:rsidRDefault="006F0EF5">
      <w:pPr>
        <w:rPr>
          <w:rFonts w:eastAsia="Times New Roman"/>
        </w:rPr>
      </w:pPr>
      <w:r>
        <w:rPr>
          <w:rFonts w:eastAsia="Times New Roman"/>
        </w:rPr>
        <w:pict>
          <v:rect id="_x0000_i1088" style="width:0;height:1.5pt" o:hralign="center" o:hrstd="t" o:hr="t" fillcolor="#a0a0a0" stroked="f"/>
        </w:pict>
      </w:r>
    </w:p>
    <w:p w:rsidR="00000000" w:rsidRDefault="006F0EF5">
      <w:pPr>
        <w:divId w:val="111976434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2100903967"/>
        <w:rPr>
          <w:rFonts w:eastAsia="Times New Roman"/>
        </w:rPr>
      </w:pPr>
      <w:r>
        <w:rPr>
          <w:rFonts w:eastAsia="Times New Roman"/>
          <w:b/>
          <w:bCs/>
          <w:color w:val="000000"/>
          <w:sz w:val="20"/>
          <w:szCs w:val="20"/>
        </w:rPr>
        <w:t>NCR Corporation</w:t>
      </w:r>
    </w:p>
    <w:p w:rsidR="00000000" w:rsidRDefault="006F0EF5">
      <w:pPr>
        <w:jc w:val="center"/>
        <w:divId w:val="2100903967"/>
        <w:rPr>
          <w:rFonts w:eastAsia="Times New Roman"/>
        </w:rPr>
      </w:pPr>
      <w:r>
        <w:rPr>
          <w:rFonts w:eastAsia="Times New Roman"/>
          <w:b/>
          <w:bCs/>
          <w:color w:val="000000"/>
          <w:sz w:val="20"/>
          <w:szCs w:val="20"/>
        </w:rPr>
        <w:t>Notes to Consolidated Financial Statements-(Continued)</w:t>
      </w:r>
    </w:p>
    <w:p w:rsidR="00000000" w:rsidRDefault="006F0EF5">
      <w:pPr>
        <w:jc w:val="center"/>
        <w:divId w:val="2100903967"/>
        <w:rPr>
          <w:rFonts w:eastAsia="Times New Roman"/>
        </w:rPr>
      </w:pPr>
    </w:p>
    <w:p w:rsidR="00000000" w:rsidRDefault="006F0EF5">
      <w:pPr>
        <w:jc w:val="center"/>
        <w:divId w:val="2100903967"/>
        <w:rPr>
          <w:rFonts w:eastAsia="Times New Roman"/>
        </w:rPr>
      </w:pPr>
    </w:p>
    <w:p w:rsidR="00000000" w:rsidRDefault="006F0EF5">
      <w:pPr>
        <w:divId w:val="1849520116"/>
        <w:rPr>
          <w:rFonts w:eastAsia="Times New Roman"/>
        </w:rPr>
      </w:pPr>
    </w:p>
    <w:p w:rsidR="00000000" w:rsidRDefault="006F0EF5">
      <w:pPr>
        <w:jc w:val="both"/>
        <w:rPr>
          <w:rFonts w:eastAsia="Times New Roman"/>
        </w:rPr>
      </w:pPr>
      <w:r>
        <w:rPr>
          <w:rFonts w:eastAsia="Times New Roman"/>
          <w:color w:val="000000"/>
          <w:sz w:val="20"/>
          <w:szCs w:val="20"/>
        </w:rPr>
        <w:t>inter-company transactions and accounts have been eliminated. In addition, the Company i</w:t>
      </w:r>
      <w:r>
        <w:rPr>
          <w:rFonts w:eastAsia="Times New Roman"/>
          <w:color w:val="000000"/>
          <w:sz w:val="20"/>
          <w:szCs w:val="20"/>
        </w:rPr>
        <w:t>s required to determine whether it is the primary beneficiary of economic income or losses that may be generated by variable interest entities in which the Company has such an interest. In circumstances where the Company determined it is the primary benefi</w:t>
      </w:r>
      <w:r>
        <w:rPr>
          <w:rFonts w:eastAsia="Times New Roman"/>
          <w:color w:val="000000"/>
          <w:sz w:val="20"/>
          <w:szCs w:val="20"/>
        </w:rPr>
        <w:t xml:space="preserve">ciary, consolidation of that entity would be required. For the periods presented, no variable interest entities have been consolidated.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June 21, 2021, we completed the acquisition of Cardtronics plc (“Cardtronics”). The December 31, 2021 year-to-date</w:t>
      </w:r>
      <w:r>
        <w:rPr>
          <w:rFonts w:eastAsia="Times New Roman"/>
          <w:color w:val="000000"/>
          <w:sz w:val="20"/>
          <w:szCs w:val="20"/>
        </w:rPr>
        <w:t xml:space="preserve"> results include the operations of Cardtronics from June 21, 2021 to December 31, 2021. Refer to Note 3, “Business Combinations and Divestitures”, for additional disclosure.</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Reclassifications</w:t>
      </w:r>
      <w:r>
        <w:rPr>
          <w:rFonts w:eastAsia="Times New Roman"/>
          <w:color w:val="000000"/>
          <w:sz w:val="20"/>
          <w:szCs w:val="20"/>
        </w:rPr>
        <w:t xml:space="preserve"> Certain prior-period amounts have been reclassified in the acc</w:t>
      </w:r>
      <w:r>
        <w:rPr>
          <w:rFonts w:eastAsia="Times New Roman"/>
          <w:color w:val="000000"/>
          <w:sz w:val="20"/>
          <w:szCs w:val="20"/>
        </w:rPr>
        <w:t xml:space="preserve">ompanying Consolidated Financial Statements and Notes thereto in order to conform to the current period presentation.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Revenue Recognition </w:t>
      </w:r>
      <w:r>
        <w:rPr>
          <w:rFonts w:eastAsia="Times New Roman"/>
          <w:color w:val="000000"/>
          <w:sz w:val="20"/>
          <w:szCs w:val="20"/>
        </w:rPr>
        <w:t>The Company records revenue, net of sales tax, when the following five steps have been completed:</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•Identification of the contract(s) with a customer</w:t>
      </w:r>
    </w:p>
    <w:p w:rsidR="00000000" w:rsidRDefault="006F0EF5">
      <w:pPr>
        <w:ind w:hanging="360"/>
        <w:jc w:val="both"/>
        <w:rPr>
          <w:rFonts w:eastAsia="Times New Roman"/>
        </w:rPr>
      </w:pPr>
      <w:r>
        <w:rPr>
          <w:rFonts w:eastAsia="Times New Roman"/>
          <w:color w:val="000000"/>
          <w:sz w:val="20"/>
          <w:szCs w:val="20"/>
        </w:rPr>
        <w:t>•Identification of the performance obligation(s) in the contract</w:t>
      </w:r>
    </w:p>
    <w:p w:rsidR="00000000" w:rsidRDefault="006F0EF5">
      <w:pPr>
        <w:ind w:hanging="360"/>
        <w:jc w:val="both"/>
        <w:rPr>
          <w:rFonts w:eastAsia="Times New Roman"/>
        </w:rPr>
      </w:pPr>
      <w:r>
        <w:rPr>
          <w:rFonts w:eastAsia="Times New Roman"/>
          <w:color w:val="000000"/>
          <w:sz w:val="20"/>
          <w:szCs w:val="20"/>
        </w:rPr>
        <w:t>•Determination of the transaction price</w:t>
      </w:r>
    </w:p>
    <w:p w:rsidR="00000000" w:rsidRDefault="006F0EF5">
      <w:pPr>
        <w:ind w:hanging="360"/>
        <w:jc w:val="both"/>
        <w:rPr>
          <w:rFonts w:eastAsia="Times New Roman"/>
        </w:rPr>
      </w:pPr>
      <w:r>
        <w:rPr>
          <w:rFonts w:eastAsia="Times New Roman"/>
          <w:color w:val="000000"/>
          <w:sz w:val="20"/>
          <w:szCs w:val="20"/>
        </w:rPr>
        <w:t>•Allocation of the transaction price to the performance obligations in the contract</w:t>
      </w:r>
    </w:p>
    <w:p w:rsidR="00000000" w:rsidRDefault="006F0EF5">
      <w:pPr>
        <w:ind w:hanging="360"/>
        <w:jc w:val="both"/>
        <w:rPr>
          <w:rFonts w:eastAsia="Times New Roman"/>
        </w:rPr>
      </w:pPr>
      <w:r>
        <w:rPr>
          <w:rFonts w:eastAsia="Times New Roman"/>
          <w:color w:val="000000"/>
          <w:sz w:val="20"/>
          <w:szCs w:val="20"/>
        </w:rPr>
        <w:t>•Recognition of revenue when, or as, we satisfy performance obligations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records revenue when, or as, performance obligations are satisfied by transferring control of a promised good or service to the customer, in an amount that reflects the consideration we expect to be entitled to in exchange for products and serv</w:t>
      </w:r>
      <w:r>
        <w:rPr>
          <w:rFonts w:eastAsia="Times New Roman"/>
          <w:color w:val="000000"/>
          <w:sz w:val="20"/>
          <w:szCs w:val="20"/>
        </w:rPr>
        <w:t>ices. The Company evaluates the transfer of control primarily from the customer’s perspective where the customer has the ability to direct the use of and obtain substantially all of the remaining benefits from that good or service. The Company does not adj</w:t>
      </w:r>
      <w:r>
        <w:rPr>
          <w:rFonts w:eastAsia="Times New Roman"/>
          <w:color w:val="000000"/>
          <w:sz w:val="20"/>
          <w:szCs w:val="20"/>
        </w:rPr>
        <w:t xml:space="preserve">ust the transaction price for taxes collected from customers, as those amounts are netted against amounts remitted to government authorities.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enters contracts that include multiple distinct performance obligations, including hardware, software, prof</w:t>
      </w:r>
      <w:r>
        <w:rPr>
          <w:rFonts w:eastAsia="Times New Roman"/>
          <w:color w:val="000000"/>
          <w:sz w:val="20"/>
          <w:szCs w:val="20"/>
        </w:rPr>
        <w:t>essional consulting and managed services, payment processing services, installation services and maintenance support services. A promise to a customer is considered distinct when the product or service is both capable of being distinct, and distinct in the</w:t>
      </w:r>
      <w:r>
        <w:rPr>
          <w:rFonts w:eastAsia="Times New Roman"/>
          <w:color w:val="000000"/>
          <w:sz w:val="20"/>
          <w:szCs w:val="20"/>
        </w:rPr>
        <w:t xml:space="preserve"> context of the contract. For these arrangements, the Company allocates the transaction price, at contract inception, to each distinct performance obligation on a relative standalone selling price basis. The primary method used to estimate standalone selli</w:t>
      </w:r>
      <w:r>
        <w:rPr>
          <w:rFonts w:eastAsia="Times New Roman"/>
          <w:color w:val="000000"/>
          <w:sz w:val="20"/>
          <w:szCs w:val="20"/>
        </w:rPr>
        <w:t xml:space="preserve">ng price is the price that the Company charges for that good or service when the Company sells it separately in similar circumstances to similar customers.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For hardware products, control is generally transferred when the customer has the ability to dire</w:t>
      </w:r>
      <w:r>
        <w:rPr>
          <w:rFonts w:eastAsia="Times New Roman"/>
          <w:color w:val="000000"/>
          <w:sz w:val="20"/>
          <w:szCs w:val="20"/>
        </w:rPr>
        <w:t xml:space="preserve">ct the use of and obtain substantially all of the remaining benefits of the products, which generally coincides with when the customer has assumed title and risk of loss of the goods sold. In certain instances, customer acceptance is required prior to the </w:t>
      </w:r>
      <w:r>
        <w:rPr>
          <w:rFonts w:eastAsia="Times New Roman"/>
          <w:color w:val="000000"/>
          <w:sz w:val="20"/>
          <w:szCs w:val="20"/>
        </w:rPr>
        <w:t>passage of title and risk of loss of the delivered products. In such cases, revenue is not recognized until the customer acceptance is obtained. Delivery, acceptance, and transfer of title and risk of loss generally occur in the same reporting period. NCR'</w:t>
      </w:r>
      <w:r>
        <w:rPr>
          <w:rFonts w:eastAsia="Times New Roman"/>
          <w:color w:val="000000"/>
          <w:sz w:val="20"/>
          <w:szCs w:val="20"/>
        </w:rPr>
        <w:t>s customers may request that delivery and passage of title and risk of loss occur on a bill and hold basis. For the period ending December 31, 2021 and 2020, the revenue recognized from bill and hold transactions was less than 1% of total revenue in both y</w:t>
      </w:r>
      <w:r>
        <w:rPr>
          <w:rFonts w:eastAsia="Times New Roman"/>
          <w:color w:val="000000"/>
          <w:sz w:val="20"/>
          <w:szCs w:val="20"/>
        </w:rPr>
        <w:t>ears. Hardware products may also be a performance obligation when included in an As-a-service package sold with software and services. In instances when hardware is a performance obligation, title is not transferred to the customer and revenue is recognize</w:t>
      </w:r>
      <w:r>
        <w:rPr>
          <w:rFonts w:eastAsia="Times New Roman"/>
          <w:color w:val="000000"/>
          <w:sz w:val="20"/>
          <w:szCs w:val="20"/>
        </w:rPr>
        <w:t>d in accordance with the lease accounting standard and depending on the terms and conditions included in the contract may be either sales-type leases or operating leases. Revenue from hardware sales-type leases is recognized at the beginning of the lease t</w:t>
      </w:r>
      <w:r>
        <w:rPr>
          <w:rFonts w:eastAsia="Times New Roman"/>
          <w:color w:val="000000"/>
          <w:sz w:val="20"/>
          <w:szCs w:val="20"/>
        </w:rPr>
        <w:t>erm and revenue from operating leases is recognized on a straight-line basis over the term of the contract.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Software products may be sold as perpetual licenses, term-based licenses, cloud-enabled and software as a service (“SaaS”). Perpetual license reve</w:t>
      </w:r>
      <w:r>
        <w:rPr>
          <w:rFonts w:eastAsia="Times New Roman"/>
          <w:color w:val="000000"/>
          <w:sz w:val="20"/>
          <w:szCs w:val="20"/>
        </w:rPr>
        <w:t>nue is recognized at a point in time when control transfers to the customer and is reported within product revenue. Control is typically transferred when the customer takes possession of, or has access to, the software. Term-based license revenue is recogn</w:t>
      </w:r>
      <w:r>
        <w:rPr>
          <w:rFonts w:eastAsia="Times New Roman"/>
          <w:color w:val="000000"/>
          <w:sz w:val="20"/>
          <w:szCs w:val="20"/>
        </w:rPr>
        <w:t>ized at a point in time upon the commencement of the committed term of the contract, concurrent with the possession of the license, and reported within product revenue. The committed term of the contract is typically one month to one year due to customer t</w:t>
      </w:r>
      <w:r>
        <w:rPr>
          <w:rFonts w:eastAsia="Times New Roman"/>
          <w:color w:val="000000"/>
          <w:sz w:val="20"/>
          <w:szCs w:val="20"/>
        </w:rPr>
        <w:t xml:space="preserve">ermination rights. If the amount of consideration the Company expects to be paid in exchange for the licenses depends on customer usage, revenue is recognized when the usage occurs. </w:t>
      </w:r>
    </w:p>
    <w:p w:rsidR="00000000" w:rsidRDefault="006F0EF5">
      <w:pPr>
        <w:jc w:val="both"/>
        <w:rPr>
          <w:rFonts w:eastAsia="Times New Roman"/>
        </w:rPr>
      </w:pPr>
    </w:p>
    <w:p w:rsidR="00000000" w:rsidRDefault="006F0EF5">
      <w:pPr>
        <w:jc w:val="center"/>
        <w:divId w:val="241070220"/>
        <w:rPr>
          <w:rFonts w:eastAsia="Times New Roman"/>
        </w:rPr>
      </w:pPr>
      <w:r>
        <w:rPr>
          <w:rFonts w:eastAsia="Times New Roman"/>
          <w:color w:val="000000"/>
          <w:sz w:val="20"/>
          <w:szCs w:val="20"/>
        </w:rPr>
        <w:t>60</w:t>
      </w:r>
    </w:p>
    <w:p w:rsidR="00000000" w:rsidRDefault="006F0EF5">
      <w:pPr>
        <w:rPr>
          <w:rFonts w:eastAsia="Times New Roman"/>
        </w:rPr>
      </w:pPr>
      <w:r>
        <w:rPr>
          <w:rFonts w:eastAsia="Times New Roman"/>
        </w:rPr>
        <w:pict>
          <v:rect id="_x0000_i1089" style="width:0;height:1.5pt" o:hralign="center" o:hrstd="t" o:hr="t" fillcolor="#a0a0a0" stroked="f"/>
        </w:pict>
      </w:r>
    </w:p>
    <w:p w:rsidR="00000000" w:rsidRDefault="006F0EF5">
      <w:pPr>
        <w:divId w:val="808787120"/>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237782398"/>
        <w:rPr>
          <w:rFonts w:eastAsia="Times New Roman"/>
        </w:rPr>
      </w:pPr>
      <w:r>
        <w:rPr>
          <w:rFonts w:eastAsia="Times New Roman"/>
          <w:b/>
          <w:bCs/>
          <w:color w:val="000000"/>
          <w:sz w:val="20"/>
          <w:szCs w:val="20"/>
        </w:rPr>
        <w:t>NCR Corporation</w:t>
      </w:r>
    </w:p>
    <w:p w:rsidR="00000000" w:rsidRDefault="006F0EF5">
      <w:pPr>
        <w:jc w:val="center"/>
        <w:divId w:val="1237782398"/>
        <w:rPr>
          <w:rFonts w:eastAsia="Times New Roman"/>
        </w:rPr>
      </w:pPr>
      <w:r>
        <w:rPr>
          <w:rFonts w:eastAsia="Times New Roman"/>
          <w:b/>
          <w:bCs/>
          <w:color w:val="000000"/>
          <w:sz w:val="20"/>
          <w:szCs w:val="20"/>
        </w:rPr>
        <w:t>Notes to Consolidated Financial Statements-(Continued)</w:t>
      </w:r>
    </w:p>
    <w:p w:rsidR="00000000" w:rsidRDefault="006F0EF5">
      <w:pPr>
        <w:jc w:val="center"/>
        <w:divId w:val="1237782398"/>
        <w:rPr>
          <w:rFonts w:eastAsia="Times New Roman"/>
        </w:rPr>
      </w:pPr>
    </w:p>
    <w:p w:rsidR="00000000" w:rsidRDefault="006F0EF5">
      <w:pPr>
        <w:jc w:val="center"/>
        <w:divId w:val="1237782398"/>
        <w:rPr>
          <w:rFonts w:eastAsia="Times New Roman"/>
        </w:rPr>
      </w:pPr>
    </w:p>
    <w:p w:rsidR="00000000" w:rsidRDefault="006F0EF5">
      <w:pPr>
        <w:divId w:val="416291677"/>
        <w:rPr>
          <w:rFonts w:eastAsia="Times New Roman"/>
        </w:rPr>
      </w:pPr>
    </w:p>
    <w:p w:rsidR="00000000" w:rsidRDefault="006F0EF5">
      <w:pPr>
        <w:jc w:val="both"/>
        <w:rPr>
          <w:rFonts w:eastAsia="Times New Roman"/>
        </w:rPr>
      </w:pPr>
      <w:r>
        <w:rPr>
          <w:rFonts w:eastAsia="Times New Roman"/>
          <w:color w:val="000000"/>
          <w:sz w:val="20"/>
          <w:szCs w:val="20"/>
        </w:rPr>
        <w:t>Software as a service primarily consists of fees to provide our customers access to our platform and cloud-based applications for a sp</w:t>
      </w:r>
      <w:r>
        <w:rPr>
          <w:rFonts w:eastAsia="Times New Roman"/>
          <w:color w:val="000000"/>
          <w:sz w:val="20"/>
          <w:szCs w:val="20"/>
        </w:rPr>
        <w:t>ecified contract term. Revenue from SaaS contracts is recognized as variable consideration directly allocated based on customer usage or on a ratable basis over the contract term beginning on the date that our service is made available to the customer. Saa</w:t>
      </w:r>
      <w:r>
        <w:rPr>
          <w:rFonts w:eastAsia="Times New Roman"/>
          <w:color w:val="000000"/>
          <w:sz w:val="20"/>
          <w:szCs w:val="20"/>
        </w:rPr>
        <w:t xml:space="preserve">S is reported as part of our services revenue.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sells some product solutions that include a combination of cloud-enabled and on-premise term-based software licenses for a specified contract term. Significant judgment is required to determine if the products and services represent distinct pr</w:t>
      </w:r>
      <w:r>
        <w:rPr>
          <w:rFonts w:eastAsia="Times New Roman"/>
          <w:color w:val="000000"/>
          <w:sz w:val="20"/>
          <w:szCs w:val="20"/>
        </w:rPr>
        <w:t xml:space="preserve">omises to the customer or if they should be combined into one performance obligation. When they are combined into one performance obligation, revenue is recognized ratably over the contract term for which the service is provided.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addition to SaaS, ou</w:t>
      </w:r>
      <w:r>
        <w:rPr>
          <w:rFonts w:eastAsia="Times New Roman"/>
          <w:color w:val="000000"/>
          <w:sz w:val="20"/>
          <w:szCs w:val="20"/>
        </w:rPr>
        <w:t>r services revenue includes professional consulting, payment processing revenue, managed services, installation and maintenance support. Professional consulting primarily consists of software implementation, integration, customization and optimization serv</w:t>
      </w:r>
      <w:r>
        <w:rPr>
          <w:rFonts w:eastAsia="Times New Roman"/>
          <w:color w:val="000000"/>
          <w:sz w:val="20"/>
          <w:szCs w:val="20"/>
        </w:rPr>
        <w:t>ices. Revenue from professional consulting contracts is recognized when the services are completed or customer acceptance of the service is received, if required. For installation and maintenance, control is transferred as the services are provided or rata</w:t>
      </w:r>
      <w:r>
        <w:rPr>
          <w:rFonts w:eastAsia="Times New Roman"/>
          <w:color w:val="000000"/>
          <w:sz w:val="20"/>
          <w:szCs w:val="20"/>
        </w:rPr>
        <w:t>bly over the service period, or, if applicable, after customer acceptance of the service. For recurring services that we perform over a contract term, we analyze if the services are performed evenly throughout the term for fixed consideration. If so, we ra</w:t>
      </w:r>
      <w:r>
        <w:rPr>
          <w:rFonts w:eastAsia="Times New Roman"/>
          <w:color w:val="000000"/>
          <w:sz w:val="20"/>
          <w:szCs w:val="20"/>
        </w:rPr>
        <w:t>tably recognize the corresponding consideration over the committed term. Otherwise, we apply the ‘as invoiced’ practical expedient, for performance obligations satisfied over time, if the amount we may invoice corresponds directly with the value to the cus</w:t>
      </w:r>
      <w:r>
        <w:rPr>
          <w:rFonts w:eastAsia="Times New Roman"/>
          <w:color w:val="000000"/>
          <w:sz w:val="20"/>
          <w:szCs w:val="20"/>
        </w:rPr>
        <w:t xml:space="preserve">tomer of the Company’s performance to date. This expedient permits us to recognize revenue in the amount we invoice the customer.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Payment processing revenue</w:t>
      </w:r>
      <w:r>
        <w:rPr>
          <w:rFonts w:eastAsia="Times New Roman"/>
          <w:i/>
          <w:iCs/>
          <w:color w:val="000000"/>
          <w:sz w:val="20"/>
          <w:szCs w:val="20"/>
        </w:rPr>
        <w:t xml:space="preserve"> </w:t>
      </w:r>
      <w:r>
        <w:rPr>
          <w:rFonts w:eastAsia="Times New Roman"/>
          <w:color w:val="000000"/>
          <w:sz w:val="20"/>
          <w:szCs w:val="20"/>
        </w:rPr>
        <w:t>includes surcharge and other fees paid by cardholders and/or the cardholder’s financial institut</w:t>
      </w:r>
      <w:r>
        <w:rPr>
          <w:rFonts w:eastAsia="Times New Roman"/>
          <w:color w:val="000000"/>
          <w:sz w:val="20"/>
          <w:szCs w:val="20"/>
        </w:rPr>
        <w:t>ions for the use processing services</w:t>
      </w:r>
      <w:r>
        <w:rPr>
          <w:rFonts w:eastAsia="Times New Roman"/>
          <w:i/>
          <w:iCs/>
          <w:color w:val="000000"/>
          <w:sz w:val="20"/>
          <w:szCs w:val="20"/>
        </w:rPr>
        <w:t xml:space="preserve">. </w:t>
      </w:r>
      <w:r>
        <w:rPr>
          <w:rFonts w:eastAsia="Times New Roman"/>
          <w:color w:val="000000"/>
          <w:sz w:val="20"/>
          <w:szCs w:val="20"/>
        </w:rPr>
        <w:t>Surcharge revenues are recognized daily as the associated transactions are processed. In addition, relative to ATM transactions, the Company typically receives a majority of the interchange fee paid by the cardholder’s</w:t>
      </w:r>
      <w:r>
        <w:rPr>
          <w:rFonts w:eastAsia="Times New Roman"/>
          <w:color w:val="000000"/>
          <w:sz w:val="20"/>
          <w:szCs w:val="20"/>
        </w:rPr>
        <w:t xml:space="preserve"> financial institution, net of the amount retained by the payment network, and recognizes the net amount received from the network as revenue. Relative to credit card processing, revenue is comprised of fees charged to the Company's customers, net of inter</w:t>
      </w:r>
      <w:r>
        <w:rPr>
          <w:rFonts w:eastAsia="Times New Roman"/>
          <w:color w:val="000000"/>
          <w:sz w:val="20"/>
          <w:szCs w:val="20"/>
        </w:rPr>
        <w:t xml:space="preserve">change fees and assessments charged by the credit card associations and payment networks, which are pass-through charges collected on behalf of the card issuers and payment networks.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Under our managed service agreements, the Company provides various for</w:t>
      </w:r>
      <w:r>
        <w:rPr>
          <w:rFonts w:eastAsia="Times New Roman"/>
          <w:color w:val="000000"/>
          <w:sz w:val="20"/>
          <w:szCs w:val="20"/>
        </w:rPr>
        <w:t xml:space="preserve">ms of services, including monitoring, cash management, cash delivery, customer service, on-screen advertising, processing and other services, under one contract package. The Company typically receives a monthly service fee, fee per transaction, or fee per </w:t>
      </w:r>
      <w:r>
        <w:rPr>
          <w:rFonts w:eastAsia="Times New Roman"/>
          <w:color w:val="000000"/>
          <w:sz w:val="20"/>
          <w:szCs w:val="20"/>
        </w:rPr>
        <w:t>service provided in return for providing the agreed-upon services. The managed services fees are recognized as the related services are provided to the customers.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also recognizes revenue related to branding arrangements and providing access t</w:t>
      </w:r>
      <w:r>
        <w:rPr>
          <w:rFonts w:eastAsia="Times New Roman"/>
          <w:color w:val="000000"/>
          <w:sz w:val="20"/>
          <w:szCs w:val="20"/>
        </w:rPr>
        <w:t>o the Company’s surcharge-free network and equipment. Customers may be charged on a per transaction basis or a fixed monthly fee. Under these arrangements, the Company is providing a series of distinct services with similar patterns of transfer to the cust</w:t>
      </w:r>
      <w:r>
        <w:rPr>
          <w:rFonts w:eastAsia="Times New Roman"/>
          <w:color w:val="000000"/>
          <w:sz w:val="20"/>
          <w:szCs w:val="20"/>
        </w:rPr>
        <w:t>omer. As a result, these arrangements create performance obligations that are satisfied over-time for which the Company has a right to consideration that corresponds directly with the value of the Company’s performance completed to date. In conjunction wit</w:t>
      </w:r>
      <w:r>
        <w:rPr>
          <w:rFonts w:eastAsia="Times New Roman"/>
          <w:color w:val="000000"/>
          <w:sz w:val="20"/>
          <w:szCs w:val="20"/>
        </w:rPr>
        <w:t>h these arrangements, the Company recognizes revenue in the amount that it has a right to receive using the 'as invoiced' practical expedient described above. Revenues are generally recognized on a ratable basis over the contract term beginning on the date</w:t>
      </w:r>
      <w:r>
        <w:rPr>
          <w:rFonts w:eastAsia="Times New Roman"/>
          <w:color w:val="000000"/>
          <w:sz w:val="20"/>
          <w:szCs w:val="20"/>
        </w:rPr>
        <w:t xml:space="preserve"> that our service is made available to the customer, except for transaction-based fee arrangements which are recognized daily as the transactions are processed. Any up-front fees associated with these arrangements are recognized ratably over the life of th</w:t>
      </w:r>
      <w:r>
        <w:rPr>
          <w:rFonts w:eastAsia="Times New Roman"/>
          <w:color w:val="000000"/>
          <w:sz w:val="20"/>
          <w:szCs w:val="20"/>
        </w:rPr>
        <w:t>e arrangement.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nature of our arrangements gives rise to several types of variable consideration including service level agreement credits, stock rotation rights, trade-in credits and volume-based rebates. At contract inception, we include this variab</w:t>
      </w:r>
      <w:r>
        <w:rPr>
          <w:rFonts w:eastAsia="Times New Roman"/>
          <w:color w:val="000000"/>
          <w:sz w:val="20"/>
          <w:szCs w:val="20"/>
        </w:rPr>
        <w:t>le consideration in our transaction price when there is a basis to reasonably estimate the amount of the fee and it is probable there will not be a significant reversal. These estimates are generally made using the expected value method and a portfolio app</w:t>
      </w:r>
      <w:r>
        <w:rPr>
          <w:rFonts w:eastAsia="Times New Roman"/>
          <w:color w:val="000000"/>
          <w:sz w:val="20"/>
          <w:szCs w:val="20"/>
        </w:rPr>
        <w:t>roach, based on historical experience, anticipated performance and our best judgment at the time. These estimates are reassessed at each reporting date. Because of our confidence in estimating these amounts, they are included in the transaction price of ou</w:t>
      </w:r>
      <w:r>
        <w:rPr>
          <w:rFonts w:eastAsia="Times New Roman"/>
          <w:color w:val="000000"/>
          <w:sz w:val="20"/>
          <w:szCs w:val="20"/>
        </w:rPr>
        <w:t>r contracts and the associated remaining performance obligations.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Payment terms with our customers are established based on industry and regional practices and generally do not exceed 30 days. We do not typically include extended payment terms in our con</w:t>
      </w:r>
      <w:r>
        <w:rPr>
          <w:rFonts w:eastAsia="Times New Roman"/>
          <w:color w:val="000000"/>
          <w:sz w:val="20"/>
          <w:szCs w:val="20"/>
        </w:rPr>
        <w:t>tracts with customers. As a practical expedient, we do not adjust the promised amount of consideration for the effects of a significant financing component when we expect, at contract inception, that the period between our transfer of a promised product or</w:t>
      </w:r>
      <w:r>
        <w:rPr>
          <w:rFonts w:eastAsia="Times New Roman"/>
          <w:color w:val="000000"/>
          <w:sz w:val="20"/>
          <w:szCs w:val="20"/>
        </w:rPr>
        <w:t xml:space="preserve"> service to a customer and when the customer pays for </w:t>
      </w:r>
    </w:p>
    <w:p w:rsidR="00000000" w:rsidRDefault="006F0EF5">
      <w:pPr>
        <w:jc w:val="center"/>
        <w:divId w:val="1389066435"/>
        <w:rPr>
          <w:rFonts w:eastAsia="Times New Roman"/>
        </w:rPr>
      </w:pPr>
      <w:r>
        <w:rPr>
          <w:rFonts w:eastAsia="Times New Roman"/>
          <w:color w:val="000000"/>
          <w:sz w:val="20"/>
          <w:szCs w:val="20"/>
        </w:rPr>
        <w:t>61</w:t>
      </w:r>
    </w:p>
    <w:p w:rsidR="00000000" w:rsidRDefault="006F0EF5">
      <w:pPr>
        <w:rPr>
          <w:rFonts w:eastAsia="Times New Roman"/>
        </w:rPr>
      </w:pPr>
      <w:r>
        <w:rPr>
          <w:rFonts w:eastAsia="Times New Roman"/>
        </w:rPr>
        <w:pict>
          <v:rect id="_x0000_i1090" style="width:0;height:1.5pt" o:hralign="center" o:hrstd="t" o:hr="t" fillcolor="#a0a0a0" stroked="f"/>
        </w:pict>
      </w:r>
    </w:p>
    <w:p w:rsidR="00000000" w:rsidRDefault="006F0EF5">
      <w:pPr>
        <w:divId w:val="113568322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187601023"/>
        <w:rPr>
          <w:rFonts w:eastAsia="Times New Roman"/>
        </w:rPr>
      </w:pPr>
      <w:r>
        <w:rPr>
          <w:rFonts w:eastAsia="Times New Roman"/>
          <w:b/>
          <w:bCs/>
          <w:color w:val="000000"/>
          <w:sz w:val="20"/>
          <w:szCs w:val="20"/>
        </w:rPr>
        <w:t>NCR Corporation</w:t>
      </w:r>
    </w:p>
    <w:p w:rsidR="00000000" w:rsidRDefault="006F0EF5">
      <w:pPr>
        <w:jc w:val="center"/>
        <w:divId w:val="1187601023"/>
        <w:rPr>
          <w:rFonts w:eastAsia="Times New Roman"/>
        </w:rPr>
      </w:pPr>
      <w:r>
        <w:rPr>
          <w:rFonts w:eastAsia="Times New Roman"/>
          <w:b/>
          <w:bCs/>
          <w:color w:val="000000"/>
          <w:sz w:val="20"/>
          <w:szCs w:val="20"/>
        </w:rPr>
        <w:t>Notes to Consolidated Financial Statements-(Continued)</w:t>
      </w:r>
    </w:p>
    <w:p w:rsidR="00000000" w:rsidRDefault="006F0EF5">
      <w:pPr>
        <w:jc w:val="center"/>
        <w:divId w:val="1187601023"/>
        <w:rPr>
          <w:rFonts w:eastAsia="Times New Roman"/>
        </w:rPr>
      </w:pPr>
    </w:p>
    <w:p w:rsidR="00000000" w:rsidRDefault="006F0EF5">
      <w:pPr>
        <w:jc w:val="center"/>
        <w:divId w:val="1187601023"/>
        <w:rPr>
          <w:rFonts w:eastAsia="Times New Roman"/>
        </w:rPr>
      </w:pPr>
    </w:p>
    <w:p w:rsidR="00000000" w:rsidRDefault="006F0EF5">
      <w:pPr>
        <w:divId w:val="991062472"/>
        <w:rPr>
          <w:rFonts w:eastAsia="Times New Roman"/>
        </w:rPr>
      </w:pPr>
    </w:p>
    <w:p w:rsidR="00000000" w:rsidRDefault="006F0EF5">
      <w:pPr>
        <w:jc w:val="both"/>
        <w:rPr>
          <w:rFonts w:eastAsia="Times New Roman"/>
        </w:rPr>
      </w:pPr>
      <w:r>
        <w:rPr>
          <w:rFonts w:eastAsia="Times New Roman"/>
          <w:color w:val="000000"/>
          <w:sz w:val="20"/>
          <w:szCs w:val="20"/>
        </w:rPr>
        <w:t>that pro</w:t>
      </w:r>
      <w:r>
        <w:rPr>
          <w:rFonts w:eastAsia="Times New Roman"/>
          <w:color w:val="000000"/>
          <w:sz w:val="20"/>
          <w:szCs w:val="20"/>
        </w:rPr>
        <w:t>duct or service will be one year or less. If the period between transfer of the promised product or service and payment is more than one year, the Company analyzes whether a significant financing component is present. If so, the Company adjusts the total c</w:t>
      </w:r>
      <w:r>
        <w:rPr>
          <w:rFonts w:eastAsia="Times New Roman"/>
          <w:color w:val="000000"/>
          <w:sz w:val="20"/>
          <w:szCs w:val="20"/>
        </w:rPr>
        <w:t>onsideration to reflect the significant financing component.</w:t>
      </w:r>
    </w:p>
    <w:p w:rsidR="00000000" w:rsidRDefault="006F0EF5">
      <w:pPr>
        <w:jc w:val="both"/>
        <w:rPr>
          <w:rFonts w:eastAsia="Times New Roman"/>
        </w:rPr>
      </w:pPr>
    </w:p>
    <w:p w:rsidR="00000000" w:rsidRDefault="006F0EF5">
      <w:pPr>
        <w:jc w:val="both"/>
        <w:divId w:val="1658920108"/>
        <w:rPr>
          <w:rFonts w:eastAsia="Times New Roman"/>
        </w:rPr>
      </w:pPr>
      <w:r>
        <w:rPr>
          <w:rFonts w:eastAsia="Times New Roman"/>
          <w:color w:val="000000"/>
          <w:sz w:val="20"/>
          <w:szCs w:val="20"/>
        </w:rPr>
        <w:t>We account for shipping and handling activities related to contracts with customers as costs to fulfill our promise to transfer the associated products, rather than as a separate performance ob</w:t>
      </w:r>
      <w:r>
        <w:rPr>
          <w:rFonts w:eastAsia="Times New Roman"/>
          <w:color w:val="000000"/>
          <w:sz w:val="20"/>
          <w:szCs w:val="20"/>
        </w:rPr>
        <w:t xml:space="preserve">ligation. Accordingly, we record amounts billed for shipping and handling costs as a component of net product sales, and classify such costs as a component of cost of products. </w:t>
      </w:r>
    </w:p>
    <w:p w:rsidR="00000000" w:rsidRDefault="006F0EF5">
      <w:pPr>
        <w:jc w:val="both"/>
        <w:rPr>
          <w:rFonts w:eastAsia="Times New Roman"/>
        </w:rPr>
      </w:pPr>
      <w:r>
        <w:rPr>
          <w:rFonts w:eastAsia="Times New Roman"/>
          <w:color w:val="000000"/>
          <w:sz w:val="20"/>
          <w:szCs w:val="20"/>
        </w:rPr>
        <w:t xml:space="preserve">In addition to the standard product warranty, the Company periodically offers </w:t>
      </w:r>
      <w:r>
        <w:rPr>
          <w:rFonts w:eastAsia="Times New Roman"/>
          <w:color w:val="000000"/>
          <w:sz w:val="20"/>
          <w:szCs w:val="20"/>
        </w:rPr>
        <w:t xml:space="preserve">extended warranties to its customers in the form of product maintenance services. For maintenance contracts that have been combined with product contracts under the revenue guidance, the Company defers revenue at an amount based on the relative standalone </w:t>
      </w:r>
      <w:r>
        <w:rPr>
          <w:rFonts w:eastAsia="Times New Roman"/>
          <w:color w:val="000000"/>
          <w:sz w:val="20"/>
          <w:szCs w:val="20"/>
        </w:rPr>
        <w:t>selling price allocation, and recognizes the deferred revenue over the service term. For non-combined maintenance contracts, NCR defers the stated amount of the separately priced service and recognizes the deferred revenue over the service term.</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Remaining Performance Obligations</w:t>
      </w:r>
      <w:r>
        <w:rPr>
          <w:rFonts w:eastAsia="Times New Roman"/>
          <w:color w:val="000000"/>
          <w:sz w:val="20"/>
          <w:szCs w:val="20"/>
        </w:rPr>
        <w:t xml:space="preserve"> Remaining performance obligations represent the transaction price of contracts for which products have not been delivered or services have not been performed. As of December 31, 2021, the aggregate amount of the transactio</w:t>
      </w:r>
      <w:r>
        <w:rPr>
          <w:rFonts w:eastAsia="Times New Roman"/>
          <w:color w:val="000000"/>
          <w:sz w:val="20"/>
          <w:szCs w:val="20"/>
        </w:rPr>
        <w:t xml:space="preserve">n price allocated to remaining performance obligations was approximately $3.7 billion. The Company expects to recognize revenue on approximately three-quarters of the remaining performance obligations over the next 12 months, with the remainder recognized </w:t>
      </w:r>
      <w:r>
        <w:rPr>
          <w:rFonts w:eastAsia="Times New Roman"/>
          <w:color w:val="000000"/>
          <w:sz w:val="20"/>
          <w:szCs w:val="20"/>
        </w:rPr>
        <w:t>thereafter. The majority of our professional services are expected to be recognized over the next 12 months, but this is contingent upon a number of factors, including customers’ needs and schedules.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has made three elections which affect the value of remaining performance obligations described above. We do not disclose remaining performance obligations for contracts where variable consideration is directly allocated based on usage or when t</w:t>
      </w:r>
      <w:r>
        <w:rPr>
          <w:rFonts w:eastAsia="Times New Roman"/>
          <w:color w:val="000000"/>
          <w:sz w:val="20"/>
          <w:szCs w:val="20"/>
        </w:rPr>
        <w:t>he original expected duration is one year or less. Additionally, we do not disclose remaining performance obligations for contracts where we recognize revenue from the satisfaction of the performance obligation in accordance with the 'right to invoice' pra</w:t>
      </w:r>
      <w:r>
        <w:rPr>
          <w:rFonts w:eastAsia="Times New Roman"/>
          <w:color w:val="000000"/>
          <w:sz w:val="20"/>
          <w:szCs w:val="20"/>
        </w:rPr>
        <w:t>ctical expedient.</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Warranty and Sales Returns</w:t>
      </w:r>
      <w:r>
        <w:rPr>
          <w:rFonts w:eastAsia="Times New Roman"/>
          <w:color w:val="000000"/>
          <w:sz w:val="20"/>
          <w:szCs w:val="20"/>
        </w:rPr>
        <w:t xml:space="preserve"> Provisions for product warranties and sales returns and allowances are recorded in the period in which NCR becomes obligated to honor the related right, which generally is the period in which the related produ</w:t>
      </w:r>
      <w:r>
        <w:rPr>
          <w:rFonts w:eastAsia="Times New Roman"/>
          <w:color w:val="000000"/>
          <w:sz w:val="20"/>
          <w:szCs w:val="20"/>
        </w:rPr>
        <w:t>ct revenue is recognized. The Company accrues warranty reserves based upon historical factors such as labor rates, average repair time, travel time, number of service calls per machine and cost of replacement parts. When a sale is consummated, a warranty r</w:t>
      </w:r>
      <w:r>
        <w:rPr>
          <w:rFonts w:eastAsia="Times New Roman"/>
          <w:color w:val="000000"/>
          <w:sz w:val="20"/>
          <w:szCs w:val="20"/>
        </w:rPr>
        <w:t xml:space="preserve">eserve is recorded based upon the estimated cost to provide the service over the warranty period. The Company accrues sales returns and allowances using percentages of revenue to reflect the Company’s historical average of sales return claims.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Research </w:t>
      </w:r>
      <w:r>
        <w:rPr>
          <w:rFonts w:eastAsia="Times New Roman"/>
          <w:b/>
          <w:bCs/>
          <w:color w:val="000000"/>
          <w:sz w:val="20"/>
          <w:szCs w:val="20"/>
        </w:rPr>
        <w:t>and Development Costs</w:t>
      </w:r>
      <w:r>
        <w:rPr>
          <w:rFonts w:eastAsia="Times New Roman"/>
          <w:color w:val="000000"/>
          <w:sz w:val="20"/>
          <w:szCs w:val="20"/>
        </w:rPr>
        <w:t xml:space="preserve"> Research and development costs primarily include payroll and benefit-related costs, contractor fees, facilities costs, infrastructure costs, and administrative expenses directly related to research and development support and are expe</w:t>
      </w:r>
      <w:r>
        <w:rPr>
          <w:rFonts w:eastAsia="Times New Roman"/>
          <w:color w:val="000000"/>
          <w:sz w:val="20"/>
          <w:szCs w:val="20"/>
        </w:rPr>
        <w:t xml:space="preserve">nsed as incurred, except certain software development costs are capitalized after technological feasibility of the software is established.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Advertising</w:t>
      </w:r>
      <w:r>
        <w:rPr>
          <w:rFonts w:eastAsia="Times New Roman"/>
          <w:color w:val="000000"/>
          <w:sz w:val="20"/>
          <w:szCs w:val="20"/>
        </w:rPr>
        <w:t xml:space="preserve"> Advertising costs are recognized in selling, general and administrative expenses when incurred.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St</w:t>
      </w:r>
      <w:r>
        <w:rPr>
          <w:rFonts w:eastAsia="Times New Roman"/>
          <w:b/>
          <w:bCs/>
          <w:color w:val="000000"/>
          <w:sz w:val="20"/>
          <w:szCs w:val="20"/>
        </w:rPr>
        <w:t>ock-based Compensation</w:t>
      </w:r>
      <w:r>
        <w:rPr>
          <w:rFonts w:eastAsia="Times New Roman"/>
          <w:color w:val="000000"/>
          <w:sz w:val="20"/>
          <w:szCs w:val="20"/>
        </w:rPr>
        <w:t xml:space="preserve"> Stock-based compensation represents the costs related to share-based awards granted to employees and non-employee directors. The Company’s outstanding stock-based compensation awards are classified as equity. The Company measures sto</w:t>
      </w:r>
      <w:r>
        <w:rPr>
          <w:rFonts w:eastAsia="Times New Roman"/>
          <w:color w:val="000000"/>
          <w:sz w:val="20"/>
          <w:szCs w:val="20"/>
        </w:rPr>
        <w:t>ck-based compensation cost at the grant date, based on the estimated fair value of the award and recognizes the cost over the requisite service period. Forfeitures are recognized as they occur. See Note 8, “Stock Compensation Plans”, for further informatio</w:t>
      </w:r>
      <w:r>
        <w:rPr>
          <w:rFonts w:eastAsia="Times New Roman"/>
          <w:color w:val="000000"/>
          <w:sz w:val="20"/>
          <w:szCs w:val="20"/>
        </w:rPr>
        <w:t>n on NCR’s stock-based compensation plans.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Income Taxes</w:t>
      </w:r>
      <w:r>
        <w:rPr>
          <w:rFonts w:eastAsia="Times New Roman"/>
          <w:color w:val="000000"/>
          <w:sz w:val="20"/>
          <w:szCs w:val="20"/>
        </w:rPr>
        <w:t xml:space="preserve"> Income tax expense is provided based on income before income taxes. Deferred income taxes reflect the impact of temporary differences between assets and liabilities recognized for financial reportin</w:t>
      </w:r>
      <w:r>
        <w:rPr>
          <w:rFonts w:eastAsia="Times New Roman"/>
          <w:color w:val="000000"/>
          <w:sz w:val="20"/>
          <w:szCs w:val="20"/>
        </w:rPr>
        <w:t>g purposes and such amounts recognized for tax purposes. These deferred taxes are determined based on the enacted tax rates expected to apply in the periods in which the deferred assets or liabilities are expected to be settled or realized. NCR records val</w:t>
      </w:r>
      <w:r>
        <w:rPr>
          <w:rFonts w:eastAsia="Times New Roman"/>
          <w:color w:val="000000"/>
          <w:sz w:val="20"/>
          <w:szCs w:val="20"/>
        </w:rPr>
        <w:t xml:space="preserve">uation allowances related to its deferred income tax assets when it is more likely than not that some portion or all of the deferred income tax assets will not be realized.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recognizes the tax benefit from an uncertain tax position only if it</w:t>
      </w:r>
      <w:r>
        <w:rPr>
          <w:rFonts w:eastAsia="Times New Roman"/>
          <w:color w:val="000000"/>
          <w:sz w:val="20"/>
          <w:szCs w:val="20"/>
        </w:rPr>
        <w:t xml:space="preserve"> is more likely than not that the tax position will be sustained on examination by the taxing authorities, based on the technical merits of the position. The tax benefits recognized in the consolidated financial statements from such a position are measured</w:t>
      </w:r>
      <w:r>
        <w:rPr>
          <w:rFonts w:eastAsia="Times New Roman"/>
          <w:color w:val="000000"/>
          <w:sz w:val="20"/>
          <w:szCs w:val="20"/>
        </w:rPr>
        <w:t xml:space="preserve"> based on the largest benefit that has a greater than fifty percent likelihood of being sustained upon examination by authorities. Interest and penalties related to uncertain tax positions are recognized as part of the provision for income taxes and are ac</w:t>
      </w:r>
      <w:r>
        <w:rPr>
          <w:rFonts w:eastAsia="Times New Roman"/>
          <w:color w:val="000000"/>
          <w:sz w:val="20"/>
          <w:szCs w:val="20"/>
        </w:rPr>
        <w:t xml:space="preserve">crued beginning in the period that </w:t>
      </w:r>
    </w:p>
    <w:p w:rsidR="00000000" w:rsidRDefault="006F0EF5">
      <w:pPr>
        <w:jc w:val="center"/>
        <w:divId w:val="288173971"/>
        <w:rPr>
          <w:rFonts w:eastAsia="Times New Roman"/>
        </w:rPr>
      </w:pPr>
      <w:r>
        <w:rPr>
          <w:rFonts w:eastAsia="Times New Roman"/>
          <w:color w:val="000000"/>
          <w:sz w:val="20"/>
          <w:szCs w:val="20"/>
        </w:rPr>
        <w:t>62</w:t>
      </w:r>
    </w:p>
    <w:p w:rsidR="00000000" w:rsidRDefault="006F0EF5">
      <w:pPr>
        <w:rPr>
          <w:rFonts w:eastAsia="Times New Roman"/>
        </w:rPr>
      </w:pPr>
      <w:r>
        <w:rPr>
          <w:rFonts w:eastAsia="Times New Roman"/>
        </w:rPr>
        <w:pict>
          <v:rect id="_x0000_i1091" style="width:0;height:1.5pt" o:hralign="center" o:hrstd="t" o:hr="t" fillcolor="#a0a0a0" stroked="f"/>
        </w:pict>
      </w:r>
    </w:p>
    <w:p w:rsidR="00000000" w:rsidRDefault="006F0EF5">
      <w:pPr>
        <w:divId w:val="8685172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379820929"/>
        <w:rPr>
          <w:rFonts w:eastAsia="Times New Roman"/>
        </w:rPr>
      </w:pPr>
      <w:r>
        <w:rPr>
          <w:rFonts w:eastAsia="Times New Roman"/>
          <w:b/>
          <w:bCs/>
          <w:color w:val="000000"/>
          <w:sz w:val="20"/>
          <w:szCs w:val="20"/>
        </w:rPr>
        <w:t>NCR Corporation</w:t>
      </w:r>
    </w:p>
    <w:p w:rsidR="00000000" w:rsidRDefault="006F0EF5">
      <w:pPr>
        <w:jc w:val="center"/>
        <w:divId w:val="1379820929"/>
        <w:rPr>
          <w:rFonts w:eastAsia="Times New Roman"/>
        </w:rPr>
      </w:pPr>
      <w:r>
        <w:rPr>
          <w:rFonts w:eastAsia="Times New Roman"/>
          <w:b/>
          <w:bCs/>
          <w:color w:val="000000"/>
          <w:sz w:val="20"/>
          <w:szCs w:val="20"/>
        </w:rPr>
        <w:t>Notes to Consolidated Financial Statements-(Continued)</w:t>
      </w:r>
    </w:p>
    <w:p w:rsidR="00000000" w:rsidRDefault="006F0EF5">
      <w:pPr>
        <w:jc w:val="center"/>
        <w:divId w:val="1379820929"/>
        <w:rPr>
          <w:rFonts w:eastAsia="Times New Roman"/>
        </w:rPr>
      </w:pPr>
    </w:p>
    <w:p w:rsidR="00000000" w:rsidRDefault="006F0EF5">
      <w:pPr>
        <w:jc w:val="center"/>
        <w:divId w:val="1379820929"/>
        <w:rPr>
          <w:rFonts w:eastAsia="Times New Roman"/>
        </w:rPr>
      </w:pPr>
    </w:p>
    <w:p w:rsidR="00000000" w:rsidRDefault="006F0EF5">
      <w:pPr>
        <w:divId w:val="1577930763"/>
        <w:rPr>
          <w:rFonts w:eastAsia="Times New Roman"/>
        </w:rPr>
      </w:pPr>
    </w:p>
    <w:p w:rsidR="00000000" w:rsidRDefault="006F0EF5">
      <w:pPr>
        <w:jc w:val="both"/>
        <w:rPr>
          <w:rFonts w:eastAsia="Times New Roman"/>
        </w:rPr>
      </w:pPr>
      <w:r>
        <w:rPr>
          <w:rFonts w:eastAsia="Times New Roman"/>
          <w:color w:val="000000"/>
          <w:sz w:val="20"/>
          <w:szCs w:val="20"/>
        </w:rPr>
        <w:t>such interest and penaltie</w:t>
      </w:r>
      <w:r>
        <w:rPr>
          <w:rFonts w:eastAsia="Times New Roman"/>
          <w:color w:val="000000"/>
          <w:sz w:val="20"/>
          <w:szCs w:val="20"/>
        </w:rPr>
        <w:t>s would be applicable under relevant tax law and until such time that the related tax benefits are recognized.</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Earnings Per Share </w:t>
      </w:r>
      <w:r>
        <w:rPr>
          <w:rFonts w:eastAsia="Times New Roman"/>
          <w:color w:val="000000"/>
          <w:sz w:val="20"/>
          <w:szCs w:val="20"/>
        </w:rPr>
        <w:t>Basic earnings per share (“EPS”) is calculated by dividing net income or loss attributable to NCR, less any dividends (decla</w:t>
      </w:r>
      <w:r>
        <w:rPr>
          <w:rFonts w:eastAsia="Times New Roman"/>
          <w:color w:val="000000"/>
          <w:sz w:val="20"/>
          <w:szCs w:val="20"/>
        </w:rPr>
        <w:t xml:space="preserve">red or cumulative undeclared), deemed dividends, accretion or decretion, redemption or induced conversion on our Series A Convertible Preferred Stock, by the weighted average number of shares outstanding during the reported period.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In computing diluted </w:t>
      </w:r>
      <w:r>
        <w:rPr>
          <w:rFonts w:eastAsia="Times New Roman"/>
          <w:color w:val="000000"/>
          <w:sz w:val="20"/>
          <w:szCs w:val="20"/>
        </w:rPr>
        <w:t>EPS, we evaluate and reflect the maximum potential dilution, for each issue or series of issues of potential common shares in sequence from the most dilutive to the least dilutive. We adjust the numerator used in the basic EPS computation, subject to anti-</w:t>
      </w:r>
      <w:r>
        <w:rPr>
          <w:rFonts w:eastAsia="Times New Roman"/>
          <w:color w:val="000000"/>
          <w:sz w:val="20"/>
          <w:szCs w:val="20"/>
        </w:rPr>
        <w:t>dilution requirements, to add back the dividends (declared or cumulative undeclared) applicable to the Series A Convertible Preferred Stock. Such add-back would also include any adjustments to equity in the period to accrete the Series A Convertible Prefer</w:t>
      </w:r>
      <w:r>
        <w:rPr>
          <w:rFonts w:eastAsia="Times New Roman"/>
          <w:color w:val="000000"/>
          <w:sz w:val="20"/>
          <w:szCs w:val="20"/>
        </w:rPr>
        <w:t>red Stock to its redemption price, or recorded upon a redemption or induced conversion. We adjust the denominator used in the basic EPS computation, subject to anti-dilution requirements, to include the dilution from potential shares resulting from the iss</w:t>
      </w:r>
      <w:r>
        <w:rPr>
          <w:rFonts w:eastAsia="Times New Roman"/>
          <w:color w:val="000000"/>
          <w:sz w:val="20"/>
          <w:szCs w:val="20"/>
        </w:rPr>
        <w:t>uance of the Series A Convertible Preferred Stock, restricted stock units, and stock options.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holders of Series A Convertible Preferred Stock, unvested restricted stock units and stock options do not have nonforfeitable rights to common stock dividen</w:t>
      </w:r>
      <w:r>
        <w:rPr>
          <w:rFonts w:eastAsia="Times New Roman"/>
          <w:color w:val="000000"/>
          <w:sz w:val="20"/>
          <w:szCs w:val="20"/>
        </w:rPr>
        <w:t>ds or common stock dividend equivalents. Accordingly, the Series A Convertible Preferred Stock, unvested restricted stock units and stock options do not qualify as participating securities. See Note 8, “Stock Compensation Plans”, for share information on N</w:t>
      </w:r>
      <w:r>
        <w:rPr>
          <w:rFonts w:eastAsia="Times New Roman"/>
          <w:color w:val="000000"/>
          <w:sz w:val="20"/>
          <w:szCs w:val="20"/>
        </w:rPr>
        <w:t>CR’s stock compensation plans.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components of basic earnings (loss) per share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21"/>
        <w:gridCol w:w="40"/>
        <w:gridCol w:w="120"/>
        <w:gridCol w:w="721"/>
        <w:gridCol w:w="36"/>
        <w:gridCol w:w="36"/>
        <w:gridCol w:w="36"/>
        <w:gridCol w:w="36"/>
        <w:gridCol w:w="120"/>
        <w:gridCol w:w="680"/>
        <w:gridCol w:w="36"/>
        <w:gridCol w:w="36"/>
        <w:gridCol w:w="36"/>
        <w:gridCol w:w="36"/>
        <w:gridCol w:w="120"/>
        <w:gridCol w:w="719"/>
        <w:gridCol w:w="36"/>
      </w:tblGrid>
      <w:tr w:rsidR="00000000">
        <w:trPr>
          <w:divId w:val="542638725"/>
          <w:jc w:val="center"/>
        </w:trPr>
        <w:tc>
          <w:tcPr>
            <w:tcW w:w="50" w:type="pct"/>
            <w:vAlign w:val="center"/>
            <w:hideMark/>
          </w:tcPr>
          <w:p w:rsidR="00000000" w:rsidRDefault="006F0EF5">
            <w:pPr>
              <w:jc w:val="both"/>
              <w:rPr>
                <w:rFonts w:eastAsia="Times New Roman"/>
              </w:rPr>
            </w:pPr>
          </w:p>
        </w:tc>
        <w:tc>
          <w:tcPr>
            <w:tcW w:w="329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6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6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6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542638725"/>
          <w:trHeight w:val="360"/>
          <w:jc w:val="center"/>
        </w:trPr>
        <w:tc>
          <w:tcPr>
            <w:tcW w:w="0" w:type="auto"/>
            <w:gridSpan w:val="3"/>
            <w:vMerge w:val="restart"/>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 except per share amounts</w:t>
            </w: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Year ended December 31</w:t>
            </w:r>
          </w:p>
        </w:tc>
      </w:tr>
      <w:tr w:rsidR="00000000">
        <w:trPr>
          <w:divId w:val="542638725"/>
          <w:trHeight w:val="360"/>
          <w:jc w:val="center"/>
        </w:trPr>
        <w:tc>
          <w:tcPr>
            <w:tcW w:w="0" w:type="auto"/>
            <w:gridSpan w:val="3"/>
            <w:vMerge/>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542638725"/>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542638725"/>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42638725"/>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Series A convertible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42638725"/>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Net income (loss) from continuing operations attributable to NCR common stockholders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42638725"/>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20"/>
                <w:szCs w:val="20"/>
              </w:rPr>
              <w:t>Loss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42638725"/>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42638725"/>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542638725"/>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542638725"/>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20"/>
                <w:szCs w:val="20"/>
              </w:rPr>
              <w:t>Basic weighted average number of shares outstanding</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128.4 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122.1 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42638725"/>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542638725"/>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Basic earnings (loss) per share: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542638725"/>
          <w:jc w:val="center"/>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From continuing operations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(0.30)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42638725"/>
          <w:jc w:val="center"/>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From 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(0.56)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(0.41)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42638725"/>
          <w:jc w:val="center"/>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Total basic earnings (loss) per share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center"/>
        <w:divId w:val="844786089"/>
        <w:rPr>
          <w:rFonts w:eastAsia="Times New Roman"/>
        </w:rPr>
      </w:pPr>
      <w:r>
        <w:rPr>
          <w:rFonts w:eastAsia="Times New Roman"/>
          <w:color w:val="000000"/>
          <w:sz w:val="20"/>
          <w:szCs w:val="20"/>
        </w:rPr>
        <w:t>63</w:t>
      </w:r>
    </w:p>
    <w:p w:rsidR="00000000" w:rsidRDefault="006F0EF5">
      <w:pPr>
        <w:rPr>
          <w:rFonts w:eastAsia="Times New Roman"/>
        </w:rPr>
      </w:pPr>
      <w:r>
        <w:rPr>
          <w:rFonts w:eastAsia="Times New Roman"/>
        </w:rPr>
        <w:pict>
          <v:rect id="_x0000_i1092" style="width:0;height:1.5pt" o:hralign="center" o:hrstd="t" o:hr="t" fillcolor="#a0a0a0" stroked="f"/>
        </w:pict>
      </w:r>
    </w:p>
    <w:p w:rsidR="00000000" w:rsidRDefault="006F0EF5">
      <w:pPr>
        <w:divId w:val="140564126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565409777"/>
        <w:rPr>
          <w:rFonts w:eastAsia="Times New Roman"/>
        </w:rPr>
      </w:pPr>
      <w:r>
        <w:rPr>
          <w:rFonts w:eastAsia="Times New Roman"/>
          <w:b/>
          <w:bCs/>
          <w:color w:val="000000"/>
          <w:sz w:val="20"/>
          <w:szCs w:val="20"/>
        </w:rPr>
        <w:t>NCR Corporation</w:t>
      </w:r>
    </w:p>
    <w:p w:rsidR="00000000" w:rsidRDefault="006F0EF5">
      <w:pPr>
        <w:jc w:val="center"/>
        <w:divId w:val="565409777"/>
        <w:rPr>
          <w:rFonts w:eastAsia="Times New Roman"/>
        </w:rPr>
      </w:pPr>
      <w:r>
        <w:rPr>
          <w:rFonts w:eastAsia="Times New Roman"/>
          <w:b/>
          <w:bCs/>
          <w:color w:val="000000"/>
          <w:sz w:val="20"/>
          <w:szCs w:val="20"/>
        </w:rPr>
        <w:t>Notes to Consolidated Financial Statements-(Continued)</w:t>
      </w:r>
    </w:p>
    <w:p w:rsidR="00000000" w:rsidRDefault="006F0EF5">
      <w:pPr>
        <w:jc w:val="center"/>
        <w:divId w:val="565409777"/>
        <w:rPr>
          <w:rFonts w:eastAsia="Times New Roman"/>
        </w:rPr>
      </w:pPr>
    </w:p>
    <w:p w:rsidR="00000000" w:rsidRDefault="006F0EF5">
      <w:pPr>
        <w:jc w:val="center"/>
        <w:divId w:val="565409777"/>
        <w:rPr>
          <w:rFonts w:eastAsia="Times New Roman"/>
        </w:rPr>
      </w:pPr>
    </w:p>
    <w:p w:rsidR="00000000" w:rsidRDefault="006F0EF5">
      <w:pPr>
        <w:divId w:val="74061956"/>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components of diluted earnings (loss) per share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33"/>
        <w:gridCol w:w="40"/>
        <w:gridCol w:w="120"/>
        <w:gridCol w:w="721"/>
        <w:gridCol w:w="36"/>
        <w:gridCol w:w="36"/>
        <w:gridCol w:w="36"/>
        <w:gridCol w:w="36"/>
        <w:gridCol w:w="120"/>
        <w:gridCol w:w="680"/>
        <w:gridCol w:w="36"/>
        <w:gridCol w:w="36"/>
        <w:gridCol w:w="36"/>
        <w:gridCol w:w="36"/>
        <w:gridCol w:w="120"/>
        <w:gridCol w:w="707"/>
        <w:gridCol w:w="36"/>
      </w:tblGrid>
      <w:tr w:rsidR="00000000">
        <w:trPr>
          <w:divId w:val="26760764"/>
          <w:jc w:val="center"/>
        </w:trPr>
        <w:tc>
          <w:tcPr>
            <w:tcW w:w="50" w:type="pct"/>
            <w:vAlign w:val="center"/>
            <w:hideMark/>
          </w:tcPr>
          <w:p w:rsidR="00000000" w:rsidRDefault="006F0EF5">
            <w:pPr>
              <w:jc w:val="both"/>
              <w:rPr>
                <w:rFonts w:eastAsia="Times New Roman"/>
              </w:rPr>
            </w:pPr>
          </w:p>
        </w:tc>
        <w:tc>
          <w:tcPr>
            <w:tcW w:w="330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6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6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6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6760764"/>
          <w:trHeight w:val="360"/>
          <w:jc w:val="center"/>
        </w:trPr>
        <w:tc>
          <w:tcPr>
            <w:tcW w:w="0" w:type="auto"/>
            <w:gridSpan w:val="3"/>
            <w:vMerge w:val="restart"/>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 except per share amounts</w:t>
            </w: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Year ended December 31</w:t>
            </w:r>
          </w:p>
        </w:tc>
      </w:tr>
      <w:tr w:rsidR="00000000">
        <w:trPr>
          <w:divId w:val="26760764"/>
          <w:trHeight w:val="360"/>
          <w:jc w:val="center"/>
        </w:trPr>
        <w:tc>
          <w:tcPr>
            <w:tcW w:w="0" w:type="auto"/>
            <w:gridSpan w:val="3"/>
            <w:vMerge/>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2676076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676076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676076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Series A convertible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676076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Net income (loss) from continuing operations attributable to NCR common stockholders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676076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20"/>
                <w:szCs w:val="20"/>
              </w:rPr>
              <w:t>Loss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676076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6760764"/>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676076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676076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20"/>
                <w:szCs w:val="20"/>
              </w:rPr>
              <w:t>Basic weighted average number of shares outstanding</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128.4 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122.1 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6760764"/>
          <w:jc w:val="center"/>
        </w:trPr>
        <w:tc>
          <w:tcPr>
            <w:tcW w:w="0" w:type="auto"/>
            <w:gridSpan w:val="3"/>
            <w:shd w:val="clear" w:color="auto" w:fill="FFFF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20"/>
                <w:szCs w:val="20"/>
              </w:rPr>
              <w:t>Dilutive effect of as-if Series A Convertible Preferred Stock</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6760764"/>
          <w:jc w:val="center"/>
        </w:trPr>
        <w:tc>
          <w:tcPr>
            <w:tcW w:w="0" w:type="auto"/>
            <w:gridSpan w:val="3"/>
            <w:shd w:val="clear" w:color="auto" w:fill="CCEEFF"/>
            <w:tcMar>
              <w:top w:w="30" w:type="dxa"/>
              <w:left w:w="245" w:type="dxa"/>
              <w:bottom w:w="30" w:type="dxa"/>
              <w:right w:w="20" w:type="dxa"/>
            </w:tcMar>
            <w:hideMark/>
          </w:tcPr>
          <w:p w:rsidR="00000000" w:rsidRDefault="006F0EF5">
            <w:pPr>
              <w:spacing w:after="100"/>
              <w:rPr>
                <w:rFonts w:eastAsia="Times New Roman"/>
              </w:rPr>
            </w:pPr>
            <w:r>
              <w:rPr>
                <w:rFonts w:eastAsia="Times New Roman"/>
                <w:color w:val="000000"/>
                <w:sz w:val="20"/>
                <w:szCs w:val="20"/>
              </w:rPr>
              <w:t>Dilutive effect of stock options and restricted stock units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676076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Weighted average diluted shares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6760764"/>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676076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Diluted earnings (loss) per share: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6760764"/>
          <w:jc w:val="center"/>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From continuing operations</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(0.30)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6760764"/>
          <w:jc w:val="center"/>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(0.56)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(0.35)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6760764"/>
          <w:jc w:val="center"/>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Total diluted earnings (loss)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778407059"/>
        <w:rPr>
          <w:rFonts w:eastAsia="Times New Roman"/>
        </w:rPr>
      </w:pPr>
    </w:p>
    <w:p w:rsidR="00000000" w:rsidRDefault="006F0EF5">
      <w:pPr>
        <w:jc w:val="both"/>
        <w:rPr>
          <w:rFonts w:eastAsia="Times New Roman"/>
        </w:rPr>
      </w:pPr>
      <w:r>
        <w:rPr>
          <w:rFonts w:eastAsia="Times New Roman"/>
          <w:color w:val="000000"/>
          <w:sz w:val="20"/>
          <w:szCs w:val="20"/>
        </w:rPr>
        <w:t xml:space="preserve">For 2021, the weighted average outstanding shares of common stock were not adjusted by 9.2 </w:t>
      </w:r>
      <w:r>
        <w:rPr>
          <w:rFonts w:eastAsia="Times New Roman"/>
          <w:color w:val="000000"/>
          <w:sz w:val="20"/>
          <w:szCs w:val="20"/>
        </w:rPr>
        <w:t>million for the as-if converted Series A Convertible Preferred Stock because the effect would be anti-dilutive. Additionally, for 2021, weighted average restricted stock units and stock options of 4.7 million were excluded from the diluted share count beca</w:t>
      </w:r>
      <w:r>
        <w:rPr>
          <w:rFonts w:eastAsia="Times New Roman"/>
          <w:color w:val="000000"/>
          <w:sz w:val="20"/>
          <w:szCs w:val="20"/>
        </w:rPr>
        <w:t>use their effect would have been anti-dilutive.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For 2020, due to the net loss attributable to NCR common stockholders, potential common shares that would cause dilution, such as Series A Convertible Preferred Stock, restricted stock units and stock o</w:t>
      </w:r>
      <w:r>
        <w:rPr>
          <w:rFonts w:eastAsia="Times New Roman"/>
          <w:color w:val="000000"/>
          <w:sz w:val="20"/>
          <w:szCs w:val="20"/>
        </w:rPr>
        <w:t>ptions, were excluded from the diluted share count because their effect would have been anti-dilutive. The weighted average outstanding shares of common stock were not adjusted by 9.1 million for the as-if converted Series A Convertible Preferred Stock bec</w:t>
      </w:r>
      <w:r>
        <w:rPr>
          <w:rFonts w:eastAsia="Times New Roman"/>
          <w:color w:val="000000"/>
          <w:sz w:val="20"/>
          <w:szCs w:val="20"/>
        </w:rPr>
        <w:t>ause the effect would have been anti-dilutive. Refer to Note 12, “Series A Convertible Preferred Stock”, for additional discussion related to the transaction impacting the Series A Convertible Preferred Stock. Additionally, for 2020, weighted average restr</w:t>
      </w:r>
      <w:r>
        <w:rPr>
          <w:rFonts w:eastAsia="Times New Roman"/>
          <w:color w:val="000000"/>
          <w:sz w:val="20"/>
          <w:szCs w:val="20"/>
        </w:rPr>
        <w:t>icted stock units and stock options of 11.2 million were excluded from the diluted share count because their effect would have been anti-dilutive.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For 2019, it is more dilutive to assume the portion of the Series A Convertible Preferred Stock that was re</w:t>
      </w:r>
      <w:r>
        <w:rPr>
          <w:rFonts w:eastAsia="Times New Roman"/>
          <w:color w:val="000000"/>
          <w:sz w:val="20"/>
          <w:szCs w:val="20"/>
        </w:rPr>
        <w:t>deemed was not converted to common stock. Therefore, weighted average outstanding shares of common stock were not adjusted by 5.7 million for the as-if converted Series A Convertible Preferred Stock that was redeemed because the effect would have been anti</w:t>
      </w:r>
      <w:r>
        <w:rPr>
          <w:rFonts w:eastAsia="Times New Roman"/>
          <w:color w:val="000000"/>
          <w:sz w:val="20"/>
          <w:szCs w:val="20"/>
        </w:rPr>
        <w:t xml:space="preserve">-dilutive. Refer to Note 12, “Series A Convertible Preferred Stock”, for additional discussion related to the transaction impacting the Series A Convertible Preferred Stock. Additionally, for 2019, weighted average restricted stock units and stock options </w:t>
      </w:r>
      <w:r>
        <w:rPr>
          <w:rFonts w:eastAsia="Times New Roman"/>
          <w:color w:val="000000"/>
          <w:sz w:val="20"/>
          <w:szCs w:val="20"/>
        </w:rPr>
        <w:t xml:space="preserve">of 4.3 million were excluded from the diluted share count because their effect would have been anti-dilutive.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Cash, Cash Equivalents, and Restricted Cash </w:t>
      </w:r>
      <w:r>
        <w:rPr>
          <w:rFonts w:eastAsia="Times New Roman"/>
          <w:color w:val="000000"/>
          <w:sz w:val="20"/>
          <w:szCs w:val="20"/>
        </w:rPr>
        <w:t>All short-term, highly liquid investments having original maturities of three months or less, inclu</w:t>
      </w:r>
      <w:r>
        <w:rPr>
          <w:rFonts w:eastAsia="Times New Roman"/>
          <w:color w:val="000000"/>
          <w:sz w:val="20"/>
          <w:szCs w:val="20"/>
        </w:rPr>
        <w:t xml:space="preserve">ding time deposits, are considered to be cash equivalents. The Company has restricted cash on deposit with a bank as collateral for letters of credit, funds held for clients as well as cash included in settlement processing assets.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reconciliation of</w:t>
      </w:r>
      <w:r>
        <w:rPr>
          <w:rFonts w:eastAsia="Times New Roman"/>
          <w:color w:val="000000"/>
          <w:sz w:val="20"/>
          <w:szCs w:val="20"/>
        </w:rPr>
        <w:t xml:space="preserve"> cash, cash equivalents and restricted cash in the Consolidated Statements of Cash Flows is as follows:</w:t>
      </w:r>
    </w:p>
    <w:p w:rsidR="00000000" w:rsidRDefault="006F0EF5">
      <w:pPr>
        <w:jc w:val="both"/>
        <w:rPr>
          <w:rFonts w:eastAsia="Times New Roman"/>
        </w:rPr>
      </w:pPr>
    </w:p>
    <w:p w:rsidR="00000000" w:rsidRDefault="006F0EF5">
      <w:pPr>
        <w:jc w:val="center"/>
        <w:divId w:val="1949310773"/>
        <w:rPr>
          <w:rFonts w:eastAsia="Times New Roman"/>
        </w:rPr>
      </w:pPr>
      <w:r>
        <w:rPr>
          <w:rFonts w:eastAsia="Times New Roman"/>
          <w:color w:val="000000"/>
          <w:sz w:val="20"/>
          <w:szCs w:val="20"/>
        </w:rPr>
        <w:t>64</w:t>
      </w:r>
    </w:p>
    <w:p w:rsidR="00000000" w:rsidRDefault="006F0EF5">
      <w:pPr>
        <w:rPr>
          <w:rFonts w:eastAsia="Times New Roman"/>
        </w:rPr>
      </w:pPr>
      <w:r>
        <w:rPr>
          <w:rFonts w:eastAsia="Times New Roman"/>
        </w:rPr>
        <w:pict>
          <v:rect id="_x0000_i1093" style="width:0;height:1.5pt" o:hralign="center" o:hrstd="t" o:hr="t" fillcolor="#a0a0a0" stroked="f"/>
        </w:pict>
      </w:r>
    </w:p>
    <w:p w:rsidR="00000000" w:rsidRDefault="006F0EF5">
      <w:pPr>
        <w:divId w:val="146187425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947957776"/>
        <w:rPr>
          <w:rFonts w:eastAsia="Times New Roman"/>
        </w:rPr>
      </w:pPr>
      <w:r>
        <w:rPr>
          <w:rFonts w:eastAsia="Times New Roman"/>
          <w:b/>
          <w:bCs/>
          <w:color w:val="000000"/>
          <w:sz w:val="20"/>
          <w:szCs w:val="20"/>
        </w:rPr>
        <w:t>NCR Corporation</w:t>
      </w:r>
    </w:p>
    <w:p w:rsidR="00000000" w:rsidRDefault="006F0EF5">
      <w:pPr>
        <w:jc w:val="center"/>
        <w:divId w:val="1947957776"/>
        <w:rPr>
          <w:rFonts w:eastAsia="Times New Roman"/>
        </w:rPr>
      </w:pPr>
      <w:r>
        <w:rPr>
          <w:rFonts w:eastAsia="Times New Roman"/>
          <w:b/>
          <w:bCs/>
          <w:color w:val="000000"/>
          <w:sz w:val="20"/>
          <w:szCs w:val="20"/>
        </w:rPr>
        <w:t>Notes to Consolidated Financial Statements-(Continued)</w:t>
      </w:r>
    </w:p>
    <w:p w:rsidR="00000000" w:rsidRDefault="006F0EF5">
      <w:pPr>
        <w:jc w:val="center"/>
        <w:divId w:val="1947957776"/>
        <w:rPr>
          <w:rFonts w:eastAsia="Times New Roman"/>
        </w:rPr>
      </w:pPr>
    </w:p>
    <w:p w:rsidR="00000000" w:rsidRDefault="006F0EF5">
      <w:pPr>
        <w:jc w:val="center"/>
        <w:divId w:val="1947957776"/>
        <w:rPr>
          <w:rFonts w:eastAsia="Times New Roman"/>
        </w:rPr>
      </w:pPr>
    </w:p>
    <w:p w:rsidR="00000000" w:rsidRDefault="006F0EF5">
      <w:pPr>
        <w:divId w:val="163547969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332"/>
        <w:gridCol w:w="37"/>
        <w:gridCol w:w="36"/>
        <w:gridCol w:w="36"/>
        <w:gridCol w:w="36"/>
        <w:gridCol w:w="47"/>
        <w:gridCol w:w="1497"/>
        <w:gridCol w:w="37"/>
        <w:gridCol w:w="36"/>
        <w:gridCol w:w="36"/>
        <w:gridCol w:w="36"/>
        <w:gridCol w:w="121"/>
        <w:gridCol w:w="831"/>
        <w:gridCol w:w="36"/>
        <w:gridCol w:w="36"/>
        <w:gridCol w:w="36"/>
        <w:gridCol w:w="36"/>
        <w:gridCol w:w="121"/>
        <w:gridCol w:w="790"/>
        <w:gridCol w:w="36"/>
        <w:gridCol w:w="36"/>
        <w:gridCol w:w="36"/>
        <w:gridCol w:w="36"/>
        <w:gridCol w:w="121"/>
        <w:gridCol w:w="793"/>
        <w:gridCol w:w="36"/>
      </w:tblGrid>
      <w:tr w:rsidR="00000000">
        <w:tc>
          <w:tcPr>
            <w:tcW w:w="50" w:type="pct"/>
            <w:vAlign w:val="center"/>
            <w:hideMark/>
          </w:tcPr>
          <w:p w:rsidR="00000000" w:rsidRDefault="006F0EF5">
            <w:pPr>
              <w:rPr>
                <w:rFonts w:eastAsia="Times New Roman"/>
              </w:rPr>
            </w:pPr>
          </w:p>
        </w:tc>
        <w:tc>
          <w:tcPr>
            <w:tcW w:w="203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96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Balance Sheet Location</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2019</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447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Long term restricted cash</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Other assets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Funds held for client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Restricted cash</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w:t>
            </w:r>
            <w:r>
              <w:rPr>
                <w:rFonts w:eastAsia="Times New Roman"/>
                <w:color w:val="000000"/>
                <w:sz w:val="20"/>
                <w:szCs w:val="20"/>
              </w:rPr>
              <w:t>Cash included in settlement processing assets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divId w:val="472020254"/>
        <w:rPr>
          <w:rFonts w:eastAsia="Times New Roman"/>
        </w:rPr>
      </w:pPr>
      <w:r>
        <w:rPr>
          <w:rFonts w:eastAsia="Times New Roman"/>
          <w:b/>
          <w:bCs/>
          <w:color w:val="000000"/>
          <w:sz w:val="20"/>
          <w:szCs w:val="20"/>
        </w:rPr>
        <w:t xml:space="preserve">ATM Cash Management Program </w:t>
      </w:r>
      <w:r>
        <w:rPr>
          <w:rFonts w:eastAsia="Times New Roman"/>
          <w:color w:val="000000"/>
          <w:sz w:val="20"/>
          <w:szCs w:val="20"/>
        </w:rPr>
        <w:t>The acquired Cardtronics business includes the operation of ATMs under Company-owned ATM placements, merchant-owned ATM placements, and managed services.</w:t>
      </w:r>
      <w:r>
        <w:rPr>
          <w:rFonts w:eastAsia="Times New Roman"/>
          <w:b/>
          <w:bCs/>
          <w:color w:val="000000"/>
          <w:sz w:val="20"/>
          <w:szCs w:val="20"/>
        </w:rPr>
        <w:t xml:space="preserve"> </w:t>
      </w:r>
      <w:r>
        <w:rPr>
          <w:rFonts w:eastAsia="Times New Roman"/>
          <w:color w:val="000000"/>
          <w:sz w:val="20"/>
          <w:szCs w:val="20"/>
        </w:rPr>
        <w:t>The Company relies on arrangements with various banks to provide the cash that it uses to fill its Com</w:t>
      </w:r>
      <w:r>
        <w:rPr>
          <w:rFonts w:eastAsia="Times New Roman"/>
          <w:color w:val="000000"/>
          <w:sz w:val="20"/>
          <w:szCs w:val="20"/>
        </w:rPr>
        <w:t xml:space="preserve">pany-owned, and in some cases merchant-owned and managed services ATMs. The Company refers to such cash as “vault cash”. The Company pays a monthly rental fee based on the average outstanding vault cash balance, as well as fees related to the bundling and </w:t>
      </w:r>
      <w:r>
        <w:rPr>
          <w:rFonts w:eastAsia="Times New Roman"/>
          <w:color w:val="000000"/>
          <w:sz w:val="20"/>
          <w:szCs w:val="20"/>
        </w:rPr>
        <w:t xml:space="preserve">preparation of such cash prior to it being loaded in the ATMs. At all times, beneficial ownership of the cash is retained by the vault cash providers and the Company has no right or access to the cash except for the ATMs that are serviced by the Company's </w:t>
      </w:r>
      <w:r>
        <w:rPr>
          <w:rFonts w:eastAsia="Times New Roman"/>
          <w:color w:val="000000"/>
          <w:sz w:val="20"/>
          <w:szCs w:val="20"/>
        </w:rPr>
        <w:t>wholly-owned cash-in-transit operations in the United Kingdom. While the United Kingdom cash-in-transit operations have physical access to the cash loaded in the ATMs, beneficial ownership of that cash remains with the vault cash provider at all times. The</w:t>
      </w:r>
      <w:r>
        <w:rPr>
          <w:rFonts w:eastAsia="Times New Roman"/>
          <w:color w:val="000000"/>
          <w:sz w:val="20"/>
          <w:szCs w:val="20"/>
        </w:rPr>
        <w:t xml:space="preserve"> Company's vault cash arrangements expire at various times through December 2025. Based on the foregoing, the ATM vault cash, and the related obligations, are not reflected in the consolidated financial statements. The average outstanding vault cash balanc</w:t>
      </w:r>
      <w:r>
        <w:rPr>
          <w:rFonts w:eastAsia="Times New Roman"/>
          <w:color w:val="000000"/>
          <w:sz w:val="20"/>
          <w:szCs w:val="20"/>
        </w:rPr>
        <w:t xml:space="preserve">e in the Company's ATMs for the year ended December 31, 2021 was approximately $4.4 billion. </w:t>
      </w:r>
    </w:p>
    <w:p w:rsidR="00000000" w:rsidRDefault="006F0EF5">
      <w:pPr>
        <w:jc w:val="both"/>
        <w:divId w:val="741683137"/>
        <w:rPr>
          <w:rFonts w:eastAsia="Times New Roman"/>
        </w:rPr>
      </w:pPr>
      <w:r>
        <w:rPr>
          <w:rFonts w:eastAsia="Times New Roman"/>
          <w:b/>
          <w:bCs/>
          <w:color w:val="000000"/>
          <w:sz w:val="20"/>
          <w:szCs w:val="20"/>
        </w:rPr>
        <w:t xml:space="preserve">Accounts Receivable, net </w:t>
      </w:r>
      <w:r>
        <w:rPr>
          <w:rFonts w:eastAsia="Times New Roman"/>
          <w:color w:val="000000"/>
          <w:sz w:val="20"/>
          <w:szCs w:val="20"/>
        </w:rPr>
        <w:t xml:space="preserve">Accounts receivable, net includes amounts billed and currently due from customers as well as amounts unbilled that typically result from </w:t>
      </w:r>
      <w:r>
        <w:rPr>
          <w:rFonts w:eastAsia="Times New Roman"/>
          <w:color w:val="000000"/>
          <w:sz w:val="20"/>
          <w:szCs w:val="20"/>
        </w:rPr>
        <w:t xml:space="preserve">sales under contracts where revenue recognized exceeds the amount billed to the customer and where the Company has an unconditional right to consideration. The amounts due are stated at their net estimated realizable value. </w:t>
      </w:r>
    </w:p>
    <w:p w:rsidR="00000000" w:rsidRDefault="006F0EF5">
      <w:pPr>
        <w:jc w:val="both"/>
        <w:rPr>
          <w:rFonts w:eastAsia="Times New Roman"/>
        </w:rPr>
      </w:pPr>
      <w:r>
        <w:rPr>
          <w:rFonts w:eastAsia="Times New Roman"/>
          <w:b/>
          <w:bCs/>
          <w:color w:val="000000"/>
          <w:sz w:val="20"/>
          <w:szCs w:val="20"/>
        </w:rPr>
        <w:t xml:space="preserve">Allowance for Credit Losses on </w:t>
      </w:r>
      <w:r>
        <w:rPr>
          <w:rFonts w:eastAsia="Times New Roman"/>
          <w:b/>
          <w:bCs/>
          <w:color w:val="000000"/>
          <w:sz w:val="20"/>
          <w:szCs w:val="20"/>
        </w:rPr>
        <w:t>Accounts Receivable</w:t>
      </w:r>
      <w:r>
        <w:rPr>
          <w:rFonts w:eastAsia="Times New Roman"/>
          <w:color w:val="000000"/>
          <w:sz w:val="20"/>
          <w:szCs w:val="20"/>
        </w:rPr>
        <w:t xml:space="preserve"> Allowances for credit losses on accounts receivable are recognized when reasonable and supportable forecasts affect the expected collectability. This requires us to make our best estimate of the current expected losses inherent in our a</w:t>
      </w:r>
      <w:r>
        <w:rPr>
          <w:rFonts w:eastAsia="Times New Roman"/>
          <w:color w:val="000000"/>
          <w:sz w:val="20"/>
          <w:szCs w:val="20"/>
        </w:rPr>
        <w:t>ccounts receivable at each balance sheet date. These estimates require consideration of historical loss experience, adjusted for current conditions, forward looking indicators, trends in customer payment frequency and judgments about the probable effects o</w:t>
      </w:r>
      <w:r>
        <w:rPr>
          <w:rFonts w:eastAsia="Times New Roman"/>
          <w:color w:val="000000"/>
          <w:sz w:val="20"/>
          <w:szCs w:val="20"/>
        </w:rPr>
        <w:t>f relevant observable data, including present and future economic conditions and the financial health of specific customers and market sectors. This policy is applied consistently among all of our operating segments.</w:t>
      </w:r>
    </w:p>
    <w:p w:rsidR="00000000" w:rsidRDefault="006F0EF5">
      <w:pPr>
        <w:jc w:val="both"/>
        <w:divId w:val="449469525"/>
        <w:rPr>
          <w:rFonts w:eastAsia="Times New Roman"/>
        </w:rPr>
      </w:pPr>
      <w:r>
        <w:rPr>
          <w:rFonts w:eastAsia="Times New Roman"/>
          <w:color w:val="000000"/>
          <w:sz w:val="20"/>
          <w:szCs w:val="20"/>
        </w:rPr>
        <w:t>Our allowance for credit losses as of D</w:t>
      </w:r>
      <w:r>
        <w:rPr>
          <w:rFonts w:eastAsia="Times New Roman"/>
          <w:color w:val="000000"/>
          <w:sz w:val="20"/>
          <w:szCs w:val="20"/>
        </w:rPr>
        <w:t>ecember 31, 2021 and December 31, 2020 was $24 million and $51 million, respectively. We continue to evaluate our reserves in light of the age and quality of our outstanding accounts receivable, risks to specific industries or countries, as well as the COV</w:t>
      </w:r>
      <w:r>
        <w:rPr>
          <w:rFonts w:eastAsia="Times New Roman"/>
          <w:color w:val="000000"/>
          <w:sz w:val="20"/>
          <w:szCs w:val="20"/>
        </w:rPr>
        <w:t>ID-19 pandemic, and adjust the reserves accordingly. For the years ending, December 31, 2021 and December 31, 2020, our allowance for credit losses charged to expense was $2 million and $33 million, respectively. We increased our allowance for credit losse</w:t>
      </w:r>
      <w:r>
        <w:rPr>
          <w:rFonts w:eastAsia="Times New Roman"/>
          <w:color w:val="000000"/>
          <w:sz w:val="20"/>
          <w:szCs w:val="20"/>
        </w:rPr>
        <w:t xml:space="preserve">s for the year ended December 31, 2020 by $10 million based upon forecasts that reflected increased economic uncertainty resulting from the COVID-19 pandemic. The Company recorded $29 million and $26 million of write-offs against the reserve for the years </w:t>
      </w:r>
      <w:r>
        <w:rPr>
          <w:rFonts w:eastAsia="Times New Roman"/>
          <w:color w:val="000000"/>
          <w:sz w:val="20"/>
          <w:szCs w:val="20"/>
        </w:rPr>
        <w:t xml:space="preserve">ending December 31, 2021 and December 31, 2020, respectively.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Inventories</w:t>
      </w:r>
      <w:r>
        <w:rPr>
          <w:rFonts w:eastAsia="Times New Roman"/>
          <w:color w:val="000000"/>
          <w:sz w:val="20"/>
          <w:szCs w:val="20"/>
        </w:rPr>
        <w:t xml:space="preserve"> Inventories are stated at the lower of cost or net realizable value, using the average cost method. Cost includes materials, labor and manufacturing overhead related to the purcha</w:t>
      </w:r>
      <w:r>
        <w:rPr>
          <w:rFonts w:eastAsia="Times New Roman"/>
          <w:color w:val="000000"/>
          <w:sz w:val="20"/>
          <w:szCs w:val="20"/>
        </w:rPr>
        <w:t>se and production of inventories. Service parts are included in inventories and include reworkable and non-reworkable service parts. The Company regularly reviews inventory quantities on hand, future purchase commitments with suppliers and the estimated ut</w:t>
      </w:r>
      <w:r>
        <w:rPr>
          <w:rFonts w:eastAsia="Times New Roman"/>
          <w:color w:val="000000"/>
          <w:sz w:val="20"/>
          <w:szCs w:val="20"/>
        </w:rPr>
        <w:t>ility of inventory. If the review indicates a reduction in utility below carrying value, inventory is reduced to a new cost basis. Excess and obsolete write-offs are established based on forecasted usage, orders, technological obsolescence and inventory ag</w:t>
      </w:r>
      <w:r>
        <w:rPr>
          <w:rFonts w:eastAsia="Times New Roman"/>
          <w:color w:val="000000"/>
          <w:sz w:val="20"/>
          <w:szCs w:val="20"/>
        </w:rPr>
        <w:t xml:space="preserve">ing.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Contract Assets and Liabilities </w:t>
      </w:r>
      <w:r>
        <w:rPr>
          <w:rFonts w:eastAsia="Times New Roman"/>
          <w:color w:val="000000"/>
          <w:sz w:val="20"/>
          <w:szCs w:val="20"/>
        </w:rPr>
        <w:t>Contract assets include unbilled amounts where the right to payment is not solely subject to the passage of time. Amounts may not exceed their net realizable value. Contract liabilities consist of advance payments, b</w:t>
      </w:r>
      <w:r>
        <w:rPr>
          <w:rFonts w:eastAsia="Times New Roman"/>
          <w:color w:val="000000"/>
          <w:sz w:val="20"/>
          <w:szCs w:val="20"/>
        </w:rPr>
        <w:t xml:space="preserve">illings in excess of revenue recognized and deferred revenue.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Our contract assets and liabilities are reported in a net position on a contract-by-contract basis at the end of each reporting period. If the net position is a contract asset, the current po</w:t>
      </w:r>
      <w:r>
        <w:rPr>
          <w:rFonts w:eastAsia="Times New Roman"/>
          <w:color w:val="000000"/>
          <w:sz w:val="20"/>
          <w:szCs w:val="20"/>
        </w:rPr>
        <w:t xml:space="preserve">rtion is included in Other current assets and the non-current portion is </w:t>
      </w:r>
    </w:p>
    <w:p w:rsidR="00000000" w:rsidRDefault="006F0EF5">
      <w:pPr>
        <w:jc w:val="center"/>
        <w:divId w:val="1225409674"/>
        <w:rPr>
          <w:rFonts w:eastAsia="Times New Roman"/>
        </w:rPr>
      </w:pPr>
      <w:r>
        <w:rPr>
          <w:rFonts w:eastAsia="Times New Roman"/>
          <w:color w:val="000000"/>
          <w:sz w:val="20"/>
          <w:szCs w:val="20"/>
        </w:rPr>
        <w:t>65</w:t>
      </w:r>
    </w:p>
    <w:p w:rsidR="00000000" w:rsidRDefault="006F0EF5">
      <w:pPr>
        <w:rPr>
          <w:rFonts w:eastAsia="Times New Roman"/>
        </w:rPr>
      </w:pPr>
      <w:r>
        <w:rPr>
          <w:rFonts w:eastAsia="Times New Roman"/>
        </w:rPr>
        <w:pict>
          <v:rect id="_x0000_i1094" style="width:0;height:1.5pt" o:hralign="center" o:hrstd="t" o:hr="t" fillcolor="#a0a0a0" stroked="f"/>
        </w:pict>
      </w:r>
    </w:p>
    <w:p w:rsidR="00000000" w:rsidRDefault="006F0EF5">
      <w:pPr>
        <w:divId w:val="934051660"/>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221592332"/>
        <w:rPr>
          <w:rFonts w:eastAsia="Times New Roman"/>
        </w:rPr>
      </w:pPr>
      <w:r>
        <w:rPr>
          <w:rFonts w:eastAsia="Times New Roman"/>
          <w:b/>
          <w:bCs/>
          <w:color w:val="000000"/>
          <w:sz w:val="20"/>
          <w:szCs w:val="20"/>
        </w:rPr>
        <w:t>NCR Corporation</w:t>
      </w:r>
    </w:p>
    <w:p w:rsidR="00000000" w:rsidRDefault="006F0EF5">
      <w:pPr>
        <w:jc w:val="center"/>
        <w:divId w:val="1221592332"/>
        <w:rPr>
          <w:rFonts w:eastAsia="Times New Roman"/>
        </w:rPr>
      </w:pPr>
      <w:r>
        <w:rPr>
          <w:rFonts w:eastAsia="Times New Roman"/>
          <w:b/>
          <w:bCs/>
          <w:color w:val="000000"/>
          <w:sz w:val="20"/>
          <w:szCs w:val="20"/>
        </w:rPr>
        <w:t>Notes to Consolidated Financial Statements-(Conti</w:t>
      </w:r>
      <w:r>
        <w:rPr>
          <w:rFonts w:eastAsia="Times New Roman"/>
          <w:b/>
          <w:bCs/>
          <w:color w:val="000000"/>
          <w:sz w:val="20"/>
          <w:szCs w:val="20"/>
        </w:rPr>
        <w:t>nued)</w:t>
      </w:r>
    </w:p>
    <w:p w:rsidR="00000000" w:rsidRDefault="006F0EF5">
      <w:pPr>
        <w:jc w:val="center"/>
        <w:divId w:val="1221592332"/>
        <w:rPr>
          <w:rFonts w:eastAsia="Times New Roman"/>
        </w:rPr>
      </w:pPr>
    </w:p>
    <w:p w:rsidR="00000000" w:rsidRDefault="006F0EF5">
      <w:pPr>
        <w:jc w:val="center"/>
        <w:divId w:val="1221592332"/>
        <w:rPr>
          <w:rFonts w:eastAsia="Times New Roman"/>
        </w:rPr>
      </w:pPr>
    </w:p>
    <w:p w:rsidR="00000000" w:rsidRDefault="006F0EF5">
      <w:pPr>
        <w:divId w:val="989678182"/>
        <w:rPr>
          <w:rFonts w:eastAsia="Times New Roman"/>
        </w:rPr>
      </w:pPr>
    </w:p>
    <w:p w:rsidR="00000000" w:rsidRDefault="006F0EF5">
      <w:pPr>
        <w:jc w:val="both"/>
        <w:rPr>
          <w:rFonts w:eastAsia="Times New Roman"/>
        </w:rPr>
      </w:pPr>
      <w:r>
        <w:rPr>
          <w:rFonts w:eastAsia="Times New Roman"/>
          <w:color w:val="000000"/>
          <w:sz w:val="20"/>
          <w:szCs w:val="20"/>
        </w:rPr>
        <w:t>included in Other assets in the Consolidated Balance Sheet. If the net position is a contract liability, the current portion is included in Contract liabilities and the non-current portion is included in Other liabilities in the Consolidated Ba</w:t>
      </w:r>
      <w:r>
        <w:rPr>
          <w:rFonts w:eastAsia="Times New Roman"/>
          <w:color w:val="000000"/>
          <w:sz w:val="20"/>
          <w:szCs w:val="20"/>
        </w:rPr>
        <w:t>lance Sheet.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presents the net contract asset and contract liability balances: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4234"/>
        <w:gridCol w:w="36"/>
        <w:gridCol w:w="46"/>
        <w:gridCol w:w="1633"/>
        <w:gridCol w:w="36"/>
        <w:gridCol w:w="36"/>
        <w:gridCol w:w="36"/>
        <w:gridCol w:w="36"/>
        <w:gridCol w:w="121"/>
        <w:gridCol w:w="873"/>
        <w:gridCol w:w="36"/>
        <w:gridCol w:w="36"/>
        <w:gridCol w:w="36"/>
        <w:gridCol w:w="36"/>
        <w:gridCol w:w="121"/>
        <w:gridCol w:w="873"/>
        <w:gridCol w:w="36"/>
      </w:tblGrid>
      <w:tr w:rsidR="00000000">
        <w:trPr>
          <w:divId w:val="1514807080"/>
          <w:jc w:val="center"/>
        </w:trPr>
        <w:tc>
          <w:tcPr>
            <w:tcW w:w="50" w:type="pct"/>
            <w:vAlign w:val="center"/>
            <w:hideMark/>
          </w:tcPr>
          <w:p w:rsidR="00000000" w:rsidRDefault="006F0EF5">
            <w:pPr>
              <w:jc w:val="both"/>
              <w:rPr>
                <w:rFonts w:eastAsia="Times New Roman"/>
              </w:rPr>
            </w:pPr>
          </w:p>
        </w:tc>
        <w:tc>
          <w:tcPr>
            <w:tcW w:w="256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00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6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6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514807080"/>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Location in the Consolidated Balance Sheet</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r>
      <w:tr w:rsidR="00000000">
        <w:trPr>
          <w:divId w:val="1514807080"/>
          <w:jc w:val="center"/>
        </w:trPr>
        <w:tc>
          <w:tcPr>
            <w:tcW w:w="0" w:type="auto"/>
            <w:gridSpan w:val="3"/>
            <w:vAlign w:val="center"/>
            <w:hideMark/>
          </w:tcPr>
          <w:p w:rsidR="00000000" w:rsidRDefault="006F0EF5">
            <w:pPr>
              <w:spacing w:after="100"/>
              <w:jc w:val="center"/>
              <w:rPr>
                <w:rFonts w:eastAsia="Times New Roman"/>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151480708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Current portion of contract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Contract liabilities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1480708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Non-current portion of contract liabilities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During the twelve months ended December 31, 2021 and 2020, the Company recognized $447 million and $407 </w:t>
      </w:r>
      <w:r>
        <w:rPr>
          <w:rFonts w:eastAsia="Times New Roman"/>
          <w:color w:val="000000"/>
          <w:sz w:val="20"/>
          <w:szCs w:val="20"/>
        </w:rPr>
        <w:t xml:space="preserve">million, respectively, in revenue that was included in contract liabilities as of December 31, 2020 and 2019, respectively.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Deferred Commissions </w:t>
      </w:r>
      <w:r>
        <w:rPr>
          <w:rFonts w:eastAsia="Times New Roman"/>
          <w:color w:val="000000"/>
          <w:sz w:val="20"/>
          <w:szCs w:val="20"/>
        </w:rPr>
        <w:t>Our incremental costs of obtaining a contract, which consist of certain sales commissions, primarily for our</w:t>
      </w:r>
      <w:r>
        <w:rPr>
          <w:rFonts w:eastAsia="Times New Roman"/>
          <w:color w:val="000000"/>
          <w:sz w:val="20"/>
          <w:szCs w:val="20"/>
        </w:rPr>
        <w:t xml:space="preserve"> SaaS revenue, are deferred and amortized on a straight-line basis over the period of expected benefit. We determined the period of expected benefit by taking into consideration customer contracts, the estimated life of the customer relationship, including</w:t>
      </w:r>
      <w:r>
        <w:rPr>
          <w:rFonts w:eastAsia="Times New Roman"/>
          <w:color w:val="000000"/>
          <w:sz w:val="20"/>
          <w:szCs w:val="20"/>
        </w:rPr>
        <w:t xml:space="preserve"> renewals when the renewal commission is not commensurate with the initial commission, the expected life of the underlying technology and other factors. We classify deferred commissions as current or non-current based on the timing of when we expect to rec</w:t>
      </w:r>
      <w:r>
        <w:rPr>
          <w:rFonts w:eastAsia="Times New Roman"/>
          <w:color w:val="000000"/>
          <w:sz w:val="20"/>
          <w:szCs w:val="20"/>
        </w:rPr>
        <w:t>ognize the expense. The current and non-current portions of deferred commissions are included in Other current assets and Other assets, respectively, in the Consolidated Balance Sheets. Amortization of deferred commissions is included in Selling, general a</w:t>
      </w:r>
      <w:r>
        <w:rPr>
          <w:rFonts w:eastAsia="Times New Roman"/>
          <w:color w:val="000000"/>
          <w:sz w:val="20"/>
          <w:szCs w:val="20"/>
        </w:rPr>
        <w:t>nd administrative expenses in the Consolidated Statements of Operations.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Set-up Fees and Costs </w:t>
      </w:r>
      <w:r>
        <w:rPr>
          <w:rFonts w:eastAsia="Times New Roman"/>
          <w:color w:val="000000"/>
          <w:sz w:val="20"/>
          <w:szCs w:val="20"/>
        </w:rPr>
        <w:t>Fees for the design, configuration, implementation and installation related to the software applications that are provided as a service are recognized over the</w:t>
      </w:r>
      <w:r>
        <w:rPr>
          <w:rFonts w:eastAsia="Times New Roman"/>
          <w:color w:val="000000"/>
          <w:sz w:val="20"/>
          <w:szCs w:val="20"/>
        </w:rPr>
        <w:t xml:space="preserve"> contract term, which is generally 5 years. The related costs incurred that are determined to be incremental and recoverable contract-specific costs are deferred and amortized over the period of benefit, which is generally 7 years.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Settlement Processing</w:t>
      </w:r>
      <w:r>
        <w:rPr>
          <w:rFonts w:eastAsia="Times New Roman"/>
          <w:b/>
          <w:bCs/>
          <w:color w:val="000000"/>
          <w:sz w:val="20"/>
          <w:szCs w:val="20"/>
        </w:rPr>
        <w:t xml:space="preserve"> Assets and Obligations</w:t>
      </w:r>
      <w:r>
        <w:rPr>
          <w:rFonts w:eastAsia="Times New Roman"/>
          <w:color w:val="000000"/>
          <w:sz w:val="20"/>
          <w:szCs w:val="20"/>
        </w:rPr>
        <w:t xml:space="preserve"> Funds settlement refers to the process of transferring funds for sales and credits between card issuers and merchants and, for ATM transactions, between card issuers and merchants or financial institutions. Depending on the type of </w:t>
      </w:r>
      <w:r>
        <w:rPr>
          <w:rFonts w:eastAsia="Times New Roman"/>
          <w:color w:val="000000"/>
          <w:sz w:val="20"/>
          <w:szCs w:val="20"/>
        </w:rPr>
        <w:t>transaction, either the credit card interchange system or the debit network is used to transfer the information and funds in either direction between the sponsoring bank and card issuing bank to complete the link between merchants or financial institutions</w:t>
      </w:r>
      <w:r>
        <w:rPr>
          <w:rFonts w:eastAsia="Times New Roman"/>
          <w:color w:val="000000"/>
          <w:sz w:val="20"/>
          <w:szCs w:val="20"/>
        </w:rPr>
        <w:t xml:space="preserve"> and card issuers. In certain of our processing arrangements, merchant funding occurs after the sponsoring bank or the Company receives the funds from the card issuer through the card networks, creating a settlement obligation to the merchant or financial </w:t>
      </w:r>
      <w:r>
        <w:rPr>
          <w:rFonts w:eastAsia="Times New Roman"/>
          <w:color w:val="000000"/>
          <w:sz w:val="20"/>
          <w:szCs w:val="20"/>
        </w:rPr>
        <w:t>institution on the Company’s Consolidated Balance Sheet. In a limited number of other arrangements, the sponsoring bank funds the merchants before it receives the net settlement funds from the card networks, creating a settlement asset on the Company’s Con</w:t>
      </w:r>
      <w:r>
        <w:rPr>
          <w:rFonts w:eastAsia="Times New Roman"/>
          <w:color w:val="000000"/>
          <w:sz w:val="20"/>
          <w:szCs w:val="20"/>
        </w:rPr>
        <w:t>solidated Balance Sheet. Additionally, relative to credit card transactions, certain of the Company’s sponsoring banks collect the gross revenue from the merchants, pay the interchange fees and assessments to the credit card associations, collect their fee</w:t>
      </w:r>
      <w:r>
        <w:rPr>
          <w:rFonts w:eastAsia="Times New Roman"/>
          <w:color w:val="000000"/>
          <w:sz w:val="20"/>
          <w:szCs w:val="20"/>
        </w:rPr>
        <w:t>s for processing and pay the Company a net residual payment representing the Company’s fees for the services. In these instances, the Company does not reflect the related settlement processing assets and obligations in its Consolidated Balance Sheet.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Set</w:t>
      </w:r>
      <w:r>
        <w:rPr>
          <w:rFonts w:eastAsia="Times New Roman"/>
          <w:color w:val="000000"/>
          <w:sz w:val="20"/>
          <w:szCs w:val="20"/>
        </w:rPr>
        <w:t>tlement processing assets consist of settlement assets due from customers and receivables from merchants corresponding to the discount fee related to reimbursement of the interchange expense, our receivables from the processing bank or Electronic Funds Tra</w:t>
      </w:r>
      <w:r>
        <w:rPr>
          <w:rFonts w:eastAsia="Times New Roman"/>
          <w:color w:val="000000"/>
          <w:sz w:val="20"/>
          <w:szCs w:val="20"/>
        </w:rPr>
        <w:t>nsfer (“EFT”) network for transactions that have occurred and have been funded to merchants or financial institutions in advance of receipt of card association funding, restricted cash balances that are not yet due to merchants or financial institutions, m</w:t>
      </w:r>
      <w:r>
        <w:rPr>
          <w:rFonts w:eastAsia="Times New Roman"/>
          <w:color w:val="000000"/>
          <w:sz w:val="20"/>
          <w:szCs w:val="20"/>
        </w:rPr>
        <w:t>erchant reserves held, sponsoring bank reserves and exception items, such as customer chargeback amounts receivable from merchants. Settlement processing obligations consist primarily of merchant reserves, our liability to the processing bank or merchant f</w:t>
      </w:r>
      <w:r>
        <w:rPr>
          <w:rFonts w:eastAsia="Times New Roman"/>
          <w:color w:val="000000"/>
          <w:sz w:val="20"/>
          <w:szCs w:val="20"/>
        </w:rPr>
        <w:t>or transactions for which we have received funding from the members or networks but have not funded merchants or financial institutions as well as certain exception items. Settlement processing assets other than restricted cash are recorded within Other cu</w:t>
      </w:r>
      <w:r>
        <w:rPr>
          <w:rFonts w:eastAsia="Times New Roman"/>
          <w:color w:val="000000"/>
          <w:sz w:val="20"/>
          <w:szCs w:val="20"/>
        </w:rPr>
        <w:t xml:space="preserve">rrent assets and settlement processing liabilities are recorded within Settlement liabilities in the Consolidated Balance Sheet. Cash related to settlement processing is recorded within Restricted cash in the Consolidated Balance Sheet. As of December 31, </w:t>
      </w:r>
      <w:r>
        <w:rPr>
          <w:rFonts w:eastAsia="Times New Roman"/>
          <w:color w:val="000000"/>
          <w:sz w:val="20"/>
          <w:szCs w:val="20"/>
        </w:rPr>
        <w:t>2021 and 2020, settlement processing assets were $287 million and $33 million, respectively, and settlement processing liabilities were $263 million and $31 million, respectively. Settlement receivables are generally collected within four business days. Se</w:t>
      </w:r>
      <w:r>
        <w:rPr>
          <w:rFonts w:eastAsia="Times New Roman"/>
          <w:color w:val="000000"/>
          <w:sz w:val="20"/>
          <w:szCs w:val="20"/>
        </w:rPr>
        <w:t>ttlement obligations are generally paid within three business days, regardless of when the related settlement receivables are collected.</w:t>
      </w:r>
    </w:p>
    <w:p w:rsidR="00000000" w:rsidRDefault="006F0EF5">
      <w:pPr>
        <w:jc w:val="both"/>
        <w:rPr>
          <w:rFonts w:eastAsia="Times New Roman"/>
        </w:rPr>
      </w:pPr>
    </w:p>
    <w:p w:rsidR="00000000" w:rsidRDefault="006F0EF5">
      <w:pPr>
        <w:jc w:val="center"/>
        <w:divId w:val="1404912276"/>
        <w:rPr>
          <w:rFonts w:eastAsia="Times New Roman"/>
        </w:rPr>
      </w:pPr>
      <w:r>
        <w:rPr>
          <w:rFonts w:eastAsia="Times New Roman"/>
          <w:color w:val="000000"/>
          <w:sz w:val="20"/>
          <w:szCs w:val="20"/>
        </w:rPr>
        <w:t>66</w:t>
      </w:r>
    </w:p>
    <w:p w:rsidR="00000000" w:rsidRDefault="006F0EF5">
      <w:pPr>
        <w:rPr>
          <w:rFonts w:eastAsia="Times New Roman"/>
        </w:rPr>
      </w:pPr>
      <w:r>
        <w:rPr>
          <w:rFonts w:eastAsia="Times New Roman"/>
        </w:rPr>
        <w:pict>
          <v:rect id="_x0000_i1095" style="width:0;height:1.5pt" o:hralign="center" o:hrstd="t" o:hr="t" fillcolor="#a0a0a0" stroked="f"/>
        </w:pict>
      </w:r>
    </w:p>
    <w:p w:rsidR="00000000" w:rsidRDefault="006F0EF5">
      <w:pPr>
        <w:divId w:val="206262719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322705362"/>
        <w:rPr>
          <w:rFonts w:eastAsia="Times New Roman"/>
        </w:rPr>
      </w:pPr>
      <w:r>
        <w:rPr>
          <w:rFonts w:eastAsia="Times New Roman"/>
          <w:b/>
          <w:bCs/>
          <w:color w:val="000000"/>
          <w:sz w:val="20"/>
          <w:szCs w:val="20"/>
        </w:rPr>
        <w:t>NCR Corporation</w:t>
      </w:r>
    </w:p>
    <w:p w:rsidR="00000000" w:rsidRDefault="006F0EF5">
      <w:pPr>
        <w:jc w:val="center"/>
        <w:divId w:val="322705362"/>
        <w:rPr>
          <w:rFonts w:eastAsia="Times New Roman"/>
        </w:rPr>
      </w:pPr>
      <w:r>
        <w:rPr>
          <w:rFonts w:eastAsia="Times New Roman"/>
          <w:b/>
          <w:bCs/>
          <w:color w:val="000000"/>
          <w:sz w:val="20"/>
          <w:szCs w:val="20"/>
        </w:rPr>
        <w:t>Notes to Consolidated Financial Statements-(Continued)</w:t>
      </w:r>
    </w:p>
    <w:p w:rsidR="00000000" w:rsidRDefault="006F0EF5">
      <w:pPr>
        <w:jc w:val="center"/>
        <w:divId w:val="322705362"/>
        <w:rPr>
          <w:rFonts w:eastAsia="Times New Roman"/>
        </w:rPr>
      </w:pPr>
    </w:p>
    <w:p w:rsidR="00000000" w:rsidRDefault="006F0EF5">
      <w:pPr>
        <w:jc w:val="center"/>
        <w:divId w:val="322705362"/>
        <w:rPr>
          <w:rFonts w:eastAsia="Times New Roman"/>
        </w:rPr>
      </w:pPr>
    </w:p>
    <w:p w:rsidR="00000000" w:rsidRDefault="006F0EF5">
      <w:pPr>
        <w:divId w:val="2119903942"/>
        <w:rPr>
          <w:rFonts w:eastAsia="Times New Roman"/>
        </w:rPr>
      </w:pPr>
    </w:p>
    <w:p w:rsidR="00000000" w:rsidRDefault="006F0EF5">
      <w:pPr>
        <w:jc w:val="both"/>
        <w:rPr>
          <w:rFonts w:eastAsia="Times New Roman"/>
        </w:rPr>
      </w:pPr>
      <w:r>
        <w:rPr>
          <w:rFonts w:eastAsia="Times New Roman"/>
          <w:b/>
          <w:bCs/>
          <w:color w:val="000000"/>
          <w:sz w:val="20"/>
          <w:szCs w:val="20"/>
        </w:rPr>
        <w:t>Capitalized Software</w:t>
      </w:r>
      <w:r>
        <w:rPr>
          <w:rFonts w:eastAsia="Times New Roman"/>
          <w:color w:val="000000"/>
          <w:sz w:val="20"/>
          <w:szCs w:val="20"/>
        </w:rPr>
        <w:t xml:space="preserve"> Certain direct development costs associated with internal-use software are capitalized within Other assets and amortized over the estimated </w:t>
      </w:r>
      <w:r>
        <w:rPr>
          <w:rFonts w:eastAsia="Times New Roman"/>
          <w:color w:val="000000"/>
          <w:sz w:val="20"/>
          <w:szCs w:val="20"/>
        </w:rPr>
        <w:t>useful lives of the resulting software. NCR typically amortizes capitalized internal-use software on a straight-line basis over</w:t>
      </w:r>
      <w:r>
        <w:rPr>
          <w:rFonts w:eastAsia="Times New Roman"/>
          <w:color w:val="000000"/>
          <w:sz w:val="20"/>
          <w:szCs w:val="20"/>
        </w:rPr>
        <w:t xml:space="preserve"> </w:t>
      </w:r>
      <w:r>
        <w:rPr>
          <w:rFonts w:eastAsia="Times New Roman"/>
          <w:color w:val="000000"/>
          <w:sz w:val="20"/>
          <w:szCs w:val="20"/>
        </w:rPr>
        <w:t>fou</w:t>
      </w:r>
      <w:r>
        <w:rPr>
          <w:rFonts w:eastAsia="Times New Roman"/>
          <w:color w:val="000000"/>
          <w:sz w:val="20"/>
          <w:szCs w:val="20"/>
        </w:rPr>
        <w:t>r</w:t>
      </w:r>
      <w:r>
        <w:rPr>
          <w:rFonts w:eastAsia="Times New Roman"/>
          <w:color w:val="000000"/>
          <w:sz w:val="20"/>
          <w:szCs w:val="20"/>
        </w:rPr>
        <w:t xml:space="preserve"> to seven years beginning when the asset is substantially ready for use, as this is considered to approximate the usage patt</w:t>
      </w:r>
      <w:r>
        <w:rPr>
          <w:rFonts w:eastAsia="Times New Roman"/>
          <w:color w:val="000000"/>
          <w:sz w:val="20"/>
          <w:szCs w:val="20"/>
        </w:rPr>
        <w:t>ern of the software. When it becomes probable that internal-use software being developed will not be completed or placed into service, the internal-use software is reported at the lower of the carrying amount or fair value.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Costs incurred for the develop</w:t>
      </w:r>
      <w:r>
        <w:rPr>
          <w:rFonts w:eastAsia="Times New Roman"/>
          <w:color w:val="000000"/>
          <w:sz w:val="20"/>
          <w:szCs w:val="20"/>
        </w:rPr>
        <w:t>ment of software that will be sold, leased or otherwise marketed are capitalized when technological feasibility has been established. These costs are included within Other assets and are amortized on a sum-of-the-years' digits or straight-line basis over t</w:t>
      </w:r>
      <w:r>
        <w:rPr>
          <w:rFonts w:eastAsia="Times New Roman"/>
          <w:color w:val="000000"/>
          <w:sz w:val="20"/>
          <w:szCs w:val="20"/>
        </w:rPr>
        <w:t>he estimated useful lives ranging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five years, using the method that most closely approximates the sales pattern of the software. Amortization begins when the product is available for general release. Costs capitalized include direct labor and</w:t>
      </w:r>
      <w:r>
        <w:rPr>
          <w:rFonts w:eastAsia="Times New Roman"/>
          <w:color w:val="000000"/>
          <w:sz w:val="20"/>
          <w:szCs w:val="20"/>
        </w:rPr>
        <w:t xml:space="preserve"> related overhead costs. Costs incurred prior to technological feasibility or after general release are expensed as incurred. NCR performs periodic reviews to ensure that unamortized program costs remain recoverable from future revenue. If future revenue d</w:t>
      </w:r>
      <w:r>
        <w:rPr>
          <w:rFonts w:eastAsia="Times New Roman"/>
          <w:color w:val="000000"/>
          <w:sz w:val="20"/>
          <w:szCs w:val="20"/>
        </w:rPr>
        <w:t xml:space="preserve">oes not support the unamortized program costs, the amount by which the unamortized capitalized cost of a software product exceeds the net realizable value is written off.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identifies the activity relating to total capitalized software</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668"/>
        <w:gridCol w:w="37"/>
        <w:gridCol w:w="120"/>
        <w:gridCol w:w="977"/>
        <w:gridCol w:w="36"/>
        <w:gridCol w:w="36"/>
        <w:gridCol w:w="36"/>
        <w:gridCol w:w="36"/>
        <w:gridCol w:w="120"/>
        <w:gridCol w:w="938"/>
        <w:gridCol w:w="36"/>
        <w:gridCol w:w="36"/>
        <w:gridCol w:w="36"/>
        <w:gridCol w:w="36"/>
        <w:gridCol w:w="120"/>
        <w:gridCol w:w="938"/>
        <w:gridCol w:w="36"/>
      </w:tblGrid>
      <w:tr w:rsidR="00000000">
        <w:trPr>
          <w:divId w:val="905917362"/>
          <w:jc w:val="center"/>
        </w:trPr>
        <w:tc>
          <w:tcPr>
            <w:tcW w:w="50" w:type="pct"/>
            <w:vAlign w:val="center"/>
            <w:hideMark/>
          </w:tcPr>
          <w:p w:rsidR="00000000" w:rsidRDefault="006F0EF5">
            <w:pPr>
              <w:jc w:val="both"/>
              <w:rPr>
                <w:rFonts w:eastAsia="Times New Roman"/>
              </w:rPr>
            </w:pPr>
          </w:p>
        </w:tc>
        <w:tc>
          <w:tcPr>
            <w:tcW w:w="28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1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1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1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905917362"/>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905917362"/>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Beginning balance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442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905917362"/>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Capitalization</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905917362"/>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Amortization</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905917362"/>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Impairment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w:t>
            </w: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905917362"/>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Ending balance as of December 31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557664572"/>
        <w:rPr>
          <w:rFonts w:eastAsia="Times New Roman"/>
        </w:rPr>
      </w:pPr>
    </w:p>
    <w:p w:rsidR="00000000" w:rsidRDefault="006F0EF5">
      <w:pPr>
        <w:jc w:val="both"/>
        <w:rPr>
          <w:rFonts w:eastAsia="Times New Roman"/>
        </w:rPr>
      </w:pPr>
      <w:r>
        <w:rPr>
          <w:rFonts w:eastAsia="Times New Roman"/>
          <w:color w:val="000000"/>
          <w:sz w:val="20"/>
          <w:szCs w:val="20"/>
        </w:rPr>
        <w:t>During the year ended December 31, 2021 and 2020, we recorded the write-off of certain internal and external-use software capitalization projects that are no longer considered strategic and as a result, the projects have been abandoned.</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Goodwill and Othe</w:t>
      </w:r>
      <w:r>
        <w:rPr>
          <w:rFonts w:eastAsia="Times New Roman"/>
          <w:b/>
          <w:bCs/>
          <w:color w:val="000000"/>
          <w:sz w:val="20"/>
          <w:szCs w:val="20"/>
        </w:rPr>
        <w:t>r Intangible Assets</w:t>
      </w:r>
      <w:r>
        <w:rPr>
          <w:rFonts w:eastAsia="Times New Roman"/>
          <w:color w:val="000000"/>
          <w:sz w:val="20"/>
          <w:szCs w:val="20"/>
        </w:rPr>
        <w:t xml:space="preserve"> Goodwill represents the excess of purchase price over the fair value of the net tangible and identifiable intangible assets of businesses acquired. Goodwill is tested at the reporting unit level for impairment on an annual basis during </w:t>
      </w:r>
      <w:r>
        <w:rPr>
          <w:rFonts w:eastAsia="Times New Roman"/>
          <w:color w:val="000000"/>
          <w:sz w:val="20"/>
          <w:szCs w:val="20"/>
        </w:rPr>
        <w:t>the fourth quarter or more frequently if certain events occur indicating that the carrying value of goodwill may be impaired. A significant amount of judgment is involved in determining if an indicator of impairment has occurred. Such indicators may includ</w:t>
      </w:r>
      <w:r>
        <w:rPr>
          <w:rFonts w:eastAsia="Times New Roman"/>
          <w:color w:val="000000"/>
          <w:sz w:val="20"/>
          <w:szCs w:val="20"/>
        </w:rPr>
        <w:t>e a decline in expected cash flows, a significant adverse change in legal factors or in the business climate, a decision to sell a business, unanticipated competition, or slower growth rates, among others.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the evaluation of goodwill for impairment, we</w:t>
      </w:r>
      <w:r>
        <w:rPr>
          <w:rFonts w:eastAsia="Times New Roman"/>
          <w:color w:val="000000"/>
          <w:sz w:val="20"/>
          <w:szCs w:val="20"/>
        </w:rPr>
        <w:t xml:space="preserve"> have the option to perform a qualitative assessment to determine whether further impairment testing is necessary or to perform a quantitative assessment by comparing the fair value of a reporting unit to its carrying amount, including goodwill. Under the </w:t>
      </w:r>
      <w:r>
        <w:rPr>
          <w:rFonts w:eastAsia="Times New Roman"/>
          <w:color w:val="000000"/>
          <w:sz w:val="20"/>
          <w:szCs w:val="20"/>
        </w:rPr>
        <w:t xml:space="preserve">qualitative assessment, an entity is not required to calculate the fair value of a reporting unit unless the entity determines that it is more likely than not that its fair value is less than its carrying amount. If, under the quantitative assessment, the </w:t>
      </w:r>
      <w:r>
        <w:rPr>
          <w:rFonts w:eastAsia="Times New Roman"/>
          <w:color w:val="000000"/>
          <w:sz w:val="20"/>
          <w:szCs w:val="20"/>
        </w:rPr>
        <w:t>fair value of a reporting unit is less than its carrying amount, then the amount of the impairment loss, if any, is determined based on the amount by which the carrying amount exceeds the fair value up to the total value of goodwill assigned to the reporti</w:t>
      </w:r>
      <w:r>
        <w:rPr>
          <w:rFonts w:eastAsia="Times New Roman"/>
          <w:color w:val="000000"/>
          <w:sz w:val="20"/>
          <w:szCs w:val="20"/>
        </w:rPr>
        <w:t>ng unit. Fair values of the reporting units are estimated using a weighted methodology considering the output from both the income and market approaches. The income approach incorporates the use of discounted cash flow (“DCF”) analysis. A number of signifi</w:t>
      </w:r>
      <w:r>
        <w:rPr>
          <w:rFonts w:eastAsia="Times New Roman"/>
          <w:color w:val="000000"/>
          <w:sz w:val="20"/>
          <w:szCs w:val="20"/>
        </w:rPr>
        <w:t>cant assumptions and estimates are involved in the application of the DCF model to forecast operating cash flows, including revenue growth, operating income margin and discount rate. Several of these assumptions vary among reporting units. The cash flow fo</w:t>
      </w:r>
      <w:r>
        <w:rPr>
          <w:rFonts w:eastAsia="Times New Roman"/>
          <w:color w:val="000000"/>
          <w:sz w:val="20"/>
          <w:szCs w:val="20"/>
        </w:rPr>
        <w:t xml:space="preserve">recasts are generally based on approved strategic operating plans. The market approach is performed using the Guideline Public Companies (“GPC”) method which is based on earnings multiple data. We perform a reconciliation between our market capitalization </w:t>
      </w:r>
      <w:r>
        <w:rPr>
          <w:rFonts w:eastAsia="Times New Roman"/>
          <w:color w:val="000000"/>
          <w:sz w:val="20"/>
          <w:szCs w:val="20"/>
        </w:rPr>
        <w:t>and our estimate of the aggregate fair value of the reporting units, including consideration of a control premium. Refer to Note 2, “Goodwill and Purchased Intangible Assets”, for further discussion.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Acquired intangible assets other than goodwill are amo</w:t>
      </w:r>
      <w:r>
        <w:rPr>
          <w:rFonts w:eastAsia="Times New Roman"/>
          <w:color w:val="000000"/>
          <w:sz w:val="20"/>
          <w:szCs w:val="20"/>
        </w:rPr>
        <w:t>rtized over their weighted average amortization period unless they are determined to be indefinite. Acquired intangible assets are carried at cost, less accumulated amortization. For intangible assets purchased in a business combination, the estimated fair</w:t>
      </w:r>
      <w:r>
        <w:rPr>
          <w:rFonts w:eastAsia="Times New Roman"/>
          <w:color w:val="000000"/>
          <w:sz w:val="20"/>
          <w:szCs w:val="20"/>
        </w:rPr>
        <w:t xml:space="preserve"> values of the assets received are used to establish the carrying value. The fair value of acquired intangible assets is determined using common techniques, and the Company employs assumptions developed using the perspective of a market participant. </w:t>
      </w:r>
    </w:p>
    <w:p w:rsidR="00000000" w:rsidRDefault="006F0EF5">
      <w:pPr>
        <w:jc w:val="center"/>
        <w:divId w:val="1907452381"/>
        <w:rPr>
          <w:rFonts w:eastAsia="Times New Roman"/>
        </w:rPr>
      </w:pPr>
      <w:r>
        <w:rPr>
          <w:rFonts w:eastAsia="Times New Roman"/>
          <w:color w:val="000000"/>
          <w:sz w:val="20"/>
          <w:szCs w:val="20"/>
        </w:rPr>
        <w:t>67</w:t>
      </w:r>
    </w:p>
    <w:p w:rsidR="00000000" w:rsidRDefault="006F0EF5">
      <w:pPr>
        <w:rPr>
          <w:rFonts w:eastAsia="Times New Roman"/>
        </w:rPr>
      </w:pPr>
      <w:r>
        <w:rPr>
          <w:rFonts w:eastAsia="Times New Roman"/>
        </w:rPr>
        <w:pict>
          <v:rect id="_x0000_i1096" style="width:0;height:1.5pt" o:hralign="center" o:hrstd="t" o:hr="t" fillcolor="#a0a0a0" stroked="f"/>
        </w:pict>
      </w:r>
    </w:p>
    <w:p w:rsidR="00000000" w:rsidRDefault="006F0EF5">
      <w:pPr>
        <w:divId w:val="585921260"/>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421365730"/>
        <w:rPr>
          <w:rFonts w:eastAsia="Times New Roman"/>
        </w:rPr>
      </w:pPr>
      <w:r>
        <w:rPr>
          <w:rFonts w:eastAsia="Times New Roman"/>
          <w:b/>
          <w:bCs/>
          <w:color w:val="000000"/>
          <w:sz w:val="20"/>
          <w:szCs w:val="20"/>
        </w:rPr>
        <w:t>NCR Corporation</w:t>
      </w:r>
    </w:p>
    <w:p w:rsidR="00000000" w:rsidRDefault="006F0EF5">
      <w:pPr>
        <w:jc w:val="center"/>
        <w:divId w:val="1421365730"/>
        <w:rPr>
          <w:rFonts w:eastAsia="Times New Roman"/>
        </w:rPr>
      </w:pPr>
      <w:r>
        <w:rPr>
          <w:rFonts w:eastAsia="Times New Roman"/>
          <w:b/>
          <w:bCs/>
          <w:color w:val="000000"/>
          <w:sz w:val="20"/>
          <w:szCs w:val="20"/>
        </w:rPr>
        <w:t>Notes to Consolidated Financial Statements-(Continued)</w:t>
      </w:r>
    </w:p>
    <w:p w:rsidR="00000000" w:rsidRDefault="006F0EF5">
      <w:pPr>
        <w:jc w:val="center"/>
        <w:divId w:val="1421365730"/>
        <w:rPr>
          <w:rFonts w:eastAsia="Times New Roman"/>
        </w:rPr>
      </w:pPr>
    </w:p>
    <w:p w:rsidR="00000000" w:rsidRDefault="006F0EF5">
      <w:pPr>
        <w:jc w:val="center"/>
        <w:divId w:val="1421365730"/>
        <w:rPr>
          <w:rFonts w:eastAsia="Times New Roman"/>
        </w:rPr>
      </w:pPr>
    </w:p>
    <w:p w:rsidR="00000000" w:rsidRDefault="006F0EF5">
      <w:pPr>
        <w:divId w:val="1716541588"/>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Property, Plant and Equipment</w:t>
      </w:r>
      <w:r>
        <w:rPr>
          <w:rFonts w:eastAsia="Times New Roman"/>
          <w:color w:val="000000"/>
          <w:sz w:val="20"/>
          <w:szCs w:val="20"/>
        </w:rPr>
        <w:t xml:space="preserve"> Property, plant and equipment and le</w:t>
      </w:r>
      <w:r>
        <w:rPr>
          <w:rFonts w:eastAsia="Times New Roman"/>
          <w:color w:val="000000"/>
          <w:sz w:val="20"/>
          <w:szCs w:val="20"/>
        </w:rPr>
        <w:t>asehold improvements are stated at cost less accumulated depreciation. Depreciation is computed over the estimated useful lives of the related assets primarily on a straight-line basis. Machinery and other equipment are depreciated over 3 to 20 years and b</w:t>
      </w:r>
      <w:r>
        <w:rPr>
          <w:rFonts w:eastAsia="Times New Roman"/>
          <w:color w:val="000000"/>
          <w:sz w:val="20"/>
          <w:szCs w:val="20"/>
        </w:rPr>
        <w:t>uildings over 25 to 45 years. Leasehold improvements are depreciated over the life of the lease or the asset, whichever is shorter. Assets classified as held for sale are not depreciated. Upon retirement or disposition of property, plant and equipment, the</w:t>
      </w:r>
      <w:r>
        <w:rPr>
          <w:rFonts w:eastAsia="Times New Roman"/>
          <w:color w:val="000000"/>
          <w:sz w:val="20"/>
          <w:szCs w:val="20"/>
        </w:rPr>
        <w:t xml:space="preserve"> related cost and accumulated depreciation or amortization are removed from the Company’s accounts, and a gain or loss is recorded. Depreciation expense related to property, plant and equipment was $140 million, $88 million, and $79 million for the years e</w:t>
      </w:r>
      <w:r>
        <w:rPr>
          <w:rFonts w:eastAsia="Times New Roman"/>
          <w:color w:val="000000"/>
          <w:sz w:val="20"/>
          <w:szCs w:val="20"/>
        </w:rPr>
        <w:t xml:space="preserve">nded December 31, 2021, 2020, and 2019, respectively.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Also reported in property and equipment are ATMs and the associated equipment the Company has acquired for future installation or has temporarily removed from service and plans to re-deploy. Signific</w:t>
      </w:r>
      <w:r>
        <w:rPr>
          <w:rFonts w:eastAsia="Times New Roman"/>
          <w:color w:val="000000"/>
          <w:sz w:val="20"/>
          <w:szCs w:val="20"/>
        </w:rPr>
        <w:t>ant refurbishment costs that extend the useful life of an asset, or enhance its functionality, are capitalized and depreciated over the estimated remaining life of the improved asset. Property and equipment are reviewed for impairment whenever events or ch</w:t>
      </w:r>
      <w:r>
        <w:rPr>
          <w:rFonts w:eastAsia="Times New Roman"/>
          <w:color w:val="000000"/>
          <w:sz w:val="20"/>
          <w:szCs w:val="20"/>
        </w:rPr>
        <w:t>anges in circumstances indicate that the carrying amount of such assets may not be recoverable. Maintenance costs are expensed as incurred.</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Valuation of Long-Lived Assets</w:t>
      </w:r>
      <w:r>
        <w:rPr>
          <w:rFonts w:eastAsia="Times New Roman"/>
          <w:color w:val="000000"/>
          <w:sz w:val="20"/>
          <w:szCs w:val="20"/>
        </w:rPr>
        <w:t xml:space="preserve"> Long-lived assets such as property, plant and equipment and finite-lived intangible</w:t>
      </w:r>
      <w:r>
        <w:rPr>
          <w:rFonts w:eastAsia="Times New Roman"/>
          <w:color w:val="000000"/>
          <w:sz w:val="20"/>
          <w:szCs w:val="20"/>
        </w:rPr>
        <w:t xml:space="preserve"> assets are reviewed for impairment when events or changes in circumstances indicate that the carrying amount of the assets may not be recoverable or in the period in which the held for sale criteria are met. For assets held and used, this analysis consist</w:t>
      </w:r>
      <w:r>
        <w:rPr>
          <w:rFonts w:eastAsia="Times New Roman"/>
          <w:color w:val="000000"/>
          <w:sz w:val="20"/>
          <w:szCs w:val="20"/>
        </w:rPr>
        <w:t>s of comparing the asset’s carrying value to the expected future cash flows to be generated from the asset on an undiscounted basis. If the carrying amount of the asset is determined not to be recoverable, a write-down to fair value is recorded. Fair value</w:t>
      </w:r>
      <w:r>
        <w:rPr>
          <w:rFonts w:eastAsia="Times New Roman"/>
          <w:color w:val="000000"/>
          <w:sz w:val="20"/>
          <w:szCs w:val="20"/>
        </w:rPr>
        <w:t>s are determined based on quoted market values, discounted cash flows, or external appraisals, as applicable. Long-lived assets are reviewed for impairment at the individual asset or the asset group level for which the lowest level of independent cash flow</w:t>
      </w:r>
      <w:r>
        <w:rPr>
          <w:rFonts w:eastAsia="Times New Roman"/>
          <w:color w:val="000000"/>
          <w:sz w:val="20"/>
          <w:szCs w:val="20"/>
        </w:rPr>
        <w:t>s can be identified. Refer to Note 2, “Goodwill and Purchased Intangible Assets”, for further discussion.</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Leasing</w:t>
      </w:r>
      <w:r>
        <w:rPr>
          <w:rFonts w:eastAsia="Times New Roman"/>
          <w:color w:val="000000"/>
          <w:sz w:val="20"/>
          <w:szCs w:val="20"/>
        </w:rPr>
        <w:t xml:space="preserve"> </w:t>
      </w:r>
      <w:r>
        <w:rPr>
          <w:rFonts w:eastAsia="Times New Roman"/>
          <w:color w:val="000000"/>
          <w:sz w:val="20"/>
          <w:szCs w:val="20"/>
        </w:rPr>
        <w:t xml:space="preserve">The Company determines whether an arrangement is a lease at the inception of the arrangement based on the terms and conditions in the contract. A contract contains a lease if there is an identified asset and the Company has the right to control the asset.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Lessee</w:t>
      </w:r>
      <w:r>
        <w:rPr>
          <w:rFonts w:eastAsia="Times New Roman"/>
          <w:color w:val="000000"/>
          <w:sz w:val="20"/>
          <w:szCs w:val="20"/>
        </w:rPr>
        <w:t xml:space="preserve"> We lease property, vehicles and equipment under operating and financing leases. For leases with terms greater than 12 months, we record the related asset and obligation at the present value of lease payments over the term. We determine the lease </w:t>
      </w:r>
      <w:r>
        <w:rPr>
          <w:rFonts w:eastAsia="Times New Roman"/>
          <w:color w:val="000000"/>
          <w:sz w:val="20"/>
          <w:szCs w:val="20"/>
        </w:rPr>
        <w:t>term by assuming the exercise of renewal options that are reasonably certain. Leases with a lease term of 12 months or less at inception are not recorded on our Consolidated Balance Sheet and are expensed on a straight-line basis over the lease term in our</w:t>
      </w:r>
      <w:r>
        <w:rPr>
          <w:rFonts w:eastAsia="Times New Roman"/>
          <w:color w:val="000000"/>
          <w:sz w:val="20"/>
          <w:szCs w:val="20"/>
        </w:rPr>
        <w:t xml:space="preserve"> Consolidated Statement of Operations. Our leases may include rental escalation clauses, renewal options and/or termination options that are factored into our determination of lease payments when appropriate. When available, we use the rate implicit in the</w:t>
      </w:r>
      <w:r>
        <w:rPr>
          <w:rFonts w:eastAsia="Times New Roman"/>
          <w:color w:val="000000"/>
          <w:sz w:val="20"/>
          <w:szCs w:val="20"/>
        </w:rPr>
        <w:t xml:space="preserve"> lease to discount lease payments to present value; however, most of our leases do not provide a readily determinable implicit rate. Therefore, we must estimate our incremental borrowing rate to discount the lease payments based on information available at</w:t>
      </w:r>
      <w:r>
        <w:rPr>
          <w:rFonts w:eastAsia="Times New Roman"/>
          <w:color w:val="000000"/>
          <w:sz w:val="20"/>
          <w:szCs w:val="20"/>
        </w:rPr>
        <w:t xml:space="preserve"> lease commencement. Our incremental borrowing rate is based on a credit-adjusted risk-free rate at commencement date, which best approximates a secured rate over a similar term of lease. Additionally, we do not separate lease and non-lease components for </w:t>
      </w:r>
      <w:r>
        <w:rPr>
          <w:rFonts w:eastAsia="Times New Roman"/>
          <w:color w:val="000000"/>
          <w:sz w:val="20"/>
          <w:szCs w:val="20"/>
        </w:rPr>
        <w:t xml:space="preserve">any asset classes, except for those leases embedded in certain service arrangements. Fixed and in-substance fixed payments are included in the recognition of the operating and financing assets and lease liabilities, however, variable lease payments, other </w:t>
      </w:r>
      <w:r>
        <w:rPr>
          <w:rFonts w:eastAsia="Times New Roman"/>
          <w:color w:val="000000"/>
          <w:sz w:val="20"/>
          <w:szCs w:val="20"/>
        </w:rPr>
        <w:t>than those based on a rate or index, are recognized in the Consolidated Statements of Operations in the period in which the obligation for those payments is incurred. The Company’s variable lease payments generally relate to payments tied to various indice</w:t>
      </w:r>
      <w:r>
        <w:rPr>
          <w:rFonts w:eastAsia="Times New Roman"/>
          <w:color w:val="000000"/>
          <w:sz w:val="20"/>
          <w:szCs w:val="20"/>
        </w:rPr>
        <w:t>s, non-lease components and payments above a contractual minimum fixed payment.</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Lessor</w:t>
      </w:r>
      <w:r>
        <w:rPr>
          <w:rFonts w:eastAsia="Times New Roman"/>
          <w:color w:val="000000"/>
          <w:sz w:val="20"/>
          <w:szCs w:val="20"/>
        </w:rPr>
        <w:t xml:space="preserve"> </w:t>
      </w:r>
      <w:r>
        <w:rPr>
          <w:rFonts w:eastAsia="Times New Roman"/>
          <w:color w:val="000000"/>
          <w:sz w:val="20"/>
          <w:szCs w:val="20"/>
        </w:rPr>
        <w:t>We have various arrangements for certain point-of-sale equipment under which we are the lessor. These leases meet the criteria for operating lease classification. Lease income associated with these leases is not material.</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Pension, Postretirement and Post</w:t>
      </w:r>
      <w:r>
        <w:rPr>
          <w:rFonts w:eastAsia="Times New Roman"/>
          <w:b/>
          <w:bCs/>
          <w:color w:val="000000"/>
          <w:sz w:val="20"/>
          <w:szCs w:val="20"/>
        </w:rPr>
        <w:t>employment Benefits</w:t>
      </w:r>
      <w:r>
        <w:rPr>
          <w:rFonts w:eastAsia="Times New Roman"/>
          <w:color w:val="000000"/>
          <w:sz w:val="20"/>
          <w:szCs w:val="20"/>
        </w:rPr>
        <w:t xml:space="preserve"> NCR has significant pension, postretirement and postemployment benefit costs, which are developed from actuarial valuations. Actuarial assumptions are established to anticipate future events and are used in calculating the expense and l</w:t>
      </w:r>
      <w:r>
        <w:rPr>
          <w:rFonts w:eastAsia="Times New Roman"/>
          <w:color w:val="000000"/>
          <w:sz w:val="20"/>
          <w:szCs w:val="20"/>
        </w:rPr>
        <w:t>iabilities relating to these plans. These factors include assumptions the Company makes about interest rates, expected investment return on plan assets, rate of increase in healthcare costs, involuntary turnover rates, and rates of future compensation incr</w:t>
      </w:r>
      <w:r>
        <w:rPr>
          <w:rFonts w:eastAsia="Times New Roman"/>
          <w:color w:val="000000"/>
          <w:sz w:val="20"/>
          <w:szCs w:val="20"/>
        </w:rPr>
        <w:t>eases. In addition, NCR also uses subjective factors, such as withdrawal rates and mortality rates to develop the Company’s valuations. NCR generally reviews and updates these assumptions on an annual basis. NCR is required to consider current market condi</w:t>
      </w:r>
      <w:r>
        <w:rPr>
          <w:rFonts w:eastAsia="Times New Roman"/>
          <w:color w:val="000000"/>
          <w:sz w:val="20"/>
          <w:szCs w:val="20"/>
        </w:rPr>
        <w:t>tions, including changes in interest rates, in making these assumptions. The actuarial assumptions that NCR uses may differ materially from actual results due to changing market and economic conditions, higher or lower withdrawal rates, or longer or shorte</w:t>
      </w:r>
      <w:r>
        <w:rPr>
          <w:rFonts w:eastAsia="Times New Roman"/>
          <w:color w:val="000000"/>
          <w:sz w:val="20"/>
          <w:szCs w:val="20"/>
        </w:rPr>
        <w:t xml:space="preserve">r life spans of participants. These differences may result in a significant </w:t>
      </w:r>
    </w:p>
    <w:p w:rsidR="00000000" w:rsidRDefault="006F0EF5">
      <w:pPr>
        <w:jc w:val="center"/>
        <w:divId w:val="1779790598"/>
        <w:rPr>
          <w:rFonts w:eastAsia="Times New Roman"/>
        </w:rPr>
      </w:pPr>
      <w:r>
        <w:rPr>
          <w:rFonts w:eastAsia="Times New Roman"/>
          <w:color w:val="000000"/>
          <w:sz w:val="20"/>
          <w:szCs w:val="20"/>
        </w:rPr>
        <w:t>68</w:t>
      </w:r>
    </w:p>
    <w:p w:rsidR="00000000" w:rsidRDefault="006F0EF5">
      <w:pPr>
        <w:rPr>
          <w:rFonts w:eastAsia="Times New Roman"/>
        </w:rPr>
      </w:pPr>
      <w:r>
        <w:rPr>
          <w:rFonts w:eastAsia="Times New Roman"/>
        </w:rPr>
        <w:pict>
          <v:rect id="_x0000_i1097" style="width:0;height:1.5pt" o:hralign="center" o:hrstd="t" o:hr="t" fillcolor="#a0a0a0" stroked="f"/>
        </w:pict>
      </w:r>
    </w:p>
    <w:p w:rsidR="00000000" w:rsidRDefault="006F0EF5">
      <w:pPr>
        <w:divId w:val="60407304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806699924"/>
        <w:rPr>
          <w:rFonts w:eastAsia="Times New Roman"/>
        </w:rPr>
      </w:pPr>
      <w:r>
        <w:rPr>
          <w:rFonts w:eastAsia="Times New Roman"/>
          <w:b/>
          <w:bCs/>
          <w:color w:val="000000"/>
          <w:sz w:val="20"/>
          <w:szCs w:val="20"/>
        </w:rPr>
        <w:t>NCR Corporation</w:t>
      </w:r>
    </w:p>
    <w:p w:rsidR="00000000" w:rsidRDefault="006F0EF5">
      <w:pPr>
        <w:jc w:val="center"/>
        <w:divId w:val="806699924"/>
        <w:rPr>
          <w:rFonts w:eastAsia="Times New Roman"/>
        </w:rPr>
      </w:pPr>
      <w:r>
        <w:rPr>
          <w:rFonts w:eastAsia="Times New Roman"/>
          <w:b/>
          <w:bCs/>
          <w:color w:val="000000"/>
          <w:sz w:val="20"/>
          <w:szCs w:val="20"/>
        </w:rPr>
        <w:t>Notes to Consolidated Financial Statements-(Con</w:t>
      </w:r>
      <w:r>
        <w:rPr>
          <w:rFonts w:eastAsia="Times New Roman"/>
          <w:b/>
          <w:bCs/>
          <w:color w:val="000000"/>
          <w:sz w:val="20"/>
          <w:szCs w:val="20"/>
        </w:rPr>
        <w:t>tinued)</w:t>
      </w:r>
    </w:p>
    <w:p w:rsidR="00000000" w:rsidRDefault="006F0EF5">
      <w:pPr>
        <w:jc w:val="center"/>
        <w:divId w:val="806699924"/>
        <w:rPr>
          <w:rFonts w:eastAsia="Times New Roman"/>
        </w:rPr>
      </w:pPr>
    </w:p>
    <w:p w:rsidR="00000000" w:rsidRDefault="006F0EF5">
      <w:pPr>
        <w:jc w:val="center"/>
        <w:divId w:val="806699924"/>
        <w:rPr>
          <w:rFonts w:eastAsia="Times New Roman"/>
        </w:rPr>
      </w:pPr>
    </w:p>
    <w:p w:rsidR="00000000" w:rsidRDefault="006F0EF5">
      <w:pPr>
        <w:divId w:val="532963426"/>
        <w:rPr>
          <w:rFonts w:eastAsia="Times New Roman"/>
        </w:rPr>
      </w:pPr>
    </w:p>
    <w:p w:rsidR="00000000" w:rsidRDefault="006F0EF5">
      <w:pPr>
        <w:jc w:val="both"/>
        <w:rPr>
          <w:rFonts w:eastAsia="Times New Roman"/>
        </w:rPr>
      </w:pPr>
      <w:r>
        <w:rPr>
          <w:rFonts w:eastAsia="Times New Roman"/>
          <w:color w:val="000000"/>
          <w:sz w:val="20"/>
          <w:szCs w:val="20"/>
        </w:rPr>
        <w:t xml:space="preserve">impact to the amount of pension, postretirement or postemployment benefits expense, and the related assets and liabilities, the Company has recorded or may record.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Environmental and Legal Contingencies</w:t>
      </w:r>
      <w:r>
        <w:rPr>
          <w:rFonts w:eastAsia="Times New Roman"/>
          <w:color w:val="000000"/>
          <w:sz w:val="20"/>
          <w:szCs w:val="20"/>
        </w:rPr>
        <w:t xml:space="preserve"> In the normal course of business, NCR</w:t>
      </w:r>
      <w:r>
        <w:rPr>
          <w:rFonts w:eastAsia="Times New Roman"/>
          <w:color w:val="000000"/>
          <w:sz w:val="20"/>
          <w:szCs w:val="20"/>
        </w:rPr>
        <w:t xml:space="preserve"> is subject to various proceedings, lawsuits, claims and other matters, including, for example, those that relate to the environment and health and safety, labor and employment, employee benefits, import/export compliance, intellectual property, data priva</w:t>
      </w:r>
      <w:r>
        <w:rPr>
          <w:rFonts w:eastAsia="Times New Roman"/>
          <w:color w:val="000000"/>
          <w:sz w:val="20"/>
          <w:szCs w:val="20"/>
        </w:rPr>
        <w:t>cy and security, product liability, commercial disputes and regulatory compliance, among others. Additionally, NCR is subject to diverse and complex laws, regulations, and standards including those relating to corporate governance, public disclosure and re</w:t>
      </w:r>
      <w:r>
        <w:rPr>
          <w:rFonts w:eastAsia="Times New Roman"/>
          <w:color w:val="000000"/>
          <w:sz w:val="20"/>
          <w:szCs w:val="20"/>
        </w:rPr>
        <w:t>porting, environmental safety and the discharge of materials into the environment, product safety, import and export compliance, data privacy and security, antitrust and competition, government contracting, anti-corruption, and labor and human resources, w</w:t>
      </w:r>
      <w:r>
        <w:rPr>
          <w:rFonts w:eastAsia="Times New Roman"/>
          <w:color w:val="000000"/>
          <w:sz w:val="20"/>
          <w:szCs w:val="20"/>
        </w:rPr>
        <w:t xml:space="preserve">hich are rapidly changing and subject to many possible changes in the future. Compliance with these laws and regulations, including changes in accounting standards, taxation requirements, and federal securities laws, among others, may create a substantial </w:t>
      </w:r>
      <w:r>
        <w:rPr>
          <w:rFonts w:eastAsia="Times New Roman"/>
          <w:color w:val="000000"/>
          <w:sz w:val="20"/>
          <w:szCs w:val="20"/>
        </w:rPr>
        <w:t>burden on, and substantially increase the costs to NCR or could have an impact on NCR’s future operating results. NCR believes that the amounts provided in its Consolidated Financial Statements are adequate in light of the probable and estimable liabilitie</w:t>
      </w:r>
      <w:r>
        <w:rPr>
          <w:rFonts w:eastAsia="Times New Roman"/>
          <w:color w:val="000000"/>
          <w:sz w:val="20"/>
          <w:szCs w:val="20"/>
        </w:rPr>
        <w:t>s. However, there can be no assurances that the actual amounts required to satisfy alleged liabilities from various lawsuits, claims, legal proceedings and other matters, including the Fox River and Kalamazoo River environmental matters discussed in Note 1</w:t>
      </w:r>
      <w:r>
        <w:rPr>
          <w:rFonts w:eastAsia="Times New Roman"/>
          <w:color w:val="000000"/>
          <w:sz w:val="20"/>
          <w:szCs w:val="20"/>
        </w:rPr>
        <w:t>0, “Commitments and Contingencies”, and to comply with applicable laws and regulations, will not exceed the amounts reflected in NCR’s Consolidated Financial Statements or will not have a material adverse effect on the Company’s consolidated results of ope</w:t>
      </w:r>
      <w:r>
        <w:rPr>
          <w:rFonts w:eastAsia="Times New Roman"/>
          <w:color w:val="000000"/>
          <w:sz w:val="20"/>
          <w:szCs w:val="20"/>
        </w:rPr>
        <w:t xml:space="preserve">rations, financial condition or cash flows. Any costs that may be incurred in excess of those amounts provided as of December 31, 2021 cannot currently be reasonably determined or are not currently considered probable.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Legal fees and expenses related to</w:t>
      </w:r>
      <w:r>
        <w:rPr>
          <w:rFonts w:eastAsia="Times New Roman"/>
          <w:color w:val="000000"/>
          <w:sz w:val="20"/>
          <w:szCs w:val="20"/>
        </w:rPr>
        <w:t xml:space="preserve"> loss contingencies are typically expensed as incurred, except for certain costs associated with NCR’s environmental remediation obligations. Costs and fees associated with litigating the extent and type of required remedial actions and the allocation of r</w:t>
      </w:r>
      <w:r>
        <w:rPr>
          <w:rFonts w:eastAsia="Times New Roman"/>
          <w:color w:val="000000"/>
          <w:sz w:val="20"/>
          <w:szCs w:val="20"/>
        </w:rPr>
        <w:t xml:space="preserve">emediation costs among potentially responsible parties are typically included in the measurement of the environmental remediation liabilities.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Foreign Currency</w:t>
      </w:r>
      <w:r>
        <w:rPr>
          <w:rFonts w:eastAsia="Times New Roman"/>
          <w:color w:val="000000"/>
          <w:sz w:val="20"/>
          <w:szCs w:val="20"/>
        </w:rPr>
        <w:t xml:space="preserve"> For many NCR international operations, the local currency is designated as the functional cur</w:t>
      </w:r>
      <w:r>
        <w:rPr>
          <w:rFonts w:eastAsia="Times New Roman"/>
          <w:color w:val="000000"/>
          <w:sz w:val="20"/>
          <w:szCs w:val="20"/>
        </w:rPr>
        <w:t>rency. Accordingly, assets and liabilities are translated into U.S. Dollars at year-end exchange rates, and revenue and expenses are translated at average exchange rates prevailing during the year. Currency translation adjustments from local functional cur</w:t>
      </w:r>
      <w:r>
        <w:rPr>
          <w:rFonts w:eastAsia="Times New Roman"/>
          <w:color w:val="000000"/>
          <w:sz w:val="20"/>
          <w:szCs w:val="20"/>
        </w:rPr>
        <w:t xml:space="preserve">rency countries resulting from fluctuations in exchange rates are recorded in Other comprehensive income. Remeasurement adjustments are recorded in Other income (expense), net.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Derivative Instruments</w:t>
      </w:r>
      <w:r>
        <w:rPr>
          <w:rFonts w:eastAsia="Times New Roman"/>
          <w:color w:val="000000"/>
          <w:sz w:val="20"/>
          <w:szCs w:val="20"/>
        </w:rPr>
        <w:t xml:space="preserve"> In the normal course of business, NCR enters into var</w:t>
      </w:r>
      <w:r>
        <w:rPr>
          <w:rFonts w:eastAsia="Times New Roman"/>
          <w:color w:val="000000"/>
          <w:sz w:val="20"/>
          <w:szCs w:val="20"/>
        </w:rPr>
        <w:t>ious financial instruments, including derivative financial instruments. The Company accounts for derivatives as either assets or liabilities in the Consolidated Balance Sheets at fair value and recognizes the resulting gains or losses as adjustments to ear</w:t>
      </w:r>
      <w:r>
        <w:rPr>
          <w:rFonts w:eastAsia="Times New Roman"/>
          <w:color w:val="000000"/>
          <w:sz w:val="20"/>
          <w:szCs w:val="20"/>
        </w:rPr>
        <w:t>nings or other comprehensive income. For derivative instruments that are designated and qualify as hedging instruments, the Company formally documents the relationship between hedging instruments and hedged items, as well as the risk management objective a</w:t>
      </w:r>
      <w:r>
        <w:rPr>
          <w:rFonts w:eastAsia="Times New Roman"/>
          <w:color w:val="000000"/>
          <w:sz w:val="20"/>
          <w:szCs w:val="20"/>
        </w:rPr>
        <w:t>nd strategy for undertaking various hedge transactions. Hedging activities are transacted only with highly rated institutions, reducing exposure to credit risk in the event of nonperformance. Additionally, the Company completes assessments related to the r</w:t>
      </w:r>
      <w:r>
        <w:rPr>
          <w:rFonts w:eastAsia="Times New Roman"/>
          <w:color w:val="000000"/>
          <w:sz w:val="20"/>
          <w:szCs w:val="20"/>
        </w:rPr>
        <w:t xml:space="preserve">isk of counterparty nonperformance on a regular basis.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accounting for changes in fair value of a derivative instrument depends on whether it has been designated and qualifies as part of a hedging relationship, and further, on the type of hedging rel</w:t>
      </w:r>
      <w:r>
        <w:rPr>
          <w:rFonts w:eastAsia="Times New Roman"/>
          <w:color w:val="000000"/>
          <w:sz w:val="20"/>
          <w:szCs w:val="20"/>
        </w:rPr>
        <w:t>ationship. For those derivative instruments that are designated and qualify as hedging instruments, the Company has designated the hedging instrument, based on the exposure being hedged, as a fair value hedge, a cash flow hedge or a hedge of a net investme</w:t>
      </w:r>
      <w:r>
        <w:rPr>
          <w:rFonts w:eastAsia="Times New Roman"/>
          <w:color w:val="000000"/>
          <w:sz w:val="20"/>
          <w:szCs w:val="20"/>
        </w:rPr>
        <w:t>nt in a foreign operation. For derivative instruments designated as fair value hedges, the effective portion of the hedge is recorded as an offset to the change in the fair value of the hedged item, and the ineffective portion of the hedge, if any, is reco</w:t>
      </w:r>
      <w:r>
        <w:rPr>
          <w:rFonts w:eastAsia="Times New Roman"/>
          <w:color w:val="000000"/>
          <w:sz w:val="20"/>
          <w:szCs w:val="20"/>
        </w:rPr>
        <w:t xml:space="preserve">rded in the Consolidated Statement of Operations. For derivative instruments designated as cash flow hedges and determined to be highly effective, the gains or losses are deferred in Other comprehensive income and recognized in the determination of income </w:t>
      </w:r>
      <w:r>
        <w:rPr>
          <w:rFonts w:eastAsia="Times New Roman"/>
          <w:color w:val="000000"/>
          <w:sz w:val="20"/>
          <w:szCs w:val="20"/>
        </w:rPr>
        <w:t xml:space="preserve">as adjustments of carrying amounts when the underlying hedged transaction is realized, canceled or otherwise terminated. When hedging certain foreign currency transactions of a long-term investment nature (net investments in foreign operations), gains and </w:t>
      </w:r>
      <w:r>
        <w:rPr>
          <w:rFonts w:eastAsia="Times New Roman"/>
          <w:color w:val="000000"/>
          <w:sz w:val="20"/>
          <w:szCs w:val="20"/>
        </w:rPr>
        <w:t xml:space="preserve">losses are recorded in the currency translation adjustment component of Accumulated other comprehensive loss. Gains and losses on foreign exchange contracts that are not used to hedge currency transactions of a long-term investment nature, or that are not </w:t>
      </w:r>
      <w:r>
        <w:rPr>
          <w:rFonts w:eastAsia="Times New Roman"/>
          <w:color w:val="000000"/>
          <w:sz w:val="20"/>
          <w:szCs w:val="20"/>
        </w:rPr>
        <w:t>designated as cash flow or fair value hedges, are recognized in Other income (expense), net as exchange rates change.</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Fair Value of Assets and Liabilities</w:t>
      </w:r>
      <w:r>
        <w:rPr>
          <w:rFonts w:eastAsia="Times New Roman"/>
          <w:color w:val="000000"/>
          <w:sz w:val="20"/>
          <w:szCs w:val="20"/>
        </w:rPr>
        <w:t xml:space="preserve"> Fair value is defined as an exit price, representing an amount that would be received to sell an as</w:t>
      </w:r>
      <w:r>
        <w:rPr>
          <w:rFonts w:eastAsia="Times New Roman"/>
          <w:color w:val="000000"/>
          <w:sz w:val="20"/>
          <w:szCs w:val="20"/>
        </w:rPr>
        <w:t xml:space="preserve">set or the amount paid to transfer a liability in an orderly transaction between market participants at the measurement </w:t>
      </w:r>
    </w:p>
    <w:p w:rsidR="00000000" w:rsidRDefault="006F0EF5">
      <w:pPr>
        <w:jc w:val="center"/>
        <w:divId w:val="697313743"/>
        <w:rPr>
          <w:rFonts w:eastAsia="Times New Roman"/>
        </w:rPr>
      </w:pPr>
      <w:r>
        <w:rPr>
          <w:rFonts w:eastAsia="Times New Roman"/>
          <w:color w:val="000000"/>
          <w:sz w:val="20"/>
          <w:szCs w:val="20"/>
        </w:rPr>
        <w:t>69</w:t>
      </w:r>
    </w:p>
    <w:p w:rsidR="00000000" w:rsidRDefault="006F0EF5">
      <w:pPr>
        <w:rPr>
          <w:rFonts w:eastAsia="Times New Roman"/>
        </w:rPr>
      </w:pPr>
      <w:r>
        <w:rPr>
          <w:rFonts w:eastAsia="Times New Roman"/>
        </w:rPr>
        <w:pict>
          <v:rect id="_x0000_i1098" style="width:0;height:1.5pt" o:hralign="center" o:hrstd="t" o:hr="t" fillcolor="#a0a0a0" stroked="f"/>
        </w:pict>
      </w:r>
    </w:p>
    <w:p w:rsidR="00000000" w:rsidRDefault="006F0EF5">
      <w:pPr>
        <w:divId w:val="47765237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114403602"/>
        <w:rPr>
          <w:rFonts w:eastAsia="Times New Roman"/>
        </w:rPr>
      </w:pPr>
      <w:r>
        <w:rPr>
          <w:rFonts w:eastAsia="Times New Roman"/>
          <w:b/>
          <w:bCs/>
          <w:color w:val="000000"/>
          <w:sz w:val="20"/>
          <w:szCs w:val="20"/>
        </w:rPr>
        <w:t>NCR Corporation</w:t>
      </w:r>
    </w:p>
    <w:p w:rsidR="00000000" w:rsidRDefault="006F0EF5">
      <w:pPr>
        <w:jc w:val="center"/>
        <w:divId w:val="1114403602"/>
        <w:rPr>
          <w:rFonts w:eastAsia="Times New Roman"/>
        </w:rPr>
      </w:pPr>
      <w:r>
        <w:rPr>
          <w:rFonts w:eastAsia="Times New Roman"/>
          <w:b/>
          <w:bCs/>
          <w:color w:val="000000"/>
          <w:sz w:val="20"/>
          <w:szCs w:val="20"/>
        </w:rPr>
        <w:t>Notes to Consolidated Financial Statements-(Continued)</w:t>
      </w:r>
    </w:p>
    <w:p w:rsidR="00000000" w:rsidRDefault="006F0EF5">
      <w:pPr>
        <w:jc w:val="center"/>
        <w:divId w:val="1114403602"/>
        <w:rPr>
          <w:rFonts w:eastAsia="Times New Roman"/>
        </w:rPr>
      </w:pPr>
    </w:p>
    <w:p w:rsidR="00000000" w:rsidRDefault="006F0EF5">
      <w:pPr>
        <w:jc w:val="center"/>
        <w:divId w:val="1114403602"/>
        <w:rPr>
          <w:rFonts w:eastAsia="Times New Roman"/>
        </w:rPr>
      </w:pPr>
    </w:p>
    <w:p w:rsidR="00000000" w:rsidRDefault="006F0EF5">
      <w:pPr>
        <w:divId w:val="1986204758"/>
        <w:rPr>
          <w:rFonts w:eastAsia="Times New Roman"/>
        </w:rPr>
      </w:pPr>
    </w:p>
    <w:p w:rsidR="00000000" w:rsidRDefault="006F0EF5">
      <w:pPr>
        <w:jc w:val="both"/>
        <w:rPr>
          <w:rFonts w:eastAsia="Times New Roman"/>
        </w:rPr>
      </w:pPr>
      <w:r>
        <w:rPr>
          <w:rFonts w:eastAsia="Times New Roman"/>
          <w:color w:val="000000"/>
          <w:sz w:val="20"/>
          <w:szCs w:val="20"/>
        </w:rPr>
        <w:t>date. As such, fair value is a market-based measurement determined based on assumptions that market participants would use in pricing an asset or liability. As a basis for considering such assump</w:t>
      </w:r>
      <w:r>
        <w:rPr>
          <w:rFonts w:eastAsia="Times New Roman"/>
          <w:color w:val="000000"/>
          <w:sz w:val="20"/>
          <w:szCs w:val="20"/>
        </w:rPr>
        <w:t xml:space="preserve">tions, the accounting guidance prioritizes the inputs used to measure fair value into the following three-tier fair value hierarchy: </w:t>
      </w:r>
    </w:p>
    <w:p w:rsidR="00000000" w:rsidRDefault="006F0EF5">
      <w:pPr>
        <w:jc w:val="both"/>
        <w:rPr>
          <w:rFonts w:eastAsia="Times New Roman"/>
        </w:rPr>
      </w:pPr>
    </w:p>
    <w:p w:rsidR="00000000" w:rsidRDefault="006F0EF5">
      <w:pPr>
        <w:ind w:hanging="360"/>
        <w:jc w:val="both"/>
        <w:divId w:val="699402237"/>
        <w:rPr>
          <w:rFonts w:eastAsia="Times New Roman"/>
        </w:rPr>
      </w:pPr>
      <w:r>
        <w:rPr>
          <w:rFonts w:eastAsia="Times New Roman"/>
          <w:color w:val="000000"/>
          <w:sz w:val="20"/>
          <w:szCs w:val="20"/>
        </w:rPr>
        <w:t>•Level 1: Unadjusted quoted prices in active markets for identical assets or liabilities</w:t>
      </w:r>
    </w:p>
    <w:p w:rsidR="00000000" w:rsidRDefault="006F0EF5">
      <w:pPr>
        <w:ind w:hanging="360"/>
        <w:jc w:val="both"/>
        <w:divId w:val="2069496844"/>
        <w:rPr>
          <w:rFonts w:eastAsia="Times New Roman"/>
        </w:rPr>
      </w:pPr>
      <w:r>
        <w:rPr>
          <w:rFonts w:eastAsia="Times New Roman"/>
          <w:color w:val="000000"/>
          <w:sz w:val="20"/>
          <w:szCs w:val="20"/>
        </w:rPr>
        <w:t>•Level 2: Unadjusted quoted pri</w:t>
      </w:r>
      <w:r>
        <w:rPr>
          <w:rFonts w:eastAsia="Times New Roman"/>
          <w:color w:val="000000"/>
          <w:sz w:val="20"/>
          <w:szCs w:val="20"/>
        </w:rPr>
        <w:t>ces in active markets for similar assets or liabilities, unadjusted quoted prices for identical or similar assets or liabilities in markets that are not active, or inputs, other than quoted prices in active markets, that are observable either directly or i</w:t>
      </w:r>
      <w:r>
        <w:rPr>
          <w:rFonts w:eastAsia="Times New Roman"/>
          <w:color w:val="000000"/>
          <w:sz w:val="20"/>
          <w:szCs w:val="20"/>
        </w:rPr>
        <w:t>ndirectly</w:t>
      </w:r>
    </w:p>
    <w:p w:rsidR="00000000" w:rsidRDefault="006F0EF5">
      <w:pPr>
        <w:ind w:hanging="360"/>
        <w:jc w:val="both"/>
        <w:divId w:val="942303894"/>
        <w:rPr>
          <w:rFonts w:eastAsia="Times New Roman"/>
        </w:rPr>
      </w:pPr>
      <w:r>
        <w:rPr>
          <w:rFonts w:eastAsia="Times New Roman"/>
          <w:color w:val="000000"/>
          <w:sz w:val="20"/>
          <w:szCs w:val="20"/>
        </w:rPr>
        <w:t>•Level 3: Unobservable inputs for which there is little or no market data</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Assets and liabilities are classified based on the lowest level of input that is significant to the fair value measurements. The Company reviews the fair value hierarchy classification on a quarterly basis. Changes to the observability of valuation inputs </w:t>
      </w:r>
      <w:r>
        <w:rPr>
          <w:rFonts w:eastAsia="Times New Roman"/>
          <w:color w:val="000000"/>
          <w:sz w:val="20"/>
          <w:szCs w:val="20"/>
        </w:rPr>
        <w:t xml:space="preserve">may result in a reclassification of levels for certain securities within the fair value hierarchy.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NCR measures its financial assets and financial liabilities at fair value based on one or more of the following three valuation techniques: </w:t>
      </w:r>
    </w:p>
    <w:p w:rsidR="00000000" w:rsidRDefault="006F0EF5">
      <w:pPr>
        <w:jc w:val="both"/>
        <w:divId w:val="894663630"/>
        <w:rPr>
          <w:rFonts w:eastAsia="Times New Roman"/>
        </w:rPr>
      </w:pPr>
    </w:p>
    <w:p w:rsidR="00000000" w:rsidRDefault="006F0EF5">
      <w:pPr>
        <w:ind w:hanging="360"/>
        <w:jc w:val="both"/>
        <w:divId w:val="1157576042"/>
        <w:rPr>
          <w:rFonts w:eastAsia="Times New Roman"/>
        </w:rPr>
      </w:pPr>
      <w:r>
        <w:rPr>
          <w:rFonts w:eastAsia="Times New Roman"/>
          <w:color w:val="000000"/>
          <w:sz w:val="20"/>
          <w:szCs w:val="20"/>
        </w:rPr>
        <w:t>•Market app</w:t>
      </w:r>
      <w:r>
        <w:rPr>
          <w:rFonts w:eastAsia="Times New Roman"/>
          <w:color w:val="000000"/>
          <w:sz w:val="20"/>
          <w:szCs w:val="20"/>
        </w:rPr>
        <w:t>roach: Prices and other relevant information generated by market transactions involving identical or comparable assets or liabilities.</w:t>
      </w:r>
    </w:p>
    <w:p w:rsidR="00000000" w:rsidRDefault="006F0EF5">
      <w:pPr>
        <w:ind w:hanging="360"/>
        <w:jc w:val="both"/>
        <w:divId w:val="1180578900"/>
        <w:rPr>
          <w:rFonts w:eastAsia="Times New Roman"/>
        </w:rPr>
      </w:pPr>
      <w:r>
        <w:rPr>
          <w:rFonts w:eastAsia="Times New Roman"/>
          <w:color w:val="000000"/>
          <w:sz w:val="20"/>
          <w:szCs w:val="20"/>
        </w:rPr>
        <w:t>•Cost approach: Amount that would be required to replace the service capacity of an asset (replacement cost).</w:t>
      </w:r>
    </w:p>
    <w:p w:rsidR="00000000" w:rsidRDefault="006F0EF5">
      <w:pPr>
        <w:ind w:hanging="360"/>
        <w:jc w:val="both"/>
        <w:divId w:val="54594947"/>
        <w:rPr>
          <w:rFonts w:eastAsia="Times New Roman"/>
        </w:rPr>
      </w:pPr>
      <w:r>
        <w:rPr>
          <w:rFonts w:eastAsia="Times New Roman"/>
          <w:color w:val="000000"/>
          <w:sz w:val="20"/>
          <w:szCs w:val="20"/>
        </w:rPr>
        <w:t>•Income app</w:t>
      </w:r>
      <w:r>
        <w:rPr>
          <w:rFonts w:eastAsia="Times New Roman"/>
          <w:color w:val="000000"/>
          <w:sz w:val="20"/>
          <w:szCs w:val="20"/>
        </w:rPr>
        <w:t>roach: Techniques to convert future amounts to a single present amount based upon market expectations (including present value techniques, option pricing and excess earnings models).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regularly review our investments to determine whether a decline in f</w:t>
      </w:r>
      <w:r>
        <w:rPr>
          <w:rFonts w:eastAsia="Times New Roman"/>
          <w:color w:val="000000"/>
          <w:sz w:val="20"/>
          <w:szCs w:val="20"/>
        </w:rPr>
        <w:t>air value, if any, below the cost basis is other than temporary. If the decline in the fair value is determined to be other than temporary, the cost basis of the security is written down to fair value and the amount of the write-down is included in the Con</w:t>
      </w:r>
      <w:r>
        <w:rPr>
          <w:rFonts w:eastAsia="Times New Roman"/>
          <w:color w:val="000000"/>
          <w:sz w:val="20"/>
          <w:szCs w:val="20"/>
        </w:rPr>
        <w:t xml:space="preserve">solidated Statement of Operations. For qualifying investments in debt or equity securities, a temporary impairment charge would be recognized in Other comprehensive income (loss).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Recent Accounting Pronouncements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Accounting Pronouncements Issued But </w:t>
      </w:r>
      <w:r>
        <w:rPr>
          <w:rFonts w:eastAsia="Times New Roman"/>
          <w:i/>
          <w:iCs/>
          <w:color w:val="000000"/>
          <w:sz w:val="20"/>
          <w:szCs w:val="20"/>
        </w:rPr>
        <w:t>Not Yet Adopted</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August 2020, the Financial Accounting Standards Board (“FASB”) issued an accounting standards update with new guidance for convertible preferred stock, which eliminates considerations related to the beneficial conversion feature model.</w:t>
      </w:r>
      <w:r>
        <w:rPr>
          <w:rFonts w:eastAsia="Times New Roman"/>
          <w:color w:val="000000"/>
          <w:sz w:val="20"/>
          <w:szCs w:val="20"/>
        </w:rPr>
        <w:t xml:space="preserve"> The standard also requires an average stock price when calculating the denominator for diluted earnings per share to be used for stock units where the settlement of the number of shares is based on the stock price. The new standard is effective for fiscal</w:t>
      </w:r>
      <w:r>
        <w:rPr>
          <w:rFonts w:eastAsia="Times New Roman"/>
          <w:color w:val="000000"/>
          <w:sz w:val="20"/>
          <w:szCs w:val="20"/>
        </w:rPr>
        <w:t xml:space="preserve"> years, and interim periods within those fiscal years, beginning after December 15, 2021. Early adoption is permitted no earlier than fiscal years beginning after December 15, 2020 and interim periods within those fiscal years. The adoption of this account</w:t>
      </w:r>
      <w:r>
        <w:rPr>
          <w:rFonts w:eastAsia="Times New Roman"/>
          <w:color w:val="000000"/>
          <w:sz w:val="20"/>
          <w:szCs w:val="20"/>
        </w:rPr>
        <w:t>ing standards update is not expected to have a material effect on the Company's net income, cash flows, earnings per share or financial condition.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May 2021, the FASB issued an accounting standards update with new guidance for freestanding equity-class</w:t>
      </w:r>
      <w:r>
        <w:rPr>
          <w:rFonts w:eastAsia="Times New Roman"/>
          <w:color w:val="000000"/>
          <w:sz w:val="20"/>
          <w:szCs w:val="20"/>
        </w:rPr>
        <w:t xml:space="preserve">ified written call options. The new guidance requires modifications or exchanges of freestanding equity-classified written call options that remain equity classified after the modification or exchange based on the economic substance of the modification or </w:t>
      </w:r>
      <w:r>
        <w:rPr>
          <w:rFonts w:eastAsia="Times New Roman"/>
          <w:color w:val="000000"/>
          <w:sz w:val="20"/>
          <w:szCs w:val="20"/>
        </w:rPr>
        <w:t>exchange. The new standard is effective for fiscal years, and interim periods within those fiscal years, beginning after December 15, 2021, with early adoption permitted. The adoption of this accounting standards update is not expected to have a material e</w:t>
      </w:r>
      <w:r>
        <w:rPr>
          <w:rFonts w:eastAsia="Times New Roman"/>
          <w:color w:val="000000"/>
          <w:sz w:val="20"/>
          <w:szCs w:val="20"/>
        </w:rPr>
        <w:t xml:space="preserve">ffect on the Company's net income, cash flows, earnings per share or financial condition.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October 2021, the FASB issued an accounting standards update with new guidance for contract assets and contract liabilities acquired in a business combination. The new guidance requires contract assets and contract liabilities, such as deferred revenue,</w:t>
      </w:r>
      <w:r>
        <w:rPr>
          <w:rFonts w:eastAsia="Times New Roman"/>
          <w:color w:val="000000"/>
          <w:sz w:val="20"/>
          <w:szCs w:val="20"/>
        </w:rPr>
        <w:t xml:space="preserve"> acquired in a business combination to be recognized and measured by the acquirer on the acquisition date in accordance with Accounting Standard Codification (“ASC”) 606, </w:t>
      </w:r>
      <w:r>
        <w:rPr>
          <w:rFonts w:eastAsia="Times New Roman"/>
          <w:i/>
          <w:iCs/>
          <w:color w:val="000000"/>
          <w:sz w:val="20"/>
          <w:szCs w:val="20"/>
        </w:rPr>
        <w:t>Revenue from Contracts with Customers</w:t>
      </w:r>
      <w:r>
        <w:rPr>
          <w:rFonts w:eastAsia="Times New Roman"/>
          <w:color w:val="000000"/>
          <w:sz w:val="20"/>
          <w:szCs w:val="20"/>
        </w:rPr>
        <w:t>. Prior to the issuance of this guidance, contra</w:t>
      </w:r>
      <w:r>
        <w:rPr>
          <w:rFonts w:eastAsia="Times New Roman"/>
          <w:color w:val="000000"/>
          <w:sz w:val="20"/>
          <w:szCs w:val="20"/>
        </w:rPr>
        <w:t xml:space="preserve">ct assets and contract liabilities were recognized by the acquirer at fair value on the acquisition date. The accounting standards update is effective for fiscal years, and interim periods within those fiscal years, beginning after December 15, 2022, with </w:t>
      </w:r>
      <w:r>
        <w:rPr>
          <w:rFonts w:eastAsia="Times New Roman"/>
          <w:color w:val="000000"/>
          <w:sz w:val="20"/>
          <w:szCs w:val="20"/>
        </w:rPr>
        <w:t xml:space="preserve">early adoption permitted and should be applied prospectively to acquisitions occurring on or after the effective </w:t>
      </w:r>
    </w:p>
    <w:p w:rsidR="00000000" w:rsidRDefault="006F0EF5">
      <w:pPr>
        <w:jc w:val="center"/>
        <w:divId w:val="1723359357"/>
        <w:rPr>
          <w:rFonts w:eastAsia="Times New Roman"/>
        </w:rPr>
      </w:pPr>
      <w:r>
        <w:rPr>
          <w:rFonts w:eastAsia="Times New Roman"/>
          <w:color w:val="000000"/>
          <w:sz w:val="20"/>
          <w:szCs w:val="20"/>
        </w:rPr>
        <w:t>70</w:t>
      </w:r>
    </w:p>
    <w:p w:rsidR="00000000" w:rsidRDefault="006F0EF5">
      <w:pPr>
        <w:rPr>
          <w:rFonts w:eastAsia="Times New Roman"/>
        </w:rPr>
      </w:pPr>
      <w:r>
        <w:rPr>
          <w:rFonts w:eastAsia="Times New Roman"/>
        </w:rPr>
        <w:pict>
          <v:rect id="_x0000_i1099" style="width:0;height:1.5pt" o:hralign="center" o:hrstd="t" o:hr="t" fillcolor="#a0a0a0" stroked="f"/>
        </w:pict>
      </w:r>
    </w:p>
    <w:p w:rsidR="00000000" w:rsidRDefault="006F0EF5">
      <w:pPr>
        <w:divId w:val="342635648"/>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507839369"/>
        <w:rPr>
          <w:rFonts w:eastAsia="Times New Roman"/>
        </w:rPr>
      </w:pPr>
      <w:r>
        <w:rPr>
          <w:rFonts w:eastAsia="Times New Roman"/>
          <w:b/>
          <w:bCs/>
          <w:color w:val="000000"/>
          <w:sz w:val="20"/>
          <w:szCs w:val="20"/>
        </w:rPr>
        <w:t>NCR Corporation</w:t>
      </w:r>
    </w:p>
    <w:p w:rsidR="00000000" w:rsidRDefault="006F0EF5">
      <w:pPr>
        <w:jc w:val="center"/>
        <w:divId w:val="507839369"/>
        <w:rPr>
          <w:rFonts w:eastAsia="Times New Roman"/>
        </w:rPr>
      </w:pPr>
      <w:r>
        <w:rPr>
          <w:rFonts w:eastAsia="Times New Roman"/>
          <w:b/>
          <w:bCs/>
          <w:color w:val="000000"/>
          <w:sz w:val="20"/>
          <w:szCs w:val="20"/>
        </w:rPr>
        <w:t xml:space="preserve">Notes to </w:t>
      </w:r>
      <w:r>
        <w:rPr>
          <w:rFonts w:eastAsia="Times New Roman"/>
          <w:b/>
          <w:bCs/>
          <w:color w:val="000000"/>
          <w:sz w:val="20"/>
          <w:szCs w:val="20"/>
        </w:rPr>
        <w:t>Consolidated Financial Statements-(Continued)</w:t>
      </w:r>
    </w:p>
    <w:p w:rsidR="00000000" w:rsidRDefault="006F0EF5">
      <w:pPr>
        <w:jc w:val="center"/>
        <w:divId w:val="507839369"/>
        <w:rPr>
          <w:rFonts w:eastAsia="Times New Roman"/>
        </w:rPr>
      </w:pPr>
    </w:p>
    <w:p w:rsidR="00000000" w:rsidRDefault="006F0EF5">
      <w:pPr>
        <w:jc w:val="center"/>
        <w:divId w:val="507839369"/>
        <w:rPr>
          <w:rFonts w:eastAsia="Times New Roman"/>
        </w:rPr>
      </w:pPr>
    </w:p>
    <w:p w:rsidR="00000000" w:rsidRDefault="006F0EF5">
      <w:pPr>
        <w:divId w:val="714894351"/>
        <w:rPr>
          <w:rFonts w:eastAsia="Times New Roman"/>
        </w:rPr>
      </w:pPr>
    </w:p>
    <w:p w:rsidR="00000000" w:rsidRDefault="006F0EF5">
      <w:pPr>
        <w:jc w:val="both"/>
        <w:rPr>
          <w:rFonts w:eastAsia="Times New Roman"/>
        </w:rPr>
      </w:pPr>
      <w:r>
        <w:rPr>
          <w:rFonts w:eastAsia="Times New Roman"/>
          <w:color w:val="000000"/>
          <w:sz w:val="20"/>
          <w:szCs w:val="20"/>
        </w:rPr>
        <w:t>date. The adoption of this accounting standards update is not expected to have a material effect on the Company's net income, cash flows, earnings per share or financial condition.</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Adoption of New Accou</w:t>
      </w:r>
      <w:r>
        <w:rPr>
          <w:rFonts w:eastAsia="Times New Roman"/>
          <w:i/>
          <w:iCs/>
          <w:color w:val="000000"/>
          <w:sz w:val="20"/>
          <w:szCs w:val="20"/>
        </w:rPr>
        <w:t>nting Pronouncements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July 2021, the FASB issued an accounting standards update with new guidance for lessors with lease contracts that have variable lease payments. Under the new guidance, a lease which includes variable lease payments which do not de</w:t>
      </w:r>
      <w:r>
        <w:rPr>
          <w:rFonts w:eastAsia="Times New Roman"/>
          <w:color w:val="000000"/>
          <w:sz w:val="20"/>
          <w:szCs w:val="20"/>
        </w:rPr>
        <w:t xml:space="preserve">pend on a reference index or rate and would have resulted in the recognition of a selling loss at lease commencement if classified as sales-type or direct financing are now to be classified as operating. The new standard is effective for fiscal years, and </w:t>
      </w:r>
      <w:r>
        <w:rPr>
          <w:rFonts w:eastAsia="Times New Roman"/>
          <w:color w:val="000000"/>
          <w:sz w:val="20"/>
          <w:szCs w:val="20"/>
        </w:rPr>
        <w:t xml:space="preserve">interim periods within those fiscal years, beginning after December 15, 2021, with early adoption permitted. The accounting standards update was adopted using the transition guidance of early application and we will apply the standard prospectively to all </w:t>
      </w:r>
      <w:r>
        <w:rPr>
          <w:rFonts w:eastAsia="Times New Roman"/>
          <w:color w:val="000000"/>
          <w:sz w:val="20"/>
          <w:szCs w:val="20"/>
        </w:rPr>
        <w:t xml:space="preserve">new hardware arrangements where NCR is the lessor. The adoption of the accounting standard did not have a material effect on the Company's net income, cash flows, earnings per share or financial condition. </w:t>
      </w:r>
    </w:p>
    <w:p w:rsidR="00000000" w:rsidRDefault="006F0EF5">
      <w:pPr>
        <w:jc w:val="both"/>
        <w:rPr>
          <w:rFonts w:eastAsia="Times New Roman"/>
        </w:rPr>
      </w:pPr>
    </w:p>
    <w:p w:rsidR="00000000" w:rsidRDefault="006F0EF5">
      <w:pPr>
        <w:divId w:val="587228000"/>
        <w:rPr>
          <w:rFonts w:eastAsia="Times New Roman"/>
        </w:rPr>
      </w:pPr>
      <w:r>
        <w:rPr>
          <w:rFonts w:eastAsia="Times New Roman"/>
          <w:b/>
          <w:bCs/>
          <w:color w:val="7ACE05"/>
          <w:sz w:val="20"/>
          <w:szCs w:val="20"/>
        </w:rPr>
        <w:t xml:space="preserve">2. GOODWILL AND PURCHASED INTANGIBLE ASSETS </w:t>
      </w:r>
    </w:p>
    <w:p w:rsidR="00000000" w:rsidRDefault="006F0EF5">
      <w:pPr>
        <w:divId w:val="1944268354"/>
        <w:rPr>
          <w:rFonts w:eastAsia="Times New Roman"/>
        </w:rPr>
      </w:pPr>
    </w:p>
    <w:p w:rsidR="00000000" w:rsidRDefault="006F0EF5">
      <w:pPr>
        <w:jc w:val="both"/>
        <w:rPr>
          <w:rFonts w:eastAsia="Times New Roman"/>
        </w:rPr>
      </w:pPr>
      <w:r>
        <w:rPr>
          <w:rFonts w:eastAsia="Times New Roman"/>
          <w:i/>
          <w:iCs/>
          <w:color w:val="000000"/>
          <w:sz w:val="20"/>
          <w:szCs w:val="20"/>
        </w:rPr>
        <w:t xml:space="preserve">Goodwill by Segment </w:t>
      </w:r>
      <w:r>
        <w:rPr>
          <w:rFonts w:eastAsia="Times New Roman"/>
          <w:color w:val="000000"/>
          <w:sz w:val="20"/>
          <w:szCs w:val="20"/>
        </w:rPr>
        <w:t>The carrying amounts of goodwill by segment as of December 31, 2021, 2020, and 2019 are included in the tables below. Foreign currency fluctuations are included within other adjustments</w:t>
      </w:r>
      <w:r>
        <w:rPr>
          <w:rFonts w:eastAsia="Times New Roman"/>
          <w:color w:val="000000"/>
          <w:sz w:val="16"/>
          <w:szCs w:val="16"/>
        </w:rPr>
        <w:t xml:space="preserve">. </w:t>
      </w:r>
    </w:p>
    <w:tbl>
      <w:tblPr>
        <w:tblW w:w="4970" w:type="pct"/>
        <w:jc w:val="center"/>
        <w:tblCellMar>
          <w:top w:w="15" w:type="dxa"/>
          <w:left w:w="15" w:type="dxa"/>
          <w:bottom w:w="15" w:type="dxa"/>
          <w:right w:w="15" w:type="dxa"/>
        </w:tblCellMar>
        <w:tblLook w:val="04A0" w:firstRow="1" w:lastRow="0" w:firstColumn="1" w:lastColumn="0" w:noHBand="0" w:noVBand="1"/>
      </w:tblPr>
      <w:tblGrid>
        <w:gridCol w:w="62"/>
        <w:gridCol w:w="82"/>
        <w:gridCol w:w="779"/>
        <w:gridCol w:w="37"/>
        <w:gridCol w:w="121"/>
        <w:gridCol w:w="198"/>
        <w:gridCol w:w="144"/>
        <w:gridCol w:w="144"/>
        <w:gridCol w:w="90"/>
        <w:gridCol w:w="36"/>
        <w:gridCol w:w="36"/>
        <w:gridCol w:w="36"/>
        <w:gridCol w:w="36"/>
        <w:gridCol w:w="121"/>
        <w:gridCol w:w="246"/>
        <w:gridCol w:w="144"/>
        <w:gridCol w:w="144"/>
        <w:gridCol w:w="144"/>
        <w:gridCol w:w="144"/>
        <w:gridCol w:w="28"/>
        <w:gridCol w:w="36"/>
        <w:gridCol w:w="36"/>
        <w:gridCol w:w="36"/>
        <w:gridCol w:w="8"/>
        <w:gridCol w:w="28"/>
        <w:gridCol w:w="120"/>
        <w:gridCol w:w="500"/>
        <w:gridCol w:w="36"/>
        <w:gridCol w:w="36"/>
        <w:gridCol w:w="36"/>
        <w:gridCol w:w="27"/>
        <w:gridCol w:w="9"/>
        <w:gridCol w:w="121"/>
        <w:gridCol w:w="14"/>
        <w:gridCol w:w="144"/>
        <w:gridCol w:w="144"/>
        <w:gridCol w:w="144"/>
        <w:gridCol w:w="144"/>
        <w:gridCol w:w="24"/>
        <w:gridCol w:w="36"/>
        <w:gridCol w:w="36"/>
        <w:gridCol w:w="36"/>
        <w:gridCol w:w="36"/>
        <w:gridCol w:w="121"/>
        <w:gridCol w:w="263"/>
        <w:gridCol w:w="144"/>
        <w:gridCol w:w="144"/>
        <w:gridCol w:w="144"/>
        <w:gridCol w:w="77"/>
        <w:gridCol w:w="36"/>
        <w:gridCol w:w="31"/>
        <w:gridCol w:w="5"/>
        <w:gridCol w:w="36"/>
        <w:gridCol w:w="36"/>
        <w:gridCol w:w="67"/>
        <w:gridCol w:w="54"/>
        <w:gridCol w:w="370"/>
        <w:gridCol w:w="36"/>
        <w:gridCol w:w="36"/>
        <w:gridCol w:w="36"/>
        <w:gridCol w:w="36"/>
        <w:gridCol w:w="33"/>
        <w:gridCol w:w="88"/>
        <w:gridCol w:w="56"/>
        <w:gridCol w:w="144"/>
        <w:gridCol w:w="144"/>
        <w:gridCol w:w="144"/>
        <w:gridCol w:w="92"/>
        <w:gridCol w:w="36"/>
        <w:gridCol w:w="16"/>
        <w:gridCol w:w="20"/>
        <w:gridCol w:w="36"/>
        <w:gridCol w:w="36"/>
        <w:gridCol w:w="121"/>
        <w:gridCol w:w="521"/>
        <w:gridCol w:w="144"/>
        <w:gridCol w:w="144"/>
        <w:gridCol w:w="41"/>
        <w:gridCol w:w="36"/>
        <w:gridCol w:w="36"/>
        <w:gridCol w:w="31"/>
        <w:gridCol w:w="5"/>
        <w:gridCol w:w="36"/>
        <w:gridCol w:w="103"/>
        <w:gridCol w:w="17"/>
        <w:gridCol w:w="127"/>
        <w:gridCol w:w="373"/>
        <w:gridCol w:w="33"/>
        <w:gridCol w:w="3"/>
        <w:gridCol w:w="141"/>
        <w:gridCol w:w="144"/>
        <w:gridCol w:w="144"/>
        <w:gridCol w:w="144"/>
        <w:gridCol w:w="144"/>
        <w:gridCol w:w="637"/>
        <w:gridCol w:w="144"/>
        <w:gridCol w:w="144"/>
        <w:gridCol w:w="144"/>
        <w:gridCol w:w="144"/>
        <w:gridCol w:w="144"/>
        <w:gridCol w:w="795"/>
        <w:gridCol w:w="144"/>
        <w:gridCol w:w="144"/>
        <w:gridCol w:w="144"/>
        <w:gridCol w:w="144"/>
        <w:gridCol w:w="144"/>
        <w:gridCol w:w="554"/>
        <w:gridCol w:w="144"/>
      </w:tblGrid>
      <w:tr w:rsidR="00000000">
        <w:trPr>
          <w:gridAfter w:val="19"/>
          <w:divId w:val="1131677686"/>
          <w:jc w:val="center"/>
        </w:trPr>
        <w:tc>
          <w:tcPr>
            <w:tcW w:w="50" w:type="pct"/>
            <w:vAlign w:val="center"/>
            <w:hideMark/>
          </w:tcPr>
          <w:p w:rsidR="00000000" w:rsidRDefault="006F0EF5">
            <w:pPr>
              <w:jc w:val="both"/>
              <w:rPr>
                <w:rFonts w:eastAsia="Times New Roman"/>
              </w:rPr>
            </w:pPr>
          </w:p>
        </w:tc>
        <w:tc>
          <w:tcPr>
            <w:tcW w:w="702" w:type="pct"/>
            <w:gridSpan w:val="2"/>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4" w:type="pct"/>
            <w:gridSpan w:val="4"/>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81" w:type="pct"/>
            <w:gridSpan w:val="6"/>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gridSpan w:val="2"/>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gridSpan w:val="2"/>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4" w:type="pct"/>
            <w:gridSpan w:val="6"/>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45" w:type="pct"/>
            <w:gridSpan w:val="5"/>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gridSpan w:val="2"/>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gridSpan w:val="2"/>
            <w:vAlign w:val="center"/>
            <w:hideMark/>
          </w:tcPr>
          <w:p w:rsidR="00000000" w:rsidRDefault="006F0EF5">
            <w:pPr>
              <w:spacing w:after="100"/>
              <w:rPr>
                <w:rFonts w:eastAsia="Times New Roman"/>
                <w:sz w:val="20"/>
                <w:szCs w:val="20"/>
              </w:rPr>
            </w:pPr>
          </w:p>
        </w:tc>
        <w:tc>
          <w:tcPr>
            <w:tcW w:w="26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gridSpan w:val="2"/>
            <w:vAlign w:val="center"/>
            <w:hideMark/>
          </w:tcPr>
          <w:p w:rsidR="00000000" w:rsidRDefault="006F0EF5">
            <w:pPr>
              <w:spacing w:after="100"/>
              <w:rPr>
                <w:rFonts w:eastAsia="Times New Roman"/>
                <w:sz w:val="20"/>
                <w:szCs w:val="20"/>
              </w:rPr>
            </w:pPr>
          </w:p>
        </w:tc>
        <w:tc>
          <w:tcPr>
            <w:tcW w:w="386" w:type="pct"/>
            <w:gridSpan w:val="5"/>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gridSpan w:val="2"/>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81" w:type="pct"/>
            <w:gridSpan w:val="4"/>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gridSpan w:val="2"/>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gridSpan w:val="2"/>
            <w:vAlign w:val="center"/>
            <w:hideMark/>
          </w:tcPr>
          <w:p w:rsidR="00000000" w:rsidRDefault="006F0EF5">
            <w:pPr>
              <w:spacing w:after="100"/>
              <w:rPr>
                <w:rFonts w:eastAsia="Times New Roman"/>
                <w:sz w:val="20"/>
                <w:szCs w:val="20"/>
              </w:rPr>
            </w:pPr>
          </w:p>
        </w:tc>
        <w:tc>
          <w:tcPr>
            <w:tcW w:w="334" w:type="pct"/>
            <w:gridSpan w:val="2"/>
            <w:vAlign w:val="center"/>
            <w:hideMark/>
          </w:tcPr>
          <w:p w:rsidR="00000000" w:rsidRDefault="006F0EF5">
            <w:pPr>
              <w:spacing w:after="100"/>
              <w:rPr>
                <w:rFonts w:eastAsia="Times New Roman"/>
                <w:sz w:val="20"/>
                <w:szCs w:val="20"/>
              </w:rPr>
            </w:pPr>
          </w:p>
        </w:tc>
        <w:tc>
          <w:tcPr>
            <w:tcW w:w="5" w:type="pct"/>
            <w:gridSpan w:val="2"/>
            <w:vAlign w:val="center"/>
            <w:hideMark/>
          </w:tcPr>
          <w:p w:rsidR="00000000" w:rsidRDefault="006F0EF5">
            <w:pPr>
              <w:spacing w:after="100"/>
              <w:rPr>
                <w:rFonts w:eastAsia="Times New Roman"/>
                <w:sz w:val="20"/>
                <w:szCs w:val="20"/>
              </w:rPr>
            </w:pPr>
          </w:p>
        </w:tc>
      </w:tr>
      <w:tr w:rsidR="00000000">
        <w:trPr>
          <w:gridAfter w:val="19"/>
          <w:divId w:val="1131677686"/>
          <w:jc w:val="center"/>
        </w:trPr>
        <w:tc>
          <w:tcPr>
            <w:tcW w:w="0" w:type="auto"/>
            <w:gridSpan w:val="4"/>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4"/>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c>
          <w:tcPr>
            <w:tcW w:w="0" w:type="auto"/>
            <w:gridSpan w:val="4"/>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8"/>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7"/>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8"/>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r>
      <w:tr w:rsidR="00000000">
        <w:trPr>
          <w:gridAfter w:val="19"/>
          <w:divId w:val="1131677686"/>
          <w:jc w:val="center"/>
        </w:trPr>
        <w:tc>
          <w:tcPr>
            <w:tcW w:w="0" w:type="auto"/>
            <w:gridSpan w:val="4"/>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Accumulated Impairment Losses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w:t>
            </w:r>
          </w:p>
        </w:tc>
        <w:tc>
          <w:tcPr>
            <w:tcW w:w="0" w:type="auto"/>
            <w:gridSpan w:val="4"/>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Impairment</w:t>
            </w:r>
          </w:p>
        </w:tc>
        <w:tc>
          <w:tcPr>
            <w:tcW w:w="0" w:type="auto"/>
            <w:gridSpan w:val="4"/>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Goodwill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Accumulated Impairment Losses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w:t>
            </w:r>
          </w:p>
        </w:tc>
      </w:tr>
      <w:tr w:rsidR="006F0EF5">
        <w:trPr>
          <w:gridAfter w:val="19"/>
          <w:divId w:val="1131677686"/>
          <w:jc w:val="center"/>
        </w:trPr>
        <w:tc>
          <w:tcPr>
            <w:tcW w:w="0" w:type="auto"/>
            <w:gridSpan w:val="4"/>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Banking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1,639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3,411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3,310</w:t>
            </w: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gridAfter w:val="19"/>
          <w:divId w:val="1131677686"/>
          <w:jc w:val="center"/>
        </w:trPr>
        <w:tc>
          <w:tcPr>
            <w:tcW w:w="0" w:type="auto"/>
            <w:gridSpan w:val="4"/>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Retail</w:t>
            </w:r>
          </w:p>
        </w:tc>
        <w:tc>
          <w:tcPr>
            <w:tcW w:w="0" w:type="auto"/>
            <w:gridSpan w:val="5"/>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644</w:t>
            </w: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gridAfter w:val="19"/>
          <w:divId w:val="1131677686"/>
          <w:jc w:val="center"/>
        </w:trPr>
        <w:tc>
          <w:tcPr>
            <w:tcW w:w="0" w:type="auto"/>
            <w:gridSpan w:val="4"/>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Hospitality</w:t>
            </w:r>
          </w:p>
        </w:tc>
        <w:tc>
          <w:tcPr>
            <w:tcW w:w="0" w:type="auto"/>
            <w:gridSpan w:val="5"/>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389</w:t>
            </w:r>
            <w:r>
              <w:rPr>
                <w:rFonts w:eastAsia="Times New Roman"/>
                <w:color w:val="000000"/>
                <w:sz w:val="20"/>
                <w:szCs w:val="20"/>
              </w:rPr>
              <w:t> </w:t>
            </w:r>
          </w:p>
        </w:tc>
        <w:tc>
          <w:tcPr>
            <w:tcW w:w="0" w:type="auto"/>
            <w:gridSpan w:val="2"/>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gridAfter w:val="19"/>
          <w:divId w:val="1131677686"/>
          <w:jc w:val="center"/>
        </w:trPr>
        <w:tc>
          <w:tcPr>
            <w:tcW w:w="0" w:type="auto"/>
            <w:gridSpan w:val="4"/>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T&amp;T</w:t>
            </w:r>
          </w:p>
        </w:tc>
        <w:tc>
          <w:tcPr>
            <w:tcW w:w="0" w:type="auto"/>
            <w:gridSpan w:val="5"/>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gridAfter w:val="19"/>
          <w:divId w:val="1131677686"/>
          <w:jc w:val="center"/>
        </w:trPr>
        <w:tc>
          <w:tcPr>
            <w:tcW w:w="0" w:type="auto"/>
            <w:gridSpan w:val="4"/>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goodwill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3,006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2,837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4,688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4,519</w:t>
            </w:r>
            <w:r>
              <w:rPr>
                <w:rFonts w:eastAsia="Times New Roman"/>
                <w:color w:val="000000"/>
                <w:sz w:val="20"/>
                <w:szCs w:val="20"/>
              </w:rPr>
              <w:t>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blPrEx>
          <w:tblW w:w="4934" w:type="pct"/>
        </w:tblPrEx>
        <w:trPr>
          <w:jc w:val="center"/>
        </w:trPr>
        <w:tc>
          <w:tcPr>
            <w:tcW w:w="50" w:type="pct"/>
            <w:gridSpan w:val="2"/>
            <w:vAlign w:val="center"/>
            <w:hideMark/>
          </w:tcPr>
          <w:p w:rsidR="00000000" w:rsidRDefault="006F0EF5">
            <w:pPr>
              <w:jc w:val="center"/>
              <w:rPr>
                <w:rFonts w:eastAsia="Times New Roman"/>
              </w:rPr>
            </w:pPr>
          </w:p>
        </w:tc>
        <w:tc>
          <w:tcPr>
            <w:tcW w:w="693" w:type="pct"/>
            <w:gridSpan w:val="4"/>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7" w:type="pct"/>
            <w:gridSpan w:val="7"/>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gridSpan w:val="5"/>
            <w:vAlign w:val="center"/>
            <w:hideMark/>
          </w:tcPr>
          <w:p w:rsidR="00000000" w:rsidRDefault="006F0EF5">
            <w:pPr>
              <w:spacing w:after="100"/>
              <w:rPr>
                <w:rFonts w:eastAsia="Times New Roman"/>
                <w:sz w:val="20"/>
                <w:szCs w:val="20"/>
              </w:rPr>
            </w:pPr>
          </w:p>
        </w:tc>
        <w:tc>
          <w:tcPr>
            <w:tcW w:w="478" w:type="pct"/>
            <w:gridSpan w:val="7"/>
            <w:vAlign w:val="center"/>
            <w:hideMark/>
          </w:tcPr>
          <w:p w:rsidR="00000000" w:rsidRDefault="006F0EF5">
            <w:pPr>
              <w:spacing w:after="100"/>
              <w:rPr>
                <w:rFonts w:eastAsia="Times New Roman"/>
                <w:sz w:val="20"/>
                <w:szCs w:val="20"/>
              </w:rPr>
            </w:pPr>
          </w:p>
        </w:tc>
        <w:tc>
          <w:tcPr>
            <w:tcW w:w="5" w:type="pct"/>
            <w:gridSpan w:val="3"/>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7" w:type="pct"/>
            <w:gridSpan w:val="7"/>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gridSpan w:val="3"/>
            <w:vAlign w:val="center"/>
            <w:hideMark/>
          </w:tcPr>
          <w:p w:rsidR="00000000" w:rsidRDefault="006F0EF5">
            <w:pPr>
              <w:spacing w:after="100"/>
              <w:rPr>
                <w:rFonts w:eastAsia="Times New Roman"/>
                <w:sz w:val="20"/>
                <w:szCs w:val="20"/>
              </w:rPr>
            </w:pPr>
          </w:p>
        </w:tc>
        <w:tc>
          <w:tcPr>
            <w:tcW w:w="50" w:type="pct"/>
            <w:gridSpan w:val="4"/>
            <w:vAlign w:val="center"/>
            <w:hideMark/>
          </w:tcPr>
          <w:p w:rsidR="00000000" w:rsidRDefault="006F0EF5">
            <w:pPr>
              <w:spacing w:after="100"/>
              <w:rPr>
                <w:rFonts w:eastAsia="Times New Roman"/>
                <w:sz w:val="20"/>
                <w:szCs w:val="20"/>
              </w:rPr>
            </w:pPr>
          </w:p>
        </w:tc>
        <w:tc>
          <w:tcPr>
            <w:tcW w:w="367" w:type="pct"/>
            <w:gridSpan w:val="7"/>
            <w:vAlign w:val="center"/>
            <w:hideMark/>
          </w:tcPr>
          <w:p w:rsidR="00000000" w:rsidRDefault="006F0EF5">
            <w:pPr>
              <w:spacing w:after="100"/>
              <w:rPr>
                <w:rFonts w:eastAsia="Times New Roman"/>
                <w:sz w:val="20"/>
                <w:szCs w:val="20"/>
              </w:rPr>
            </w:pPr>
          </w:p>
        </w:tc>
        <w:tc>
          <w:tcPr>
            <w:tcW w:w="5" w:type="pct"/>
            <w:gridSpan w:val="2"/>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gridSpan w:val="3"/>
            <w:vAlign w:val="center"/>
            <w:hideMark/>
          </w:tcPr>
          <w:p w:rsidR="00000000" w:rsidRDefault="006F0EF5">
            <w:pPr>
              <w:spacing w:after="100"/>
              <w:rPr>
                <w:rFonts w:eastAsia="Times New Roman"/>
                <w:sz w:val="20"/>
                <w:szCs w:val="20"/>
              </w:rPr>
            </w:pPr>
          </w:p>
        </w:tc>
        <w:tc>
          <w:tcPr>
            <w:tcW w:w="448" w:type="pct"/>
            <w:gridSpan w:val="5"/>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gridSpan w:val="4"/>
            <w:vAlign w:val="center"/>
            <w:hideMark/>
          </w:tcPr>
          <w:p w:rsidR="00000000" w:rsidRDefault="006F0EF5">
            <w:pPr>
              <w:spacing w:after="100"/>
              <w:rPr>
                <w:rFonts w:eastAsia="Times New Roman"/>
                <w:sz w:val="20"/>
                <w:szCs w:val="20"/>
              </w:rPr>
            </w:pPr>
          </w:p>
        </w:tc>
        <w:tc>
          <w:tcPr>
            <w:tcW w:w="5" w:type="pct"/>
            <w:gridSpan w:val="3"/>
            <w:vAlign w:val="center"/>
            <w:hideMark/>
          </w:tcPr>
          <w:p w:rsidR="00000000" w:rsidRDefault="006F0EF5">
            <w:pPr>
              <w:spacing w:after="100"/>
              <w:rPr>
                <w:rFonts w:eastAsia="Times New Roman"/>
                <w:sz w:val="20"/>
                <w:szCs w:val="20"/>
              </w:rPr>
            </w:pPr>
          </w:p>
        </w:tc>
        <w:tc>
          <w:tcPr>
            <w:tcW w:w="50" w:type="pct"/>
            <w:gridSpan w:val="2"/>
            <w:vAlign w:val="center"/>
            <w:hideMark/>
          </w:tcPr>
          <w:p w:rsidR="00000000" w:rsidRDefault="006F0EF5">
            <w:pPr>
              <w:spacing w:after="100"/>
              <w:rPr>
                <w:rFonts w:eastAsia="Times New Roman"/>
                <w:sz w:val="20"/>
                <w:szCs w:val="20"/>
              </w:rPr>
            </w:pPr>
          </w:p>
        </w:tc>
        <w:tc>
          <w:tcPr>
            <w:tcW w:w="248" w:type="pct"/>
            <w:gridSpan w:val="2"/>
            <w:vAlign w:val="center"/>
            <w:hideMark/>
          </w:tcPr>
          <w:p w:rsidR="00000000" w:rsidRDefault="006F0EF5">
            <w:pPr>
              <w:spacing w:after="100"/>
              <w:rPr>
                <w:rFonts w:eastAsia="Times New Roman"/>
                <w:sz w:val="20"/>
                <w:szCs w:val="20"/>
              </w:rPr>
            </w:pPr>
          </w:p>
        </w:tc>
        <w:tc>
          <w:tcPr>
            <w:tcW w:w="5" w:type="pct"/>
            <w:gridSpan w:val="2"/>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blPrEx>
          <w:tblW w:w="4934" w:type="pct"/>
        </w:tblPrEx>
        <w:trPr>
          <w:jc w:val="center"/>
        </w:trPr>
        <w:tc>
          <w:tcPr>
            <w:tcW w:w="0" w:type="auto"/>
            <w:gridSpan w:val="7"/>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2019</w:t>
            </w:r>
          </w:p>
        </w:tc>
        <w:tc>
          <w:tcPr>
            <w:tcW w:w="0" w:type="auto"/>
            <w:gridSpan w:val="5"/>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8"/>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r>
      <w:tr w:rsidR="00000000">
        <w:tblPrEx>
          <w:tblW w:w="4934" w:type="pct"/>
        </w:tblPrEx>
        <w:trPr>
          <w:jc w:val="center"/>
        </w:trPr>
        <w:tc>
          <w:tcPr>
            <w:tcW w:w="0" w:type="auto"/>
            <w:gridSpan w:val="7"/>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Accumulated Impairment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w:t>
            </w:r>
          </w:p>
        </w:tc>
        <w:tc>
          <w:tcPr>
            <w:tcW w:w="0" w:type="auto"/>
            <w:gridSpan w:val="5"/>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Impairment</w:t>
            </w:r>
          </w:p>
        </w:tc>
        <w:tc>
          <w:tcPr>
            <w:tcW w:w="0" w:type="auto"/>
            <w:gridSpan w:val="8"/>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Accumulated Impairment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w:t>
            </w:r>
          </w:p>
        </w:tc>
      </w:tr>
      <w:tr w:rsidR="006F0EF5">
        <w:tblPrEx>
          <w:tblW w:w="4934" w:type="pct"/>
        </w:tblPrEx>
        <w:trPr>
          <w:jc w:val="center"/>
        </w:trPr>
        <w:tc>
          <w:tcPr>
            <w:tcW w:w="0" w:type="auto"/>
            <w:gridSpan w:val="7"/>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Banking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(101)</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blPrEx>
          <w:tblW w:w="4934" w:type="pct"/>
        </w:tblPrEx>
        <w:trPr>
          <w:jc w:val="center"/>
        </w:trPr>
        <w:tc>
          <w:tcPr>
            <w:tcW w:w="0" w:type="auto"/>
            <w:gridSpan w:val="7"/>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Retail</w:t>
            </w:r>
          </w:p>
        </w:tc>
        <w:tc>
          <w:tcPr>
            <w:tcW w:w="0" w:type="auto"/>
            <w:gridSpan w:val="8"/>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638 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1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w:t>
            </w:r>
          </w:p>
        </w:tc>
        <w:tc>
          <w:tcPr>
            <w:tcW w:w="0" w:type="auto"/>
            <w:gridSpan w:val="3"/>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604 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11"/>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gridSpan w:val="2"/>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643 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609 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blPrEx>
          <w:tblW w:w="4934" w:type="pct"/>
        </w:tblPrEx>
        <w:trPr>
          <w:jc w:val="center"/>
        </w:trPr>
        <w:tc>
          <w:tcPr>
            <w:tcW w:w="0" w:type="auto"/>
            <w:gridSpan w:val="7"/>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Hospitality</w:t>
            </w:r>
          </w:p>
        </w:tc>
        <w:tc>
          <w:tcPr>
            <w:tcW w:w="0" w:type="auto"/>
            <w:gridSpan w:val="8"/>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402 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1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w:t>
            </w:r>
          </w:p>
        </w:tc>
        <w:tc>
          <w:tcPr>
            <w:tcW w:w="0" w:type="auto"/>
            <w:gridSpan w:val="3"/>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11"/>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gridSpan w:val="2"/>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gridSpan w:val="2"/>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404 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blPrEx>
          <w:tblW w:w="4934" w:type="pct"/>
        </w:tblPrEx>
        <w:trPr>
          <w:jc w:val="center"/>
        </w:trPr>
        <w:tc>
          <w:tcPr>
            <w:tcW w:w="0" w:type="auto"/>
            <w:gridSpan w:val="7"/>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T&amp;T</w:t>
            </w:r>
          </w:p>
        </w:tc>
        <w:tc>
          <w:tcPr>
            <w:tcW w:w="0" w:type="auto"/>
            <w:gridSpan w:val="8"/>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1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w:t>
            </w:r>
          </w:p>
        </w:tc>
        <w:tc>
          <w:tcPr>
            <w:tcW w:w="0" w:type="auto"/>
            <w:gridSpan w:val="3"/>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11"/>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blPrEx>
          <w:tblW w:w="4934" w:type="pct"/>
        </w:tblPrEx>
        <w:trPr>
          <w:jc w:val="center"/>
        </w:trPr>
        <w:tc>
          <w:tcPr>
            <w:tcW w:w="0" w:type="auto"/>
            <w:gridSpan w:val="7"/>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goodwill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(169)</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2,832 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2,837 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discussed in Note 1, “Basis of Presentation and Significant Accounting Policies”, NCR completed the annual goodwill</w:t>
      </w:r>
      <w:r>
        <w:rPr>
          <w:rFonts w:eastAsia="Times New Roman"/>
          <w:color w:val="000000"/>
          <w:sz w:val="20"/>
          <w:szCs w:val="20"/>
        </w:rPr>
        <w:t xml:space="preserve"> impairment test during the fourth quarter of 2021. The Company elected to perform a qualitative assessment for the Banking, Retail, Hospitality, and Telecommunications &amp; Technology (“T&amp;T”) reporting units. This assessment included consideration of the imp</w:t>
      </w:r>
      <w:r>
        <w:rPr>
          <w:rFonts w:eastAsia="Times New Roman"/>
          <w:color w:val="000000"/>
          <w:sz w:val="20"/>
          <w:szCs w:val="20"/>
        </w:rPr>
        <w:t xml:space="preserve">acts of the COVID-19 pandemic to the current year cash flows, the potential impacts to future cash flows as well as the excess of the fair value over the carrying value from the prior year annual assessment. Based on the qualitative assessments completed, </w:t>
      </w:r>
      <w:r>
        <w:rPr>
          <w:rFonts w:eastAsia="Times New Roman"/>
          <w:color w:val="000000"/>
          <w:sz w:val="20"/>
          <w:szCs w:val="20"/>
        </w:rPr>
        <w:t>it was determined that the fair value of the Banking, Retail, Hospitality, and T&amp;T reporting units were substantially in excess of the carrying value. However, if the actual results differ from our expectations for any of our reporting units, there is a po</w:t>
      </w:r>
      <w:r>
        <w:rPr>
          <w:rFonts w:eastAsia="Times New Roman"/>
          <w:color w:val="000000"/>
          <w:sz w:val="20"/>
          <w:szCs w:val="20"/>
        </w:rPr>
        <w:t>ssibility we would have to perform an interim impairment test in 2022, which could lead to an impairment of goodwill or other assets.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Identifiable Intangible Assets </w:t>
      </w:r>
      <w:r>
        <w:rPr>
          <w:rFonts w:eastAsia="Times New Roman"/>
          <w:color w:val="000000"/>
          <w:sz w:val="20"/>
          <w:szCs w:val="20"/>
        </w:rPr>
        <w:t>NCR's purchased intangible assets, reported in Intangibles, net in the Consolidated Balan</w:t>
      </w:r>
      <w:r>
        <w:rPr>
          <w:rFonts w:eastAsia="Times New Roman"/>
          <w:color w:val="000000"/>
          <w:sz w:val="20"/>
          <w:szCs w:val="20"/>
        </w:rPr>
        <w:t xml:space="preserve">ce Sheets, were specifically identified when acquired, and are deemed to have finite lives. The gross carrying amount and accumulated amortization for NCR’s identifiable intangible assets were as set forth in the table below. </w:t>
      </w:r>
    </w:p>
    <w:p w:rsidR="00000000" w:rsidRDefault="006F0EF5">
      <w:pPr>
        <w:jc w:val="center"/>
        <w:divId w:val="2146309358"/>
        <w:rPr>
          <w:rFonts w:eastAsia="Times New Roman"/>
        </w:rPr>
      </w:pPr>
      <w:r>
        <w:rPr>
          <w:rFonts w:eastAsia="Times New Roman"/>
          <w:color w:val="000000"/>
          <w:sz w:val="20"/>
          <w:szCs w:val="20"/>
        </w:rPr>
        <w:t>71</w:t>
      </w:r>
    </w:p>
    <w:p w:rsidR="00000000" w:rsidRDefault="006F0EF5">
      <w:pPr>
        <w:rPr>
          <w:rFonts w:eastAsia="Times New Roman"/>
        </w:rPr>
      </w:pPr>
      <w:r>
        <w:rPr>
          <w:rFonts w:eastAsia="Times New Roman"/>
        </w:rPr>
        <w:pict>
          <v:rect id="_x0000_i1100" style="width:0;height:1.5pt" o:hralign="center" o:hrstd="t" o:hr="t" fillcolor="#a0a0a0" stroked="f"/>
        </w:pict>
      </w:r>
    </w:p>
    <w:p w:rsidR="00000000" w:rsidRDefault="006F0EF5">
      <w:pPr>
        <w:divId w:val="158468508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367025387"/>
        <w:rPr>
          <w:rFonts w:eastAsia="Times New Roman"/>
        </w:rPr>
      </w:pPr>
      <w:r>
        <w:rPr>
          <w:rFonts w:eastAsia="Times New Roman"/>
          <w:b/>
          <w:bCs/>
          <w:color w:val="000000"/>
          <w:sz w:val="20"/>
          <w:szCs w:val="20"/>
        </w:rPr>
        <w:t>NCR Corporation</w:t>
      </w:r>
    </w:p>
    <w:p w:rsidR="00000000" w:rsidRDefault="006F0EF5">
      <w:pPr>
        <w:jc w:val="center"/>
        <w:divId w:val="367025387"/>
        <w:rPr>
          <w:rFonts w:eastAsia="Times New Roman"/>
        </w:rPr>
      </w:pPr>
      <w:r>
        <w:rPr>
          <w:rFonts w:eastAsia="Times New Roman"/>
          <w:b/>
          <w:bCs/>
          <w:color w:val="000000"/>
          <w:sz w:val="20"/>
          <w:szCs w:val="20"/>
        </w:rPr>
        <w:t>Notes to Consolidated Financial Statements-(Continued)</w:t>
      </w:r>
    </w:p>
    <w:p w:rsidR="00000000" w:rsidRDefault="006F0EF5">
      <w:pPr>
        <w:jc w:val="center"/>
        <w:divId w:val="367025387"/>
        <w:rPr>
          <w:rFonts w:eastAsia="Times New Roman"/>
        </w:rPr>
      </w:pPr>
    </w:p>
    <w:p w:rsidR="00000000" w:rsidRDefault="006F0EF5">
      <w:pPr>
        <w:jc w:val="center"/>
        <w:divId w:val="367025387"/>
        <w:rPr>
          <w:rFonts w:eastAsia="Times New Roman"/>
        </w:rPr>
      </w:pPr>
    </w:p>
    <w:p w:rsidR="00000000" w:rsidRDefault="006F0EF5">
      <w:pPr>
        <w:divId w:val="869955489"/>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955"/>
        <w:gridCol w:w="36"/>
        <w:gridCol w:w="81"/>
        <w:gridCol w:w="867"/>
        <w:gridCol w:w="36"/>
        <w:gridCol w:w="36"/>
        <w:gridCol w:w="36"/>
        <w:gridCol w:w="36"/>
        <w:gridCol w:w="121"/>
        <w:gridCol w:w="728"/>
        <w:gridCol w:w="36"/>
        <w:gridCol w:w="36"/>
        <w:gridCol w:w="36"/>
        <w:gridCol w:w="36"/>
        <w:gridCol w:w="121"/>
        <w:gridCol w:w="867"/>
        <w:gridCol w:w="36"/>
        <w:gridCol w:w="36"/>
        <w:gridCol w:w="36"/>
        <w:gridCol w:w="36"/>
        <w:gridCol w:w="121"/>
        <w:gridCol w:w="734"/>
        <w:gridCol w:w="36"/>
        <w:gridCol w:w="36"/>
        <w:gridCol w:w="36"/>
        <w:gridCol w:w="36"/>
        <w:gridCol w:w="121"/>
        <w:gridCol w:w="867"/>
        <w:gridCol w:w="36"/>
      </w:tblGrid>
      <w:tr w:rsidR="00000000">
        <w:trPr>
          <w:divId w:val="1266228396"/>
          <w:jc w:val="center"/>
        </w:trPr>
        <w:tc>
          <w:tcPr>
            <w:tcW w:w="50" w:type="pct"/>
            <w:vAlign w:val="center"/>
            <w:hideMark/>
          </w:tcPr>
          <w:p w:rsidR="00000000" w:rsidRDefault="006F0EF5">
            <w:pPr>
              <w:rPr>
                <w:rFonts w:eastAsia="Times New Roman"/>
              </w:rPr>
            </w:pPr>
          </w:p>
        </w:tc>
        <w:tc>
          <w:tcPr>
            <w:tcW w:w="182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266228396"/>
          <w:trHeight w:val="28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 xml:space="preserve">Amortization </w:t>
            </w:r>
            <w:r>
              <w:rPr>
                <w:rFonts w:eastAsia="Times New Roman"/>
                <w:b/>
                <w:bCs/>
                <w:color w:val="000000"/>
                <w:sz w:val="16"/>
                <w:szCs w:val="16"/>
              </w:rPr>
              <w:br/>
              <w:t>Period</w:t>
            </w:r>
            <w:r>
              <w:rPr>
                <w:rFonts w:eastAsia="Times New Roman"/>
                <w:b/>
                <w:bCs/>
                <w:color w:val="000000"/>
                <w:sz w:val="16"/>
                <w:szCs w:val="16"/>
              </w:rPr>
              <w:br/>
            </w:r>
            <w:r>
              <w:rPr>
                <w:rFonts w:eastAsia="Times New Roman"/>
                <w:b/>
                <w:bCs/>
                <w:color w:val="000000"/>
                <w:sz w:val="16"/>
                <w:szCs w:val="16"/>
              </w:rPr>
              <w:t>(in Years)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r>
      <w:tr w:rsidR="00000000">
        <w:trPr>
          <w:divId w:val="1266228396"/>
          <w:trHeight w:val="580"/>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vMerge/>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Accumulated Amortization</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Accumulated Amortization</w:t>
            </w:r>
          </w:p>
        </w:tc>
      </w:tr>
      <w:tr w:rsidR="00000000">
        <w:trPr>
          <w:divId w:val="1266228396"/>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Identifiable intangible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266228396"/>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Reseller &amp; customer relationships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1 - 20</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740 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66228396"/>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Intellectual property</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2 - 8</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(474)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(418)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66228396"/>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Customer contracts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8</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66228396"/>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Tradenames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1 - 10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66228396"/>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identifiable intangible assets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(905)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Amortization expense related to identifiable intangible assets was $132 million and $81 </w:t>
      </w:r>
      <w:r>
        <w:rPr>
          <w:rFonts w:eastAsia="Times New Roman"/>
          <w:color w:val="000000"/>
          <w:sz w:val="20"/>
          <w:szCs w:val="20"/>
        </w:rPr>
        <w:t>million for the years ended December 31, 2021 and 2020, respectively. The aggregate estimated amortization expense for identifiable intangible assets for the following periods is: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044"/>
        <w:gridCol w:w="36"/>
        <w:gridCol w:w="36"/>
        <w:gridCol w:w="36"/>
        <w:gridCol w:w="36"/>
        <w:gridCol w:w="120"/>
        <w:gridCol w:w="770"/>
        <w:gridCol w:w="36"/>
        <w:gridCol w:w="36"/>
        <w:gridCol w:w="36"/>
        <w:gridCol w:w="36"/>
        <w:gridCol w:w="120"/>
        <w:gridCol w:w="771"/>
        <w:gridCol w:w="36"/>
        <w:gridCol w:w="36"/>
        <w:gridCol w:w="36"/>
        <w:gridCol w:w="36"/>
        <w:gridCol w:w="120"/>
        <w:gridCol w:w="783"/>
        <w:gridCol w:w="36"/>
        <w:gridCol w:w="36"/>
        <w:gridCol w:w="36"/>
        <w:gridCol w:w="36"/>
        <w:gridCol w:w="120"/>
        <w:gridCol w:w="772"/>
        <w:gridCol w:w="36"/>
        <w:gridCol w:w="36"/>
        <w:gridCol w:w="36"/>
        <w:gridCol w:w="36"/>
        <w:gridCol w:w="120"/>
        <w:gridCol w:w="772"/>
        <w:gridCol w:w="36"/>
      </w:tblGrid>
      <w:tr w:rsidR="00000000">
        <w:trPr>
          <w:divId w:val="984121228"/>
          <w:jc w:val="center"/>
        </w:trPr>
        <w:tc>
          <w:tcPr>
            <w:tcW w:w="50" w:type="pct"/>
            <w:vAlign w:val="center"/>
            <w:hideMark/>
          </w:tcPr>
          <w:p w:rsidR="00000000" w:rsidRDefault="006F0EF5">
            <w:pPr>
              <w:jc w:val="both"/>
              <w:rPr>
                <w:rFonts w:eastAsia="Times New Roman"/>
              </w:rPr>
            </w:pPr>
          </w:p>
        </w:tc>
        <w:tc>
          <w:tcPr>
            <w:tcW w:w="186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2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2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2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2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984121228"/>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years ended December 31 (estimated)</w:t>
            </w:r>
          </w:p>
        </w:tc>
      </w:tr>
      <w:tr w:rsidR="00000000">
        <w:trPr>
          <w:divId w:val="984121228"/>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2026</w:t>
            </w:r>
          </w:p>
        </w:tc>
      </w:tr>
      <w:tr w:rsidR="00000000">
        <w:trPr>
          <w:divId w:val="984121228"/>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Amortization expense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055854940"/>
        <w:rPr>
          <w:rFonts w:eastAsia="Times New Roman"/>
        </w:rPr>
      </w:pPr>
    </w:p>
    <w:p w:rsidR="00000000" w:rsidRDefault="006F0EF5">
      <w:pPr>
        <w:jc w:val="center"/>
        <w:divId w:val="188373344"/>
        <w:rPr>
          <w:rFonts w:eastAsia="Times New Roman"/>
        </w:rPr>
      </w:pPr>
      <w:r>
        <w:rPr>
          <w:rFonts w:eastAsia="Times New Roman"/>
          <w:color w:val="000000"/>
          <w:sz w:val="20"/>
          <w:szCs w:val="20"/>
        </w:rPr>
        <w:t>72</w:t>
      </w:r>
    </w:p>
    <w:p w:rsidR="00000000" w:rsidRDefault="006F0EF5">
      <w:pPr>
        <w:rPr>
          <w:rFonts w:eastAsia="Times New Roman"/>
        </w:rPr>
      </w:pPr>
      <w:r>
        <w:rPr>
          <w:rFonts w:eastAsia="Times New Roman"/>
        </w:rPr>
        <w:pict>
          <v:rect id="_x0000_i1101" style="width:0;height:1.5pt" o:hralign="center" o:hrstd="t" o:hr="t" fillcolor="#a0a0a0" stroked="f"/>
        </w:pict>
      </w:r>
    </w:p>
    <w:p w:rsidR="00000000" w:rsidRDefault="006F0EF5">
      <w:pPr>
        <w:divId w:val="25783223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731736615"/>
        <w:rPr>
          <w:rFonts w:eastAsia="Times New Roman"/>
        </w:rPr>
      </w:pPr>
      <w:r>
        <w:rPr>
          <w:rFonts w:eastAsia="Times New Roman"/>
          <w:b/>
          <w:bCs/>
          <w:color w:val="000000"/>
          <w:sz w:val="20"/>
          <w:szCs w:val="20"/>
        </w:rPr>
        <w:t>NCR Corporation</w:t>
      </w:r>
    </w:p>
    <w:p w:rsidR="00000000" w:rsidRDefault="006F0EF5">
      <w:pPr>
        <w:jc w:val="center"/>
        <w:divId w:val="731736615"/>
        <w:rPr>
          <w:rFonts w:eastAsia="Times New Roman"/>
        </w:rPr>
      </w:pPr>
      <w:r>
        <w:rPr>
          <w:rFonts w:eastAsia="Times New Roman"/>
          <w:b/>
          <w:bCs/>
          <w:color w:val="000000"/>
          <w:sz w:val="20"/>
          <w:szCs w:val="20"/>
        </w:rPr>
        <w:t>Notes to Consolidated Financial Statements-(Continued)</w:t>
      </w:r>
    </w:p>
    <w:p w:rsidR="00000000" w:rsidRDefault="006F0EF5">
      <w:pPr>
        <w:jc w:val="center"/>
        <w:divId w:val="731736615"/>
        <w:rPr>
          <w:rFonts w:eastAsia="Times New Roman"/>
        </w:rPr>
      </w:pPr>
    </w:p>
    <w:p w:rsidR="00000000" w:rsidRDefault="006F0EF5">
      <w:pPr>
        <w:jc w:val="center"/>
        <w:divId w:val="731736615"/>
        <w:rPr>
          <w:rFonts w:eastAsia="Times New Roman"/>
        </w:rPr>
      </w:pPr>
    </w:p>
    <w:p w:rsidR="00000000" w:rsidRDefault="006F0EF5">
      <w:pPr>
        <w:divId w:val="557210465"/>
        <w:rPr>
          <w:rFonts w:eastAsia="Times New Roman"/>
        </w:rPr>
      </w:pPr>
    </w:p>
    <w:p w:rsidR="00000000" w:rsidRDefault="006F0EF5">
      <w:pPr>
        <w:divId w:val="1947955749"/>
        <w:rPr>
          <w:rFonts w:eastAsia="Times New Roman"/>
        </w:rPr>
      </w:pPr>
      <w:r>
        <w:rPr>
          <w:rFonts w:eastAsia="Times New Roman"/>
          <w:b/>
          <w:bCs/>
          <w:color w:val="7ACE05"/>
          <w:sz w:val="20"/>
          <w:szCs w:val="20"/>
        </w:rPr>
        <w:t xml:space="preserve">3. BUSINESS COMBINATIONS AND DIVESTITURES </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2021 Acquisitions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A</w:t>
      </w:r>
      <w:r>
        <w:rPr>
          <w:rFonts w:eastAsia="Times New Roman"/>
          <w:b/>
          <w:bCs/>
          <w:color w:val="000000"/>
          <w:sz w:val="20"/>
          <w:szCs w:val="20"/>
        </w:rPr>
        <w:t xml:space="preserve">cquisition of Cardtronics plc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January 25, 2021, NCR entered into a definitive agreement to acquire all outstanding shares of Cardtronics for $39.00 per share (the “Cardtronics Transaction”). The legal closing of the Cardtronics Transaction occurred on June 21, 2021.</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Cardtronics is</w:t>
      </w:r>
      <w:r>
        <w:rPr>
          <w:rFonts w:eastAsia="Times New Roman"/>
          <w:color w:val="000000"/>
          <w:sz w:val="20"/>
          <w:szCs w:val="20"/>
        </w:rPr>
        <w:t xml:space="preserve"> the world's largest non-bank ATM operator and service provider, enabling cash transactions by converting digital currency into physical cash at over 285,000 ATMs across 10 countries in North America, Europe, Asia-Pacific, and Africa. The Cardtronics Trans</w:t>
      </w:r>
      <w:r>
        <w:rPr>
          <w:rFonts w:eastAsia="Times New Roman"/>
          <w:color w:val="000000"/>
          <w:sz w:val="20"/>
          <w:szCs w:val="20"/>
        </w:rPr>
        <w:t>action is expected to accelerate our NCR-as-a-service strategy and enhance our ability to provide technology solutions and capabilities that run our customers’ businesses.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Purchase Price Consideration </w:t>
      </w:r>
      <w:r>
        <w:rPr>
          <w:rFonts w:eastAsia="Times New Roman"/>
          <w:color w:val="000000"/>
          <w:sz w:val="20"/>
          <w:szCs w:val="20"/>
        </w:rPr>
        <w:t>The purchase consideration transferred consisted of t</w:t>
      </w:r>
      <w:r>
        <w:rPr>
          <w:rFonts w:eastAsia="Times New Roman"/>
          <w:color w:val="000000"/>
          <w:sz w:val="20"/>
          <w:szCs w:val="20"/>
        </w:rPr>
        <w:t>he following:</w:t>
      </w:r>
    </w:p>
    <w:p w:rsidR="00000000" w:rsidRDefault="006F0EF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6569"/>
        <w:gridCol w:w="37"/>
        <w:gridCol w:w="121"/>
        <w:gridCol w:w="1492"/>
        <w:gridCol w:w="36"/>
      </w:tblGrid>
      <w:tr w:rsidR="00000000">
        <w:tc>
          <w:tcPr>
            <w:tcW w:w="50" w:type="pct"/>
            <w:vAlign w:val="center"/>
            <w:hideMark/>
          </w:tcPr>
          <w:p w:rsidR="00000000" w:rsidRDefault="006F0EF5">
            <w:pPr>
              <w:jc w:val="both"/>
              <w:rPr>
                <w:rFonts w:eastAsia="Times New Roman"/>
              </w:rPr>
            </w:pPr>
          </w:p>
        </w:tc>
        <w:tc>
          <w:tcPr>
            <w:tcW w:w="397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91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Purchase Consideration</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Cash paid to common stockholders and holders of certain restricted stock and stock option awards</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6F0EF5">
            <w:pPr>
              <w:spacing w:after="100"/>
              <w:jc w:val="right"/>
              <w:rPr>
                <w:rFonts w:eastAsia="Times New Roman"/>
              </w:rPr>
            </w:pPr>
            <w:r>
              <w:rPr>
                <w:rFonts w:eastAsia="Times New Roman"/>
                <w:b/>
                <w:bCs/>
                <w:color w:val="000000"/>
                <w:sz w:val="20"/>
                <w:szCs w:val="20"/>
              </w:rPr>
              <w:t>1,775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Debt repaid by NCR on behalf of Cardtronics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Transaction costs paid by NCR on behalf of Cardtronics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Fair value of converted Cardtronics awards attributable to pre-combination services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Settlement of pre-existing relationships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b/>
                <w:bCs/>
                <w:color w:val="000000"/>
                <w:sz w:val="20"/>
                <w:szCs w:val="20"/>
              </w:rPr>
              <w:t>Total purchase consideration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Other than certain outstanding restricted stock and stock option awards issued to directors which were paid out in cash at closing, the Company converted outstanding unvested Cardtronics awards into NCR awards pursuant to an exchange ratio as defined in th</w:t>
      </w:r>
      <w:r>
        <w:rPr>
          <w:rFonts w:eastAsia="Times New Roman"/>
          <w:color w:val="000000"/>
          <w:sz w:val="20"/>
          <w:szCs w:val="20"/>
        </w:rPr>
        <w:t>e acquisition agreement. Each restricted stock award that was outstanding, whether performance-based or time-based, was converted into time-based awards, and will continue to be governed by the same vesting terms as the original Cardtronics awards. Cardtro</w:t>
      </w:r>
      <w:r>
        <w:rPr>
          <w:rFonts w:eastAsia="Times New Roman"/>
          <w:color w:val="000000"/>
          <w:sz w:val="20"/>
          <w:szCs w:val="20"/>
        </w:rPr>
        <w:t>nics stock option awards were converted into NCR stock option awards with an exercise price per share for option awards equal to the exercise price per share of such stock option award immediately prior to the completion of the acquisition divided by the e</w:t>
      </w:r>
      <w:r>
        <w:rPr>
          <w:rFonts w:eastAsia="Times New Roman"/>
          <w:color w:val="000000"/>
          <w:sz w:val="20"/>
          <w:szCs w:val="20"/>
        </w:rPr>
        <w:t>xchange ratio, and will continue to be governed generally by the same terms and conditions as were applicable prior to the acquisition. The amounts attributable to services already rendered were included as an adjustment to the purchase price and the amoun</w:t>
      </w:r>
      <w:r>
        <w:rPr>
          <w:rFonts w:eastAsia="Times New Roman"/>
          <w:color w:val="000000"/>
          <w:sz w:val="20"/>
          <w:szCs w:val="20"/>
        </w:rPr>
        <w:t>ts attributable to future services will be expensed over the remaining vesting period, net of estimated forfeitures. The fair value of options that the Company assumed in connection with the acquisition of Cardtronics were estimated using the Black-Scholes</w:t>
      </w:r>
      <w:r>
        <w:rPr>
          <w:rFonts w:eastAsia="Times New Roman"/>
          <w:color w:val="000000"/>
          <w:sz w:val="20"/>
          <w:szCs w:val="20"/>
        </w:rPr>
        <w:t xml:space="preserve"> model.</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Recording of Assets Acquired and Liabilities</w:t>
      </w:r>
      <w:r>
        <w:rPr>
          <w:rFonts w:eastAsia="Times New Roman"/>
          <w:color w:val="000000"/>
          <w:sz w:val="20"/>
          <w:szCs w:val="20"/>
        </w:rPr>
        <w:t xml:space="preserve"> </w:t>
      </w:r>
      <w:r>
        <w:rPr>
          <w:rFonts w:eastAsia="Times New Roman"/>
          <w:i/>
          <w:iCs/>
          <w:color w:val="000000"/>
          <w:sz w:val="20"/>
          <w:szCs w:val="20"/>
        </w:rPr>
        <w:t>Assumed</w:t>
      </w:r>
      <w:r>
        <w:rPr>
          <w:rFonts w:eastAsia="Times New Roman"/>
          <w:color w:val="000000"/>
          <w:sz w:val="20"/>
          <w:szCs w:val="20"/>
        </w:rPr>
        <w:t xml:space="preserve"> The fair value of consideration transferred to acquire Cardtronics was allocated to the identifiable assets acquired and liabilities assumed based upon their estimated fair values as of the dat</w:t>
      </w:r>
      <w:r>
        <w:rPr>
          <w:rFonts w:eastAsia="Times New Roman"/>
          <w:color w:val="000000"/>
          <w:sz w:val="20"/>
          <w:szCs w:val="20"/>
        </w:rPr>
        <w:t xml:space="preserve">e of the acquisition as set forth below.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preliminary allocation of the purchase price for Cardtronics is as follows:</w:t>
      </w:r>
    </w:p>
    <w:p w:rsidR="00000000" w:rsidRDefault="006F0EF5">
      <w:pPr>
        <w:jc w:val="both"/>
        <w:rPr>
          <w:rFonts w:eastAsia="Times New Roman"/>
        </w:rPr>
      </w:pPr>
    </w:p>
    <w:p w:rsidR="00000000" w:rsidRDefault="006F0EF5">
      <w:pPr>
        <w:jc w:val="both"/>
        <w:rPr>
          <w:rFonts w:eastAsia="Times New Roman"/>
        </w:rPr>
      </w:pPr>
    </w:p>
    <w:p w:rsidR="00000000" w:rsidRDefault="006F0EF5">
      <w:pPr>
        <w:divId w:val="1610701477"/>
        <w:rPr>
          <w:rFonts w:eastAsia="Times New Roman"/>
        </w:rPr>
      </w:pPr>
    </w:p>
    <w:p w:rsidR="00000000" w:rsidRDefault="006F0EF5">
      <w:pPr>
        <w:divId w:val="408889457"/>
        <w:rPr>
          <w:rFonts w:eastAsia="Times New Roman"/>
        </w:rPr>
      </w:pPr>
    </w:p>
    <w:p w:rsidR="00000000" w:rsidRDefault="006F0EF5">
      <w:pPr>
        <w:divId w:val="329646387"/>
        <w:rPr>
          <w:rFonts w:eastAsia="Times New Roman"/>
        </w:rPr>
      </w:pPr>
    </w:p>
    <w:p w:rsidR="00000000" w:rsidRDefault="006F0EF5">
      <w:pPr>
        <w:divId w:val="467212188"/>
        <w:rPr>
          <w:rFonts w:eastAsia="Times New Roman"/>
        </w:rPr>
      </w:pPr>
    </w:p>
    <w:p w:rsidR="00000000" w:rsidRDefault="006F0EF5">
      <w:pPr>
        <w:divId w:val="1159999899"/>
        <w:rPr>
          <w:rFonts w:eastAsia="Times New Roman"/>
        </w:rPr>
      </w:pPr>
    </w:p>
    <w:p w:rsidR="00000000" w:rsidRDefault="006F0EF5">
      <w:pPr>
        <w:divId w:val="524438574"/>
        <w:rPr>
          <w:rFonts w:eastAsia="Times New Roman"/>
        </w:rPr>
      </w:pPr>
    </w:p>
    <w:p w:rsidR="00000000" w:rsidRDefault="006F0EF5">
      <w:pPr>
        <w:divId w:val="769085472"/>
        <w:rPr>
          <w:rFonts w:eastAsia="Times New Roman"/>
        </w:rPr>
      </w:pPr>
    </w:p>
    <w:p w:rsidR="00000000" w:rsidRDefault="006F0EF5">
      <w:pPr>
        <w:divId w:val="1806502182"/>
        <w:rPr>
          <w:rFonts w:eastAsia="Times New Roman"/>
        </w:rPr>
      </w:pPr>
    </w:p>
    <w:p w:rsidR="00000000" w:rsidRDefault="006F0EF5">
      <w:pPr>
        <w:divId w:val="202836440"/>
        <w:rPr>
          <w:rFonts w:eastAsia="Times New Roman"/>
        </w:rPr>
      </w:pPr>
    </w:p>
    <w:p w:rsidR="00000000" w:rsidRDefault="006F0EF5">
      <w:pPr>
        <w:divId w:val="870341572"/>
        <w:rPr>
          <w:rFonts w:eastAsia="Times New Roman"/>
        </w:rPr>
      </w:pPr>
    </w:p>
    <w:p w:rsidR="00000000" w:rsidRDefault="006F0EF5">
      <w:pPr>
        <w:divId w:val="81343441"/>
        <w:rPr>
          <w:rFonts w:eastAsia="Times New Roman"/>
        </w:rPr>
      </w:pPr>
    </w:p>
    <w:p w:rsidR="00000000" w:rsidRDefault="006F0EF5">
      <w:pPr>
        <w:divId w:val="1687560181"/>
        <w:rPr>
          <w:rFonts w:eastAsia="Times New Roman"/>
        </w:rPr>
      </w:pPr>
    </w:p>
    <w:p w:rsidR="00000000" w:rsidRDefault="006F0EF5">
      <w:pPr>
        <w:divId w:val="247887393"/>
        <w:rPr>
          <w:rFonts w:eastAsia="Times New Roman"/>
        </w:rPr>
      </w:pPr>
    </w:p>
    <w:p w:rsidR="00000000" w:rsidRDefault="006F0EF5">
      <w:pPr>
        <w:jc w:val="center"/>
        <w:divId w:val="215822956"/>
        <w:rPr>
          <w:rFonts w:eastAsia="Times New Roman"/>
        </w:rPr>
      </w:pPr>
      <w:r>
        <w:rPr>
          <w:rFonts w:eastAsia="Times New Roman"/>
          <w:color w:val="000000"/>
          <w:sz w:val="20"/>
          <w:szCs w:val="20"/>
        </w:rPr>
        <w:t>73</w:t>
      </w:r>
    </w:p>
    <w:p w:rsidR="00000000" w:rsidRDefault="006F0EF5">
      <w:pPr>
        <w:rPr>
          <w:rFonts w:eastAsia="Times New Roman"/>
        </w:rPr>
      </w:pPr>
      <w:r>
        <w:rPr>
          <w:rFonts w:eastAsia="Times New Roman"/>
        </w:rPr>
        <w:pict>
          <v:rect id="_x0000_i1102" style="width:0;height:1.5pt" o:hralign="center" o:hrstd="t" o:hr="t" fillcolor="#a0a0a0" stroked="f"/>
        </w:pict>
      </w:r>
    </w:p>
    <w:p w:rsidR="00000000" w:rsidRDefault="006F0EF5">
      <w:pPr>
        <w:divId w:val="106136980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743263327"/>
        <w:rPr>
          <w:rFonts w:eastAsia="Times New Roman"/>
        </w:rPr>
      </w:pPr>
      <w:r>
        <w:rPr>
          <w:rFonts w:eastAsia="Times New Roman"/>
          <w:b/>
          <w:bCs/>
          <w:color w:val="000000"/>
          <w:sz w:val="20"/>
          <w:szCs w:val="20"/>
        </w:rPr>
        <w:t>NCR Corporation</w:t>
      </w:r>
    </w:p>
    <w:p w:rsidR="00000000" w:rsidRDefault="006F0EF5">
      <w:pPr>
        <w:jc w:val="center"/>
        <w:divId w:val="743263327"/>
        <w:rPr>
          <w:rFonts w:eastAsia="Times New Roman"/>
        </w:rPr>
      </w:pPr>
      <w:r>
        <w:rPr>
          <w:rFonts w:eastAsia="Times New Roman"/>
          <w:b/>
          <w:bCs/>
          <w:color w:val="000000"/>
          <w:sz w:val="20"/>
          <w:szCs w:val="20"/>
        </w:rPr>
        <w:t>Notes to Consolidated Financial Statements-(Continued)</w:t>
      </w:r>
    </w:p>
    <w:p w:rsidR="00000000" w:rsidRDefault="006F0EF5">
      <w:pPr>
        <w:jc w:val="center"/>
        <w:divId w:val="743263327"/>
        <w:rPr>
          <w:rFonts w:eastAsia="Times New Roman"/>
        </w:rPr>
      </w:pPr>
    </w:p>
    <w:p w:rsidR="00000000" w:rsidRDefault="006F0EF5">
      <w:pPr>
        <w:jc w:val="center"/>
        <w:divId w:val="743263327"/>
        <w:rPr>
          <w:rFonts w:eastAsia="Times New Roman"/>
        </w:rPr>
      </w:pPr>
    </w:p>
    <w:p w:rsidR="00000000" w:rsidRDefault="006F0EF5">
      <w:pPr>
        <w:divId w:val="1853449234"/>
        <w:rPr>
          <w:rFonts w:eastAsia="Times New Roman"/>
        </w:rPr>
      </w:pPr>
    </w:p>
    <w:p w:rsidR="00000000" w:rsidRDefault="006F0EF5">
      <w:pPr>
        <w:divId w:val="1928080265"/>
        <w:rPr>
          <w:rFonts w:eastAsia="Times New Roman"/>
        </w:rPr>
      </w:pPr>
    </w:p>
    <w:p w:rsidR="00000000" w:rsidRDefault="006F0EF5">
      <w:pPr>
        <w:divId w:val="1202742318"/>
        <w:rPr>
          <w:rFonts w:eastAsia="Times New Roman"/>
        </w:rPr>
      </w:pPr>
    </w:p>
    <w:p w:rsidR="00000000" w:rsidRDefault="006F0EF5">
      <w:pPr>
        <w:divId w:val="1604455097"/>
        <w:rPr>
          <w:rFonts w:eastAsia="Times New Roman"/>
        </w:rPr>
      </w:pPr>
    </w:p>
    <w:p w:rsidR="00000000" w:rsidRDefault="006F0EF5">
      <w:pPr>
        <w:divId w:val="1894852486"/>
        <w:rPr>
          <w:rFonts w:eastAsia="Times New Roman"/>
        </w:rPr>
      </w:pPr>
    </w:p>
    <w:p w:rsidR="00000000" w:rsidRDefault="006F0EF5">
      <w:pPr>
        <w:divId w:val="1433088215"/>
        <w:rPr>
          <w:rFonts w:eastAsia="Times New Roman"/>
        </w:rPr>
      </w:pPr>
    </w:p>
    <w:p w:rsidR="00000000" w:rsidRDefault="006F0EF5">
      <w:pPr>
        <w:divId w:val="798844186"/>
        <w:rPr>
          <w:rFonts w:eastAsia="Times New Roman"/>
        </w:rPr>
      </w:pPr>
    </w:p>
    <w:p w:rsidR="00000000" w:rsidRDefault="006F0EF5">
      <w:pPr>
        <w:divId w:val="738479921"/>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0"/>
        <w:gridCol w:w="6956"/>
        <w:gridCol w:w="40"/>
        <w:gridCol w:w="120"/>
        <w:gridCol w:w="1054"/>
        <w:gridCol w:w="36"/>
      </w:tblGrid>
      <w:tr w:rsidR="00000000">
        <w:trPr>
          <w:divId w:val="1833570090"/>
        </w:trPr>
        <w:tc>
          <w:tcPr>
            <w:tcW w:w="50" w:type="pct"/>
            <w:vAlign w:val="center"/>
            <w:hideMark/>
          </w:tcPr>
          <w:p w:rsidR="00000000" w:rsidRDefault="006F0EF5">
            <w:pPr>
              <w:rPr>
                <w:rFonts w:eastAsia="Times New Roman"/>
              </w:rPr>
            </w:pPr>
          </w:p>
        </w:tc>
        <w:tc>
          <w:tcPr>
            <w:tcW w:w="423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5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833570090"/>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w:t>
            </w:r>
          </w:p>
        </w:tc>
      </w:tr>
      <w:tr w:rsidR="00000000">
        <w:trPr>
          <w:divId w:val="1833570090"/>
        </w:trPr>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Assets acquired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r>
      <w:tr w:rsidR="00000000">
        <w:trPr>
          <w:divId w:val="1833570090"/>
        </w:trPr>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      Cash and restricted cash</w:t>
            </w:r>
          </w:p>
        </w:tc>
        <w:tc>
          <w:tcPr>
            <w:tcW w:w="0" w:type="auto"/>
            <w:shd w:val="clear" w:color="auto" w:fill="FFFFFF"/>
            <w:tcMar>
              <w:top w:w="30" w:type="dxa"/>
              <w:left w:w="20" w:type="dxa"/>
              <w:bottom w:w="30" w:type="dxa"/>
              <w:right w:w="0" w:type="dxa"/>
            </w:tcMar>
            <w:vAlign w:val="center"/>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6F0EF5">
            <w:pPr>
              <w:spacing w:after="100"/>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6F0EF5">
            <w:pPr>
              <w:spacing w:after="100"/>
              <w:jc w:val="right"/>
              <w:rPr>
                <w:rFonts w:eastAsia="Times New Roman"/>
              </w:rPr>
            </w:pPr>
          </w:p>
        </w:tc>
      </w:tr>
      <w:tr w:rsidR="00000000">
        <w:trPr>
          <w:divId w:val="1833570090"/>
        </w:trPr>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      Trade accounts receivable</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33570090"/>
        </w:trPr>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      Prepaid expenses, other current assets and other assets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33570090"/>
        </w:trPr>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33570090"/>
        </w:trPr>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      </w:t>
            </w:r>
            <w:r>
              <w:rPr>
                <w:rFonts w:eastAsia="Times New Roman"/>
                <w:color w:val="000000"/>
                <w:sz w:val="20"/>
                <w:szCs w:val="20"/>
              </w:rPr>
              <w:t>Estimated acquisition-related intangible assets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33570090"/>
        </w:trPr>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1,796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33570090"/>
          <w:trHeight w:val="300"/>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833570090"/>
        </w:trPr>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Liabilities assumed</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33570090"/>
        </w:trPr>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Net assets acquired, excluding goodwill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1,070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33570090"/>
        </w:trPr>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Total purchase consideration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33570090"/>
        </w:trPr>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b/>
                <w:bCs/>
                <w:color w:val="000000"/>
                <w:sz w:val="20"/>
                <w:szCs w:val="20"/>
              </w:rPr>
              <w:t>Estimated goodwill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454862701"/>
        <w:rPr>
          <w:rFonts w:eastAsia="Times New Roman"/>
        </w:rPr>
      </w:pPr>
    </w:p>
    <w:p w:rsidR="00000000" w:rsidRDefault="006F0EF5">
      <w:pPr>
        <w:jc w:val="both"/>
        <w:rPr>
          <w:rFonts w:eastAsia="Times New Roman"/>
        </w:rPr>
      </w:pPr>
      <w:r>
        <w:rPr>
          <w:rFonts w:eastAsia="Times New Roman"/>
          <w:color w:val="000000"/>
          <w:sz w:val="20"/>
          <w:szCs w:val="20"/>
        </w:rPr>
        <w:t>We recorded a preliminary allocation of the purchase price to tangible and identifiable intangible assets acquired and liabilities assumed based on their estimated fair values as of June 21, 2021. In determining the provisional fair value, the Company util</w:t>
      </w:r>
      <w:r>
        <w:rPr>
          <w:rFonts w:eastAsia="Times New Roman"/>
          <w:color w:val="000000"/>
          <w:sz w:val="20"/>
          <w:szCs w:val="20"/>
        </w:rPr>
        <w:t>ized various methods of the income, cost, and market approaches depending on the asset or liability being fair valued. The estimation of fair value required significant judgment related to future net cash flows (including revenue growth rate, EBITDA margin</w:t>
      </w:r>
      <w:r>
        <w:rPr>
          <w:rFonts w:eastAsia="Times New Roman"/>
          <w:color w:val="000000"/>
          <w:sz w:val="20"/>
          <w:szCs w:val="20"/>
        </w:rPr>
        <w:t>s, and customer attrition), discount rates reflecting the risk inherent in each cash flow stream, competitive trends, market comparables, and other factors. Inputs were generally determined by taking into account historical data (supplemented by current an</w:t>
      </w:r>
      <w:r>
        <w:rPr>
          <w:rFonts w:eastAsia="Times New Roman"/>
          <w:color w:val="000000"/>
          <w:sz w:val="20"/>
          <w:szCs w:val="20"/>
        </w:rPr>
        <w:t xml:space="preserve">d anticipated market conditions) and growth rates.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Direct customer relationships and technology - software were valued using an excess earnings method. Significant assumptions used in the discounted cash flow analysis for (i) direct customer relationshi</w:t>
      </w:r>
      <w:r>
        <w:rPr>
          <w:rFonts w:eastAsia="Times New Roman"/>
          <w:color w:val="000000"/>
          <w:sz w:val="20"/>
          <w:szCs w:val="20"/>
        </w:rPr>
        <w:t>ps were the revenue growth rate, customer attrition rate, and discount rate, and (ii) technology - software were the revenue growth rate, earnings before interest, taxes, depreciation, and amortization (“EBITDA”) margins, and discount rate. The valuation o</w:t>
      </w:r>
      <w:r>
        <w:rPr>
          <w:rFonts w:eastAsia="Times New Roman"/>
          <w:color w:val="000000"/>
          <w:sz w:val="20"/>
          <w:szCs w:val="20"/>
        </w:rPr>
        <w:t>f assets acquired and liabilities assumed is subject to revision. If additional information becomes available, the company may further revise the purchase price allocation as soon as practical, but no later than one year from the acquisition date; however,</w:t>
      </w:r>
      <w:r>
        <w:rPr>
          <w:rFonts w:eastAsia="Times New Roman"/>
          <w:color w:val="000000"/>
          <w:sz w:val="20"/>
          <w:szCs w:val="20"/>
        </w:rPr>
        <w:t xml:space="preserve"> material changes are not excepted.</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Goodwill represents the future economic benefits arising from other assets acquired that could not be separately recognized. The goodwill arising from the acquisition consists of revenue and cost synergies expected fro</w:t>
      </w:r>
      <w:r>
        <w:rPr>
          <w:rFonts w:eastAsia="Times New Roman"/>
          <w:color w:val="000000"/>
          <w:sz w:val="20"/>
          <w:szCs w:val="20"/>
        </w:rPr>
        <w:t>m combining the operations of NCR and Cardtronics. It is expected that approximately $139 million of the goodwill recognized in connection with the acquisition will be deductible for tax purposes. The goodwill arising from the acquisition has been allocate</w:t>
      </w:r>
      <w:r>
        <w:rPr>
          <w:rFonts w:eastAsia="Times New Roman"/>
          <w:color w:val="000000"/>
          <w:sz w:val="20"/>
          <w:szCs w:val="20"/>
        </w:rPr>
        <w:t>d to our Banking segment. Refer to Note 2, “Goodwill and Purchased Intangible Assets”, for the carrying amounts of goodwill by segment as of December 31, 2021.</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sets forth the components of the intangible assets acquired as of the acqu</w:t>
      </w:r>
      <w:r>
        <w:rPr>
          <w:rFonts w:eastAsia="Times New Roman"/>
          <w:color w:val="000000"/>
          <w:sz w:val="20"/>
          <w:szCs w:val="20"/>
        </w:rPr>
        <w:t>isition date:</w:t>
      </w:r>
    </w:p>
    <w:p w:rsidR="00000000" w:rsidRDefault="006F0EF5">
      <w:pPr>
        <w:divId w:val="88546976"/>
        <w:rPr>
          <w:rFonts w:eastAsia="Times New Roman"/>
        </w:rPr>
      </w:pPr>
    </w:p>
    <w:p w:rsidR="00000000" w:rsidRDefault="006F0EF5">
      <w:pPr>
        <w:jc w:val="center"/>
        <w:divId w:val="1634869609"/>
        <w:rPr>
          <w:rFonts w:eastAsia="Times New Roman"/>
        </w:rPr>
      </w:pPr>
      <w:r>
        <w:rPr>
          <w:rFonts w:eastAsia="Times New Roman"/>
          <w:color w:val="000000"/>
          <w:sz w:val="20"/>
          <w:szCs w:val="20"/>
        </w:rPr>
        <w:t>74</w:t>
      </w:r>
    </w:p>
    <w:p w:rsidR="00000000" w:rsidRDefault="006F0EF5">
      <w:pPr>
        <w:rPr>
          <w:rFonts w:eastAsia="Times New Roman"/>
        </w:rPr>
      </w:pPr>
      <w:r>
        <w:rPr>
          <w:rFonts w:eastAsia="Times New Roman"/>
        </w:rPr>
        <w:pict>
          <v:rect id="_x0000_i1103" style="width:0;height:1.5pt" o:hralign="center" o:hrstd="t" o:hr="t" fillcolor="#a0a0a0" stroked="f"/>
        </w:pict>
      </w:r>
    </w:p>
    <w:p w:rsidR="00000000" w:rsidRDefault="006F0EF5">
      <w:pPr>
        <w:divId w:val="133839448"/>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360398456"/>
        <w:rPr>
          <w:rFonts w:eastAsia="Times New Roman"/>
        </w:rPr>
      </w:pPr>
      <w:r>
        <w:rPr>
          <w:rFonts w:eastAsia="Times New Roman"/>
          <w:b/>
          <w:bCs/>
          <w:color w:val="000000"/>
          <w:sz w:val="20"/>
          <w:szCs w:val="20"/>
        </w:rPr>
        <w:t>NCR Corporation</w:t>
      </w:r>
    </w:p>
    <w:p w:rsidR="00000000" w:rsidRDefault="006F0EF5">
      <w:pPr>
        <w:jc w:val="center"/>
        <w:divId w:val="360398456"/>
        <w:rPr>
          <w:rFonts w:eastAsia="Times New Roman"/>
        </w:rPr>
      </w:pPr>
      <w:r>
        <w:rPr>
          <w:rFonts w:eastAsia="Times New Roman"/>
          <w:b/>
          <w:bCs/>
          <w:color w:val="000000"/>
          <w:sz w:val="20"/>
          <w:szCs w:val="20"/>
        </w:rPr>
        <w:t>Notes to Consolidated Financial Statements-(Continued)</w:t>
      </w:r>
    </w:p>
    <w:p w:rsidR="00000000" w:rsidRDefault="006F0EF5">
      <w:pPr>
        <w:jc w:val="center"/>
        <w:divId w:val="360398456"/>
        <w:rPr>
          <w:rFonts w:eastAsia="Times New Roman"/>
        </w:rPr>
      </w:pPr>
    </w:p>
    <w:p w:rsidR="00000000" w:rsidRDefault="006F0EF5">
      <w:pPr>
        <w:jc w:val="center"/>
        <w:divId w:val="360398456"/>
        <w:rPr>
          <w:rFonts w:eastAsia="Times New Roman"/>
        </w:rPr>
      </w:pPr>
    </w:p>
    <w:p w:rsidR="00000000" w:rsidRDefault="006F0EF5">
      <w:pPr>
        <w:divId w:val="1400982747"/>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3"/>
        <w:gridCol w:w="5028"/>
        <w:gridCol w:w="36"/>
        <w:gridCol w:w="121"/>
        <w:gridCol w:w="1383"/>
        <w:gridCol w:w="37"/>
        <w:gridCol w:w="36"/>
        <w:gridCol w:w="38"/>
        <w:gridCol w:w="36"/>
        <w:gridCol w:w="54"/>
        <w:gridCol w:w="1398"/>
        <w:gridCol w:w="36"/>
      </w:tblGrid>
      <w:tr w:rsidR="00000000">
        <w:trPr>
          <w:divId w:val="505705990"/>
        </w:trPr>
        <w:tc>
          <w:tcPr>
            <w:tcW w:w="50" w:type="pct"/>
            <w:vAlign w:val="center"/>
            <w:hideMark/>
          </w:tcPr>
          <w:p w:rsidR="00000000" w:rsidRDefault="006F0EF5">
            <w:pPr>
              <w:rPr>
                <w:rFonts w:eastAsia="Times New Roman"/>
              </w:rPr>
            </w:pPr>
          </w:p>
        </w:tc>
        <w:tc>
          <w:tcPr>
            <w:tcW w:w="306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5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6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505705990"/>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505705990"/>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 years)</w:t>
            </w:r>
          </w:p>
        </w:tc>
      </w:tr>
      <w:tr w:rsidR="00000000">
        <w:trPr>
          <w:divId w:val="505705990"/>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Direct customer relationships</w:t>
            </w:r>
          </w:p>
        </w:tc>
        <w:tc>
          <w:tcPr>
            <w:tcW w:w="0" w:type="auto"/>
            <w:shd w:val="clear" w:color="auto" w:fill="CCEEFF"/>
            <w:tcMar>
              <w:top w:w="30" w:type="dxa"/>
              <w:left w:w="20" w:type="dxa"/>
              <w:bottom w:w="30" w:type="dxa"/>
              <w:right w:w="0" w:type="dxa"/>
            </w:tcMar>
            <w:vAlign w:val="center"/>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6F0EF5">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15</w:t>
            </w:r>
          </w:p>
        </w:tc>
      </w:tr>
      <w:tr w:rsidR="00000000">
        <w:trPr>
          <w:divId w:val="505705990"/>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Technology - Software</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r>
      <w:tr w:rsidR="00000000">
        <w:trPr>
          <w:divId w:val="505705990"/>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xml:space="preserve">Non-compete </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r>
      <w:tr w:rsidR="00000000">
        <w:trPr>
          <w:divId w:val="505705990"/>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Tradenames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r>
      <w:tr w:rsidR="00000000">
        <w:trPr>
          <w:divId w:val="505705990"/>
        </w:trPr>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Total acquired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divId w:val="1552960659"/>
        <w:rPr>
          <w:rFonts w:eastAsia="Times New Roman"/>
        </w:rPr>
      </w:pPr>
    </w:p>
    <w:p w:rsidR="00000000" w:rsidRDefault="006F0EF5">
      <w:pPr>
        <w:divId w:val="1050301036"/>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w:t>
      </w:r>
      <w:r>
        <w:rPr>
          <w:rFonts w:eastAsia="Times New Roman"/>
          <w:color w:val="000000"/>
          <w:sz w:val="14"/>
          <w:szCs w:val="14"/>
        </w:rPr>
        <w:t>Determination of the weighted average period of the individual categories of intangible assets was based on the nature of the applicable intangible asset and the expected future cash flows to be derived from the intangible asset. Amortization of intangible</w:t>
      </w:r>
      <w:r>
        <w:rPr>
          <w:rFonts w:eastAsia="Times New Roman"/>
          <w:color w:val="000000"/>
          <w:sz w:val="14"/>
          <w:szCs w:val="14"/>
        </w:rPr>
        <w:t xml:space="preserve"> assets with definite lives is recognized over the period of time the assets are expected to contribute to future cash flows.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connection with the closing of the acquisition, the Company incurred transaction costs of $46 million for the year ended December 31, 2021, which has been included within Selling, general and administrative expenses in the Consolidated Statement of Oper</w:t>
      </w:r>
      <w:r>
        <w:rPr>
          <w:rFonts w:eastAsia="Times New Roman"/>
          <w:color w:val="000000"/>
          <w:sz w:val="20"/>
          <w:szCs w:val="20"/>
        </w:rPr>
        <w:t>ations. Refer to Note 5, “Debt Obligations”, for additional discussion on fees incurred related to the financing for the Cardtronics Transaction.</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Unaudited Pro forma Information</w:t>
      </w:r>
      <w:r>
        <w:rPr>
          <w:rFonts w:eastAsia="Times New Roman"/>
          <w:color w:val="000000"/>
          <w:sz w:val="20"/>
          <w:szCs w:val="20"/>
        </w:rPr>
        <w:t xml:space="preserve"> The following unaudited pro forma information presents the consolidated resu</w:t>
      </w:r>
      <w:r>
        <w:rPr>
          <w:rFonts w:eastAsia="Times New Roman"/>
          <w:color w:val="000000"/>
          <w:sz w:val="20"/>
          <w:szCs w:val="20"/>
        </w:rPr>
        <w:t>lts of NCR and Cardtronics for the year ended December 31, 2021 and for the year ended December 31, 2020. The unaudited pro forma information is presented for illustrative purposes only. It is not necessarily indicative of the results of operations of futu</w:t>
      </w:r>
      <w:r>
        <w:rPr>
          <w:rFonts w:eastAsia="Times New Roman"/>
          <w:color w:val="000000"/>
          <w:sz w:val="20"/>
          <w:szCs w:val="20"/>
        </w:rPr>
        <w:t>re periods, or the results of operations that actually would have been realized had the entities been a single company during the periods presented or the results that the combined company will experience after the acquisition. The unaudited pro forma info</w:t>
      </w:r>
      <w:r>
        <w:rPr>
          <w:rFonts w:eastAsia="Times New Roman"/>
          <w:color w:val="000000"/>
          <w:sz w:val="20"/>
          <w:szCs w:val="20"/>
        </w:rPr>
        <w:t>rmation does not give effect to the potential impact of current financial conditions, regulatory matters or any anticipated synergies, operating efficiencies or cost savings that may be associated with the acquisition. The unaudited pro forma information a</w:t>
      </w:r>
      <w:r>
        <w:rPr>
          <w:rFonts w:eastAsia="Times New Roman"/>
          <w:color w:val="000000"/>
          <w:sz w:val="20"/>
          <w:szCs w:val="20"/>
        </w:rPr>
        <w:t>lso does not include any integration costs or remaining future transaction costs that the companies may incur related to the acquisition as part of combining the operations of the companies.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Consolidated Statements of Operations includes Cardtronics </w:t>
      </w:r>
      <w:r>
        <w:rPr>
          <w:rFonts w:eastAsia="Times New Roman"/>
          <w:color w:val="000000"/>
          <w:sz w:val="20"/>
          <w:szCs w:val="20"/>
        </w:rPr>
        <w:t xml:space="preserve">revenue of $627 million and income from continuing operations before income taxes of $39 million, which includes the impact of purchase accounting adjustments, for the period from June 21, 2021 through December 31, 2021.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unaudited pro forma consolidated results of operations, assuming the acquisition had occurred on January 1, 2020, are as follows:</w:t>
      </w:r>
    </w:p>
    <w:p w:rsidR="00000000" w:rsidRDefault="006F0EF5">
      <w:pPr>
        <w:divId w:val="71107567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746"/>
        <w:gridCol w:w="37"/>
        <w:gridCol w:w="120"/>
        <w:gridCol w:w="1032"/>
        <w:gridCol w:w="36"/>
        <w:gridCol w:w="36"/>
        <w:gridCol w:w="36"/>
        <w:gridCol w:w="36"/>
        <w:gridCol w:w="120"/>
        <w:gridCol w:w="1032"/>
        <w:gridCol w:w="36"/>
      </w:tblGrid>
      <w:tr w:rsidR="00000000">
        <w:trPr>
          <w:divId w:val="1766150378"/>
        </w:trPr>
        <w:tc>
          <w:tcPr>
            <w:tcW w:w="50" w:type="pct"/>
            <w:vAlign w:val="center"/>
            <w:hideMark/>
          </w:tcPr>
          <w:p w:rsidR="00000000" w:rsidRDefault="006F0EF5">
            <w:pPr>
              <w:rPr>
                <w:rFonts w:eastAsia="Times New Roman"/>
              </w:rPr>
            </w:pPr>
          </w:p>
        </w:tc>
        <w:tc>
          <w:tcPr>
            <w:tcW w:w="349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5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5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766150378"/>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w:t>
            </w:r>
          </w:p>
        </w:tc>
      </w:tr>
      <w:tr w:rsidR="00000000">
        <w:trPr>
          <w:divId w:val="1766150378"/>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1766150378"/>
        </w:trPr>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6F0EF5">
            <w:pPr>
              <w:spacing w:after="100"/>
              <w:jc w:val="right"/>
              <w:rPr>
                <w:rFonts w:eastAsia="Times New Roman"/>
              </w:rPr>
            </w:pPr>
            <w:r>
              <w:rPr>
                <w:rFonts w:eastAsia="Times New Roman"/>
                <w:b/>
                <w:bCs/>
                <w:color w:val="000000"/>
                <w:sz w:val="20"/>
                <w:szCs w:val="20"/>
              </w:rPr>
              <w:t>7,634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6F0EF5">
            <w:pPr>
              <w:spacing w:after="100"/>
              <w:jc w:val="right"/>
              <w:rPr>
                <w:rFonts w:eastAsia="Times New Roman"/>
              </w:rPr>
            </w:pPr>
            <w:r>
              <w:rPr>
                <w:rFonts w:eastAsia="Times New Roman"/>
                <w:color w:val="000000"/>
                <w:sz w:val="20"/>
                <w:szCs w:val="20"/>
              </w:rPr>
              <w:t>7,210 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6F0EF5">
            <w:pPr>
              <w:spacing w:after="100"/>
              <w:jc w:val="right"/>
              <w:rPr>
                <w:rFonts w:eastAsia="Times New Roman"/>
              </w:rPr>
            </w:pPr>
          </w:p>
        </w:tc>
      </w:tr>
      <w:tr w:rsidR="00000000">
        <w:trPr>
          <w:divId w:val="1766150378"/>
        </w:trPr>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Net income (loss) attributable to NCR</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198933441"/>
        <w:rPr>
          <w:rFonts w:eastAsia="Times New Roman"/>
        </w:rPr>
      </w:pPr>
    </w:p>
    <w:p w:rsidR="00000000" w:rsidRDefault="006F0EF5">
      <w:pPr>
        <w:divId w:val="315568722"/>
        <w:rPr>
          <w:rFonts w:eastAsia="Times New Roman"/>
        </w:rPr>
      </w:pPr>
    </w:p>
    <w:p w:rsidR="00000000" w:rsidRDefault="006F0EF5">
      <w:pPr>
        <w:jc w:val="both"/>
        <w:rPr>
          <w:rFonts w:eastAsia="Times New Roman"/>
        </w:rPr>
      </w:pPr>
      <w:r>
        <w:rPr>
          <w:rFonts w:eastAsia="Times New Roman"/>
          <w:color w:val="000000"/>
          <w:sz w:val="20"/>
          <w:szCs w:val="20"/>
        </w:rPr>
        <w:t>The unaudited pro forma results for the year ended December 31, 2021 include:</w:t>
      </w:r>
    </w:p>
    <w:p w:rsidR="00000000" w:rsidRDefault="006F0EF5">
      <w:pPr>
        <w:ind w:hanging="360"/>
        <w:jc w:val="both"/>
        <w:rPr>
          <w:rFonts w:eastAsia="Times New Roman"/>
        </w:rPr>
      </w:pPr>
      <w:r>
        <w:rPr>
          <w:rFonts w:eastAsia="Times New Roman"/>
          <w:color w:val="000000"/>
          <w:sz w:val="20"/>
          <w:szCs w:val="20"/>
        </w:rPr>
        <w:t xml:space="preserve">•$53 </w:t>
      </w:r>
      <w:r>
        <w:rPr>
          <w:rFonts w:eastAsia="Times New Roman"/>
          <w:color w:val="000000"/>
          <w:sz w:val="20"/>
          <w:szCs w:val="20"/>
        </w:rPr>
        <w:t>million in eliminated intercompany revenue and cost between NCR and Cardtronics;</w:t>
      </w:r>
    </w:p>
    <w:p w:rsidR="00000000" w:rsidRDefault="006F0EF5">
      <w:pPr>
        <w:ind w:hanging="360"/>
        <w:jc w:val="both"/>
        <w:rPr>
          <w:rFonts w:eastAsia="Times New Roman"/>
        </w:rPr>
      </w:pPr>
      <w:r>
        <w:rPr>
          <w:rFonts w:eastAsia="Times New Roman"/>
          <w:color w:val="000000"/>
          <w:sz w:val="20"/>
          <w:szCs w:val="20"/>
        </w:rPr>
        <w:t xml:space="preserve">•$25 </w:t>
      </w:r>
      <w:r>
        <w:rPr>
          <w:rFonts w:eastAsia="Times New Roman"/>
          <w:color w:val="000000"/>
          <w:sz w:val="20"/>
          <w:szCs w:val="20"/>
        </w:rPr>
        <w:t>million, net of tax, in additional amortization expense for acquired intangible assets;</w:t>
      </w:r>
    </w:p>
    <w:p w:rsidR="00000000" w:rsidRDefault="006F0EF5">
      <w:pPr>
        <w:ind w:hanging="360"/>
        <w:jc w:val="both"/>
        <w:rPr>
          <w:rFonts w:eastAsia="Times New Roman"/>
        </w:rPr>
      </w:pPr>
      <w:r>
        <w:rPr>
          <w:rFonts w:eastAsia="Times New Roman"/>
          <w:color w:val="000000"/>
          <w:sz w:val="20"/>
          <w:szCs w:val="20"/>
        </w:rPr>
        <w:t>•$87 million, net of tax, in eliminated transaction costs as if those costs were incurred prior to 2021; and</w:t>
      </w:r>
    </w:p>
    <w:p w:rsidR="00000000" w:rsidRDefault="006F0EF5">
      <w:pPr>
        <w:ind w:hanging="360"/>
        <w:jc w:val="both"/>
        <w:rPr>
          <w:rFonts w:eastAsia="Times New Roman"/>
        </w:rPr>
      </w:pPr>
      <w:r>
        <w:rPr>
          <w:rFonts w:eastAsia="Times New Roman"/>
          <w:color w:val="000000"/>
          <w:sz w:val="20"/>
          <w:szCs w:val="20"/>
        </w:rPr>
        <w:t>•$35 million, net of tax, in additional interest expense fr</w:t>
      </w:r>
      <w:r>
        <w:rPr>
          <w:rFonts w:eastAsia="Times New Roman"/>
          <w:color w:val="000000"/>
          <w:sz w:val="20"/>
          <w:szCs w:val="20"/>
        </w:rPr>
        <w:t>om the incremental borrowings under the senior secured credit facility as well as the 5.125% senior notes.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unaudited pro forma results for the year ended December 31, 2020 include:</w:t>
      </w:r>
    </w:p>
    <w:p w:rsidR="00000000" w:rsidRDefault="006F0EF5">
      <w:pPr>
        <w:ind w:hanging="360"/>
        <w:jc w:val="both"/>
        <w:rPr>
          <w:rFonts w:eastAsia="Times New Roman"/>
        </w:rPr>
      </w:pPr>
      <w:r>
        <w:rPr>
          <w:rFonts w:eastAsia="Times New Roman"/>
          <w:color w:val="000000"/>
          <w:sz w:val="20"/>
          <w:szCs w:val="20"/>
        </w:rPr>
        <w:t xml:space="preserve">•$91 million in eliminated intercompany revenue and cost between NCR </w:t>
      </w:r>
      <w:r>
        <w:rPr>
          <w:rFonts w:eastAsia="Times New Roman"/>
          <w:color w:val="000000"/>
          <w:sz w:val="20"/>
          <w:szCs w:val="20"/>
        </w:rPr>
        <w:t>and Cardtronics;</w:t>
      </w:r>
    </w:p>
    <w:p w:rsidR="00000000" w:rsidRDefault="006F0EF5">
      <w:pPr>
        <w:ind w:hanging="360"/>
        <w:jc w:val="both"/>
        <w:rPr>
          <w:rFonts w:eastAsia="Times New Roman"/>
        </w:rPr>
      </w:pPr>
      <w:r>
        <w:rPr>
          <w:rFonts w:eastAsia="Times New Roman"/>
          <w:color w:val="000000"/>
          <w:sz w:val="20"/>
          <w:szCs w:val="20"/>
        </w:rPr>
        <w:t>•$51 million, net of tax, in additional amortization expense for acquired intangible assets;</w:t>
      </w:r>
    </w:p>
    <w:p w:rsidR="00000000" w:rsidRDefault="006F0EF5">
      <w:pPr>
        <w:ind w:hanging="360"/>
        <w:jc w:val="both"/>
        <w:rPr>
          <w:rFonts w:eastAsia="Times New Roman"/>
        </w:rPr>
      </w:pPr>
      <w:r>
        <w:rPr>
          <w:rFonts w:eastAsia="Times New Roman"/>
          <w:color w:val="000000"/>
          <w:sz w:val="20"/>
          <w:szCs w:val="20"/>
        </w:rPr>
        <w:t>•$65 million, net of tax, of transaction costs as if those costs were incurred in the period; and</w:t>
      </w:r>
    </w:p>
    <w:p w:rsidR="00000000" w:rsidRDefault="006F0EF5">
      <w:pPr>
        <w:ind w:hanging="360"/>
        <w:jc w:val="both"/>
        <w:rPr>
          <w:rFonts w:eastAsia="Times New Roman"/>
        </w:rPr>
      </w:pPr>
      <w:r>
        <w:rPr>
          <w:rFonts w:eastAsia="Times New Roman"/>
          <w:color w:val="000000"/>
          <w:sz w:val="20"/>
          <w:szCs w:val="20"/>
        </w:rPr>
        <w:t>•$79 million, net of tax, in additional interest</w:t>
      </w:r>
      <w:r>
        <w:rPr>
          <w:rFonts w:eastAsia="Times New Roman"/>
          <w:color w:val="000000"/>
          <w:sz w:val="20"/>
          <w:szCs w:val="20"/>
        </w:rPr>
        <w:t xml:space="preserve"> expense from the incremental borrowings under the senior secured credit facility as well as the 5.125% senior notes.</w:t>
      </w:r>
    </w:p>
    <w:p w:rsidR="00000000" w:rsidRDefault="006F0EF5">
      <w:pPr>
        <w:divId w:val="226033739"/>
        <w:rPr>
          <w:rFonts w:eastAsia="Times New Roman"/>
        </w:rPr>
      </w:pPr>
    </w:p>
    <w:p w:rsidR="00000000" w:rsidRDefault="006F0EF5">
      <w:pPr>
        <w:divId w:val="1078139657"/>
        <w:rPr>
          <w:rFonts w:eastAsia="Times New Roman"/>
        </w:rPr>
      </w:pPr>
    </w:p>
    <w:p w:rsidR="00000000" w:rsidRDefault="006F0EF5">
      <w:pPr>
        <w:jc w:val="center"/>
        <w:divId w:val="1208881253"/>
        <w:rPr>
          <w:rFonts w:eastAsia="Times New Roman"/>
        </w:rPr>
      </w:pPr>
      <w:r>
        <w:rPr>
          <w:rFonts w:eastAsia="Times New Roman"/>
          <w:color w:val="000000"/>
          <w:sz w:val="20"/>
          <w:szCs w:val="20"/>
        </w:rPr>
        <w:t>75</w:t>
      </w:r>
    </w:p>
    <w:p w:rsidR="00000000" w:rsidRDefault="006F0EF5">
      <w:pPr>
        <w:rPr>
          <w:rFonts w:eastAsia="Times New Roman"/>
        </w:rPr>
      </w:pPr>
      <w:r>
        <w:rPr>
          <w:rFonts w:eastAsia="Times New Roman"/>
        </w:rPr>
        <w:pict>
          <v:rect id="_x0000_i1104" style="width:0;height:1.5pt" o:hralign="center" o:hrstd="t" o:hr="t" fillcolor="#a0a0a0" stroked="f"/>
        </w:pict>
      </w:r>
    </w:p>
    <w:p w:rsidR="00000000" w:rsidRDefault="006F0EF5">
      <w:pPr>
        <w:divId w:val="60727474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2040426580"/>
        <w:rPr>
          <w:rFonts w:eastAsia="Times New Roman"/>
        </w:rPr>
      </w:pPr>
      <w:r>
        <w:rPr>
          <w:rFonts w:eastAsia="Times New Roman"/>
          <w:b/>
          <w:bCs/>
          <w:color w:val="000000"/>
          <w:sz w:val="20"/>
          <w:szCs w:val="20"/>
        </w:rPr>
        <w:t>NCR Corporation</w:t>
      </w:r>
    </w:p>
    <w:p w:rsidR="00000000" w:rsidRDefault="006F0EF5">
      <w:pPr>
        <w:jc w:val="center"/>
        <w:divId w:val="2040426580"/>
        <w:rPr>
          <w:rFonts w:eastAsia="Times New Roman"/>
        </w:rPr>
      </w:pPr>
      <w:r>
        <w:rPr>
          <w:rFonts w:eastAsia="Times New Roman"/>
          <w:b/>
          <w:bCs/>
          <w:color w:val="000000"/>
          <w:sz w:val="20"/>
          <w:szCs w:val="20"/>
        </w:rPr>
        <w:t>Notes to Consolidated Financial Statements-(Continued)</w:t>
      </w:r>
    </w:p>
    <w:p w:rsidR="00000000" w:rsidRDefault="006F0EF5">
      <w:pPr>
        <w:jc w:val="center"/>
        <w:divId w:val="2040426580"/>
        <w:rPr>
          <w:rFonts w:eastAsia="Times New Roman"/>
        </w:rPr>
      </w:pPr>
    </w:p>
    <w:p w:rsidR="00000000" w:rsidRDefault="006F0EF5">
      <w:pPr>
        <w:jc w:val="center"/>
        <w:divId w:val="2040426580"/>
        <w:rPr>
          <w:rFonts w:eastAsia="Times New Roman"/>
        </w:rPr>
      </w:pPr>
    </w:p>
    <w:p w:rsidR="00000000" w:rsidRDefault="006F0EF5">
      <w:pPr>
        <w:divId w:val="1455321029"/>
        <w:rPr>
          <w:rFonts w:eastAsia="Times New Roman"/>
        </w:rPr>
      </w:pPr>
    </w:p>
    <w:p w:rsidR="00000000" w:rsidRDefault="006F0EF5">
      <w:pPr>
        <w:jc w:val="both"/>
        <w:rPr>
          <w:rFonts w:eastAsia="Times New Roman"/>
        </w:rPr>
      </w:pPr>
      <w:r>
        <w:rPr>
          <w:rFonts w:eastAsia="Times New Roman"/>
          <w:b/>
          <w:bCs/>
          <w:color w:val="000000"/>
          <w:sz w:val="20"/>
          <w:szCs w:val="20"/>
        </w:rPr>
        <w:t xml:space="preserve">Acquisition of Freshop, Terafina, &amp; Dumac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In the first quarter </w:t>
      </w:r>
      <w:r>
        <w:rPr>
          <w:rFonts w:eastAsia="Times New Roman"/>
          <w:color w:val="000000"/>
          <w:sz w:val="20"/>
          <w:szCs w:val="20"/>
        </w:rPr>
        <w:t xml:space="preserve">of 2021, NCR completed acquisitions for total cash consideration of $126 million, as outlined below: </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•On January 6, 2021, NCR completed its acquisition of Freshop E-Commerce Solution, Inc. (“Freshop”), a leading provider of grocery e-commerce. The Fresh</w:t>
      </w:r>
      <w:r>
        <w:rPr>
          <w:rFonts w:eastAsia="Times New Roman"/>
          <w:color w:val="000000"/>
          <w:sz w:val="20"/>
          <w:szCs w:val="20"/>
        </w:rPr>
        <w:t>op acquisition further expands NCR’s software and services-led offerings to our retail platform and creates more value for our customers and new capabilities for NCR to run the store. As a result of the acquisition, Freshop became a wholly owned subsidiary</w:t>
      </w:r>
      <w:r>
        <w:rPr>
          <w:rFonts w:eastAsia="Times New Roman"/>
          <w:color w:val="000000"/>
          <w:sz w:val="20"/>
          <w:szCs w:val="20"/>
        </w:rPr>
        <w:t xml:space="preserve"> of NCR. </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•On February 5, 2021, NCR completed its acquisition of Terafina, Inc. (“Terafina”), a leading solution provider for customer account opening and onboarding across digital, branch and call center channels. The Terafina acquisition further expand</w:t>
      </w:r>
      <w:r>
        <w:rPr>
          <w:rFonts w:eastAsia="Times New Roman"/>
          <w:color w:val="000000"/>
          <w:sz w:val="20"/>
          <w:szCs w:val="20"/>
        </w:rPr>
        <w:t>s NCR sales and marketing capabilities in its industry-leading digital-first-banking platform to drive revenue growth across consumer and business market segments. As a result of the acquisition, Terafina became a wholly owned subsidiary of NCR.</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On March 22, 2021 NCR completed its acquisition of certain assets and liabilities of Dumac Business Systems Inc. (</w:t>
      </w:r>
      <w:r>
        <w:rPr>
          <w:rFonts w:eastAsia="Times New Roman"/>
          <w:color w:val="000000"/>
          <w:sz w:val="20"/>
          <w:szCs w:val="20"/>
        </w:rPr>
        <w:t>“Dumac”</w:t>
      </w:r>
      <w:r>
        <w:rPr>
          <w:rFonts w:eastAsia="Times New Roman"/>
          <w:color w:val="000000"/>
          <w:sz w:val="20"/>
          <w:szCs w:val="20"/>
          <w:shd w:val="clear" w:color="auto" w:fill="FFFFFF"/>
        </w:rPr>
        <w:t>), a leading POS solution provider for the quick service, table service, and convenient store markets. The Dumac asset acquisition furt</w:t>
      </w:r>
      <w:r>
        <w:rPr>
          <w:rFonts w:eastAsia="Times New Roman"/>
          <w:color w:val="000000"/>
          <w:sz w:val="20"/>
          <w:szCs w:val="20"/>
          <w:shd w:val="clear" w:color="auto" w:fill="FFFFFF"/>
        </w:rPr>
        <w:t xml:space="preserve">her expands NCR's software and services-led offerings, creating more value for our customers and driving revenue growth across the Hospitality segment.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Recording of Assets Acquired and Liabilities Assumed</w:t>
      </w:r>
      <w:r>
        <w:rPr>
          <w:rFonts w:eastAsia="Times New Roman"/>
          <w:color w:val="000000"/>
          <w:sz w:val="20"/>
          <w:szCs w:val="20"/>
        </w:rPr>
        <w:t xml:space="preserve"> The fair value of consideration transferred was </w:t>
      </w:r>
      <w:r>
        <w:rPr>
          <w:rFonts w:eastAsia="Times New Roman"/>
          <w:color w:val="000000"/>
          <w:sz w:val="20"/>
          <w:szCs w:val="20"/>
        </w:rPr>
        <w:t xml:space="preserve">allocated to the identifiable assets acquired and liabilities assumed based upon their estimated fair values as of the date of the respective acquisitions as set forth below. The allocation of the purchase price are provisional as of December 31, 2021 and </w:t>
      </w:r>
      <w:r>
        <w:rPr>
          <w:rFonts w:eastAsia="Times New Roman"/>
          <w:color w:val="000000"/>
          <w:sz w:val="20"/>
          <w:szCs w:val="20"/>
        </w:rPr>
        <w:t>may be subject to future adjustments as the Company obtains additional information to finalize the accounting for the business combinations. The allocation of the purchase prices is as follows:</w:t>
      </w:r>
    </w:p>
    <w:p w:rsidR="00000000" w:rsidRDefault="006F0EF5">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1"/>
        <w:gridCol w:w="6956"/>
        <w:gridCol w:w="39"/>
        <w:gridCol w:w="120"/>
        <w:gridCol w:w="1054"/>
        <w:gridCol w:w="36"/>
      </w:tblGrid>
      <w:tr w:rsidR="00000000">
        <w:tc>
          <w:tcPr>
            <w:tcW w:w="50" w:type="pct"/>
            <w:vAlign w:val="center"/>
            <w:hideMark/>
          </w:tcPr>
          <w:p w:rsidR="00000000" w:rsidRDefault="006F0EF5">
            <w:pPr>
              <w:jc w:val="both"/>
              <w:rPr>
                <w:rFonts w:eastAsia="Times New Roman"/>
              </w:rPr>
            </w:pPr>
          </w:p>
        </w:tc>
        <w:tc>
          <w:tcPr>
            <w:tcW w:w="423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5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6F0EF5">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Tangible assets acquired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Acquired intangible assets other than goodwill</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Acquired goodwill</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Deferred tax liabilities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Liabilities assumed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b/>
                <w:bCs/>
                <w:color w:val="000000"/>
                <w:sz w:val="20"/>
                <w:szCs w:val="20"/>
              </w:rPr>
              <w:t>Total purchase consideration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Goodwill represents the future economic benefits arising from other assets acquired that could not be individually separately recognized. The goodwill arising from the acquisitions consists of revenue and cost synergies expected from combining the operatio</w:t>
      </w:r>
      <w:r>
        <w:rPr>
          <w:rFonts w:eastAsia="Times New Roman"/>
          <w:color w:val="000000"/>
          <w:sz w:val="20"/>
          <w:szCs w:val="20"/>
        </w:rPr>
        <w:t>ns of NCR and the respective acquisitions. It is expected that $9 million of the goodwill recognized in connection with the acquisitions will be deductible for tax purposes. The goodwill arising from the Freshop acquisition has been allocated to our Retail</w:t>
      </w:r>
      <w:r>
        <w:rPr>
          <w:rFonts w:eastAsia="Times New Roman"/>
          <w:color w:val="000000"/>
          <w:sz w:val="20"/>
          <w:szCs w:val="20"/>
        </w:rPr>
        <w:t xml:space="preserve"> segment. The goodwill arising from the Terafina acquisition has been allocated to our Banking segment. The goodwill arising from the Dumac acquisition has been allocated to our Hospitality segment. Refer to Note 2, “Goodwill and Purchased Intangible Asset</w:t>
      </w:r>
      <w:r>
        <w:rPr>
          <w:rFonts w:eastAsia="Times New Roman"/>
          <w:color w:val="000000"/>
          <w:sz w:val="20"/>
          <w:szCs w:val="20"/>
        </w:rPr>
        <w:t xml:space="preserve">s”, for the carrying amounts of goodwill by segment.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following table sets forth the components of the intangible assets acquired as of the acquisition dates: </w:t>
      </w:r>
    </w:p>
    <w:tbl>
      <w:tblPr>
        <w:tblW w:w="4970" w:type="pct"/>
        <w:jc w:val="center"/>
        <w:tblCellMar>
          <w:top w:w="15" w:type="dxa"/>
          <w:left w:w="15" w:type="dxa"/>
          <w:bottom w:w="15" w:type="dxa"/>
          <w:right w:w="15" w:type="dxa"/>
        </w:tblCellMar>
        <w:tblLook w:val="04A0" w:firstRow="1" w:lastRow="0" w:firstColumn="1" w:lastColumn="0" w:noHBand="0" w:noVBand="1"/>
      </w:tblPr>
      <w:tblGrid>
        <w:gridCol w:w="53"/>
        <w:gridCol w:w="5028"/>
        <w:gridCol w:w="36"/>
        <w:gridCol w:w="122"/>
        <w:gridCol w:w="1383"/>
        <w:gridCol w:w="37"/>
        <w:gridCol w:w="36"/>
        <w:gridCol w:w="38"/>
        <w:gridCol w:w="36"/>
        <w:gridCol w:w="53"/>
        <w:gridCol w:w="1398"/>
        <w:gridCol w:w="36"/>
      </w:tblGrid>
      <w:tr w:rsidR="00000000">
        <w:trPr>
          <w:divId w:val="1021934289"/>
          <w:jc w:val="center"/>
        </w:trPr>
        <w:tc>
          <w:tcPr>
            <w:tcW w:w="50" w:type="pct"/>
            <w:vAlign w:val="center"/>
            <w:hideMark/>
          </w:tcPr>
          <w:p w:rsidR="00000000" w:rsidRDefault="006F0EF5">
            <w:pPr>
              <w:jc w:val="both"/>
              <w:rPr>
                <w:rFonts w:eastAsia="Times New Roman"/>
              </w:rPr>
            </w:pPr>
          </w:p>
        </w:tc>
        <w:tc>
          <w:tcPr>
            <w:tcW w:w="306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5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6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021934289"/>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1021934289"/>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 years)</w:t>
            </w:r>
          </w:p>
        </w:tc>
      </w:tr>
      <w:tr w:rsidR="00000000">
        <w:trPr>
          <w:divId w:val="102193428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Direct customer relationships</w:t>
            </w:r>
          </w:p>
        </w:tc>
        <w:tc>
          <w:tcPr>
            <w:tcW w:w="0" w:type="auto"/>
            <w:shd w:val="clear" w:color="auto" w:fill="CCEEFF"/>
            <w:tcMar>
              <w:top w:w="30" w:type="dxa"/>
              <w:left w:w="20" w:type="dxa"/>
              <w:bottom w:w="30" w:type="dxa"/>
              <w:right w:w="0" w:type="dxa"/>
            </w:tcMar>
            <w:vAlign w:val="center"/>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6F0EF5">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r>
      <w:tr w:rsidR="00000000">
        <w:trPr>
          <w:divId w:val="102193428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Technology - Software</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r>
      <w:tr w:rsidR="00000000">
        <w:trPr>
          <w:divId w:val="102193428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xml:space="preserve">Non-compete </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r>
      <w:tr w:rsidR="00000000">
        <w:trPr>
          <w:divId w:val="102193428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Tradenames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9</w:t>
            </w:r>
          </w:p>
        </w:tc>
      </w:tr>
      <w:tr w:rsidR="00000000">
        <w:trPr>
          <w:divId w:val="1021934289"/>
          <w:jc w:val="center"/>
        </w:trPr>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Total acquired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jc w:val="center"/>
        <w:divId w:val="1031803949"/>
        <w:rPr>
          <w:rFonts w:eastAsia="Times New Roman"/>
        </w:rPr>
      </w:pPr>
      <w:r>
        <w:rPr>
          <w:rFonts w:eastAsia="Times New Roman"/>
          <w:color w:val="000000"/>
          <w:sz w:val="20"/>
          <w:szCs w:val="20"/>
        </w:rPr>
        <w:t>76</w:t>
      </w:r>
    </w:p>
    <w:p w:rsidR="00000000" w:rsidRDefault="006F0EF5">
      <w:pPr>
        <w:rPr>
          <w:rFonts w:eastAsia="Times New Roman"/>
        </w:rPr>
      </w:pPr>
      <w:r>
        <w:rPr>
          <w:rFonts w:eastAsia="Times New Roman"/>
        </w:rPr>
        <w:pict>
          <v:rect id="_x0000_i1105" style="width:0;height:1.5pt" o:hralign="center" o:hrstd="t" o:hr="t" fillcolor="#a0a0a0" stroked="f"/>
        </w:pict>
      </w:r>
    </w:p>
    <w:p w:rsidR="00000000" w:rsidRDefault="006F0EF5">
      <w:pPr>
        <w:divId w:val="24885527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552889721"/>
        <w:rPr>
          <w:rFonts w:eastAsia="Times New Roman"/>
        </w:rPr>
      </w:pPr>
      <w:r>
        <w:rPr>
          <w:rFonts w:eastAsia="Times New Roman"/>
          <w:b/>
          <w:bCs/>
          <w:color w:val="000000"/>
          <w:sz w:val="20"/>
          <w:szCs w:val="20"/>
        </w:rPr>
        <w:t>NCR Corporation</w:t>
      </w:r>
    </w:p>
    <w:p w:rsidR="00000000" w:rsidRDefault="006F0EF5">
      <w:pPr>
        <w:jc w:val="center"/>
        <w:divId w:val="552889721"/>
        <w:rPr>
          <w:rFonts w:eastAsia="Times New Roman"/>
        </w:rPr>
      </w:pPr>
      <w:r>
        <w:rPr>
          <w:rFonts w:eastAsia="Times New Roman"/>
          <w:b/>
          <w:bCs/>
          <w:color w:val="000000"/>
          <w:sz w:val="20"/>
          <w:szCs w:val="20"/>
        </w:rPr>
        <w:t>Notes to Consolidated Financial Statements-(Continued)</w:t>
      </w:r>
    </w:p>
    <w:p w:rsidR="00000000" w:rsidRDefault="006F0EF5">
      <w:pPr>
        <w:jc w:val="center"/>
        <w:divId w:val="552889721"/>
        <w:rPr>
          <w:rFonts w:eastAsia="Times New Roman"/>
        </w:rPr>
      </w:pPr>
    </w:p>
    <w:p w:rsidR="00000000" w:rsidRDefault="006F0EF5">
      <w:pPr>
        <w:jc w:val="center"/>
        <w:divId w:val="552889721"/>
        <w:rPr>
          <w:rFonts w:eastAsia="Times New Roman"/>
        </w:rPr>
      </w:pPr>
    </w:p>
    <w:p w:rsidR="00000000" w:rsidRDefault="006F0EF5">
      <w:pPr>
        <w:divId w:val="868951724"/>
        <w:rPr>
          <w:rFonts w:eastAsia="Times New Roman"/>
        </w:rPr>
      </w:pPr>
    </w:p>
    <w:p w:rsidR="00000000" w:rsidRDefault="006F0EF5">
      <w:pPr>
        <w:divId w:val="1834492805"/>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Determination of the weighted average period of the individual</w:t>
      </w:r>
      <w:r>
        <w:rPr>
          <w:rFonts w:eastAsia="Times New Roman"/>
          <w:color w:val="000000"/>
          <w:sz w:val="14"/>
          <w:szCs w:val="14"/>
        </w:rPr>
        <w:t xml:space="preserve"> categories of intangible assets was based on the nature of the applicable intangible asset and the expected future cash flows to be derived from the intangible asset. Amortization of intangible assets with definite lives is recognized over the period of t</w:t>
      </w:r>
      <w:r>
        <w:rPr>
          <w:rFonts w:eastAsia="Times New Roman"/>
          <w:color w:val="000000"/>
          <w:sz w:val="14"/>
          <w:szCs w:val="14"/>
        </w:rPr>
        <w:t>ime the assets are expected to contribute to future cash flows.</w:t>
      </w:r>
    </w:p>
    <w:p w:rsidR="00000000" w:rsidRDefault="006F0EF5">
      <w:pPr>
        <w:divId w:val="941842414"/>
        <w:rPr>
          <w:rFonts w:eastAsia="Times New Roman"/>
        </w:rPr>
      </w:pPr>
    </w:p>
    <w:p w:rsidR="00000000" w:rsidRDefault="006F0EF5">
      <w:pPr>
        <w:jc w:val="both"/>
        <w:rPr>
          <w:rFonts w:eastAsia="Times New Roman"/>
        </w:rPr>
      </w:pPr>
      <w:r>
        <w:rPr>
          <w:rFonts w:eastAsia="Times New Roman"/>
          <w:color w:val="000000"/>
          <w:sz w:val="20"/>
          <w:szCs w:val="20"/>
        </w:rPr>
        <w:t>The operating results of Freshop, Terafina, and Dumac have been included within NCR's results as of the closing dates of the acquisitions. Supplemental pro forma information and actual revenue and earnings since the acquisition dates have not been provided</w:t>
      </w:r>
      <w:r>
        <w:rPr>
          <w:rFonts w:eastAsia="Times New Roman"/>
          <w:color w:val="000000"/>
          <w:sz w:val="20"/>
          <w:szCs w:val="20"/>
        </w:rPr>
        <w:t xml:space="preserve"> as the acquisitions did not have a material impact on the Company's Consolidated Statements of Operations.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2020 Acquisition</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Acquisition of Origami</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June 6, 2019, our subsidiary, NCR Brasil Ltda. (“NCR Brasil”</w:t>
      </w:r>
      <w:r>
        <w:rPr>
          <w:rFonts w:eastAsia="Times New Roman"/>
          <w:color w:val="000000"/>
          <w:sz w:val="20"/>
          <w:szCs w:val="20"/>
        </w:rPr>
        <w:t>) entered into a definitive agreement with OKI Electric Industry Co., Ltd. and its Brazilian subsidiary, OKI Brasil Industria e Comércio de Produtos e Tecnologia em Automação S.A. (“OKI Brasil”), to purchase OKI Brasil's IT services and select software ass</w:t>
      </w:r>
      <w:r>
        <w:rPr>
          <w:rFonts w:eastAsia="Times New Roman"/>
          <w:color w:val="000000"/>
          <w:sz w:val="20"/>
          <w:szCs w:val="20"/>
        </w:rPr>
        <w:t>ets for use in the banking, retail and other industries. Neither OKI Brasil's manufacturing operations nor its printing business in Brazil were included in the acquisition. On April 9, 2020, NCR Brasil completed this acquisition through the purchase of 100</w:t>
      </w:r>
      <w:r>
        <w:rPr>
          <w:rFonts w:eastAsia="Times New Roman"/>
          <w:color w:val="000000"/>
          <w:sz w:val="20"/>
          <w:szCs w:val="20"/>
        </w:rPr>
        <w:t>% of the quotas of Origami Brasil Tecnologia e Serviços em Automação Ltda. (“Origami”), which became a wholly-owned subsidiary of NCR Brasil. The purchase price was approximately $5 million, of which $2 million is payable in cash within two years of the ac</w:t>
      </w:r>
      <w:r>
        <w:rPr>
          <w:rFonts w:eastAsia="Times New Roman"/>
          <w:color w:val="000000"/>
          <w:sz w:val="20"/>
          <w:szCs w:val="20"/>
        </w:rPr>
        <w:t>quisition date, subject to certain conditions, and the remaining $3 million is payable in cash within six years of the acquisition date, subject to purchase price adjustments.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fair value of consideration transferred to acquire Origami was allocated t</w:t>
      </w:r>
      <w:r>
        <w:rPr>
          <w:rFonts w:eastAsia="Times New Roman"/>
          <w:color w:val="000000"/>
          <w:sz w:val="20"/>
          <w:szCs w:val="20"/>
        </w:rPr>
        <w:t>o the identifiable assets and liabilities assumed based upon their estimated fair values as of the date of acquisition as set forth below. The acquisition has resulted in a bargain purchase gain based on the purchase price being limited mostly to the net a</w:t>
      </w:r>
      <w:r>
        <w:rPr>
          <w:rFonts w:eastAsia="Times New Roman"/>
          <w:color w:val="000000"/>
          <w:sz w:val="20"/>
          <w:szCs w:val="20"/>
        </w:rPr>
        <w:t>ssets of the business excluding cash and investments. The bargain purchase gain has been recorded in Other income (expense), net within the Consolidated Statement of Operations.</w:t>
      </w:r>
    </w:p>
    <w:p w:rsidR="00000000" w:rsidRDefault="006F0EF5">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0"/>
        <w:gridCol w:w="6956"/>
        <w:gridCol w:w="39"/>
        <w:gridCol w:w="121"/>
        <w:gridCol w:w="1054"/>
        <w:gridCol w:w="36"/>
      </w:tblGrid>
      <w:tr w:rsidR="00000000">
        <w:tc>
          <w:tcPr>
            <w:tcW w:w="50" w:type="pct"/>
            <w:vAlign w:val="center"/>
            <w:hideMark/>
          </w:tcPr>
          <w:p w:rsidR="00000000" w:rsidRDefault="006F0EF5">
            <w:pPr>
              <w:jc w:val="both"/>
              <w:rPr>
                <w:rFonts w:eastAsia="Times New Roman"/>
              </w:rPr>
            </w:pPr>
          </w:p>
        </w:tc>
        <w:tc>
          <w:tcPr>
            <w:tcW w:w="423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5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Investments acquired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Tangible assets acquired</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Bargain purchase gain on business acquisition</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Liabilities assumed</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b/>
                <w:bCs/>
                <w:color w:val="000000"/>
                <w:sz w:val="20"/>
                <w:szCs w:val="20"/>
              </w:rPr>
              <w:t>Total purchase consideration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operating results of Origami have been included within NCR's results as of the closing date of the acquisition. Supplemental pro forma information and actual revenue and earnings since the acquisition date have not been provided as this acquisition did</w:t>
      </w:r>
      <w:r>
        <w:rPr>
          <w:rFonts w:eastAsia="Times New Roman"/>
          <w:color w:val="000000"/>
          <w:sz w:val="20"/>
          <w:szCs w:val="20"/>
        </w:rPr>
        <w:t xml:space="preserve"> not have a material impact on the Company's Consolidated Statements of Operations.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2019 Acquisitions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Acquisition of D3 Technology, Inc.</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July 1, 2019, NCR completed its acquisition of D3 Technology, Inc. (“D3”), a leading provider of online and mo</w:t>
      </w:r>
      <w:r>
        <w:rPr>
          <w:rFonts w:eastAsia="Times New Roman"/>
          <w:color w:val="000000"/>
          <w:sz w:val="20"/>
          <w:szCs w:val="20"/>
        </w:rPr>
        <w:t>bile banking for the Large Financial Institution market, for approximately $84 million, of which $83 million was paid in cash in 2019. The remaining $1 million was payable within 12 months from the date of acquisition and paid in 2020. The D3 acquisition f</w:t>
      </w:r>
      <w:r>
        <w:rPr>
          <w:rFonts w:eastAsia="Times New Roman"/>
          <w:color w:val="000000"/>
          <w:sz w:val="20"/>
          <w:szCs w:val="20"/>
        </w:rPr>
        <w:t xml:space="preserve">urther expands our digital banking strategy as we extend our market share in large domestic banks and international banks. As a result of the acquisition, D3 became a wholly-owned subsidiary of NCR.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Recording of Assets Acquired and Liabilities Assumed</w:t>
      </w:r>
      <w:r>
        <w:rPr>
          <w:rFonts w:eastAsia="Times New Roman"/>
          <w:color w:val="000000"/>
          <w:sz w:val="20"/>
          <w:szCs w:val="20"/>
        </w:rPr>
        <w:t xml:space="preserve"> T</w:t>
      </w:r>
      <w:r>
        <w:rPr>
          <w:rFonts w:eastAsia="Times New Roman"/>
          <w:color w:val="000000"/>
          <w:sz w:val="20"/>
          <w:szCs w:val="20"/>
        </w:rPr>
        <w:t>he fair value of consideration transferred to acquire D3 was allocated to the identifiable assets acquired and liabilities assumed based upon their estimated fair values as of the date of the acquisition as set forth below.</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final allocation of the purchase price for D3 is as follows: </w:t>
      </w:r>
    </w:p>
    <w:p w:rsidR="00000000" w:rsidRDefault="006F0EF5">
      <w:pPr>
        <w:jc w:val="center"/>
        <w:divId w:val="1713536038"/>
        <w:rPr>
          <w:rFonts w:eastAsia="Times New Roman"/>
        </w:rPr>
      </w:pPr>
      <w:r>
        <w:rPr>
          <w:rFonts w:eastAsia="Times New Roman"/>
          <w:color w:val="000000"/>
          <w:sz w:val="20"/>
          <w:szCs w:val="20"/>
        </w:rPr>
        <w:t>77</w:t>
      </w:r>
    </w:p>
    <w:p w:rsidR="00000000" w:rsidRDefault="006F0EF5">
      <w:pPr>
        <w:rPr>
          <w:rFonts w:eastAsia="Times New Roman"/>
        </w:rPr>
      </w:pPr>
      <w:r>
        <w:rPr>
          <w:rFonts w:eastAsia="Times New Roman"/>
        </w:rPr>
        <w:pict>
          <v:rect id="_x0000_i1106" style="width:0;height:1.5pt" o:hralign="center" o:hrstd="t" o:hr="t" fillcolor="#a0a0a0" stroked="f"/>
        </w:pict>
      </w:r>
    </w:p>
    <w:p w:rsidR="00000000" w:rsidRDefault="006F0EF5">
      <w:pPr>
        <w:divId w:val="136979779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963852486"/>
        <w:rPr>
          <w:rFonts w:eastAsia="Times New Roman"/>
        </w:rPr>
      </w:pPr>
      <w:r>
        <w:rPr>
          <w:rFonts w:eastAsia="Times New Roman"/>
          <w:b/>
          <w:bCs/>
          <w:color w:val="000000"/>
          <w:sz w:val="20"/>
          <w:szCs w:val="20"/>
        </w:rPr>
        <w:t>NCR Corporation</w:t>
      </w:r>
    </w:p>
    <w:p w:rsidR="00000000" w:rsidRDefault="006F0EF5">
      <w:pPr>
        <w:jc w:val="center"/>
        <w:divId w:val="963852486"/>
        <w:rPr>
          <w:rFonts w:eastAsia="Times New Roman"/>
        </w:rPr>
      </w:pPr>
      <w:r>
        <w:rPr>
          <w:rFonts w:eastAsia="Times New Roman"/>
          <w:b/>
          <w:bCs/>
          <w:color w:val="000000"/>
          <w:sz w:val="20"/>
          <w:szCs w:val="20"/>
        </w:rPr>
        <w:t>Notes to Consolidated Financial Statements-(Continued)</w:t>
      </w:r>
    </w:p>
    <w:p w:rsidR="00000000" w:rsidRDefault="006F0EF5">
      <w:pPr>
        <w:jc w:val="center"/>
        <w:divId w:val="963852486"/>
        <w:rPr>
          <w:rFonts w:eastAsia="Times New Roman"/>
        </w:rPr>
      </w:pPr>
    </w:p>
    <w:p w:rsidR="00000000" w:rsidRDefault="006F0EF5">
      <w:pPr>
        <w:jc w:val="center"/>
        <w:divId w:val="963852486"/>
        <w:rPr>
          <w:rFonts w:eastAsia="Times New Roman"/>
        </w:rPr>
      </w:pPr>
    </w:p>
    <w:p w:rsidR="00000000" w:rsidRDefault="006F0EF5">
      <w:pPr>
        <w:divId w:val="48847443"/>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50"/>
        <w:gridCol w:w="6822"/>
        <w:gridCol w:w="39"/>
        <w:gridCol w:w="121"/>
        <w:gridCol w:w="1188"/>
        <w:gridCol w:w="36"/>
      </w:tblGrid>
      <w:tr w:rsidR="00000000">
        <w:trPr>
          <w:jc w:val="center"/>
        </w:trPr>
        <w:tc>
          <w:tcPr>
            <w:tcW w:w="50" w:type="pct"/>
            <w:vAlign w:val="center"/>
            <w:hideMark/>
          </w:tcPr>
          <w:p w:rsidR="00000000" w:rsidRDefault="006F0EF5">
            <w:pPr>
              <w:rPr>
                <w:rFonts w:eastAsia="Times New Roman"/>
              </w:rPr>
            </w:pPr>
          </w:p>
        </w:tc>
        <w:tc>
          <w:tcPr>
            <w:tcW w:w="415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Tangible assets acquired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Acquired intangible assets other than goodwill</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Acquired goodwill</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Deferred tax assets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Liabilities assumed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purchase consideration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Goodwill represents the future economic benefits arising from other assets acquired that could not be individually separately recognized. The goodwill arising from the acquisition consists of revenue synergies expected from combining the operations of NCR </w:t>
      </w:r>
      <w:r>
        <w:rPr>
          <w:rFonts w:eastAsia="Times New Roman"/>
          <w:color w:val="000000"/>
          <w:sz w:val="20"/>
          <w:szCs w:val="20"/>
        </w:rPr>
        <w:t>and D3. It is expected that none of the goodwill recognized in connection with the acquisition will be deductible for tax purposes. The goodwill arising from the acquisition has been allocated to our Banking segment. Refer to Note 2, “Goodwill and Purchase</w:t>
      </w:r>
      <w:r>
        <w:rPr>
          <w:rFonts w:eastAsia="Times New Roman"/>
          <w:color w:val="000000"/>
          <w:sz w:val="20"/>
          <w:szCs w:val="20"/>
        </w:rPr>
        <w:t xml:space="preserve">d Intangible Assets”, for the carrying amounts of goodwill by segment.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sets forth the components of the intangible assets acquired as of the acquisition date:</w:t>
      </w:r>
    </w:p>
    <w:tbl>
      <w:tblPr>
        <w:tblW w:w="4970" w:type="pct"/>
        <w:jc w:val="center"/>
        <w:tblCellMar>
          <w:top w:w="15" w:type="dxa"/>
          <w:left w:w="15" w:type="dxa"/>
          <w:bottom w:w="15" w:type="dxa"/>
          <w:right w:w="15" w:type="dxa"/>
        </w:tblCellMar>
        <w:tblLook w:val="04A0" w:firstRow="1" w:lastRow="0" w:firstColumn="1" w:lastColumn="0" w:noHBand="0" w:noVBand="1"/>
      </w:tblPr>
      <w:tblGrid>
        <w:gridCol w:w="53"/>
        <w:gridCol w:w="5028"/>
        <w:gridCol w:w="36"/>
        <w:gridCol w:w="122"/>
        <w:gridCol w:w="1383"/>
        <w:gridCol w:w="37"/>
        <w:gridCol w:w="36"/>
        <w:gridCol w:w="38"/>
        <w:gridCol w:w="36"/>
        <w:gridCol w:w="53"/>
        <w:gridCol w:w="1398"/>
        <w:gridCol w:w="36"/>
      </w:tblGrid>
      <w:tr w:rsidR="00000000">
        <w:trPr>
          <w:divId w:val="1118526591"/>
          <w:jc w:val="center"/>
        </w:trPr>
        <w:tc>
          <w:tcPr>
            <w:tcW w:w="50" w:type="pct"/>
            <w:vAlign w:val="center"/>
            <w:hideMark/>
          </w:tcPr>
          <w:p w:rsidR="00000000" w:rsidRDefault="006F0EF5">
            <w:pPr>
              <w:jc w:val="both"/>
              <w:rPr>
                <w:rFonts w:eastAsia="Times New Roman"/>
              </w:rPr>
            </w:pPr>
          </w:p>
        </w:tc>
        <w:tc>
          <w:tcPr>
            <w:tcW w:w="306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5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6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118526591"/>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1118526591"/>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 years)</w:t>
            </w:r>
          </w:p>
        </w:tc>
      </w:tr>
      <w:tr w:rsidR="00000000">
        <w:trPr>
          <w:divId w:val="111852659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Direct customer relationships</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11</w:t>
            </w:r>
          </w:p>
        </w:tc>
      </w:tr>
      <w:tr w:rsidR="00000000">
        <w:trPr>
          <w:divId w:val="111852659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Technology - Software</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5</w:t>
            </w:r>
          </w:p>
        </w:tc>
      </w:tr>
      <w:tr w:rsidR="00000000">
        <w:trPr>
          <w:divId w:val="111852659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Tradenames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r>
      <w:tr w:rsidR="00000000">
        <w:trPr>
          <w:divId w:val="1118526591"/>
          <w:jc w:val="center"/>
        </w:trPr>
        <w:tc>
          <w:tcPr>
            <w:tcW w:w="0" w:type="auto"/>
            <w:gridSpan w:val="3"/>
            <w:shd w:val="clear" w:color="auto" w:fill="FFFF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Total acquired intangible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divId w:val="713115287"/>
        <w:rPr>
          <w:rFonts w:eastAsia="Times New Roman"/>
        </w:rPr>
      </w:pPr>
    </w:p>
    <w:p w:rsidR="00000000" w:rsidRDefault="006F0EF5">
      <w:pPr>
        <w:jc w:val="both"/>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w:t>
      </w:r>
      <w:r>
        <w:rPr>
          <w:rFonts w:eastAsia="Times New Roman"/>
          <w:color w:val="000000"/>
          <w:sz w:val="14"/>
          <w:szCs w:val="14"/>
        </w:rPr>
        <w:t>Determination of the weighted average period of the individual categories of intangible assets was based on the nature of the applicable intangible asset and the expected future cash flows to be derived from the intangible asset. Amortization of intangible</w:t>
      </w:r>
      <w:r>
        <w:rPr>
          <w:rFonts w:eastAsia="Times New Roman"/>
          <w:color w:val="000000"/>
          <w:sz w:val="14"/>
          <w:szCs w:val="14"/>
        </w:rPr>
        <w:t xml:space="preserve"> assets with definite lives is recognized over the period of time the assets are expected to contribute to future cash flows.</w:t>
      </w:r>
    </w:p>
    <w:p w:rsidR="00000000" w:rsidRDefault="006F0EF5">
      <w:pPr>
        <w:divId w:val="813989389"/>
        <w:rPr>
          <w:rFonts w:eastAsia="Times New Roman"/>
        </w:rPr>
      </w:pPr>
    </w:p>
    <w:p w:rsidR="00000000" w:rsidRDefault="006F0EF5">
      <w:pPr>
        <w:jc w:val="both"/>
        <w:rPr>
          <w:rFonts w:eastAsia="Times New Roman"/>
        </w:rPr>
      </w:pPr>
      <w:r>
        <w:rPr>
          <w:rFonts w:eastAsia="Times New Roman"/>
          <w:color w:val="000000"/>
          <w:sz w:val="20"/>
          <w:szCs w:val="20"/>
        </w:rPr>
        <w:t>In connection with the closing of the acquisition, the Company incurred approximately $1 million of transaction costs, which has been included within Selling, general and administrative expenses in the Consolidated Statement of Operations for the year ende</w:t>
      </w:r>
      <w:r>
        <w:rPr>
          <w:rFonts w:eastAsia="Times New Roman"/>
          <w:color w:val="000000"/>
          <w:sz w:val="20"/>
          <w:szCs w:val="20"/>
        </w:rPr>
        <w:t>d December 31, 2019.</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operating results of D3 have been included within NCR's results as of the closing date of the acquisition. Supplemental pro forma information and actual revenue and earnings since the acquisition date have not been provided as th</w:t>
      </w:r>
      <w:r>
        <w:rPr>
          <w:rFonts w:eastAsia="Times New Roman"/>
          <w:color w:val="000000"/>
          <w:sz w:val="20"/>
          <w:szCs w:val="20"/>
        </w:rPr>
        <w:t>is acquisition did not have a material impact on the Company's Consolidated Statements of Operations.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Acquisition of Zynstra Ltd.</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On December 21, 2019, NCR completed its acquisition of Zynstra, Ltd. (“Zynstra”), a leading provider of edge virtualization technology, for approximately $134 million, of which $112 million was paid in cash. In 2020, approximately $20 million was paid and </w:t>
      </w:r>
      <w:r>
        <w:rPr>
          <w:rFonts w:eastAsia="Times New Roman"/>
          <w:color w:val="000000"/>
          <w:sz w:val="20"/>
          <w:szCs w:val="20"/>
        </w:rPr>
        <w:t>the remaining $2 million was payable as of December 31, 2021. The Zynstra acquisition further expands our digital retail strategy as we further enhance our next generation store architecture. As a result of the acquisition, Zynstra became a wholly-owned su</w:t>
      </w:r>
      <w:r>
        <w:rPr>
          <w:rFonts w:eastAsia="Times New Roman"/>
          <w:color w:val="000000"/>
          <w:sz w:val="20"/>
          <w:szCs w:val="20"/>
        </w:rPr>
        <w:t xml:space="preserve">bsidiary of NCR.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Recording of Assets Acquired and Liabilities Assumed</w:t>
      </w:r>
      <w:r>
        <w:rPr>
          <w:rFonts w:eastAsia="Times New Roman"/>
          <w:color w:val="000000"/>
          <w:sz w:val="20"/>
          <w:szCs w:val="20"/>
        </w:rPr>
        <w:t xml:space="preserve"> The fair value of consideration transferred to acquire Zynstra was allocated to the identifiable assets acquired and liabilities assumed based upon their estimated fair values as of t</w:t>
      </w:r>
      <w:r>
        <w:rPr>
          <w:rFonts w:eastAsia="Times New Roman"/>
          <w:color w:val="000000"/>
          <w:sz w:val="20"/>
          <w:szCs w:val="20"/>
        </w:rPr>
        <w:t xml:space="preserve">he date of the acquisition as set forth below.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final allocation of the purchase price for Zynstra is as follows: </w:t>
      </w:r>
    </w:p>
    <w:p w:rsidR="00000000" w:rsidRDefault="006F0EF5">
      <w:pPr>
        <w:jc w:val="center"/>
        <w:divId w:val="1673802112"/>
        <w:rPr>
          <w:rFonts w:eastAsia="Times New Roman"/>
        </w:rPr>
      </w:pPr>
      <w:r>
        <w:rPr>
          <w:rFonts w:eastAsia="Times New Roman"/>
          <w:color w:val="000000"/>
          <w:sz w:val="20"/>
          <w:szCs w:val="20"/>
        </w:rPr>
        <w:t>78</w:t>
      </w:r>
    </w:p>
    <w:p w:rsidR="00000000" w:rsidRDefault="006F0EF5">
      <w:pPr>
        <w:rPr>
          <w:rFonts w:eastAsia="Times New Roman"/>
        </w:rPr>
      </w:pPr>
      <w:r>
        <w:rPr>
          <w:rFonts w:eastAsia="Times New Roman"/>
        </w:rPr>
        <w:pict>
          <v:rect id="_x0000_i1107" style="width:0;height:1.5pt" o:hralign="center" o:hrstd="t" o:hr="t" fillcolor="#a0a0a0" stroked="f"/>
        </w:pict>
      </w:r>
    </w:p>
    <w:p w:rsidR="00000000" w:rsidRDefault="006F0EF5">
      <w:pPr>
        <w:divId w:val="53492760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834228341"/>
        <w:rPr>
          <w:rFonts w:eastAsia="Times New Roman"/>
        </w:rPr>
      </w:pPr>
      <w:r>
        <w:rPr>
          <w:rFonts w:eastAsia="Times New Roman"/>
          <w:b/>
          <w:bCs/>
          <w:color w:val="000000"/>
          <w:sz w:val="20"/>
          <w:szCs w:val="20"/>
        </w:rPr>
        <w:t>NCR Corporation</w:t>
      </w:r>
    </w:p>
    <w:p w:rsidR="00000000" w:rsidRDefault="006F0EF5">
      <w:pPr>
        <w:jc w:val="center"/>
        <w:divId w:val="834228341"/>
        <w:rPr>
          <w:rFonts w:eastAsia="Times New Roman"/>
        </w:rPr>
      </w:pPr>
      <w:r>
        <w:rPr>
          <w:rFonts w:eastAsia="Times New Roman"/>
          <w:b/>
          <w:bCs/>
          <w:color w:val="000000"/>
          <w:sz w:val="20"/>
          <w:szCs w:val="20"/>
        </w:rPr>
        <w:t>Not</w:t>
      </w:r>
      <w:r>
        <w:rPr>
          <w:rFonts w:eastAsia="Times New Roman"/>
          <w:b/>
          <w:bCs/>
          <w:color w:val="000000"/>
          <w:sz w:val="20"/>
          <w:szCs w:val="20"/>
        </w:rPr>
        <w:t>es to Consolidated Financial Statements-(Continued)</w:t>
      </w:r>
    </w:p>
    <w:p w:rsidR="00000000" w:rsidRDefault="006F0EF5">
      <w:pPr>
        <w:jc w:val="center"/>
        <w:divId w:val="834228341"/>
        <w:rPr>
          <w:rFonts w:eastAsia="Times New Roman"/>
        </w:rPr>
      </w:pPr>
    </w:p>
    <w:p w:rsidR="00000000" w:rsidRDefault="006F0EF5">
      <w:pPr>
        <w:jc w:val="center"/>
        <w:divId w:val="834228341"/>
        <w:rPr>
          <w:rFonts w:eastAsia="Times New Roman"/>
        </w:rPr>
      </w:pPr>
    </w:p>
    <w:p w:rsidR="00000000" w:rsidRDefault="006F0EF5">
      <w:pPr>
        <w:divId w:val="777409967"/>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51"/>
        <w:gridCol w:w="6822"/>
        <w:gridCol w:w="39"/>
        <w:gridCol w:w="120"/>
        <w:gridCol w:w="1188"/>
        <w:gridCol w:w="36"/>
      </w:tblGrid>
      <w:tr w:rsidR="00000000">
        <w:trPr>
          <w:jc w:val="center"/>
        </w:trPr>
        <w:tc>
          <w:tcPr>
            <w:tcW w:w="50" w:type="pct"/>
            <w:vAlign w:val="center"/>
            <w:hideMark/>
          </w:tcPr>
          <w:p w:rsidR="00000000" w:rsidRDefault="006F0EF5">
            <w:pPr>
              <w:rPr>
                <w:rFonts w:eastAsia="Times New Roman"/>
              </w:rPr>
            </w:pPr>
          </w:p>
        </w:tc>
        <w:tc>
          <w:tcPr>
            <w:tcW w:w="415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Tangible assets acquired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Acquired intangible assets other than goodwill</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Acquired goodwill</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Deferred tax liability</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Liabilities assumed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purchase consideration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Goodwill represents the future economic benefits arising from other assets acquired that could not be individually separately recognized. The goodwill arising from the acquisition consists of revenue and cost synergies expected from combining the operation</w:t>
      </w:r>
      <w:r>
        <w:rPr>
          <w:rFonts w:eastAsia="Times New Roman"/>
          <w:color w:val="000000"/>
          <w:sz w:val="20"/>
          <w:szCs w:val="20"/>
        </w:rPr>
        <w:t>s of NCR and Zynstra. It is expected that none of the goodwill recognized in connection with the acquisition will be deductible for tax purposes. The goodwill arising from the acquisition has been allocated to our Retail segment. Refer to Note 2, “Goodwill</w:t>
      </w:r>
      <w:r>
        <w:rPr>
          <w:rFonts w:eastAsia="Times New Roman"/>
          <w:color w:val="000000"/>
          <w:sz w:val="20"/>
          <w:szCs w:val="20"/>
        </w:rPr>
        <w:t xml:space="preserve"> and Purchased Intangible Assets”, for the carrying amounts of goodwill by segment.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sets forth the components of the intangible assets acquired as of the acquisition date:</w:t>
      </w:r>
    </w:p>
    <w:tbl>
      <w:tblPr>
        <w:tblW w:w="4970" w:type="pct"/>
        <w:jc w:val="center"/>
        <w:tblCellMar>
          <w:top w:w="15" w:type="dxa"/>
          <w:left w:w="15" w:type="dxa"/>
          <w:bottom w:w="15" w:type="dxa"/>
          <w:right w:w="15" w:type="dxa"/>
        </w:tblCellMar>
        <w:tblLook w:val="04A0" w:firstRow="1" w:lastRow="0" w:firstColumn="1" w:lastColumn="0" w:noHBand="0" w:noVBand="1"/>
      </w:tblPr>
      <w:tblGrid>
        <w:gridCol w:w="53"/>
        <w:gridCol w:w="5028"/>
        <w:gridCol w:w="36"/>
        <w:gridCol w:w="122"/>
        <w:gridCol w:w="1383"/>
        <w:gridCol w:w="37"/>
        <w:gridCol w:w="36"/>
        <w:gridCol w:w="38"/>
        <w:gridCol w:w="36"/>
        <w:gridCol w:w="53"/>
        <w:gridCol w:w="1398"/>
        <w:gridCol w:w="36"/>
      </w:tblGrid>
      <w:tr w:rsidR="00000000">
        <w:trPr>
          <w:divId w:val="745341874"/>
          <w:jc w:val="center"/>
        </w:trPr>
        <w:tc>
          <w:tcPr>
            <w:tcW w:w="50" w:type="pct"/>
            <w:vAlign w:val="center"/>
            <w:hideMark/>
          </w:tcPr>
          <w:p w:rsidR="00000000" w:rsidRDefault="006F0EF5">
            <w:pPr>
              <w:jc w:val="both"/>
              <w:rPr>
                <w:rFonts w:eastAsia="Times New Roman"/>
              </w:rPr>
            </w:pPr>
          </w:p>
        </w:tc>
        <w:tc>
          <w:tcPr>
            <w:tcW w:w="306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5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6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745341874"/>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745341874"/>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 years)</w:t>
            </w:r>
          </w:p>
        </w:tc>
      </w:tr>
      <w:tr w:rsidR="00000000">
        <w:trPr>
          <w:divId w:val="74534187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Technology - Software</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r>
      <w:tr w:rsidR="00000000">
        <w:trPr>
          <w:divId w:val="74534187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Tradenames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r>
      <w:tr w:rsidR="00000000">
        <w:trPr>
          <w:divId w:val="745341874"/>
          <w:jc w:val="center"/>
        </w:trPr>
        <w:tc>
          <w:tcPr>
            <w:tcW w:w="0" w:type="auto"/>
            <w:gridSpan w:val="3"/>
            <w:shd w:val="clear" w:color="auto" w:fill="CCEEFF"/>
            <w:tcMar>
              <w:top w:w="30" w:type="dxa"/>
              <w:left w:w="20" w:type="dxa"/>
              <w:bottom w:w="30" w:type="dxa"/>
              <w:right w:w="20" w:type="dxa"/>
            </w:tcMar>
            <w:vAlign w:val="center"/>
            <w:hideMark/>
          </w:tcPr>
          <w:p w:rsidR="00000000" w:rsidRDefault="006F0EF5">
            <w:pPr>
              <w:spacing w:after="100"/>
              <w:rPr>
                <w:rFonts w:eastAsia="Times New Roman"/>
              </w:rPr>
            </w:pPr>
            <w:r>
              <w:rPr>
                <w:rFonts w:eastAsia="Times New Roman"/>
                <w:color w:val="000000"/>
                <w:sz w:val="20"/>
                <w:szCs w:val="20"/>
              </w:rPr>
              <w:t>Total acquired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divId w:val="1369835554"/>
        <w:rPr>
          <w:rFonts w:eastAsia="Times New Roman"/>
        </w:rPr>
      </w:pPr>
    </w:p>
    <w:p w:rsidR="00000000" w:rsidRDefault="006F0EF5">
      <w:pPr>
        <w:jc w:val="both"/>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w:t>
      </w:r>
      <w:r>
        <w:rPr>
          <w:rFonts w:eastAsia="Times New Roman"/>
          <w:color w:val="000000"/>
          <w:sz w:val="14"/>
          <w:szCs w:val="14"/>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eastAsia="Times New Roman"/>
          <w:color w:val="000000"/>
          <w:sz w:val="14"/>
          <w:szCs w:val="14"/>
        </w:rPr>
        <w:t>ets with definite lives is recognized over the period of time the assets are expected to contribute to future cash flows.</w:t>
      </w:r>
    </w:p>
    <w:p w:rsidR="00000000" w:rsidRDefault="006F0EF5">
      <w:pPr>
        <w:divId w:val="2132553740"/>
        <w:rPr>
          <w:rFonts w:eastAsia="Times New Roman"/>
        </w:rPr>
      </w:pPr>
    </w:p>
    <w:p w:rsidR="00000000" w:rsidRDefault="006F0EF5">
      <w:pPr>
        <w:jc w:val="both"/>
        <w:rPr>
          <w:rFonts w:eastAsia="Times New Roman"/>
        </w:rPr>
      </w:pPr>
      <w:r>
        <w:rPr>
          <w:rFonts w:eastAsia="Times New Roman"/>
          <w:color w:val="000000"/>
          <w:sz w:val="20"/>
          <w:szCs w:val="20"/>
        </w:rPr>
        <w:t>In connection with the closing of the acquisition, the Company incurred approximately $2 million of transaction costs, which has bee</w:t>
      </w:r>
      <w:r>
        <w:rPr>
          <w:rFonts w:eastAsia="Times New Roman"/>
          <w:color w:val="000000"/>
          <w:sz w:val="20"/>
          <w:szCs w:val="20"/>
        </w:rPr>
        <w:t>n included within Selling, general and administrative expenses in the Consolidated Statement of Operations for the year ended December 31, 2019.</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operating results of Zynstra have been included within NCR's results as of the closing date of the acquis</w:t>
      </w:r>
      <w:r>
        <w:rPr>
          <w:rFonts w:eastAsia="Times New Roman"/>
          <w:color w:val="000000"/>
          <w:sz w:val="20"/>
          <w:szCs w:val="20"/>
        </w:rPr>
        <w:t>ition. Supplemental pro forma information and actual revenue and earnings since the acquisition date have not been provided as this acquisition did not have a material impact on the Company's Consolidated Statements of Operations.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Other 2019 acquisitions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During the year ended </w:t>
      </w:r>
      <w:r>
        <w:rPr>
          <w:rFonts w:eastAsia="Times New Roman"/>
          <w:color w:val="000000"/>
          <w:sz w:val="20"/>
          <w:szCs w:val="20"/>
        </w:rPr>
        <w:t>December 31, 2019, the Company completed four acquisitions of local resellers in the hospitality industry for an aggregate purchase consideration of approximately $20 million, plus related acquisition costs. Approximately $2 million was withheld by the Com</w:t>
      </w:r>
      <w:r>
        <w:rPr>
          <w:rFonts w:eastAsia="Times New Roman"/>
          <w:color w:val="000000"/>
          <w:sz w:val="20"/>
          <w:szCs w:val="20"/>
        </w:rPr>
        <w:t>pany as a source of recovery for possible claims and payments under the related acquisition agreements and will be paid to the respective sellers pursuant to the terms of such agreements. Goodwill recognized related to these acquisitions was $17 million, a</w:t>
      </w:r>
      <w:r>
        <w:rPr>
          <w:rFonts w:eastAsia="Times New Roman"/>
          <w:color w:val="000000"/>
          <w:sz w:val="20"/>
          <w:szCs w:val="20"/>
        </w:rPr>
        <w:t>ll of which is expected to be deductible for tax purposes. The goodwill arising from these acquisitions has been allocated to the Hospitality segment. As a result of these acquisitions, NCR recorded $6 million related to identifiable intangible assets cons</w:t>
      </w:r>
      <w:r>
        <w:rPr>
          <w:rFonts w:eastAsia="Times New Roman"/>
          <w:color w:val="000000"/>
          <w:sz w:val="20"/>
          <w:szCs w:val="20"/>
        </w:rPr>
        <w:t>isting primarily of customer relationships, which have a weighted-average amortization period of 8 years. Supplemental pro forma information and actual revenue and earnings since the acquisition dates have not been provided as these acquisitions did not ha</w:t>
      </w:r>
      <w:r>
        <w:rPr>
          <w:rFonts w:eastAsia="Times New Roman"/>
          <w:color w:val="000000"/>
          <w:sz w:val="20"/>
          <w:szCs w:val="20"/>
        </w:rPr>
        <w:t>ve a material impact, individually or in the aggregate, on the Company's Consolidated Statements of Operations.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7ACE05"/>
          <w:sz w:val="20"/>
          <w:szCs w:val="20"/>
        </w:rPr>
        <w:t>4. SEGMENT INFORMATION AND CONCENTRATIONS</w:t>
      </w:r>
      <w:r>
        <w:rPr>
          <w:rFonts w:eastAsia="Times New Roman"/>
          <w:b/>
          <w:bCs/>
          <w:color w:val="000000"/>
          <w:sz w:val="20"/>
          <w:szCs w:val="20"/>
        </w:rPr>
        <w:t xml:space="preserv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manages and reports its business in the following segments:</w:t>
      </w:r>
    </w:p>
    <w:p w:rsidR="00000000" w:rsidRDefault="006F0EF5">
      <w:pPr>
        <w:jc w:val="both"/>
        <w:rPr>
          <w:rFonts w:eastAsia="Times New Roman"/>
        </w:rPr>
      </w:pPr>
    </w:p>
    <w:p w:rsidR="00000000" w:rsidRDefault="006F0EF5">
      <w:pPr>
        <w:ind w:hanging="360"/>
        <w:jc w:val="both"/>
        <w:divId w:val="1145005033"/>
        <w:rPr>
          <w:rFonts w:eastAsia="Times New Roman"/>
        </w:rPr>
      </w:pPr>
      <w:r>
        <w:rPr>
          <w:rFonts w:eastAsia="Times New Roman"/>
          <w:i/>
          <w:iCs/>
          <w:color w:val="000000"/>
          <w:sz w:val="20"/>
          <w:szCs w:val="20"/>
        </w:rPr>
        <w:t xml:space="preserve">•Banking - </w:t>
      </w:r>
      <w:r>
        <w:rPr>
          <w:rFonts w:eastAsia="Times New Roman"/>
          <w:color w:val="000000"/>
          <w:sz w:val="20"/>
          <w:szCs w:val="20"/>
        </w:rPr>
        <w:t>We offer sol</w:t>
      </w:r>
      <w:r>
        <w:rPr>
          <w:rFonts w:eastAsia="Times New Roman"/>
          <w:color w:val="000000"/>
          <w:sz w:val="20"/>
          <w:szCs w:val="20"/>
        </w:rPr>
        <w:t>utions to customers in the financial services industry that power their digital transformation through software, services and hardware to deliver differentiated experiences for their customers and improve efficiency for the financial institution. NCR's dig</w:t>
      </w:r>
      <w:r>
        <w:rPr>
          <w:rFonts w:eastAsia="Times New Roman"/>
          <w:color w:val="000000"/>
          <w:sz w:val="20"/>
          <w:szCs w:val="20"/>
        </w:rPr>
        <w:t xml:space="preserve">ital banking solutions enable anytime-anywhere convenience for a </w:t>
      </w:r>
    </w:p>
    <w:p w:rsidR="00000000" w:rsidRDefault="006F0EF5">
      <w:pPr>
        <w:jc w:val="center"/>
        <w:divId w:val="412699602"/>
        <w:rPr>
          <w:rFonts w:eastAsia="Times New Roman"/>
        </w:rPr>
      </w:pPr>
      <w:r>
        <w:rPr>
          <w:rFonts w:eastAsia="Times New Roman"/>
          <w:color w:val="000000"/>
          <w:sz w:val="20"/>
          <w:szCs w:val="20"/>
        </w:rPr>
        <w:t>79</w:t>
      </w:r>
    </w:p>
    <w:p w:rsidR="00000000" w:rsidRDefault="006F0EF5">
      <w:pPr>
        <w:rPr>
          <w:rFonts w:eastAsia="Times New Roman"/>
        </w:rPr>
      </w:pPr>
      <w:r>
        <w:rPr>
          <w:rFonts w:eastAsia="Times New Roman"/>
        </w:rPr>
        <w:pict>
          <v:rect id="_x0000_i1108" style="width:0;height:1.5pt" o:hralign="center" o:hrstd="t" o:hr="t" fillcolor="#a0a0a0" stroked="f"/>
        </w:pict>
      </w:r>
    </w:p>
    <w:p w:rsidR="00000000" w:rsidRDefault="006F0EF5">
      <w:pPr>
        <w:divId w:val="205403334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689796376"/>
        <w:rPr>
          <w:rFonts w:eastAsia="Times New Roman"/>
        </w:rPr>
      </w:pPr>
      <w:r>
        <w:rPr>
          <w:rFonts w:eastAsia="Times New Roman"/>
          <w:b/>
          <w:bCs/>
          <w:color w:val="000000"/>
          <w:sz w:val="20"/>
          <w:szCs w:val="20"/>
        </w:rPr>
        <w:t>NCR Corporation</w:t>
      </w:r>
    </w:p>
    <w:p w:rsidR="00000000" w:rsidRDefault="006F0EF5">
      <w:pPr>
        <w:jc w:val="center"/>
        <w:divId w:val="689796376"/>
        <w:rPr>
          <w:rFonts w:eastAsia="Times New Roman"/>
        </w:rPr>
      </w:pPr>
      <w:r>
        <w:rPr>
          <w:rFonts w:eastAsia="Times New Roman"/>
          <w:b/>
          <w:bCs/>
          <w:color w:val="000000"/>
          <w:sz w:val="20"/>
          <w:szCs w:val="20"/>
        </w:rPr>
        <w:t>Notes to Consolidated Financial Statements-(Continued)</w:t>
      </w:r>
    </w:p>
    <w:p w:rsidR="00000000" w:rsidRDefault="006F0EF5">
      <w:pPr>
        <w:jc w:val="center"/>
        <w:divId w:val="689796376"/>
        <w:rPr>
          <w:rFonts w:eastAsia="Times New Roman"/>
        </w:rPr>
      </w:pPr>
    </w:p>
    <w:p w:rsidR="00000000" w:rsidRDefault="006F0EF5">
      <w:pPr>
        <w:jc w:val="center"/>
        <w:divId w:val="689796376"/>
        <w:rPr>
          <w:rFonts w:eastAsia="Times New Roman"/>
        </w:rPr>
      </w:pPr>
    </w:p>
    <w:p w:rsidR="00000000" w:rsidRDefault="006F0EF5">
      <w:pPr>
        <w:divId w:val="1710716207"/>
        <w:rPr>
          <w:rFonts w:eastAsia="Times New Roman"/>
        </w:rPr>
      </w:pPr>
    </w:p>
    <w:p w:rsidR="00000000" w:rsidRDefault="006F0EF5">
      <w:pPr>
        <w:jc w:val="both"/>
        <w:divId w:val="1238586825"/>
        <w:rPr>
          <w:rFonts w:eastAsia="Times New Roman"/>
        </w:rPr>
      </w:pPr>
      <w:r>
        <w:rPr>
          <w:rFonts w:eastAsia="Times New Roman"/>
          <w:color w:val="000000"/>
          <w:sz w:val="20"/>
          <w:szCs w:val="20"/>
        </w:rPr>
        <w:t>financial institution’s consumer and business customers. Our account opening software unifies the sales and onboarding experience across digital, branch and call center channels for mid-market community banks and credit unions. We also help institution</w:t>
      </w:r>
      <w:r>
        <w:rPr>
          <w:rFonts w:eastAsia="Times New Roman"/>
          <w:color w:val="000000"/>
          <w:sz w:val="20"/>
          <w:szCs w:val="20"/>
        </w:rPr>
        <w:t xml:space="preserve">s implement their digital-first platform strategy by providing solutions for banking channel services, transaction processing, imaging, and branch services. We offer credit unions, banks, digital banks, Fintechs, stored-value debit card issuers, and other </w:t>
      </w:r>
      <w:r>
        <w:rPr>
          <w:rFonts w:eastAsia="Times New Roman"/>
          <w:color w:val="000000"/>
          <w:sz w:val="20"/>
          <w:szCs w:val="20"/>
        </w:rPr>
        <w:t>consumer financial services providers access to our Allpoint retail-based ATM network, providing convenient and fee-free cash withdrawal and deposit access to their customers and cardholders. We also provide branding opportunities for financial institution</w:t>
      </w:r>
      <w:r>
        <w:rPr>
          <w:rFonts w:eastAsia="Times New Roman"/>
          <w:color w:val="000000"/>
          <w:sz w:val="20"/>
          <w:szCs w:val="20"/>
        </w:rPr>
        <w:t xml:space="preserve">s on our extensive ATM network, providing a cost-effective way for banks to expand their presence and customer service and experience. Our managed services and ATM-as-a-Service help banks run their end-to-end ATM channel, including transaction processing, </w:t>
      </w:r>
      <w:r>
        <w:rPr>
          <w:rFonts w:eastAsia="Times New Roman"/>
          <w:color w:val="000000"/>
          <w:sz w:val="20"/>
          <w:szCs w:val="20"/>
        </w:rPr>
        <w:t>managing cash and cash delivery, supplies, and telecommunications as well as routine and technical maintenance, positioning NCR as a strategic partner. We augment these solutions by offering a full line of software, services and hardware.</w:t>
      </w:r>
    </w:p>
    <w:p w:rsidR="00000000" w:rsidRDefault="006F0EF5">
      <w:pPr>
        <w:ind w:hanging="360"/>
        <w:jc w:val="both"/>
        <w:divId w:val="669454153"/>
        <w:rPr>
          <w:rFonts w:eastAsia="Times New Roman"/>
        </w:rPr>
      </w:pPr>
      <w:r>
        <w:rPr>
          <w:rFonts w:eastAsia="Times New Roman"/>
          <w:color w:val="000000"/>
          <w:sz w:val="20"/>
          <w:szCs w:val="20"/>
        </w:rPr>
        <w:t>•</w:t>
      </w:r>
      <w:r>
        <w:rPr>
          <w:rFonts w:eastAsia="Times New Roman"/>
          <w:i/>
          <w:iCs/>
          <w:color w:val="000000"/>
          <w:sz w:val="20"/>
          <w:szCs w:val="20"/>
        </w:rPr>
        <w:t xml:space="preserve">Retail - </w:t>
      </w:r>
      <w:r>
        <w:rPr>
          <w:rFonts w:eastAsia="Times New Roman"/>
          <w:color w:val="000000"/>
          <w:sz w:val="20"/>
          <w:szCs w:val="20"/>
        </w:rPr>
        <w:t>We offe</w:t>
      </w:r>
      <w:r>
        <w:rPr>
          <w:rFonts w:eastAsia="Times New Roman"/>
          <w:color w:val="000000"/>
          <w:sz w:val="20"/>
          <w:szCs w:val="20"/>
        </w:rPr>
        <w:t>r software-led solutions to customers in the retail industry, leading with digital to connect retail operations end to end to integrate all aspects of a customer’s operations in indoor and outdoor settings from POS, to payments, inventory management, fraud</w:t>
      </w:r>
      <w:r>
        <w:rPr>
          <w:rFonts w:eastAsia="Times New Roman"/>
          <w:color w:val="000000"/>
          <w:sz w:val="20"/>
          <w:szCs w:val="20"/>
        </w:rPr>
        <w:t xml:space="preserve"> and loss prevention applications, loyalty and consumer engagement. These solutions are designed to improve operational efficiency, selling productivity, customer satisfaction and purchasing decisions; provide secure checkout processes and payment systems;</w:t>
      </w:r>
      <w:r>
        <w:rPr>
          <w:rFonts w:eastAsia="Times New Roman"/>
          <w:color w:val="000000"/>
          <w:sz w:val="20"/>
          <w:szCs w:val="20"/>
        </w:rPr>
        <w:t xml:space="preserve"> and increase service levels. Solutions include retail-oriented technologies such as comprehensive API-point of sale retail software platforms and applications, SCO, other hardware terminals and peripherals, payment processing solutions, consumer engagemen</w:t>
      </w:r>
      <w:r>
        <w:rPr>
          <w:rFonts w:eastAsia="Times New Roman"/>
          <w:color w:val="000000"/>
          <w:sz w:val="20"/>
          <w:szCs w:val="20"/>
        </w:rPr>
        <w:t xml:space="preserve">t solutions like eCommerce and loyalty, along with the necessary consulting, implementation, support and managed services to meet our customers' needs. </w:t>
      </w:r>
    </w:p>
    <w:p w:rsidR="00000000" w:rsidRDefault="006F0EF5">
      <w:pPr>
        <w:ind w:hanging="360"/>
        <w:jc w:val="both"/>
        <w:divId w:val="1733767195"/>
        <w:rPr>
          <w:rFonts w:eastAsia="Times New Roman"/>
        </w:rPr>
      </w:pPr>
      <w:r>
        <w:rPr>
          <w:rFonts w:eastAsia="Times New Roman"/>
          <w:color w:val="000000"/>
          <w:sz w:val="20"/>
          <w:szCs w:val="20"/>
        </w:rPr>
        <w:t>•</w:t>
      </w:r>
      <w:r>
        <w:rPr>
          <w:rFonts w:eastAsia="Times New Roman"/>
          <w:i/>
          <w:iCs/>
          <w:color w:val="000000"/>
          <w:sz w:val="20"/>
          <w:szCs w:val="20"/>
        </w:rPr>
        <w:t xml:space="preserve">Hospitality - </w:t>
      </w:r>
      <w:r>
        <w:rPr>
          <w:rFonts w:eastAsia="Times New Roman"/>
          <w:color w:val="000000"/>
          <w:sz w:val="20"/>
          <w:szCs w:val="20"/>
        </w:rPr>
        <w:t>We offer technology solutions to customers in the hospitality industry, including table-</w:t>
      </w:r>
      <w:r>
        <w:rPr>
          <w:rFonts w:eastAsia="Times New Roman"/>
          <w:color w:val="000000"/>
          <w:sz w:val="20"/>
          <w:szCs w:val="20"/>
        </w:rPr>
        <w:t>service, quick-service and fast casual restaurants of all sizes, that are designed to improve operational efficiency, increase customer satisfaction, streamline order and transaction processing and reduce operating costs. Our portfolio includes cloud-based</w:t>
      </w:r>
      <w:r>
        <w:rPr>
          <w:rFonts w:eastAsia="Times New Roman"/>
          <w:color w:val="000000"/>
          <w:sz w:val="20"/>
          <w:szCs w:val="20"/>
        </w:rPr>
        <w:t xml:space="preserve"> and cloud-enabled software applications for point-of-sale, back office, payment processing, kitchen production, restaurant management, eCommerce and consumer marketing and loyalty. We also provide hospitality-oriented hardware products such as POS termina</w:t>
      </w:r>
      <w:r>
        <w:rPr>
          <w:rFonts w:eastAsia="Times New Roman"/>
          <w:color w:val="000000"/>
          <w:sz w:val="20"/>
          <w:szCs w:val="20"/>
        </w:rPr>
        <w:t xml:space="preserve">ls, kitchen display systems, handheld devices, printers and peripherals. Finally, we help reduce the complexities of running the restaurant through our services capabilities including strategic consulting, technology deployment and implementation, support </w:t>
      </w:r>
      <w:r>
        <w:rPr>
          <w:rFonts w:eastAsia="Times New Roman"/>
          <w:color w:val="000000"/>
          <w:sz w:val="20"/>
          <w:szCs w:val="20"/>
        </w:rPr>
        <w:t>and managed services.</w:t>
      </w:r>
    </w:p>
    <w:p w:rsidR="00000000" w:rsidRDefault="006F0EF5">
      <w:pPr>
        <w:ind w:hanging="360"/>
        <w:jc w:val="both"/>
        <w:divId w:val="397745841"/>
        <w:rPr>
          <w:rFonts w:eastAsia="Times New Roman"/>
        </w:rPr>
      </w:pPr>
      <w:r>
        <w:rPr>
          <w:rFonts w:eastAsia="Times New Roman"/>
          <w:color w:val="000000"/>
          <w:sz w:val="20"/>
          <w:szCs w:val="20"/>
        </w:rPr>
        <w:t>•</w:t>
      </w:r>
      <w:r>
        <w:rPr>
          <w:rFonts w:eastAsia="Times New Roman"/>
          <w:i/>
          <w:iCs/>
          <w:color w:val="000000"/>
          <w:sz w:val="20"/>
          <w:szCs w:val="20"/>
        </w:rPr>
        <w:t xml:space="preserve">Telecommunications &amp; Technology - </w:t>
      </w:r>
      <w:r>
        <w:rPr>
          <w:rFonts w:eastAsia="Times New Roman"/>
          <w:color w:val="000000"/>
          <w:sz w:val="20"/>
          <w:szCs w:val="20"/>
        </w:rPr>
        <w:t>We offer managed network and infrastructure services to enterprise clients across all industries via direct relationships with communications service providers and technology manufacturers. Our custo</w:t>
      </w:r>
      <w:r>
        <w:rPr>
          <w:rFonts w:eastAsia="Times New Roman"/>
          <w:color w:val="000000"/>
          <w:sz w:val="20"/>
          <w:szCs w:val="20"/>
        </w:rPr>
        <w:t>mers rely on us as a strategic partner to help them reduce complexity, improve cost efficiency, and enable global geographical reach. We deliver expert professional, field, and remote services for modern network technologies including Software-Defined Wide</w:t>
      </w:r>
      <w:r>
        <w:rPr>
          <w:rFonts w:eastAsia="Times New Roman"/>
          <w:color w:val="000000"/>
          <w:sz w:val="20"/>
          <w:szCs w:val="20"/>
        </w:rPr>
        <w:t xml:space="preserve"> Area Networking, Network Functions Virtualization, Wireless Local Area Networks, Optical Networking, and Cloud Computing.</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These segments represent components of the Company for which separate financial information is available that is utilized on a regular basis by the chief operating decision maker in assessing segment performance and in allocating the Company's resources. M</w:t>
      </w:r>
      <w:r>
        <w:rPr>
          <w:rFonts w:eastAsia="Times New Roman"/>
          <w:color w:val="000000"/>
          <w:sz w:val="20"/>
          <w:szCs w:val="20"/>
        </w:rPr>
        <w:t>anagement evaluates the performance of the segments based on revenue and adjusted EBITDA. The Company previously evaluated the performance of the segments based on segment operating income. Adjusted EBITDA is defined as GAAP net income (loss) from continui</w:t>
      </w:r>
      <w:r>
        <w:rPr>
          <w:rFonts w:eastAsia="Times New Roman"/>
          <w:color w:val="000000"/>
          <w:sz w:val="20"/>
          <w:szCs w:val="20"/>
        </w:rPr>
        <w:t>ng operations attributable to NCR plus interest expense, net; plus income tax expense (benefit); plus depreciation and amortization; plus stock-based compensation expense; plus other income (expense); plus pension mark-to-market adjustments, pension settle</w:t>
      </w:r>
      <w:r>
        <w:rPr>
          <w:rFonts w:eastAsia="Times New Roman"/>
          <w:color w:val="000000"/>
          <w:sz w:val="20"/>
          <w:szCs w:val="20"/>
        </w:rPr>
        <w:t>ments, pension curtailments and pension special termination benefits and other special items, including amortization of acquisition-related intangibles and restructuring charges, among others. The special items are considered non-operational so are exclude</w:t>
      </w:r>
      <w:r>
        <w:rPr>
          <w:rFonts w:eastAsia="Times New Roman"/>
          <w:color w:val="000000"/>
          <w:sz w:val="20"/>
          <w:szCs w:val="20"/>
        </w:rPr>
        <w:t>d from the adjusted EBITDA metric utilized by our chief operating decision maker in evaluating segment performance and are separately delineated to reconcile back to total reported GAAP net income (loss) from operations attributable to NCR.</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Assets are no</w:t>
      </w:r>
      <w:r>
        <w:rPr>
          <w:rFonts w:eastAsia="Times New Roman"/>
          <w:color w:val="000000"/>
          <w:sz w:val="20"/>
          <w:szCs w:val="20"/>
        </w:rPr>
        <w:t xml:space="preserve">t allocated to segments, and thus are not included in the assessment of segment performance. Consequently, we do not disclose total assets by reportable segment. </w:t>
      </w:r>
    </w:p>
    <w:p w:rsidR="00000000" w:rsidRDefault="006F0EF5">
      <w:pPr>
        <w:jc w:val="both"/>
        <w:divId w:val="2140147389"/>
        <w:rPr>
          <w:rFonts w:eastAsia="Times New Roman"/>
        </w:rPr>
      </w:pPr>
      <w:r>
        <w:rPr>
          <w:rFonts w:eastAsia="Times New Roman"/>
          <w:color w:val="000000"/>
          <w:sz w:val="20"/>
          <w:szCs w:val="20"/>
        </w:rPr>
        <w:t xml:space="preserve">The accounting policies used to determine the results of the operating segments are the same </w:t>
      </w:r>
      <w:r>
        <w:rPr>
          <w:rFonts w:eastAsia="Times New Roman"/>
          <w:color w:val="000000"/>
          <w:sz w:val="20"/>
          <w:szCs w:val="20"/>
        </w:rPr>
        <w:t>as those utilized for the consolidated financial statements as a whole. Inter-segment sales and transfers are not material.</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Corporate and Other reconciles our segment results to adjusted EBITDA, which primarily includes other income (expense) that are ma</w:t>
      </w:r>
      <w:r>
        <w:rPr>
          <w:rFonts w:eastAsia="Times New Roman"/>
          <w:color w:val="000000"/>
          <w:sz w:val="20"/>
          <w:szCs w:val="20"/>
        </w:rPr>
        <w:t>naged only on a total company basis and are, accordingly, reflected only in consolidated results.</w:t>
      </w:r>
    </w:p>
    <w:p w:rsidR="00000000" w:rsidRDefault="006F0EF5">
      <w:pPr>
        <w:jc w:val="center"/>
        <w:divId w:val="1827553529"/>
        <w:rPr>
          <w:rFonts w:eastAsia="Times New Roman"/>
        </w:rPr>
      </w:pPr>
      <w:r>
        <w:rPr>
          <w:rFonts w:eastAsia="Times New Roman"/>
          <w:color w:val="000000"/>
          <w:sz w:val="20"/>
          <w:szCs w:val="20"/>
        </w:rPr>
        <w:t>80</w:t>
      </w:r>
    </w:p>
    <w:p w:rsidR="00000000" w:rsidRDefault="006F0EF5">
      <w:pPr>
        <w:rPr>
          <w:rFonts w:eastAsia="Times New Roman"/>
        </w:rPr>
      </w:pPr>
      <w:r>
        <w:rPr>
          <w:rFonts w:eastAsia="Times New Roman"/>
        </w:rPr>
        <w:pict>
          <v:rect id="_x0000_i1109" style="width:0;height:1.5pt" o:hralign="center" o:hrstd="t" o:hr="t" fillcolor="#a0a0a0" stroked="f"/>
        </w:pict>
      </w:r>
    </w:p>
    <w:p w:rsidR="00000000" w:rsidRDefault="006F0EF5">
      <w:pPr>
        <w:divId w:val="65707360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589803912"/>
        <w:rPr>
          <w:rFonts w:eastAsia="Times New Roman"/>
        </w:rPr>
      </w:pPr>
      <w:r>
        <w:rPr>
          <w:rFonts w:eastAsia="Times New Roman"/>
          <w:b/>
          <w:bCs/>
          <w:color w:val="000000"/>
          <w:sz w:val="20"/>
          <w:szCs w:val="20"/>
        </w:rPr>
        <w:t>NCR Corporation</w:t>
      </w:r>
    </w:p>
    <w:p w:rsidR="00000000" w:rsidRDefault="006F0EF5">
      <w:pPr>
        <w:jc w:val="center"/>
        <w:divId w:val="1589803912"/>
        <w:rPr>
          <w:rFonts w:eastAsia="Times New Roman"/>
        </w:rPr>
      </w:pPr>
      <w:r>
        <w:rPr>
          <w:rFonts w:eastAsia="Times New Roman"/>
          <w:b/>
          <w:bCs/>
          <w:color w:val="000000"/>
          <w:sz w:val="20"/>
          <w:szCs w:val="20"/>
        </w:rPr>
        <w:t>Notes to Consolidated Financial Statements-(Continued)</w:t>
      </w:r>
    </w:p>
    <w:p w:rsidR="00000000" w:rsidRDefault="006F0EF5">
      <w:pPr>
        <w:jc w:val="center"/>
        <w:divId w:val="1589803912"/>
        <w:rPr>
          <w:rFonts w:eastAsia="Times New Roman"/>
        </w:rPr>
      </w:pPr>
    </w:p>
    <w:p w:rsidR="00000000" w:rsidRDefault="006F0EF5">
      <w:pPr>
        <w:jc w:val="center"/>
        <w:divId w:val="1589803912"/>
        <w:rPr>
          <w:rFonts w:eastAsia="Times New Roman"/>
        </w:rPr>
      </w:pPr>
    </w:p>
    <w:p w:rsidR="00000000" w:rsidRDefault="006F0EF5">
      <w:pPr>
        <w:divId w:val="262224532"/>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presents revenue and adjusted EBITDA by segm</w:t>
      </w:r>
      <w:r>
        <w:rPr>
          <w:rFonts w:eastAsia="Times New Roman"/>
          <w:color w:val="000000"/>
          <w:sz w:val="20"/>
          <w:szCs w:val="20"/>
        </w:rPr>
        <w:t>ent for the years ended December 31:</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750"/>
        <w:gridCol w:w="39"/>
        <w:gridCol w:w="36"/>
        <w:gridCol w:w="36"/>
        <w:gridCol w:w="36"/>
        <w:gridCol w:w="120"/>
        <w:gridCol w:w="886"/>
        <w:gridCol w:w="36"/>
        <w:gridCol w:w="36"/>
        <w:gridCol w:w="36"/>
        <w:gridCol w:w="36"/>
        <w:gridCol w:w="120"/>
        <w:gridCol w:w="886"/>
        <w:gridCol w:w="36"/>
        <w:gridCol w:w="36"/>
        <w:gridCol w:w="36"/>
        <w:gridCol w:w="36"/>
        <w:gridCol w:w="120"/>
        <w:gridCol w:w="888"/>
        <w:gridCol w:w="36"/>
      </w:tblGrid>
      <w:tr w:rsidR="00000000">
        <w:trPr>
          <w:divId w:val="1709253780"/>
          <w:jc w:val="center"/>
        </w:trPr>
        <w:tc>
          <w:tcPr>
            <w:tcW w:w="50" w:type="pct"/>
            <w:vAlign w:val="center"/>
            <w:hideMark/>
          </w:tcPr>
          <w:p w:rsidR="00000000" w:rsidRDefault="006F0EF5">
            <w:pPr>
              <w:jc w:val="both"/>
              <w:rPr>
                <w:rFonts w:eastAsia="Times New Roman"/>
              </w:rPr>
            </w:pPr>
          </w:p>
        </w:tc>
        <w:tc>
          <w:tcPr>
            <w:tcW w:w="289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9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9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9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709253780"/>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1709253780"/>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Revenue by segment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09253780"/>
          <w:jc w:val="center"/>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Banking</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3,730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3,098 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3,512 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09253780"/>
          <w:jc w:val="center"/>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2,281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2,080 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2,217 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09253780"/>
          <w:jc w:val="center"/>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843 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09253780"/>
          <w:jc w:val="center"/>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color w:val="000000"/>
                <w:sz w:val="20"/>
                <w:szCs w:val="20"/>
              </w:rPr>
              <w:t>T&amp;T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09253780"/>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Consolidated revenue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7,156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6,207 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09253780"/>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Adjusted EBITDA by segment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09253780"/>
          <w:jc w:val="center"/>
        </w:trPr>
        <w:tc>
          <w:tcPr>
            <w:tcW w:w="0" w:type="auto"/>
            <w:gridSpan w:val="3"/>
            <w:shd w:val="clear" w:color="auto" w:fill="FFFF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Banking</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663 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09253780"/>
          <w:jc w:val="center"/>
        </w:trPr>
        <w:tc>
          <w:tcPr>
            <w:tcW w:w="0" w:type="auto"/>
            <w:gridSpan w:val="3"/>
            <w:shd w:val="clear" w:color="auto" w:fill="CCEE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09253780"/>
          <w:jc w:val="center"/>
        </w:trPr>
        <w:tc>
          <w:tcPr>
            <w:tcW w:w="0" w:type="auto"/>
            <w:gridSpan w:val="3"/>
            <w:shd w:val="clear" w:color="auto" w:fill="FFFF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09253780"/>
          <w:jc w:val="center"/>
        </w:trPr>
        <w:tc>
          <w:tcPr>
            <w:tcW w:w="0" w:type="auto"/>
            <w:gridSpan w:val="3"/>
            <w:shd w:val="clear" w:color="auto" w:fill="CCEE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T&amp;T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09253780"/>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       Corporate and Other</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0925378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Adjusted EBITDA</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p>
    <w:p w:rsidR="00000000" w:rsidRDefault="006F0EF5">
      <w:pPr>
        <w:divId w:val="1197616029"/>
        <w:rPr>
          <w:rFonts w:eastAsia="Times New Roman"/>
        </w:rPr>
      </w:pPr>
      <w:r>
        <w:rPr>
          <w:rFonts w:eastAsia="Times New Roman"/>
          <w:color w:val="000000"/>
          <w:sz w:val="20"/>
          <w:szCs w:val="20"/>
        </w:rPr>
        <w:t>The following table reconciles net income (loss) from continuing operations to adjuste</w:t>
      </w:r>
      <w:r>
        <w:rPr>
          <w:rFonts w:eastAsia="Times New Roman"/>
          <w:color w:val="000000"/>
          <w:sz w:val="20"/>
          <w:szCs w:val="20"/>
        </w:rPr>
        <w:t>d EBITDA for the years ended December 31:</w:t>
      </w:r>
    </w:p>
    <w:tbl>
      <w:tblPr>
        <w:tblW w:w="4912" w:type="pct"/>
        <w:tblCellMar>
          <w:top w:w="15" w:type="dxa"/>
          <w:left w:w="15" w:type="dxa"/>
          <w:bottom w:w="15" w:type="dxa"/>
          <w:right w:w="15" w:type="dxa"/>
        </w:tblCellMar>
        <w:tblLook w:val="04A0" w:firstRow="1" w:lastRow="0" w:firstColumn="1" w:lastColumn="0" w:noHBand="0" w:noVBand="1"/>
      </w:tblPr>
      <w:tblGrid>
        <w:gridCol w:w="39"/>
        <w:gridCol w:w="4859"/>
        <w:gridCol w:w="37"/>
        <w:gridCol w:w="36"/>
        <w:gridCol w:w="36"/>
        <w:gridCol w:w="36"/>
        <w:gridCol w:w="120"/>
        <w:gridCol w:w="802"/>
        <w:gridCol w:w="36"/>
        <w:gridCol w:w="36"/>
        <w:gridCol w:w="36"/>
        <w:gridCol w:w="36"/>
        <w:gridCol w:w="120"/>
        <w:gridCol w:w="803"/>
        <w:gridCol w:w="36"/>
        <w:gridCol w:w="36"/>
        <w:gridCol w:w="36"/>
        <w:gridCol w:w="36"/>
        <w:gridCol w:w="120"/>
        <w:gridCol w:w="828"/>
        <w:gridCol w:w="36"/>
      </w:tblGrid>
      <w:tr w:rsidR="00000000">
        <w:trPr>
          <w:divId w:val="2036926426"/>
        </w:trPr>
        <w:tc>
          <w:tcPr>
            <w:tcW w:w="50" w:type="pct"/>
            <w:vAlign w:val="center"/>
            <w:hideMark/>
          </w:tcPr>
          <w:p w:rsidR="00000000" w:rsidRDefault="006F0EF5">
            <w:pPr>
              <w:rPr>
                <w:rFonts w:eastAsia="Times New Roman"/>
              </w:rPr>
            </w:pPr>
          </w:p>
        </w:tc>
        <w:tc>
          <w:tcPr>
            <w:tcW w:w="301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4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4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4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036926426"/>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2036926426"/>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Net Income (Loss) from Continuing Operations Attributable to NCR (GAAP)</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Transformation and restructuring costs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Acquisition-related amortization of intangibles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Acquisition-related costs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Pension mark-to-market adjustments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Depreciation and amortization (excluding acquisition-related amortization of intangibles)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203692642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Loss on debt extinguishment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Internal reorganization &amp; IP transfer</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36926426"/>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Adjusted EBITDA (Non-GAAP)</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presents recurring revenue and all other products and services that is recognized at a point in time for NCR for the years ended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4996"/>
        <w:gridCol w:w="36"/>
        <w:gridCol w:w="36"/>
        <w:gridCol w:w="36"/>
        <w:gridCol w:w="36"/>
        <w:gridCol w:w="120"/>
        <w:gridCol w:w="802"/>
        <w:gridCol w:w="36"/>
        <w:gridCol w:w="36"/>
        <w:gridCol w:w="36"/>
        <w:gridCol w:w="36"/>
        <w:gridCol w:w="120"/>
        <w:gridCol w:w="802"/>
        <w:gridCol w:w="36"/>
        <w:gridCol w:w="36"/>
        <w:gridCol w:w="36"/>
        <w:gridCol w:w="36"/>
        <w:gridCol w:w="120"/>
        <w:gridCol w:w="803"/>
        <w:gridCol w:w="36"/>
      </w:tblGrid>
      <w:tr w:rsidR="00000000">
        <w:trPr>
          <w:divId w:val="473524835"/>
          <w:jc w:val="center"/>
        </w:trPr>
        <w:tc>
          <w:tcPr>
            <w:tcW w:w="50" w:type="pct"/>
            <w:vAlign w:val="center"/>
            <w:hideMark/>
          </w:tcPr>
          <w:p w:rsidR="00000000" w:rsidRDefault="006F0EF5">
            <w:pPr>
              <w:jc w:val="both"/>
              <w:rPr>
                <w:rFonts w:eastAsia="Times New Roman"/>
              </w:rPr>
            </w:pPr>
          </w:p>
        </w:tc>
        <w:tc>
          <w:tcPr>
            <w:tcW w:w="305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473524835"/>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473524835"/>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divId w:val="841433869"/>
              <w:rPr>
                <w:rFonts w:eastAsia="Times New Roman"/>
              </w:rPr>
            </w:pP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4,166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73524835"/>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All other products and services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2,990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2,869 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3,733 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73524835"/>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7,156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6,207 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ind w:hanging="270"/>
        <w:jc w:val="both"/>
        <w:rPr>
          <w:rFonts w:eastAsia="Times New Roman"/>
        </w:rPr>
      </w:pPr>
    </w:p>
    <w:p w:rsidR="00000000" w:rsidRDefault="006F0EF5">
      <w:pPr>
        <w:ind w:hanging="270"/>
        <w:jc w:val="both"/>
        <w:rPr>
          <w:rFonts w:eastAsia="Times New Roman"/>
        </w:rPr>
      </w:pPr>
      <w:r>
        <w:rPr>
          <w:rFonts w:eastAsia="Times New Roman"/>
          <w:color w:val="000000"/>
          <w:sz w:val="9"/>
          <w:szCs w:val="9"/>
        </w:rPr>
        <w:t>(1)</w:t>
      </w:r>
      <w:r>
        <w:rPr>
          <w:rFonts w:eastAsia="Times New Roman"/>
          <w:color w:val="000000"/>
          <w:sz w:val="9"/>
          <w:szCs w:val="9"/>
        </w:rPr>
        <w:t xml:space="preserve"> </w:t>
      </w:r>
      <w:r>
        <w:rPr>
          <w:rFonts w:eastAsia="Times New Roman"/>
          <w:color w:val="000000"/>
          <w:sz w:val="14"/>
          <w:szCs w:val="14"/>
        </w:rPr>
        <w:t>Recurring revenue includes all revenue streams from contracts where there is a pred</w:t>
      </w:r>
      <w:r>
        <w:rPr>
          <w:rFonts w:eastAsia="Times New Roman"/>
          <w:color w:val="000000"/>
          <w:sz w:val="14"/>
          <w:szCs w:val="14"/>
        </w:rPr>
        <w:t>ictable revenue pattern that will occur at regular intervals with a relatively high degree of certainty. This includes hardware and software maintenance revenue, cloud revenue, payment processing revenue, interchange and network revenue, and certain profes</w:t>
      </w:r>
      <w:r>
        <w:rPr>
          <w:rFonts w:eastAsia="Times New Roman"/>
          <w:color w:val="000000"/>
          <w:sz w:val="14"/>
          <w:szCs w:val="14"/>
        </w:rPr>
        <w:t>sional services arrangements, as well as term-based software license arrangements that include customer termination rights.</w:t>
      </w:r>
    </w:p>
    <w:p w:rsidR="00000000" w:rsidRDefault="006F0EF5">
      <w:pPr>
        <w:jc w:val="center"/>
        <w:divId w:val="308366599"/>
        <w:rPr>
          <w:rFonts w:eastAsia="Times New Roman"/>
        </w:rPr>
      </w:pPr>
      <w:r>
        <w:rPr>
          <w:rFonts w:eastAsia="Times New Roman"/>
          <w:color w:val="000000"/>
          <w:sz w:val="20"/>
          <w:szCs w:val="20"/>
        </w:rPr>
        <w:t>81</w:t>
      </w:r>
    </w:p>
    <w:p w:rsidR="00000000" w:rsidRDefault="006F0EF5">
      <w:pPr>
        <w:rPr>
          <w:rFonts w:eastAsia="Times New Roman"/>
        </w:rPr>
      </w:pPr>
      <w:r>
        <w:rPr>
          <w:rFonts w:eastAsia="Times New Roman"/>
        </w:rPr>
        <w:pict>
          <v:rect id="_x0000_i1110" style="width:0;height:1.5pt" o:hralign="center" o:hrstd="t" o:hr="t" fillcolor="#a0a0a0" stroked="f"/>
        </w:pict>
      </w:r>
    </w:p>
    <w:p w:rsidR="00000000" w:rsidRDefault="006F0EF5">
      <w:pPr>
        <w:divId w:val="1067336928"/>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247494966"/>
        <w:rPr>
          <w:rFonts w:eastAsia="Times New Roman"/>
        </w:rPr>
      </w:pPr>
      <w:r>
        <w:rPr>
          <w:rFonts w:eastAsia="Times New Roman"/>
          <w:b/>
          <w:bCs/>
          <w:color w:val="000000"/>
          <w:sz w:val="20"/>
          <w:szCs w:val="20"/>
        </w:rPr>
        <w:t>NCR Corporation</w:t>
      </w:r>
    </w:p>
    <w:p w:rsidR="00000000" w:rsidRDefault="006F0EF5">
      <w:pPr>
        <w:jc w:val="center"/>
        <w:divId w:val="1247494966"/>
        <w:rPr>
          <w:rFonts w:eastAsia="Times New Roman"/>
        </w:rPr>
      </w:pPr>
      <w:r>
        <w:rPr>
          <w:rFonts w:eastAsia="Times New Roman"/>
          <w:b/>
          <w:bCs/>
          <w:color w:val="000000"/>
          <w:sz w:val="20"/>
          <w:szCs w:val="20"/>
        </w:rPr>
        <w:t>Notes to Consolidated Financial Statements-(Continued)</w:t>
      </w:r>
    </w:p>
    <w:p w:rsidR="00000000" w:rsidRDefault="006F0EF5">
      <w:pPr>
        <w:jc w:val="center"/>
        <w:divId w:val="1247494966"/>
        <w:rPr>
          <w:rFonts w:eastAsia="Times New Roman"/>
        </w:rPr>
      </w:pPr>
    </w:p>
    <w:p w:rsidR="00000000" w:rsidRDefault="006F0EF5">
      <w:pPr>
        <w:jc w:val="center"/>
        <w:divId w:val="1247494966"/>
        <w:rPr>
          <w:rFonts w:eastAsia="Times New Roman"/>
        </w:rPr>
      </w:pPr>
    </w:p>
    <w:p w:rsidR="00000000" w:rsidRDefault="006F0EF5">
      <w:pPr>
        <w:divId w:val="1686857470"/>
        <w:rPr>
          <w:rFonts w:eastAsia="Times New Roman"/>
        </w:rPr>
      </w:pPr>
    </w:p>
    <w:p w:rsidR="00000000" w:rsidRDefault="006F0EF5">
      <w:pPr>
        <w:divId w:val="206643748"/>
        <w:rPr>
          <w:rFonts w:eastAsia="Times New Roman"/>
        </w:rPr>
      </w:pPr>
    </w:p>
    <w:p w:rsidR="00000000" w:rsidRDefault="006F0EF5">
      <w:pPr>
        <w:jc w:val="both"/>
        <w:rPr>
          <w:rFonts w:eastAsia="Times New Roman"/>
        </w:rPr>
      </w:pPr>
      <w:r>
        <w:rPr>
          <w:rFonts w:eastAsia="Times New Roman"/>
          <w:color w:val="000000"/>
          <w:sz w:val="20"/>
          <w:szCs w:val="20"/>
        </w:rPr>
        <w:t>Revenue is attributed to the geographic area to which the product is delivered or in which the service is provided. The following table presents revenue by geographic area for NCR for the years ended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358"/>
        <w:gridCol w:w="36"/>
        <w:gridCol w:w="36"/>
        <w:gridCol w:w="36"/>
        <w:gridCol w:w="36"/>
        <w:gridCol w:w="120"/>
        <w:gridCol w:w="573"/>
        <w:gridCol w:w="36"/>
        <w:gridCol w:w="36"/>
        <w:gridCol w:w="36"/>
        <w:gridCol w:w="36"/>
        <w:gridCol w:w="47"/>
        <w:gridCol w:w="420"/>
        <w:gridCol w:w="220"/>
        <w:gridCol w:w="36"/>
        <w:gridCol w:w="36"/>
        <w:gridCol w:w="36"/>
        <w:gridCol w:w="120"/>
        <w:gridCol w:w="575"/>
        <w:gridCol w:w="36"/>
        <w:gridCol w:w="36"/>
        <w:gridCol w:w="36"/>
        <w:gridCol w:w="36"/>
        <w:gridCol w:w="47"/>
        <w:gridCol w:w="421"/>
        <w:gridCol w:w="187"/>
        <w:gridCol w:w="36"/>
        <w:gridCol w:w="36"/>
        <w:gridCol w:w="36"/>
        <w:gridCol w:w="120"/>
        <w:gridCol w:w="575"/>
        <w:gridCol w:w="36"/>
        <w:gridCol w:w="36"/>
        <w:gridCol w:w="36"/>
        <w:gridCol w:w="36"/>
        <w:gridCol w:w="47"/>
        <w:gridCol w:w="422"/>
        <w:gridCol w:w="187"/>
      </w:tblGrid>
      <w:tr w:rsidR="00000000">
        <w:trPr>
          <w:jc w:val="center"/>
        </w:trPr>
        <w:tc>
          <w:tcPr>
            <w:tcW w:w="50" w:type="pct"/>
            <w:vAlign w:val="center"/>
            <w:hideMark/>
          </w:tcPr>
          <w:p w:rsidR="00000000" w:rsidRDefault="006F0EF5">
            <w:pPr>
              <w:jc w:val="both"/>
              <w:rPr>
                <w:rFonts w:eastAsia="Times New Roman"/>
              </w:rPr>
            </w:pPr>
          </w:p>
        </w:tc>
        <w:tc>
          <w:tcPr>
            <w:tcW w:w="20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2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2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2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4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Revenue by Geographic Area</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United States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3,632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3,065 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3,481 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Americas (excluding United States)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617 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Europe, Middle East and Africa</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1,679 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1,843 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Asia Pacific</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846 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898 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7,156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6,207 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6,915 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divId w:val="1268195702"/>
        <w:rPr>
          <w:rFonts w:eastAsia="Times New Roman"/>
        </w:rPr>
      </w:pPr>
    </w:p>
    <w:p w:rsidR="00000000" w:rsidRDefault="006F0EF5">
      <w:pPr>
        <w:jc w:val="both"/>
        <w:rPr>
          <w:rFonts w:eastAsia="Times New Roman"/>
        </w:rPr>
      </w:pPr>
      <w:r>
        <w:rPr>
          <w:rFonts w:eastAsia="Times New Roman"/>
          <w:color w:val="000000"/>
          <w:sz w:val="20"/>
          <w:szCs w:val="20"/>
        </w:rPr>
        <w:t>The following table presents property, plant and equipment by geographic area as of December 31:</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341"/>
        <w:gridCol w:w="37"/>
        <w:gridCol w:w="36"/>
        <w:gridCol w:w="36"/>
        <w:gridCol w:w="36"/>
        <w:gridCol w:w="120"/>
        <w:gridCol w:w="1173"/>
        <w:gridCol w:w="36"/>
        <w:gridCol w:w="36"/>
        <w:gridCol w:w="36"/>
        <w:gridCol w:w="36"/>
        <w:gridCol w:w="120"/>
        <w:gridCol w:w="1175"/>
        <w:gridCol w:w="36"/>
      </w:tblGrid>
      <w:tr w:rsidR="00000000">
        <w:trPr>
          <w:divId w:val="1540364087"/>
          <w:jc w:val="center"/>
        </w:trPr>
        <w:tc>
          <w:tcPr>
            <w:tcW w:w="50" w:type="pct"/>
            <w:vAlign w:val="center"/>
            <w:hideMark/>
          </w:tcPr>
          <w:p w:rsidR="00000000" w:rsidRDefault="006F0EF5">
            <w:pPr>
              <w:jc w:val="both"/>
              <w:rPr>
                <w:rFonts w:eastAsia="Times New Roman"/>
              </w:rPr>
            </w:pPr>
          </w:p>
        </w:tc>
        <w:tc>
          <w:tcPr>
            <w:tcW w:w="324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5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5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540364087"/>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1540364087"/>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Property, plant and equipment, net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540364087"/>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United States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40364087"/>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Americas (excluding United States)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40364087"/>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Europe, Middle East and Africa</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40364087"/>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Asia Pacific</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40364087"/>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Consolidated property, plant and equipment, net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829448261"/>
        <w:rPr>
          <w:rFonts w:eastAsia="Times New Roman"/>
        </w:rPr>
      </w:pPr>
    </w:p>
    <w:p w:rsidR="00000000" w:rsidRDefault="006F0EF5">
      <w:pPr>
        <w:jc w:val="both"/>
        <w:rPr>
          <w:rFonts w:eastAsia="Times New Roman"/>
        </w:rPr>
      </w:pPr>
      <w:r>
        <w:rPr>
          <w:rFonts w:eastAsia="Times New Roman"/>
          <w:b/>
          <w:bCs/>
          <w:color w:val="000000"/>
          <w:sz w:val="20"/>
          <w:szCs w:val="20"/>
        </w:rPr>
        <w:t>Concentrations</w:t>
      </w:r>
      <w:r>
        <w:rPr>
          <w:rFonts w:eastAsia="Times New Roman"/>
          <w:color w:val="000000"/>
          <w:sz w:val="20"/>
          <w:szCs w:val="20"/>
        </w:rPr>
        <w:t xml:space="preserve"> No single customer accounts for more than 10% of NCR’s consolidated revenue and accounts receivable as of and for the years ended December 31, 2021, 2020, and 2019. As of December 31, 2021, 2020, and 2019, NCR is not aware of any significan</w:t>
      </w:r>
      <w:r>
        <w:rPr>
          <w:rFonts w:eastAsia="Times New Roman"/>
          <w:color w:val="000000"/>
          <w:sz w:val="20"/>
          <w:szCs w:val="20"/>
        </w:rPr>
        <w:t xml:space="preserve">t concentration of business transacted with a particular customer that could, if suddenly eliminated, have a material adverse effect on NCR’s operations. NCR also lacks a concentration of available sources of labor, services, licenses or other rights that </w:t>
      </w:r>
      <w:r>
        <w:rPr>
          <w:rFonts w:eastAsia="Times New Roman"/>
          <w:color w:val="000000"/>
          <w:sz w:val="20"/>
          <w:szCs w:val="20"/>
        </w:rPr>
        <w:t>could, if suddenly eliminated, have a material adverse effect on its operations.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 number of NCR’s products, systems and solutions rely primarily on specific suppliers for microprocessors and other component products, manufactured assemblies, operating s</w:t>
      </w:r>
      <w:r>
        <w:rPr>
          <w:rFonts w:eastAsia="Times New Roman"/>
          <w:color w:val="000000"/>
          <w:sz w:val="20"/>
          <w:szCs w:val="20"/>
        </w:rPr>
        <w:t>ystems, commercial software and other central components. NCR also utilizes contract manufacturers in order to complete manufacturing activities. There can be no assurances that any sudden impact to the availability or cost of these technologies or service</w:t>
      </w:r>
      <w:r>
        <w:rPr>
          <w:rFonts w:eastAsia="Times New Roman"/>
          <w:color w:val="000000"/>
          <w:sz w:val="20"/>
          <w:szCs w:val="20"/>
        </w:rPr>
        <w:t>s would not have a material adverse effect on NCR’s operations.</w:t>
      </w:r>
    </w:p>
    <w:p w:rsidR="00000000" w:rsidRDefault="006F0EF5">
      <w:pPr>
        <w:divId w:val="1722095826"/>
        <w:rPr>
          <w:rFonts w:eastAsia="Times New Roman"/>
        </w:rPr>
      </w:pPr>
      <w:r>
        <w:rPr>
          <w:rFonts w:eastAsia="Times New Roman"/>
          <w:color w:val="000000"/>
          <w:sz w:val="16"/>
          <w:szCs w:val="16"/>
        </w:rPr>
        <w:t> </w:t>
      </w:r>
    </w:p>
    <w:p w:rsidR="00000000" w:rsidRDefault="006F0EF5">
      <w:pPr>
        <w:divId w:val="1158229460"/>
        <w:rPr>
          <w:rFonts w:eastAsia="Times New Roman"/>
        </w:rPr>
      </w:pPr>
      <w:r>
        <w:rPr>
          <w:rFonts w:eastAsia="Times New Roman"/>
          <w:b/>
          <w:bCs/>
          <w:color w:val="7ACE05"/>
          <w:sz w:val="20"/>
          <w:szCs w:val="20"/>
        </w:rPr>
        <w:t xml:space="preserve">5. DEBT OBLIGATIONS </w:t>
      </w:r>
    </w:p>
    <w:p w:rsidR="00000000" w:rsidRDefault="006F0EF5">
      <w:pPr>
        <w:divId w:val="987516575"/>
        <w:rPr>
          <w:rFonts w:eastAsia="Times New Roman"/>
        </w:rPr>
      </w:pPr>
    </w:p>
    <w:p w:rsidR="00000000" w:rsidRDefault="006F0EF5">
      <w:pPr>
        <w:divId w:val="998196679"/>
        <w:rPr>
          <w:rFonts w:eastAsia="Times New Roman"/>
        </w:rPr>
      </w:pPr>
      <w:r>
        <w:rPr>
          <w:rFonts w:eastAsia="Times New Roman"/>
          <w:color w:val="000000"/>
          <w:sz w:val="20"/>
          <w:szCs w:val="20"/>
        </w:rPr>
        <w:t>The following table summarizes the Company's short-term borrowings and long-term debt:</w:t>
      </w:r>
    </w:p>
    <w:p w:rsidR="00000000" w:rsidRDefault="006F0EF5">
      <w:pPr>
        <w:jc w:val="center"/>
        <w:divId w:val="1984890024"/>
        <w:rPr>
          <w:rFonts w:eastAsia="Times New Roman"/>
        </w:rPr>
      </w:pPr>
      <w:r>
        <w:rPr>
          <w:rFonts w:eastAsia="Times New Roman"/>
          <w:color w:val="000000"/>
          <w:sz w:val="20"/>
          <w:szCs w:val="20"/>
        </w:rPr>
        <w:t>82</w:t>
      </w:r>
    </w:p>
    <w:p w:rsidR="00000000" w:rsidRDefault="006F0EF5">
      <w:pPr>
        <w:rPr>
          <w:rFonts w:eastAsia="Times New Roman"/>
        </w:rPr>
      </w:pPr>
      <w:r>
        <w:rPr>
          <w:rFonts w:eastAsia="Times New Roman"/>
        </w:rPr>
        <w:pict>
          <v:rect id="_x0000_i1111" style="width:0;height:1.5pt" o:hralign="center" o:hrstd="t" o:hr="t" fillcolor="#a0a0a0" stroked="f"/>
        </w:pict>
      </w:r>
    </w:p>
    <w:p w:rsidR="00000000" w:rsidRDefault="006F0EF5">
      <w:pPr>
        <w:divId w:val="132115067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995378938"/>
        <w:rPr>
          <w:rFonts w:eastAsia="Times New Roman"/>
        </w:rPr>
      </w:pPr>
      <w:r>
        <w:rPr>
          <w:rFonts w:eastAsia="Times New Roman"/>
          <w:b/>
          <w:bCs/>
          <w:color w:val="000000"/>
          <w:sz w:val="20"/>
          <w:szCs w:val="20"/>
        </w:rPr>
        <w:t>NCR Corporation</w:t>
      </w:r>
    </w:p>
    <w:p w:rsidR="00000000" w:rsidRDefault="006F0EF5">
      <w:pPr>
        <w:jc w:val="center"/>
        <w:divId w:val="1995378938"/>
        <w:rPr>
          <w:rFonts w:eastAsia="Times New Roman"/>
        </w:rPr>
      </w:pPr>
      <w:r>
        <w:rPr>
          <w:rFonts w:eastAsia="Times New Roman"/>
          <w:b/>
          <w:bCs/>
          <w:color w:val="000000"/>
          <w:sz w:val="20"/>
          <w:szCs w:val="20"/>
        </w:rPr>
        <w:t>Notes to Consolidated Financial Statements-(Continued)</w:t>
      </w:r>
    </w:p>
    <w:p w:rsidR="00000000" w:rsidRDefault="006F0EF5">
      <w:pPr>
        <w:jc w:val="center"/>
        <w:divId w:val="1995378938"/>
        <w:rPr>
          <w:rFonts w:eastAsia="Times New Roman"/>
        </w:rPr>
      </w:pPr>
    </w:p>
    <w:p w:rsidR="00000000" w:rsidRDefault="006F0EF5">
      <w:pPr>
        <w:jc w:val="center"/>
        <w:divId w:val="1995378938"/>
        <w:rPr>
          <w:rFonts w:eastAsia="Times New Roman"/>
        </w:rPr>
      </w:pPr>
    </w:p>
    <w:p w:rsidR="00000000" w:rsidRDefault="006F0EF5">
      <w:pPr>
        <w:divId w:val="175624444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93"/>
        <w:gridCol w:w="38"/>
        <w:gridCol w:w="50"/>
        <w:gridCol w:w="3459"/>
        <w:gridCol w:w="37"/>
        <w:gridCol w:w="120"/>
        <w:gridCol w:w="980"/>
        <w:gridCol w:w="36"/>
        <w:gridCol w:w="57"/>
        <w:gridCol w:w="974"/>
        <w:gridCol w:w="36"/>
        <w:gridCol w:w="36"/>
        <w:gridCol w:w="36"/>
        <w:gridCol w:w="36"/>
        <w:gridCol w:w="120"/>
        <w:gridCol w:w="956"/>
        <w:gridCol w:w="36"/>
        <w:gridCol w:w="57"/>
        <w:gridCol w:w="975"/>
        <w:gridCol w:w="36"/>
      </w:tblGrid>
      <w:tr w:rsidR="00000000">
        <w:trPr>
          <w:divId w:val="974529789"/>
          <w:jc w:val="center"/>
        </w:trPr>
        <w:tc>
          <w:tcPr>
            <w:tcW w:w="5" w:type="pct"/>
            <w:vAlign w:val="center"/>
            <w:hideMark/>
          </w:tcPr>
          <w:p w:rsidR="00000000" w:rsidRDefault="006F0EF5">
            <w:pPr>
              <w:rPr>
                <w:rFonts w:eastAsia="Times New Roman"/>
              </w:rPr>
            </w:pPr>
          </w:p>
        </w:tc>
        <w:tc>
          <w:tcPr>
            <w:tcW w:w="13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10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1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1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1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1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974529789"/>
          <w:jc w:val="center"/>
        </w:trPr>
        <w:tc>
          <w:tcPr>
            <w:tcW w:w="0" w:type="auto"/>
            <w:gridSpan w:val="6"/>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r>
      <w:tr w:rsidR="00000000">
        <w:trPr>
          <w:divId w:val="974529789"/>
          <w:jc w:val="center"/>
        </w:trPr>
        <w:tc>
          <w:tcPr>
            <w:tcW w:w="0" w:type="auto"/>
            <w:gridSpan w:val="6"/>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 except percentages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Weighted-Average Interest Rate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Weighted-Average Interest Rate</w:t>
            </w:r>
          </w:p>
        </w:tc>
      </w:tr>
      <w:tr w:rsidR="00000000">
        <w:trPr>
          <w:divId w:val="974529789"/>
          <w:jc w:val="center"/>
        </w:trPr>
        <w:tc>
          <w:tcPr>
            <w:tcW w:w="0" w:type="auto"/>
            <w:gridSpan w:val="6"/>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i/>
                <w:iCs/>
                <w:color w:val="000000"/>
                <w:sz w:val="20"/>
                <w:szCs w:val="20"/>
              </w:rPr>
              <w:t>Short-Term Borrowings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974529789"/>
          <w:jc w:val="center"/>
        </w:trPr>
        <w:tc>
          <w:tcPr>
            <w:tcW w:w="0" w:type="auto"/>
            <w:gridSpan w:val="6"/>
            <w:shd w:val="clear" w:color="auto" w:fill="FFFFFF"/>
            <w:tcMar>
              <w:top w:w="30" w:type="dxa"/>
              <w:left w:w="20" w:type="dxa"/>
              <w:bottom w:w="30" w:type="dxa"/>
              <w:right w:w="20" w:type="dxa"/>
            </w:tcMar>
            <w:vAlign w:val="bottom"/>
            <w:hideMark/>
          </w:tcPr>
          <w:p w:rsidR="00000000" w:rsidRDefault="006F0EF5">
            <w:pPr>
              <w:spacing w:after="100"/>
              <w:divId w:val="1554543511"/>
              <w:rPr>
                <w:rFonts w:eastAsia="Times New Roman"/>
              </w:rPr>
            </w:pPr>
            <w:r>
              <w:rPr>
                <w:rFonts w:eastAsia="Times New Roman"/>
                <w:color w:val="000000"/>
                <w:sz w:val="20"/>
                <w:szCs w:val="20"/>
              </w:rPr>
              <w:t>Current portion of Senior Secured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2.63%</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2.65%</w:t>
            </w:r>
          </w:p>
        </w:tc>
      </w:tr>
      <w:tr w:rsidR="00000000">
        <w:trPr>
          <w:divId w:val="974529789"/>
          <w:jc w:val="center"/>
        </w:trPr>
        <w:tc>
          <w:tcPr>
            <w:tcW w:w="0" w:type="auto"/>
            <w:gridSpan w:val="3"/>
            <w:vAlign w:val="center"/>
            <w:hideMark/>
          </w:tcPr>
          <w:p w:rsidR="00000000" w:rsidRDefault="006F0EF5">
            <w:pPr>
              <w:spacing w:after="100"/>
              <w:jc w:val="center"/>
              <w:rPr>
                <w:rFonts w:eastAsia="Times New Roman"/>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r>
      <w:tr w:rsidR="00000000">
        <w:trPr>
          <w:divId w:val="974529789"/>
          <w:jc w:val="center"/>
        </w:trPr>
        <w:tc>
          <w:tcPr>
            <w:tcW w:w="0" w:type="auto"/>
            <w:gridSpan w:val="6"/>
            <w:shd w:val="clear" w:color="auto" w:fill="CCEEFF"/>
            <w:tcMar>
              <w:top w:w="30" w:type="dxa"/>
              <w:left w:w="20" w:type="dxa"/>
              <w:bottom w:w="30" w:type="dxa"/>
              <w:right w:w="20" w:type="dxa"/>
            </w:tcMar>
            <w:vAlign w:val="bottom"/>
            <w:hideMark/>
          </w:tcPr>
          <w:p w:rsidR="00000000" w:rsidRDefault="006F0EF5">
            <w:pPr>
              <w:spacing w:after="100"/>
              <w:divId w:val="344330009"/>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2.13%</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w:t>
            </w:r>
          </w:p>
        </w:tc>
      </w:tr>
      <w:tr w:rsidR="00000000">
        <w:trPr>
          <w:divId w:val="974529789"/>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short-term borrowings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r>
      <w:tr w:rsidR="00000000">
        <w:trPr>
          <w:divId w:val="974529789"/>
          <w:jc w:val="center"/>
        </w:trPr>
        <w:tc>
          <w:tcPr>
            <w:tcW w:w="0" w:type="auto"/>
            <w:gridSpan w:val="6"/>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i/>
                <w:iCs/>
                <w:color w:val="000000"/>
                <w:sz w:val="20"/>
                <w:szCs w:val="20"/>
              </w:rPr>
              <w:t>Long-Term Debt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974529789"/>
          <w:jc w:val="center"/>
        </w:trPr>
        <w:tc>
          <w:tcPr>
            <w:tcW w:w="0" w:type="auto"/>
            <w:gridSpan w:val="6"/>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Senior Secured Credit Facility:</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974529789"/>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divId w:val="903416471"/>
              <w:rPr>
                <w:rFonts w:eastAsia="Times New Roman"/>
              </w:rPr>
            </w:pPr>
            <w:r>
              <w:rPr>
                <w:rFonts w:eastAsia="Times New Roman"/>
                <w:color w:val="000000"/>
                <w:sz w:val="20"/>
                <w:szCs w:val="20"/>
              </w:rPr>
              <w:t>Term loan facilities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2.63%</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733 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2.65%</w:t>
            </w:r>
          </w:p>
        </w:tc>
      </w:tr>
      <w:tr w:rsidR="00000000">
        <w:trPr>
          <w:divId w:val="974529789"/>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divId w:val="1427114618"/>
              <w:rPr>
                <w:rFonts w:eastAsia="Times New Roman"/>
              </w:rPr>
            </w:pPr>
            <w:r>
              <w:rPr>
                <w:rFonts w:eastAsia="Times New Roman"/>
                <w:color w:val="000000"/>
                <w:sz w:val="20"/>
                <w:szCs w:val="20"/>
              </w:rPr>
              <w:t>Revolving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2.36%</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2.40%</w:t>
            </w:r>
          </w:p>
        </w:tc>
      </w:tr>
      <w:tr w:rsidR="00000000">
        <w:trPr>
          <w:divId w:val="974529789"/>
          <w:jc w:val="center"/>
        </w:trPr>
        <w:tc>
          <w:tcPr>
            <w:tcW w:w="0" w:type="auto"/>
            <w:gridSpan w:val="6"/>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Senior Notes: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974529789"/>
          <w:jc w:val="center"/>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974529789"/>
          <w:jc w:val="center"/>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974529789"/>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divId w:val="1956982863"/>
              <w:rPr>
                <w:rFonts w:eastAsia="Times New Roman"/>
              </w:rPr>
            </w:pPr>
            <w:r>
              <w:rPr>
                <w:rFonts w:eastAsia="Times New Roman"/>
                <w:color w:val="000000"/>
                <w:sz w:val="20"/>
                <w:szCs w:val="20"/>
              </w:rPr>
              <w:t>8.125% Senior Notes due 2025</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r>
      <w:tr w:rsidR="00000000">
        <w:trPr>
          <w:divId w:val="974529789"/>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divId w:val="1453982817"/>
              <w:rPr>
                <w:rFonts w:eastAsia="Times New Roman"/>
              </w:rPr>
            </w:pPr>
            <w:r>
              <w:rPr>
                <w:rFonts w:eastAsia="Times New Roman"/>
                <w:color w:val="000000"/>
                <w:sz w:val="20"/>
                <w:szCs w:val="20"/>
              </w:rPr>
              <w:t>5.750% Senior Notes due 2027</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8"/>
                <w:szCs w:val="18"/>
              </w:rPr>
              <w:t>500 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r>
      <w:tr w:rsidR="00000000">
        <w:trPr>
          <w:divId w:val="974529789"/>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divId w:val="2077044279"/>
              <w:rPr>
                <w:rFonts w:eastAsia="Times New Roman"/>
              </w:rPr>
            </w:pPr>
            <w:r>
              <w:rPr>
                <w:rFonts w:eastAsia="Times New Roman"/>
                <w:color w:val="000000"/>
                <w:sz w:val="20"/>
                <w:szCs w:val="20"/>
              </w:rPr>
              <w:t>5.000% Senior Notes due 2028</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650 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r>
      <w:tr w:rsidR="00000000">
        <w:trPr>
          <w:divId w:val="974529789"/>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divId w:val="2129935520"/>
              <w:rPr>
                <w:rFonts w:eastAsia="Times New Roman"/>
              </w:rPr>
            </w:pPr>
            <w:r>
              <w:rPr>
                <w:rFonts w:eastAsia="Times New Roman"/>
                <w:color w:val="000000"/>
                <w:sz w:val="20"/>
                <w:szCs w:val="20"/>
              </w:rPr>
              <w:t>5.125% Senior Notes due 2029</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r>
      <w:tr w:rsidR="00000000">
        <w:trPr>
          <w:divId w:val="974529789"/>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divId w:val="1912276733"/>
              <w:rPr>
                <w:rFonts w:eastAsia="Times New Roman"/>
              </w:rPr>
            </w:pPr>
            <w:r>
              <w:rPr>
                <w:rFonts w:eastAsia="Times New Roman"/>
                <w:color w:val="000000"/>
                <w:sz w:val="20"/>
                <w:szCs w:val="20"/>
              </w:rPr>
              <w:t>6.125% Senior Notes due 2029</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r>
      <w:tr w:rsidR="00000000">
        <w:trPr>
          <w:divId w:val="974529789"/>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divId w:val="805202964"/>
              <w:rPr>
                <w:rFonts w:eastAsia="Times New Roman"/>
              </w:rPr>
            </w:pPr>
            <w:r>
              <w:rPr>
                <w:rFonts w:eastAsia="Times New Roman"/>
                <w:color w:val="000000"/>
                <w:sz w:val="20"/>
                <w:szCs w:val="20"/>
              </w:rPr>
              <w:t>5.250% Senior Notes due 2030</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450 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r>
      <w:tr w:rsidR="00000000">
        <w:trPr>
          <w:divId w:val="974529789"/>
          <w:jc w:val="center"/>
        </w:trPr>
        <w:tc>
          <w:tcPr>
            <w:tcW w:w="0" w:type="auto"/>
            <w:gridSpan w:val="6"/>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Deferred financing fees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r>
      <w:tr w:rsidR="00000000">
        <w:trPr>
          <w:divId w:val="974529789"/>
          <w:jc w:val="center"/>
        </w:trPr>
        <w:tc>
          <w:tcPr>
            <w:tcW w:w="0" w:type="auto"/>
            <w:gridSpan w:val="6"/>
            <w:shd w:val="clear" w:color="auto" w:fill="CCEEFF"/>
            <w:tcMar>
              <w:top w:w="30" w:type="dxa"/>
              <w:left w:w="20" w:type="dxa"/>
              <w:bottom w:w="30" w:type="dxa"/>
              <w:right w:w="20" w:type="dxa"/>
            </w:tcMar>
            <w:vAlign w:val="bottom"/>
            <w:hideMark/>
          </w:tcPr>
          <w:p w:rsidR="00000000" w:rsidRDefault="006F0EF5">
            <w:pPr>
              <w:spacing w:after="100"/>
              <w:divId w:val="1648123328"/>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6.62%</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7.68%</w:t>
            </w:r>
          </w:p>
        </w:tc>
      </w:tr>
      <w:tr w:rsidR="00000000">
        <w:trPr>
          <w:divId w:val="974529789"/>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long-term debt</w:t>
            </w: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5,505</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3,270 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r>
    </w:tbl>
    <w:p w:rsidR="00000000" w:rsidRDefault="006F0EF5">
      <w:pPr>
        <w:ind w:hanging="270"/>
        <w:jc w:val="both"/>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Interest rates are weighted average interest rates as of December 31, 2021 and 2020. </w:t>
      </w:r>
    </w:p>
    <w:p w:rsidR="00000000" w:rsidRDefault="006F0EF5">
      <w:pPr>
        <w:ind w:hanging="270"/>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Senior Secured Credit Facility </w:t>
      </w:r>
      <w:r>
        <w:rPr>
          <w:rFonts w:eastAsia="Times New Roman"/>
          <w:color w:val="000000"/>
          <w:sz w:val="20"/>
          <w:szCs w:val="20"/>
        </w:rPr>
        <w:t>On February 4, 2021, the Company entered into a fourth amendment to the Senior Secured Credit Facility, and, on February</w:t>
      </w:r>
      <w:r>
        <w:rPr>
          <w:rFonts w:eastAsia="Times New Roman"/>
          <w:color w:val="000000"/>
          <w:sz w:val="20"/>
          <w:szCs w:val="20"/>
        </w:rPr>
        <w:t xml:space="preserve"> 16, 2021 the Company entered into</w:t>
      </w:r>
      <w:r>
        <w:rPr>
          <w:rFonts w:eastAsia="Times New Roman"/>
          <w:color w:val="000000"/>
          <w:sz w:val="20"/>
          <w:szCs w:val="20"/>
          <w:shd w:val="clear" w:color="auto" w:fill="FFFFFF"/>
        </w:rPr>
        <w:t xml:space="preserve"> (a) an amended and restated commitment letter (the </w:t>
      </w:r>
      <w:r>
        <w:rPr>
          <w:rFonts w:eastAsia="Times New Roman"/>
          <w:color w:val="000000"/>
          <w:sz w:val="20"/>
          <w:szCs w:val="20"/>
        </w:rPr>
        <w:t>“Commitment Letter”</w:t>
      </w:r>
      <w:r>
        <w:rPr>
          <w:rFonts w:eastAsia="Times New Roman"/>
          <w:color w:val="000000"/>
          <w:sz w:val="20"/>
          <w:szCs w:val="20"/>
          <w:shd w:val="clear" w:color="auto" w:fill="FFFFFF"/>
        </w:rPr>
        <w:t xml:space="preserve">), with certain financial institutions party thereto (collectively, the </w:t>
      </w:r>
      <w:r>
        <w:rPr>
          <w:rFonts w:eastAsia="Times New Roman"/>
          <w:color w:val="000000"/>
          <w:sz w:val="20"/>
          <w:szCs w:val="20"/>
        </w:rPr>
        <w:t>“Commitment Parties”)</w:t>
      </w:r>
      <w:r>
        <w:rPr>
          <w:rFonts w:eastAsia="Times New Roman"/>
          <w:color w:val="000000"/>
          <w:sz w:val="20"/>
          <w:szCs w:val="20"/>
          <w:shd w:val="clear" w:color="auto" w:fill="FFFFFF"/>
        </w:rPr>
        <w:t xml:space="preserve">, (b) an incremental term loan A facility agreement (the </w:t>
      </w:r>
      <w:r>
        <w:rPr>
          <w:rFonts w:eastAsia="Times New Roman"/>
          <w:color w:val="000000"/>
          <w:sz w:val="20"/>
          <w:szCs w:val="20"/>
        </w:rPr>
        <w:t>“</w:t>
      </w:r>
      <w:r>
        <w:rPr>
          <w:rFonts w:eastAsia="Times New Roman"/>
          <w:color w:val="000000"/>
          <w:sz w:val="20"/>
          <w:szCs w:val="20"/>
          <w:shd w:val="clear" w:color="auto" w:fill="FFFFFF"/>
        </w:rPr>
        <w:t>Incremental Term Agreement</w:t>
      </w:r>
      <w:r>
        <w:rPr>
          <w:rFonts w:eastAsia="Times New Roman"/>
          <w:color w:val="000000"/>
          <w:sz w:val="20"/>
          <w:szCs w:val="20"/>
        </w:rPr>
        <w:t>”</w:t>
      </w:r>
      <w:r>
        <w:rPr>
          <w:rFonts w:eastAsia="Times New Roman"/>
          <w:color w:val="000000"/>
          <w:sz w:val="20"/>
          <w:szCs w:val="20"/>
          <w:shd w:val="clear" w:color="auto" w:fill="FFFFFF"/>
        </w:rPr>
        <w:t xml:space="preserve">) with the financial institutions party thereto as lenders, NCR International, Inc. (the </w:t>
      </w:r>
      <w:r>
        <w:rPr>
          <w:rFonts w:eastAsia="Times New Roman"/>
          <w:color w:val="000000"/>
          <w:sz w:val="20"/>
          <w:szCs w:val="20"/>
        </w:rPr>
        <w:t>“Guarantor Subsidiary”</w:t>
      </w:r>
      <w:r>
        <w:rPr>
          <w:rFonts w:eastAsia="Times New Roman"/>
          <w:color w:val="000000"/>
          <w:sz w:val="20"/>
          <w:szCs w:val="20"/>
          <w:shd w:val="clear" w:color="auto" w:fill="FFFFFF"/>
        </w:rPr>
        <w:t xml:space="preserve">), and JPMorgan Chase Bank N.A., as the administrative agent (in such capacity, the </w:t>
      </w:r>
      <w:r>
        <w:rPr>
          <w:rFonts w:eastAsia="Times New Roman"/>
          <w:color w:val="000000"/>
          <w:sz w:val="20"/>
          <w:szCs w:val="20"/>
        </w:rPr>
        <w:t>“Administrative Agent”</w:t>
      </w:r>
      <w:r>
        <w:rPr>
          <w:rFonts w:eastAsia="Times New Roman"/>
          <w:color w:val="000000"/>
          <w:sz w:val="20"/>
          <w:szCs w:val="20"/>
          <w:shd w:val="clear" w:color="auto" w:fill="FFFFFF"/>
        </w:rPr>
        <w:t>) and (c) an</w:t>
      </w:r>
      <w:r>
        <w:rPr>
          <w:rFonts w:eastAsia="Times New Roman"/>
          <w:color w:val="000000"/>
          <w:sz w:val="20"/>
          <w:szCs w:val="20"/>
          <w:shd w:val="clear" w:color="auto" w:fill="FFFFFF"/>
        </w:rPr>
        <w:t xml:space="preserve"> incremental revolving facility agreement (the </w:t>
      </w:r>
      <w:r>
        <w:rPr>
          <w:rFonts w:eastAsia="Times New Roman"/>
          <w:color w:val="000000"/>
          <w:sz w:val="20"/>
          <w:szCs w:val="20"/>
        </w:rPr>
        <w:t>“Incremental Revolving Agreement”</w:t>
      </w:r>
      <w:r>
        <w:rPr>
          <w:rFonts w:eastAsia="Times New Roman"/>
          <w:color w:val="000000"/>
          <w:sz w:val="20"/>
          <w:szCs w:val="20"/>
          <w:shd w:val="clear" w:color="auto" w:fill="FFFFFF"/>
        </w:rPr>
        <w:t xml:space="preserve">) with certain financial institutions party thereto as lenders, the Guarantor Subsidiary, certain of the </w:t>
      </w:r>
      <w:r>
        <w:rPr>
          <w:rFonts w:eastAsia="Times New Roman"/>
          <w:color w:val="000000"/>
          <w:sz w:val="20"/>
          <w:szCs w:val="20"/>
        </w:rPr>
        <w:t>subsidiaries of NCR as borrowers (collectively, the “Foreign Borrowers”</w:t>
      </w:r>
      <w:r>
        <w:rPr>
          <w:rFonts w:eastAsia="Times New Roman"/>
          <w:color w:val="000000"/>
          <w:sz w:val="20"/>
          <w:szCs w:val="20"/>
          <w:shd w:val="clear" w:color="auto" w:fill="FFFFFF"/>
        </w:rPr>
        <w:t xml:space="preserve">) and the Administrative Agent.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 xml:space="preserve">Pursuant to the Commitment Letter, the Company obtained commitments for a senior bridge facility (which was intended to be secured, but a portion of which may have been unsecured) in an aggregate principal amount of </w:t>
      </w:r>
      <w:r>
        <w:rPr>
          <w:rFonts w:eastAsia="Times New Roman"/>
          <w:color w:val="000000"/>
          <w:sz w:val="20"/>
          <w:szCs w:val="20"/>
        </w:rPr>
        <w:t>$1.0 billion</w:t>
      </w:r>
      <w:r>
        <w:rPr>
          <w:rFonts w:eastAsia="Times New Roman"/>
          <w:color w:val="000000"/>
          <w:sz w:val="20"/>
          <w:szCs w:val="20"/>
          <w:shd w:val="clear" w:color="auto" w:fill="FFFFFF"/>
        </w:rPr>
        <w:t xml:space="preserve"> (the “Bridge Facility”). Th</w:t>
      </w:r>
      <w:r>
        <w:rPr>
          <w:rFonts w:eastAsia="Times New Roman"/>
          <w:color w:val="000000"/>
          <w:sz w:val="20"/>
          <w:szCs w:val="20"/>
          <w:shd w:val="clear" w:color="auto" w:fill="FFFFFF"/>
        </w:rPr>
        <w:t>e Bridge Facility would have been available to the Company for the purpose of financing the Cardtronics Transaction if, and to the extent, certain securities offerings were not issued on or prior to the closing of the Cardtronics Transaction. As noted belo</w:t>
      </w:r>
      <w:r>
        <w:rPr>
          <w:rFonts w:eastAsia="Times New Roman"/>
          <w:color w:val="000000"/>
          <w:sz w:val="20"/>
          <w:szCs w:val="20"/>
          <w:shd w:val="clear" w:color="auto" w:fill="FFFFFF"/>
        </w:rPr>
        <w:t>w, on April 6, 2021, the Company issued $1.2 billion aggregate principal amount of 5.125% senior notes due 2029 (the “5.125% Notes”) which financed a portion of the purchase price consideration in connection with the Cardtronics Transaction. As a result, t</w:t>
      </w:r>
      <w:r>
        <w:rPr>
          <w:rFonts w:eastAsia="Times New Roman"/>
          <w:color w:val="000000"/>
          <w:sz w:val="20"/>
          <w:szCs w:val="20"/>
          <w:shd w:val="clear" w:color="auto" w:fill="FFFFFF"/>
        </w:rPr>
        <w:t>he commitments with respect to the Bridge Facility were terminated</w:t>
      </w:r>
      <w:r>
        <w:rPr>
          <w:rFonts w:eastAsia="Times New Roman"/>
          <w:color w:val="000000"/>
          <w:sz w:val="20"/>
          <w:szCs w:val="20"/>
        </w:rPr>
        <w: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Pursuant to the Incremental Term Agreement, the Company obtained a senior secured incremental term loan A facility under the Senior Secured Credit Facility, in an aggregate principal amo</w:t>
      </w:r>
      <w:r>
        <w:rPr>
          <w:rFonts w:eastAsia="Times New Roman"/>
          <w:color w:val="000000"/>
          <w:sz w:val="20"/>
          <w:szCs w:val="20"/>
          <w:shd w:val="clear" w:color="auto" w:fill="FFFFFF"/>
        </w:rPr>
        <w:t xml:space="preserve">unt of </w:t>
      </w:r>
      <w:r>
        <w:rPr>
          <w:rFonts w:eastAsia="Times New Roman"/>
          <w:color w:val="000000"/>
          <w:sz w:val="20"/>
          <w:szCs w:val="20"/>
        </w:rPr>
        <w:t xml:space="preserve">$1.505 billion </w:t>
      </w:r>
      <w:r>
        <w:rPr>
          <w:rFonts w:eastAsia="Times New Roman"/>
          <w:color w:val="000000"/>
          <w:sz w:val="20"/>
          <w:szCs w:val="20"/>
          <w:shd w:val="clear" w:color="auto" w:fill="FFFFFF"/>
        </w:rPr>
        <w:t xml:space="preserve">(the </w:t>
      </w:r>
      <w:r>
        <w:rPr>
          <w:rFonts w:eastAsia="Times New Roman"/>
          <w:color w:val="000000"/>
          <w:sz w:val="20"/>
          <w:szCs w:val="20"/>
        </w:rPr>
        <w:t>“TLA Facility”</w:t>
      </w:r>
      <w:r>
        <w:rPr>
          <w:rFonts w:eastAsia="Times New Roman"/>
          <w:color w:val="000000"/>
          <w:sz w:val="20"/>
          <w:szCs w:val="20"/>
          <w:shd w:val="clear" w:color="auto" w:fill="FFFFFF"/>
        </w:rPr>
        <w:t xml:space="preserve">). The senior secured credit facility also includes a senior secured term loan B facility (the </w:t>
      </w:r>
      <w:r>
        <w:rPr>
          <w:rFonts w:eastAsia="Times New Roman"/>
          <w:color w:val="000000"/>
          <w:sz w:val="20"/>
          <w:szCs w:val="20"/>
        </w:rPr>
        <w:t>“TLB Facility”</w:t>
      </w:r>
      <w:r>
        <w:rPr>
          <w:rFonts w:eastAsia="Times New Roman"/>
          <w:color w:val="000000"/>
          <w:sz w:val="20"/>
          <w:szCs w:val="20"/>
          <w:shd w:val="clear" w:color="auto" w:fill="FFFFFF"/>
        </w:rPr>
        <w:t>) in an aggregate principal amount of $750 million.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 xml:space="preserve">Pursuant to the Incremental Revolving Agreement, the lenders party thereto provided the Company and the Foreign Borrowers with a </w:t>
      </w:r>
      <w:r>
        <w:rPr>
          <w:rFonts w:eastAsia="Times New Roman"/>
          <w:color w:val="000000"/>
          <w:sz w:val="20"/>
          <w:szCs w:val="20"/>
        </w:rPr>
        <w:t>$1.1 billion</w:t>
      </w:r>
      <w:r>
        <w:rPr>
          <w:rFonts w:eastAsia="Times New Roman"/>
          <w:color w:val="000000"/>
          <w:sz w:val="20"/>
          <w:szCs w:val="20"/>
          <w:shd w:val="clear" w:color="auto" w:fill="FFFFFF"/>
        </w:rPr>
        <w:t xml:space="preserve"> revolving credit facility under the Senior Secured Credit Facility to replace the Company’s existing senior secure</w:t>
      </w:r>
      <w:r>
        <w:rPr>
          <w:rFonts w:eastAsia="Times New Roman"/>
          <w:color w:val="000000"/>
          <w:sz w:val="20"/>
          <w:szCs w:val="20"/>
          <w:shd w:val="clear" w:color="auto" w:fill="FFFFFF"/>
        </w:rPr>
        <w:t xml:space="preserve">d revolving credit facility. The revolving credit facility also allows a sub-facility to be used for letters of credit, and, as of </w:t>
      </w:r>
      <w:r>
        <w:rPr>
          <w:rFonts w:eastAsia="Times New Roman"/>
          <w:color w:val="000000"/>
          <w:sz w:val="20"/>
          <w:szCs w:val="20"/>
        </w:rPr>
        <w:t>December 31, 2021</w:t>
      </w:r>
      <w:r>
        <w:rPr>
          <w:rFonts w:eastAsia="Times New Roman"/>
          <w:color w:val="000000"/>
          <w:sz w:val="20"/>
          <w:szCs w:val="20"/>
          <w:shd w:val="clear" w:color="auto" w:fill="FFFFFF"/>
        </w:rPr>
        <w:t xml:space="preserve">, outstanding letters of credit were </w:t>
      </w:r>
      <w:r>
        <w:rPr>
          <w:rFonts w:eastAsia="Times New Roman"/>
          <w:color w:val="000000"/>
          <w:sz w:val="20"/>
          <w:szCs w:val="20"/>
        </w:rPr>
        <w:t>$26 million</w:t>
      </w:r>
      <w:r>
        <w:rPr>
          <w:rFonts w:eastAsia="Times New Roman"/>
          <w:color w:val="000000"/>
          <w:sz w:val="20"/>
          <w:szCs w:val="20"/>
          <w:shd w:val="clear" w:color="auto" w:fill="FFFFFF"/>
        </w:rPr>
        <w: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 xml:space="preserve">On June 24, 2021 (the “Conversion Effective Date”), the </w:t>
      </w:r>
      <w:r>
        <w:rPr>
          <w:rFonts w:eastAsia="Times New Roman"/>
          <w:color w:val="000000"/>
          <w:sz w:val="20"/>
          <w:szCs w:val="20"/>
          <w:shd w:val="clear" w:color="auto" w:fill="FFFFFF"/>
        </w:rPr>
        <w:t>Company entered into an Incremental Revolving Facility Agreement (TLA-2 Conversion) (the “Incremental Revolving Conversion Agreement”), with the Guarantor Subsidiary and the Foreign Borrowers, the lenders party thereto and the Administrative Agent. Pursuan</w:t>
      </w:r>
      <w:r>
        <w:rPr>
          <w:rFonts w:eastAsia="Times New Roman"/>
          <w:color w:val="000000"/>
          <w:sz w:val="20"/>
          <w:szCs w:val="20"/>
          <w:shd w:val="clear" w:color="auto" w:fill="FFFFFF"/>
        </w:rPr>
        <w:t xml:space="preserve">t to the Incremental Revolving Conversion </w:t>
      </w:r>
    </w:p>
    <w:p w:rsidR="00000000" w:rsidRDefault="006F0EF5">
      <w:pPr>
        <w:jc w:val="center"/>
        <w:divId w:val="28604818"/>
        <w:rPr>
          <w:rFonts w:eastAsia="Times New Roman"/>
        </w:rPr>
      </w:pPr>
      <w:r>
        <w:rPr>
          <w:rFonts w:eastAsia="Times New Roman"/>
          <w:color w:val="000000"/>
          <w:sz w:val="20"/>
          <w:szCs w:val="20"/>
        </w:rPr>
        <w:t>83</w:t>
      </w:r>
    </w:p>
    <w:p w:rsidR="00000000" w:rsidRDefault="006F0EF5">
      <w:pPr>
        <w:rPr>
          <w:rFonts w:eastAsia="Times New Roman"/>
        </w:rPr>
      </w:pPr>
      <w:r>
        <w:rPr>
          <w:rFonts w:eastAsia="Times New Roman"/>
        </w:rPr>
        <w:pict>
          <v:rect id="_x0000_i1112" style="width:0;height:1.5pt" o:hralign="center" o:hrstd="t" o:hr="t" fillcolor="#a0a0a0" stroked="f"/>
        </w:pict>
      </w:r>
    </w:p>
    <w:p w:rsidR="00000000" w:rsidRDefault="006F0EF5">
      <w:pPr>
        <w:divId w:val="207535087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655376924"/>
        <w:rPr>
          <w:rFonts w:eastAsia="Times New Roman"/>
        </w:rPr>
      </w:pPr>
      <w:r>
        <w:rPr>
          <w:rFonts w:eastAsia="Times New Roman"/>
          <w:b/>
          <w:bCs/>
          <w:color w:val="000000"/>
          <w:sz w:val="20"/>
          <w:szCs w:val="20"/>
        </w:rPr>
        <w:t>NCR Corporation</w:t>
      </w:r>
    </w:p>
    <w:p w:rsidR="00000000" w:rsidRDefault="006F0EF5">
      <w:pPr>
        <w:jc w:val="center"/>
        <w:divId w:val="655376924"/>
        <w:rPr>
          <w:rFonts w:eastAsia="Times New Roman"/>
        </w:rPr>
      </w:pPr>
      <w:r>
        <w:rPr>
          <w:rFonts w:eastAsia="Times New Roman"/>
          <w:b/>
          <w:bCs/>
          <w:color w:val="000000"/>
          <w:sz w:val="20"/>
          <w:szCs w:val="20"/>
        </w:rPr>
        <w:t>Notes to Consolidated Financial Statements-(Continued)</w:t>
      </w:r>
    </w:p>
    <w:p w:rsidR="00000000" w:rsidRDefault="006F0EF5">
      <w:pPr>
        <w:jc w:val="center"/>
        <w:divId w:val="655376924"/>
        <w:rPr>
          <w:rFonts w:eastAsia="Times New Roman"/>
        </w:rPr>
      </w:pPr>
    </w:p>
    <w:p w:rsidR="00000000" w:rsidRDefault="006F0EF5">
      <w:pPr>
        <w:jc w:val="center"/>
        <w:divId w:val="655376924"/>
        <w:rPr>
          <w:rFonts w:eastAsia="Times New Roman"/>
        </w:rPr>
      </w:pPr>
    </w:p>
    <w:p w:rsidR="00000000" w:rsidRDefault="006F0EF5">
      <w:pPr>
        <w:divId w:val="1674841103"/>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Agreement, $200 mill</w:t>
      </w:r>
      <w:r>
        <w:rPr>
          <w:rFonts w:eastAsia="Times New Roman"/>
          <w:color w:val="000000"/>
          <w:sz w:val="20"/>
          <w:szCs w:val="20"/>
          <w:shd w:val="clear" w:color="auto" w:fill="FFFFFF"/>
        </w:rPr>
        <w:t>ion of the TLA Facility was converted into an equal principal amount of senior secured incremental revolving credit commitments (the “Incremental Revolving Commitments”). The Incremental Revolving Conversion Agreement also amends and restates the credit ag</w:t>
      </w:r>
      <w:r>
        <w:rPr>
          <w:rFonts w:eastAsia="Times New Roman"/>
          <w:color w:val="000000"/>
          <w:sz w:val="20"/>
          <w:szCs w:val="20"/>
          <w:shd w:val="clear" w:color="auto" w:fill="FFFFFF"/>
        </w:rPr>
        <w:t>reement (the “Amended and Restated Credit Agreement”) to reflect, among other things, the Incremental Revolving Commitments, the TLA Facility and the Replacement Revolving Facility.</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As a result, the aggregate principal amount under the TLA Facility is $1</w:t>
      </w:r>
      <w:r>
        <w:rPr>
          <w:rFonts w:eastAsia="Times New Roman"/>
          <w:color w:val="000000"/>
          <w:sz w:val="20"/>
          <w:szCs w:val="20"/>
          <w:shd w:val="clear" w:color="auto" w:fill="FFFFFF"/>
        </w:rPr>
        <w:t xml:space="preserve">.305 billion and under the revolving credit facility is $1.3 billion. As of </w:t>
      </w:r>
      <w:r>
        <w:rPr>
          <w:rFonts w:eastAsia="Times New Roman"/>
          <w:color w:val="000000"/>
          <w:sz w:val="20"/>
          <w:szCs w:val="20"/>
        </w:rPr>
        <w:t>December 31, 2021</w:t>
      </w:r>
      <w:r>
        <w:rPr>
          <w:rFonts w:eastAsia="Times New Roman"/>
          <w:color w:val="000000"/>
          <w:sz w:val="20"/>
          <w:szCs w:val="20"/>
          <w:shd w:val="clear" w:color="auto" w:fill="FFFFFF"/>
        </w:rPr>
        <w:t>, the term loan facilities (the TLA Facility and the TLB Facility) under the Senior Secured Credit Facility have an aggregate principal amount of $2.055 billion, o</w:t>
      </w:r>
      <w:r>
        <w:rPr>
          <w:rFonts w:eastAsia="Times New Roman"/>
          <w:color w:val="000000"/>
          <w:sz w:val="20"/>
          <w:szCs w:val="20"/>
          <w:shd w:val="clear" w:color="auto" w:fill="FFFFFF"/>
        </w:rPr>
        <w:t xml:space="preserve">f which $1.94 billion was outstanding. Additionally, as of </w:t>
      </w:r>
      <w:r>
        <w:rPr>
          <w:rFonts w:eastAsia="Times New Roman"/>
          <w:color w:val="000000"/>
          <w:sz w:val="20"/>
          <w:szCs w:val="20"/>
        </w:rPr>
        <w:t>December 31, 2021</w:t>
      </w:r>
      <w:r>
        <w:rPr>
          <w:rFonts w:eastAsia="Times New Roman"/>
          <w:color w:val="000000"/>
          <w:sz w:val="20"/>
          <w:szCs w:val="20"/>
          <w:shd w:val="clear" w:color="auto" w:fill="FFFFFF"/>
        </w:rPr>
        <w:t>, there was $380 million outstanding under the revolving credit facility. Our borrowing capacity under our senior secured credit facility was $894 million at December 31, 2021.</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w:t>
      </w:r>
      <w:r>
        <w:rPr>
          <w:rFonts w:eastAsia="Times New Roman"/>
          <w:color w:val="000000"/>
          <w:sz w:val="20"/>
          <w:szCs w:val="20"/>
        </w:rPr>
        <w:t>he terms of the Incremental Revolving Commitments are identical to the terms of the commitments under the Replacement Revolving Facility (together with the Incremental Revolving Commitments, the “Revolving Credit Facility”). Up to $400 million of the revol</w:t>
      </w:r>
      <w:r>
        <w:rPr>
          <w:rFonts w:eastAsia="Times New Roman"/>
          <w:color w:val="000000"/>
          <w:sz w:val="20"/>
          <w:szCs w:val="20"/>
        </w:rPr>
        <w:t>ving credit facility is available to the Foreign Borrowers, as long as there is availability under the revolving credit facility. Term loans were made to the Company in U.S. Dollars, and loans under the revolving credit facility are available in U.S. Dolla</w:t>
      </w:r>
      <w:r>
        <w:rPr>
          <w:rFonts w:eastAsia="Times New Roman"/>
          <w:color w:val="000000"/>
          <w:sz w:val="20"/>
          <w:szCs w:val="20"/>
        </w:rPr>
        <w:t>rs, Euros and Pound Sterling.</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outstanding principal balance of the TLB facility is required to be repaid in equal quarterly installments of  0.25% of the original aggregate principal amount that began with the fiscal quarter ending December 31, 2019,</w:t>
      </w:r>
      <w:r>
        <w:rPr>
          <w:rFonts w:eastAsia="Times New Roman"/>
          <w:color w:val="000000"/>
          <w:sz w:val="20"/>
          <w:szCs w:val="20"/>
        </w:rPr>
        <w:t xml:space="preserve"> with the balance being due at maturity on August 28, 2026 (the “TLB Maturity Date”).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outstanding principal balance of the TLA Facility is required to be repaid in equal quarterly installments of 1.875% of the original aggregate principal amount ther</w:t>
      </w:r>
      <w:r>
        <w:rPr>
          <w:rFonts w:eastAsia="Times New Roman"/>
          <w:color w:val="000000"/>
          <w:sz w:val="20"/>
          <w:szCs w:val="20"/>
        </w:rPr>
        <w:t xml:space="preserve">eof, beginning with the fiscal quarter ending September 30, 2021, with the balance being due at maturity on the earlier of (a) June 21, 2026 and (b) unless the loans under TLB Facility have been repaid prior to such date, the date that is 91 days prior to </w:t>
      </w:r>
      <w:r>
        <w:rPr>
          <w:rFonts w:eastAsia="Times New Roman"/>
          <w:color w:val="000000"/>
          <w:sz w:val="20"/>
          <w:szCs w:val="20"/>
        </w:rPr>
        <w:t xml:space="preserve">the TLB Maturity Date.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Commitments under the Revolving Credit Facility are scheduled to terminate on the earlier of (a) June 21, 2026 and (b) unless the loans under TLB Facility have been repaid prior to such date, the date that is 91 days prior to the </w:t>
      </w:r>
      <w:r>
        <w:rPr>
          <w:rFonts w:eastAsia="Times New Roman"/>
          <w:color w:val="000000"/>
          <w:sz w:val="20"/>
          <w:szCs w:val="20"/>
        </w:rPr>
        <w:t>TLB Maturity Date. Loans under the Revolving Credit Facility may be repaid and reborrowed prior to such date, subject to the satisfaction of customary conditions.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Amounts covered under the Revolving Credit Facility and the TLA Facility bear interest at LIBOR (or, in the case of amounts denominated in Euros, EURIBOR), or, at our option, in the case of amounts denominated in U.S. Dollars, at a base rate equal to the h</w:t>
      </w:r>
      <w:r>
        <w:rPr>
          <w:rFonts w:eastAsia="Times New Roman"/>
          <w:color w:val="000000"/>
          <w:sz w:val="20"/>
          <w:szCs w:val="20"/>
        </w:rPr>
        <w:t>ighest of (i) the federal funds rate plus 0.50%, (ii) the rate of interest last quoted by the Wall Street Journal as the “prime rate”, (iii) the one-month LIBOR rate plus 1.00%, and (iv) 0.00% per annum (the “Base Rate”), plus, in each case, a margin rangi</w:t>
      </w:r>
      <w:r>
        <w:rPr>
          <w:rFonts w:eastAsia="Times New Roman"/>
          <w:color w:val="000000"/>
          <w:sz w:val="20"/>
          <w:szCs w:val="20"/>
        </w:rPr>
        <w:t>ng from 1.25% to 2.75% per annum for LIBOR-based and EURIBOR-based loans under such facilities and ranging from 0.25% to 1.75% per annum for Base Rate-based loans under such facilities, in each case, depending on our consolidated leverage ratio. Prior to t</w:t>
      </w:r>
      <w:r>
        <w:rPr>
          <w:rFonts w:eastAsia="Times New Roman"/>
          <w:color w:val="000000"/>
          <w:sz w:val="20"/>
          <w:szCs w:val="20"/>
        </w:rPr>
        <w:t>he delivery of our financial statements for the fiscal quarter ended September 30, 2021, the applicable margin was 2.50% for LIBOR-based and EURIBOR-based loans under such facilities and 1.50% for Base Rate-based loans under such facilities. Amounts borrow</w:t>
      </w:r>
      <w:r>
        <w:rPr>
          <w:rFonts w:eastAsia="Times New Roman"/>
          <w:color w:val="000000"/>
          <w:sz w:val="20"/>
          <w:szCs w:val="20"/>
        </w:rPr>
        <w:t>ed under the TLB Facility bear interest at LIBOR or, at our option, at the Base Rate, plus, in each case, a margin of 2.50% per annum for LIBOR-based loans and 1.50% per annum for Base Rate-based loans. The Amended and Restated Credit Agreement contains cu</w:t>
      </w:r>
      <w:r>
        <w:rPr>
          <w:rFonts w:eastAsia="Times New Roman"/>
          <w:color w:val="000000"/>
          <w:sz w:val="20"/>
          <w:szCs w:val="20"/>
        </w:rPr>
        <w:t>stomary LIBOR and EURIBOR replacement provisions. The daily unused portion of the Revolving Credit Facility is subject to a commitment fee ranging from 0.15% to 0.45% per annum, depending on our consolidated leverage ratio.</w:t>
      </w:r>
    </w:p>
    <w:p w:rsidR="00000000" w:rsidRDefault="006F0EF5">
      <w:pPr>
        <w:divId w:val="1191991025"/>
        <w:rPr>
          <w:rFonts w:eastAsia="Times New Roman"/>
        </w:rPr>
      </w:pPr>
    </w:p>
    <w:p w:rsidR="00000000" w:rsidRDefault="006F0EF5">
      <w:pPr>
        <w:jc w:val="both"/>
        <w:rPr>
          <w:rFonts w:eastAsia="Times New Roman"/>
        </w:rPr>
      </w:pPr>
      <w:r>
        <w:rPr>
          <w:rFonts w:eastAsia="Times New Roman"/>
          <w:color w:val="000000"/>
          <w:sz w:val="20"/>
          <w:szCs w:val="20"/>
        </w:rPr>
        <w:t>The obligations under the Seni</w:t>
      </w:r>
      <w:r>
        <w:rPr>
          <w:rFonts w:eastAsia="Times New Roman"/>
          <w:color w:val="000000"/>
          <w:sz w:val="20"/>
          <w:szCs w:val="20"/>
        </w:rPr>
        <w:t>or Secured Credit Facility are guaranteed by certain of the Company’s domestic material subsidiaries including the Guarantor Subsidiary and certain domestic subsidiaries acquired through the Cardtronics Transaction that joined as guarantors on September 30</w:t>
      </w:r>
      <w:r>
        <w:rPr>
          <w:rFonts w:eastAsia="Times New Roman"/>
          <w:color w:val="000000"/>
          <w:sz w:val="20"/>
          <w:szCs w:val="20"/>
        </w:rPr>
        <w:t>, 2021 (collectively, the “Cardtronics Guarantors” and together with the Guarantor Subsidiary, the “Guarantors”).</w:t>
      </w:r>
      <w:r>
        <w:rPr>
          <w:rFonts w:eastAsia="Times New Roman"/>
          <w:color w:val="008080"/>
        </w:rPr>
        <w:t xml:space="preserve"> </w:t>
      </w:r>
      <w:r>
        <w:rPr>
          <w:rFonts w:eastAsia="Times New Roman"/>
          <w:color w:val="000000"/>
          <w:sz w:val="20"/>
          <w:szCs w:val="20"/>
        </w:rPr>
        <w:t>The obligations under the Senior Secured Credit Facility and the above described guarantee are secured by a first priority lien and security i</w:t>
      </w:r>
      <w:r>
        <w:rPr>
          <w:rFonts w:eastAsia="Times New Roman"/>
          <w:color w:val="000000"/>
          <w:sz w:val="20"/>
          <w:szCs w:val="20"/>
        </w:rPr>
        <w:t>nterest in certain equity interests owned by the Company and the Guarantors in certain of their respective domestic and foreign subsidiaries, and a first priority lien and security interest in substantially all of the assets of the Company and the Guaranto</w:t>
      </w:r>
      <w:r>
        <w:rPr>
          <w:rFonts w:eastAsia="Times New Roman"/>
          <w:color w:val="000000"/>
          <w:sz w:val="20"/>
          <w:szCs w:val="20"/>
        </w:rPr>
        <w:t>rs, subject to certain exclusions. These security interests would be released if the Company achieves an “investment grade” rating and will remain released so long as the Company maintains that rating.</w:t>
      </w:r>
    </w:p>
    <w:p w:rsidR="00000000" w:rsidRDefault="006F0EF5">
      <w:pPr>
        <w:jc w:val="both"/>
        <w:divId w:val="253591201"/>
        <w:rPr>
          <w:rFonts w:eastAsia="Times New Roman"/>
        </w:rPr>
      </w:pPr>
      <w:r>
        <w:rPr>
          <w:rFonts w:eastAsia="Times New Roman"/>
          <w:color w:val="000000"/>
          <w:sz w:val="20"/>
          <w:szCs w:val="20"/>
        </w:rPr>
        <w:t>The Senior Secured Credit Facility includes affirmativ</w:t>
      </w:r>
      <w:r>
        <w:rPr>
          <w:rFonts w:eastAsia="Times New Roman"/>
          <w:color w:val="000000"/>
          <w:sz w:val="20"/>
          <w:szCs w:val="20"/>
        </w:rPr>
        <w:t>e and negative covenants that restrict or limit the ability of the Company and its subsidiaries to, among other things, incur indebtedness; create liens on assets; engage in certain fundamental corporate changes or changes to the Company's business activit</w:t>
      </w:r>
      <w:r>
        <w:rPr>
          <w:rFonts w:eastAsia="Times New Roman"/>
          <w:color w:val="000000"/>
          <w:sz w:val="20"/>
          <w:szCs w:val="20"/>
        </w:rPr>
        <w:t xml:space="preserve">ies; make investments; sell or otherwise dispose of assets; engage in sale-leaseback or hedging transactions; repurchase stock, pay dividends or make similar distributions; repay other indebtedness; </w:t>
      </w:r>
    </w:p>
    <w:p w:rsidR="00000000" w:rsidRDefault="006F0EF5">
      <w:pPr>
        <w:jc w:val="center"/>
        <w:divId w:val="450898875"/>
        <w:rPr>
          <w:rFonts w:eastAsia="Times New Roman"/>
        </w:rPr>
      </w:pPr>
      <w:r>
        <w:rPr>
          <w:rFonts w:eastAsia="Times New Roman"/>
          <w:color w:val="000000"/>
          <w:sz w:val="20"/>
          <w:szCs w:val="20"/>
        </w:rPr>
        <w:t>84</w:t>
      </w:r>
    </w:p>
    <w:p w:rsidR="00000000" w:rsidRDefault="006F0EF5">
      <w:pPr>
        <w:rPr>
          <w:rFonts w:eastAsia="Times New Roman"/>
        </w:rPr>
      </w:pPr>
      <w:r>
        <w:rPr>
          <w:rFonts w:eastAsia="Times New Roman"/>
        </w:rPr>
        <w:pict>
          <v:rect id="_x0000_i1113" style="width:0;height:1.5pt" o:hralign="center" o:hrstd="t" o:hr="t" fillcolor="#a0a0a0" stroked="f"/>
        </w:pict>
      </w:r>
    </w:p>
    <w:p w:rsidR="00000000" w:rsidRDefault="006F0EF5">
      <w:pPr>
        <w:divId w:val="158087238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303704811"/>
        <w:rPr>
          <w:rFonts w:eastAsia="Times New Roman"/>
        </w:rPr>
      </w:pPr>
      <w:r>
        <w:rPr>
          <w:rFonts w:eastAsia="Times New Roman"/>
          <w:b/>
          <w:bCs/>
          <w:color w:val="000000"/>
          <w:sz w:val="20"/>
          <w:szCs w:val="20"/>
        </w:rPr>
        <w:t>NCR Corporation</w:t>
      </w:r>
    </w:p>
    <w:p w:rsidR="00000000" w:rsidRDefault="006F0EF5">
      <w:pPr>
        <w:jc w:val="center"/>
        <w:divId w:val="303704811"/>
        <w:rPr>
          <w:rFonts w:eastAsia="Times New Roman"/>
        </w:rPr>
      </w:pPr>
      <w:r>
        <w:rPr>
          <w:rFonts w:eastAsia="Times New Roman"/>
          <w:b/>
          <w:bCs/>
          <w:color w:val="000000"/>
          <w:sz w:val="20"/>
          <w:szCs w:val="20"/>
        </w:rPr>
        <w:t>Notes to Consolidated Financial Statements-(Continued)</w:t>
      </w:r>
    </w:p>
    <w:p w:rsidR="00000000" w:rsidRDefault="006F0EF5">
      <w:pPr>
        <w:jc w:val="center"/>
        <w:divId w:val="303704811"/>
        <w:rPr>
          <w:rFonts w:eastAsia="Times New Roman"/>
        </w:rPr>
      </w:pPr>
    </w:p>
    <w:p w:rsidR="00000000" w:rsidRDefault="006F0EF5">
      <w:pPr>
        <w:jc w:val="center"/>
        <w:divId w:val="303704811"/>
        <w:rPr>
          <w:rFonts w:eastAsia="Times New Roman"/>
        </w:rPr>
      </w:pPr>
    </w:p>
    <w:p w:rsidR="00000000" w:rsidRDefault="006F0EF5">
      <w:pPr>
        <w:divId w:val="930578144"/>
        <w:rPr>
          <w:rFonts w:eastAsia="Times New Roman"/>
        </w:rPr>
      </w:pPr>
    </w:p>
    <w:p w:rsidR="00000000" w:rsidRDefault="006F0EF5">
      <w:pPr>
        <w:jc w:val="both"/>
        <w:divId w:val="299581110"/>
        <w:rPr>
          <w:rFonts w:eastAsia="Times New Roman"/>
        </w:rPr>
      </w:pPr>
      <w:r>
        <w:rPr>
          <w:rFonts w:eastAsia="Times New Roman"/>
          <w:color w:val="000000"/>
          <w:sz w:val="20"/>
          <w:szCs w:val="20"/>
        </w:rPr>
        <w:t>engage in certain affiliate transactions; or enter into agreements that restrict the Company's ability to create liens, pay dividends or make loan repayments. The Senior Secured Credit Facility also includes a financial covenant with respect to the Revolvi</w:t>
      </w:r>
      <w:r>
        <w:rPr>
          <w:rFonts w:eastAsia="Times New Roman"/>
          <w:color w:val="000000"/>
          <w:sz w:val="20"/>
          <w:szCs w:val="20"/>
        </w:rPr>
        <w:t>ng Credit Facility and the TLA Facility. The financial covenant requires the Company to maintain:</w:t>
      </w:r>
    </w:p>
    <w:p w:rsidR="00000000" w:rsidRDefault="006F0EF5">
      <w:pPr>
        <w:ind w:hanging="360"/>
        <w:jc w:val="both"/>
        <w:divId w:val="1439645739"/>
        <w:rPr>
          <w:rFonts w:eastAsia="Times New Roman"/>
        </w:rPr>
      </w:pPr>
      <w:r>
        <w:rPr>
          <w:rFonts w:eastAsia="Times New Roman"/>
          <w:color w:val="000000"/>
          <w:sz w:val="20"/>
          <w:szCs w:val="20"/>
          <w:shd w:val="clear" w:color="auto" w:fill="FFFFFF"/>
        </w:rPr>
        <w:t>•</w:t>
      </w:r>
      <w:r>
        <w:rPr>
          <w:rFonts w:eastAsia="Times New Roman"/>
          <w:color w:val="000000"/>
          <w:sz w:val="20"/>
          <w:szCs w:val="20"/>
        </w:rPr>
        <w:t>A consolidated leverage ratio on the last day of any fiscal quarter, not to exceed (i) in the case of any fiscal quarter ending on or prior to December 31, 2</w:t>
      </w:r>
      <w:r>
        <w:rPr>
          <w:rFonts w:eastAsia="Times New Roman"/>
          <w:color w:val="000000"/>
          <w:sz w:val="20"/>
          <w:szCs w:val="20"/>
        </w:rPr>
        <w:t>021, 5.50 to 1.00, (ii) in the case of any fiscal quarter ending on or prior to September 30, 2022, 5.25 to 1.00, and (iii) in the case of any fiscal quarter ending on or after December 31, 2022, 4.75 to 1.00.</w:t>
      </w:r>
    </w:p>
    <w:p w:rsidR="00000000" w:rsidRDefault="006F0EF5">
      <w:pPr>
        <w:jc w:val="both"/>
        <w:rPr>
          <w:rFonts w:eastAsia="Times New Roman"/>
        </w:rPr>
      </w:pPr>
      <w:r>
        <w:rPr>
          <w:rFonts w:eastAsia="Times New Roman"/>
          <w:color w:val="000000"/>
          <w:sz w:val="20"/>
          <w:szCs w:val="20"/>
        </w:rPr>
        <w:t>The Company has the option to elect to increas</w:t>
      </w:r>
      <w:r>
        <w:rPr>
          <w:rFonts w:eastAsia="Times New Roman"/>
          <w:color w:val="000000"/>
          <w:sz w:val="20"/>
          <w:szCs w:val="20"/>
        </w:rPr>
        <w:t xml:space="preserve">e the maximum permitted leverage ratio for the periods described in the foregoing clause (iii) by 0.25 in connection with the consummation of any material acquisition (as defined in the Senior Secured Credit Facility) for three fiscal quarters.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Seni</w:t>
      </w:r>
      <w:r>
        <w:rPr>
          <w:rFonts w:eastAsia="Times New Roman"/>
          <w:color w:val="000000"/>
          <w:sz w:val="20"/>
          <w:szCs w:val="20"/>
        </w:rPr>
        <w:t>or Secured Credit Facility also includes provisions for events of default, which are customary for similar financings. Upon the occurrence of an event of default, the lenders may, among other things, terminate the loan commitments, accelerate all loans and</w:t>
      </w:r>
      <w:r>
        <w:rPr>
          <w:rFonts w:eastAsia="Times New Roman"/>
          <w:color w:val="000000"/>
          <w:sz w:val="20"/>
          <w:szCs w:val="20"/>
        </w:rPr>
        <w:t xml:space="preserve"> require cash collateral deposits in respect of outstanding letters of credit. If the Company is unable to pay or repay the amounts due, the lenders could, among other things, proceed against the collateral granted to them to secure such indebtedness.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Fo</w:t>
      </w:r>
      <w:r>
        <w:rPr>
          <w:rFonts w:eastAsia="Times New Roman"/>
          <w:color w:val="000000"/>
          <w:sz w:val="20"/>
          <w:szCs w:val="20"/>
          <w:shd w:val="clear" w:color="auto" w:fill="FFFFFF"/>
        </w:rPr>
        <w:t xml:space="preserve">r the year ended </w:t>
      </w:r>
      <w:r>
        <w:rPr>
          <w:rFonts w:eastAsia="Times New Roman"/>
          <w:color w:val="000000"/>
          <w:sz w:val="20"/>
          <w:szCs w:val="20"/>
        </w:rPr>
        <w:t>December 31, 2021</w:t>
      </w:r>
      <w:r>
        <w:rPr>
          <w:rFonts w:eastAsia="Times New Roman"/>
          <w:color w:val="000000"/>
          <w:sz w:val="20"/>
          <w:szCs w:val="20"/>
          <w:shd w:val="clear" w:color="auto" w:fill="FFFFFF"/>
        </w:rPr>
        <w:t>, the Company incurred financing fees of $19 million related to certain structuring and commitment fees as a result of the above referenced financing transactions entered into during the first quarter of 2021.</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The Compan</w:t>
      </w:r>
      <w:r>
        <w:rPr>
          <w:rFonts w:eastAsia="Times New Roman"/>
          <w:color w:val="000000"/>
          <w:sz w:val="20"/>
          <w:szCs w:val="20"/>
          <w:shd w:val="clear" w:color="auto" w:fill="FFFFFF"/>
        </w:rPr>
        <w:t>y may request, at any time and from time to time one or more incremental term loans and/or revolving credit facilities (subject to the agreement of existing lenders or additional financial institutions to provide such term loans and/or revolving credit fac</w:t>
      </w:r>
      <w:r>
        <w:rPr>
          <w:rFonts w:eastAsia="Times New Roman"/>
          <w:color w:val="000000"/>
          <w:sz w:val="20"/>
          <w:szCs w:val="20"/>
          <w:shd w:val="clear" w:color="auto" w:fill="FFFFFF"/>
        </w:rPr>
        <w:t xml:space="preserve">ilities) and with no requirement that existing lenders providing such facilities with commitments in an aggregate amount not to exceed the greater of (i) </w:t>
      </w:r>
      <w:r>
        <w:rPr>
          <w:rFonts w:eastAsia="Times New Roman"/>
          <w:color w:val="000000"/>
          <w:sz w:val="20"/>
          <w:szCs w:val="20"/>
        </w:rPr>
        <w:t>$150 million</w:t>
      </w:r>
      <w:r>
        <w:rPr>
          <w:rFonts w:eastAsia="Times New Roman"/>
          <w:color w:val="000000"/>
          <w:sz w:val="20"/>
          <w:szCs w:val="20"/>
          <w:shd w:val="clear" w:color="auto" w:fill="FFFFFF"/>
        </w:rPr>
        <w:t>, and (ii) such amount as would not cause the leverage ratio under the Senior Secured Cred</w:t>
      </w:r>
      <w:r>
        <w:rPr>
          <w:rFonts w:eastAsia="Times New Roman"/>
          <w:color w:val="000000"/>
          <w:sz w:val="20"/>
          <w:szCs w:val="20"/>
          <w:shd w:val="clear" w:color="auto" w:fill="FFFFFF"/>
        </w:rPr>
        <w:t>it Facility, calculated on a pro forma basis including the incremental facility and assuming that it and the revolver are fully drawn, to exceed 3.00 to 1.00, and the proceeds of which can be used for working capital requirements and other general corporat</w:t>
      </w:r>
      <w:r>
        <w:rPr>
          <w:rFonts w:eastAsia="Times New Roman"/>
          <w:color w:val="000000"/>
          <w:sz w:val="20"/>
          <w:szCs w:val="20"/>
          <w:shd w:val="clear" w:color="auto" w:fill="FFFFFF"/>
        </w:rPr>
        <w:t>e purposes.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Senior Unsecured Notes </w:t>
      </w:r>
      <w:r>
        <w:rPr>
          <w:rFonts w:eastAsia="Times New Roman"/>
          <w:color w:val="000000"/>
          <w:sz w:val="20"/>
          <w:szCs w:val="20"/>
        </w:rPr>
        <w:t>On August 21, 2019, the Company issued $500 million aggregate principal amount of 5.750% senior unsecured notes due in 2027 (the “5.750% Notes”). The 5.750% Notes were sold at 100% of the principal amount with a maturit</w:t>
      </w:r>
      <w:r>
        <w:rPr>
          <w:rFonts w:eastAsia="Times New Roman"/>
          <w:color w:val="000000"/>
          <w:sz w:val="20"/>
          <w:szCs w:val="20"/>
        </w:rPr>
        <w:t xml:space="preserve">y date of September 1, 2027. The 5.750% Notes were issued without registration rights. </w:t>
      </w:r>
      <w:r>
        <w:rPr>
          <w:rFonts w:eastAsia="Times New Roman"/>
          <w:color w:val="000000"/>
          <w:sz w:val="20"/>
          <w:szCs w:val="20"/>
          <w:shd w:val="clear" w:color="auto" w:fill="FFFFFF"/>
        </w:rPr>
        <w:t xml:space="preserve">The Company has the option to redeem the </w:t>
      </w:r>
      <w:r>
        <w:rPr>
          <w:rFonts w:eastAsia="Times New Roman"/>
          <w:color w:val="000000"/>
          <w:sz w:val="20"/>
          <w:szCs w:val="20"/>
        </w:rPr>
        <w:t>5.750%</w:t>
      </w:r>
      <w:r>
        <w:rPr>
          <w:rFonts w:eastAsia="Times New Roman"/>
          <w:color w:val="000000"/>
          <w:sz w:val="20"/>
          <w:szCs w:val="20"/>
          <w:shd w:val="clear" w:color="auto" w:fill="FFFFFF"/>
        </w:rPr>
        <w:t xml:space="preserve"> Notes, in whole or in part, at any time on or after September 1, 2022, at a redemption price of 102.875%, 101.438%, and 1</w:t>
      </w:r>
      <w:r>
        <w:rPr>
          <w:rFonts w:eastAsia="Times New Roman"/>
          <w:color w:val="000000"/>
          <w:sz w:val="20"/>
          <w:szCs w:val="20"/>
          <w:shd w:val="clear" w:color="auto" w:fill="FFFFFF"/>
        </w:rPr>
        <w:t>00% during the 12-month periods commencing on September 1, 2022, 2023 and 2024 and thereafter, respectively, plus accrued and unpaid interest to the redemption date.</w:t>
      </w:r>
      <w:r>
        <w:rPr>
          <w:rFonts w:eastAsia="Times New Roman"/>
          <w:color w:val="000000"/>
          <w:sz w:val="20"/>
          <w:szCs w:val="20"/>
        </w:rPr>
        <w:t xml:space="preserve"> Prior to September 1, 2022, the Company may redeem the 5.750% Notes, in whole or in part, </w:t>
      </w:r>
      <w:r>
        <w:rPr>
          <w:rFonts w:eastAsia="Times New Roman"/>
          <w:color w:val="000000"/>
          <w:sz w:val="20"/>
          <w:szCs w:val="20"/>
        </w:rPr>
        <w:t>at a redemption price equal to 100% of the principal amount plus a make-whole premium and accrued and unpaid interest to the redemption date.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On August 21, 2019, the Company issued $500 million aggregate principal amount of 6.125% senior unsecured notes </w:t>
      </w:r>
      <w:r>
        <w:rPr>
          <w:rFonts w:eastAsia="Times New Roman"/>
          <w:color w:val="000000"/>
          <w:sz w:val="20"/>
          <w:szCs w:val="20"/>
        </w:rPr>
        <w:t>due in 2029 (the “6.125% Notes”). The 6.125% Notes were sold at 100% of the principal amount with a maturity date of September 1, 2029. The 6.125% Notes were issued without registration rights. The Company has the option to redeem the 6.125% Notes, in whol</w:t>
      </w:r>
      <w:r>
        <w:rPr>
          <w:rFonts w:eastAsia="Times New Roman"/>
          <w:color w:val="000000"/>
          <w:sz w:val="20"/>
          <w:szCs w:val="20"/>
        </w:rPr>
        <w:t>e or in part, at any time on or after September 1, 2024, at a redemption price of 103.063%, 102.042%, 101.021% and 100% during the 12-month periods commencing on September 1, 2024, 2025, 2026 and 2027 and thereafter, respectively, plus accrued and unpaid i</w:t>
      </w:r>
      <w:r>
        <w:rPr>
          <w:rFonts w:eastAsia="Times New Roman"/>
          <w:color w:val="000000"/>
          <w:sz w:val="20"/>
          <w:szCs w:val="20"/>
        </w:rPr>
        <w:t>nterest to the redemption date. Prior to September 1, 2024, the Company may redeem the 6.125% Notes, in whole or in part, at a redemption price equal to 100% of the principal amount plus a make-whole premium and accrued and unpaid interest to the redemptio</w:t>
      </w:r>
      <w:r>
        <w:rPr>
          <w:rFonts w:eastAsia="Times New Roman"/>
          <w:color w:val="000000"/>
          <w:sz w:val="20"/>
          <w:szCs w:val="20"/>
        </w:rPr>
        <w:t>n date.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August 20, 2020, the Company issued $650 million aggregate principal amount of 5.000% senior unsecured notes due in 2028 (the “5.000% Notes”) and $450 million aggregate principal amount of 5.250% senior unsecured notes due in 2030 (the “5.250%</w:t>
      </w:r>
      <w:r>
        <w:rPr>
          <w:rFonts w:eastAsia="Times New Roman"/>
          <w:color w:val="000000"/>
          <w:sz w:val="20"/>
          <w:szCs w:val="20"/>
        </w:rPr>
        <w:t xml:space="preserve"> Notes”). Interest is payable on the 5.000% and 5.250% Notes semi-annually in arrears at interest rates of 5.000% and 5.250%, respectively, on April 1 and October 1 of each year beginning April 1, 2021. The 5.000% and 5.250% Notes were sold at 100% of the </w:t>
      </w:r>
      <w:r>
        <w:rPr>
          <w:rFonts w:eastAsia="Times New Roman"/>
          <w:color w:val="000000"/>
          <w:sz w:val="20"/>
          <w:szCs w:val="20"/>
        </w:rPr>
        <w:t xml:space="preserve">principal amount and with maturity dates of October 1, 2028 and October 1, 2030, respectively.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At any time and from time to time, prior to October 1, 2023, the Company may redeem up to a maximum of 40% of the original aggregate principal amount of either the 5.000%</w:t>
      </w:r>
      <w:r>
        <w:rPr>
          <w:rFonts w:eastAsia="Times New Roman"/>
          <w:color w:val="000000"/>
          <w:sz w:val="20"/>
          <w:szCs w:val="20"/>
          <w:shd w:val="clear" w:color="auto" w:fill="FFFFFF"/>
        </w:rPr>
        <w:t xml:space="preserve"> or </w:t>
      </w:r>
      <w:r>
        <w:rPr>
          <w:rFonts w:eastAsia="Times New Roman"/>
          <w:color w:val="000000"/>
          <w:sz w:val="20"/>
          <w:szCs w:val="20"/>
        </w:rPr>
        <w:t>5.250% Notes with the proceeds of one or more equity offerings, at a redemption pr</w:t>
      </w:r>
      <w:r>
        <w:rPr>
          <w:rFonts w:eastAsia="Times New Roman"/>
          <w:color w:val="000000"/>
          <w:sz w:val="20"/>
          <w:szCs w:val="20"/>
        </w:rPr>
        <w:t xml:space="preserve">ice equal to 105.000%, with respect to the 5.000% Notes, and 105.250%, with respect to the 5.250% Notes, of the principal amount thereof, plus accrued and unpaid interest thereon, if any, to, but not including, the redemption date (subject to </w:t>
      </w:r>
    </w:p>
    <w:p w:rsidR="00000000" w:rsidRDefault="006F0EF5">
      <w:pPr>
        <w:jc w:val="center"/>
        <w:divId w:val="1595363522"/>
        <w:rPr>
          <w:rFonts w:eastAsia="Times New Roman"/>
        </w:rPr>
      </w:pPr>
      <w:r>
        <w:rPr>
          <w:rFonts w:eastAsia="Times New Roman"/>
          <w:color w:val="000000"/>
          <w:sz w:val="20"/>
          <w:szCs w:val="20"/>
        </w:rPr>
        <w:t>85</w:t>
      </w:r>
    </w:p>
    <w:p w:rsidR="00000000" w:rsidRDefault="006F0EF5">
      <w:pPr>
        <w:rPr>
          <w:rFonts w:eastAsia="Times New Roman"/>
        </w:rPr>
      </w:pPr>
      <w:r>
        <w:rPr>
          <w:rFonts w:eastAsia="Times New Roman"/>
        </w:rPr>
        <w:pict>
          <v:rect id="_x0000_i1114" style="width:0;height:1.5pt" o:hralign="center" o:hrstd="t" o:hr="t" fillcolor="#a0a0a0" stroked="f"/>
        </w:pict>
      </w:r>
    </w:p>
    <w:p w:rsidR="00000000" w:rsidRDefault="006F0EF5">
      <w:pPr>
        <w:divId w:val="147541606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718779408"/>
        <w:rPr>
          <w:rFonts w:eastAsia="Times New Roman"/>
        </w:rPr>
      </w:pPr>
      <w:r>
        <w:rPr>
          <w:rFonts w:eastAsia="Times New Roman"/>
          <w:b/>
          <w:bCs/>
          <w:color w:val="000000"/>
          <w:sz w:val="20"/>
          <w:szCs w:val="20"/>
        </w:rPr>
        <w:t>NCR Corporation</w:t>
      </w:r>
    </w:p>
    <w:p w:rsidR="00000000" w:rsidRDefault="006F0EF5">
      <w:pPr>
        <w:jc w:val="center"/>
        <w:divId w:val="1718779408"/>
        <w:rPr>
          <w:rFonts w:eastAsia="Times New Roman"/>
        </w:rPr>
      </w:pPr>
      <w:r>
        <w:rPr>
          <w:rFonts w:eastAsia="Times New Roman"/>
          <w:b/>
          <w:bCs/>
          <w:color w:val="000000"/>
          <w:sz w:val="20"/>
          <w:szCs w:val="20"/>
        </w:rPr>
        <w:t>Notes to Consolidated Financial Statements-(Continued)</w:t>
      </w:r>
    </w:p>
    <w:p w:rsidR="00000000" w:rsidRDefault="006F0EF5">
      <w:pPr>
        <w:jc w:val="center"/>
        <w:divId w:val="1718779408"/>
        <w:rPr>
          <w:rFonts w:eastAsia="Times New Roman"/>
        </w:rPr>
      </w:pPr>
    </w:p>
    <w:p w:rsidR="00000000" w:rsidRDefault="006F0EF5">
      <w:pPr>
        <w:jc w:val="center"/>
        <w:divId w:val="1718779408"/>
        <w:rPr>
          <w:rFonts w:eastAsia="Times New Roman"/>
        </w:rPr>
      </w:pPr>
    </w:p>
    <w:p w:rsidR="00000000" w:rsidRDefault="006F0EF5">
      <w:pPr>
        <w:divId w:val="1526483539"/>
        <w:rPr>
          <w:rFonts w:eastAsia="Times New Roman"/>
        </w:rPr>
      </w:pPr>
    </w:p>
    <w:p w:rsidR="00000000" w:rsidRDefault="006F0EF5">
      <w:pPr>
        <w:jc w:val="both"/>
        <w:rPr>
          <w:rFonts w:eastAsia="Times New Roman"/>
        </w:rPr>
      </w:pPr>
      <w:r>
        <w:rPr>
          <w:rFonts w:eastAsia="Times New Roman"/>
          <w:color w:val="000000"/>
          <w:sz w:val="20"/>
          <w:szCs w:val="20"/>
        </w:rPr>
        <w:t>the right of holders of record on the relevant record date to receive inte</w:t>
      </w:r>
      <w:r>
        <w:rPr>
          <w:rFonts w:eastAsia="Times New Roman"/>
          <w:color w:val="000000"/>
          <w:sz w:val="20"/>
          <w:szCs w:val="20"/>
        </w:rPr>
        <w:t>rest due on the relevant interest payment date); provided that: (i) at least 55% of the original aggregate principal amount of the 5.000%</w:t>
      </w:r>
      <w:r>
        <w:rPr>
          <w:rFonts w:eastAsia="Times New Roman"/>
          <w:color w:val="000000"/>
          <w:sz w:val="20"/>
          <w:szCs w:val="20"/>
          <w:shd w:val="clear" w:color="auto" w:fill="FFFFFF"/>
        </w:rPr>
        <w:t xml:space="preserve"> or </w:t>
      </w:r>
      <w:r>
        <w:rPr>
          <w:rFonts w:eastAsia="Times New Roman"/>
          <w:color w:val="000000"/>
          <w:sz w:val="20"/>
          <w:szCs w:val="20"/>
        </w:rPr>
        <w:t xml:space="preserve">5.250% Notes remains outstanding; and (ii) such redemption occurs within 180 days of the completion of such equity </w:t>
      </w:r>
      <w:r>
        <w:rPr>
          <w:rFonts w:eastAsia="Times New Roman"/>
          <w:color w:val="000000"/>
          <w:sz w:val="20"/>
          <w:szCs w:val="20"/>
        </w:rPr>
        <w:t>offering.</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 xml:space="preserve">Prior to October 1, 2023, with respect to the </w:t>
      </w:r>
      <w:r>
        <w:rPr>
          <w:rFonts w:eastAsia="Times New Roman"/>
          <w:color w:val="000000"/>
          <w:sz w:val="20"/>
          <w:szCs w:val="20"/>
        </w:rPr>
        <w:t>5.000%</w:t>
      </w:r>
      <w:r>
        <w:rPr>
          <w:rFonts w:eastAsia="Times New Roman"/>
          <w:color w:val="000000"/>
          <w:sz w:val="20"/>
          <w:szCs w:val="20"/>
          <w:shd w:val="clear" w:color="auto" w:fill="FFFFFF"/>
        </w:rPr>
        <w:t xml:space="preserve"> Notes, or October 1, 2025, with respect to the </w:t>
      </w:r>
      <w:r>
        <w:rPr>
          <w:rFonts w:eastAsia="Times New Roman"/>
          <w:color w:val="000000"/>
          <w:sz w:val="20"/>
          <w:szCs w:val="20"/>
        </w:rPr>
        <w:t>5.250%</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Notes, the Company may redeem some or all of such series of Notes by paying a redemption price equal to 100% of the principal amount of the Notes to be redeemed plus the Applicable Premium, as defined in the Indenture, as of, and accrued and unpaid interes</w:t>
      </w:r>
      <w:r>
        <w:rPr>
          <w:rFonts w:eastAsia="Times New Roman"/>
          <w:color w:val="000000"/>
          <w:sz w:val="20"/>
          <w:szCs w:val="20"/>
          <w:shd w:val="clear" w:color="auto" w:fill="FFFFFF"/>
        </w:rPr>
        <w:t>t to, but excluding, the redemption date (subject to the right of holders of record of the Notes on the relevant record date to receive interest due on the relevant interest payment date).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 xml:space="preserve">The Company has the option to redeem the </w:t>
      </w:r>
      <w:r>
        <w:rPr>
          <w:rFonts w:eastAsia="Times New Roman"/>
          <w:color w:val="000000"/>
          <w:sz w:val="20"/>
          <w:szCs w:val="20"/>
        </w:rPr>
        <w:t>5.000%</w:t>
      </w:r>
      <w:r>
        <w:rPr>
          <w:rFonts w:eastAsia="Times New Roman"/>
          <w:color w:val="000000"/>
          <w:sz w:val="20"/>
          <w:szCs w:val="20"/>
          <w:shd w:val="clear" w:color="auto" w:fill="FFFFFF"/>
        </w:rPr>
        <w:t xml:space="preserve"> Notes, in whole o</w:t>
      </w:r>
      <w:r>
        <w:rPr>
          <w:rFonts w:eastAsia="Times New Roman"/>
          <w:color w:val="000000"/>
          <w:sz w:val="20"/>
          <w:szCs w:val="20"/>
          <w:shd w:val="clear" w:color="auto" w:fill="FFFFFF"/>
        </w:rPr>
        <w:t>r in part, at any time on or after October 1, 2023, at a redemption price of 102.500%, 101.250%, and 100% during the 12-month periods commencing on October 1, 2023, 2024 and 2025 and thereafter, respectively, plus accrued and unpaid interest to the redempt</w:t>
      </w:r>
      <w:r>
        <w:rPr>
          <w:rFonts w:eastAsia="Times New Roman"/>
          <w:color w:val="000000"/>
          <w:sz w:val="20"/>
          <w:szCs w:val="20"/>
          <w:shd w:val="clear" w:color="auto" w:fill="FFFFFF"/>
        </w:rPr>
        <w:t xml:space="preserve">ion date. The Company has the option to redeem the </w:t>
      </w:r>
      <w:r>
        <w:rPr>
          <w:rFonts w:eastAsia="Times New Roman"/>
          <w:color w:val="000000"/>
          <w:sz w:val="20"/>
          <w:szCs w:val="20"/>
        </w:rPr>
        <w:t>5.250%</w:t>
      </w:r>
      <w:r>
        <w:rPr>
          <w:rFonts w:eastAsia="Times New Roman"/>
          <w:color w:val="000000"/>
          <w:sz w:val="20"/>
          <w:szCs w:val="20"/>
          <w:shd w:val="clear" w:color="auto" w:fill="FFFFFF"/>
        </w:rPr>
        <w:t xml:space="preserve"> Notes, in whole or in part, at any time on or after October 1, 2025, at a redemption price of 102.625%, 101.750%, 100.875%, and 100% during the 12-month periods commencing on October 1, 2025, 2026, </w:t>
      </w:r>
      <w:r>
        <w:rPr>
          <w:rFonts w:eastAsia="Times New Roman"/>
          <w:color w:val="000000"/>
          <w:sz w:val="20"/>
          <w:szCs w:val="20"/>
          <w:shd w:val="clear" w:color="auto" w:fill="FFFFFF"/>
        </w:rPr>
        <w:t xml:space="preserve">2027 and 2028 and thereafter, respectively, plus accrued and unpaid interest to the redemption date.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senior unsecured notes are guaranteed by certain of the Company's domestic material subsidiaries (including the Guarantor Subsidiary and the Cardtro</w:t>
      </w:r>
      <w:r>
        <w:rPr>
          <w:rFonts w:eastAsia="Times New Roman"/>
          <w:color w:val="000000"/>
          <w:sz w:val="20"/>
          <w:szCs w:val="20"/>
        </w:rPr>
        <w:t xml:space="preserve">nics Guarantors that joined as guarantors on October 14, 2021), which have guaranteed fully and unconditionally the obligations to pay principal and interest for these senior unsecured notes. </w:t>
      </w:r>
      <w:r>
        <w:rPr>
          <w:rFonts w:eastAsia="Times New Roman"/>
          <w:color w:val="000000"/>
          <w:sz w:val="20"/>
          <w:szCs w:val="20"/>
          <w:shd w:val="clear" w:color="auto" w:fill="FFFFFF"/>
        </w:rPr>
        <w:t>The terms of the indentures for these notes limit the ability of</w:t>
      </w:r>
      <w:r>
        <w:rPr>
          <w:rFonts w:eastAsia="Times New Roman"/>
          <w:color w:val="000000"/>
          <w:sz w:val="20"/>
          <w:szCs w:val="20"/>
          <w:shd w:val="clear" w:color="auto" w:fill="FFFFFF"/>
        </w:rPr>
        <w:t xml:space="preserve"> the Company and certain of its subsidiaries to, among other things, incur additional debt or issue redeemable preferred stock; pay dividends or make certain other restricted payments or investments; incur liens; sell assets; incur restrictions on the abil</w:t>
      </w:r>
      <w:r>
        <w:rPr>
          <w:rFonts w:eastAsia="Times New Roman"/>
          <w:color w:val="000000"/>
          <w:sz w:val="20"/>
          <w:szCs w:val="20"/>
          <w:shd w:val="clear" w:color="auto" w:fill="FFFFFF"/>
        </w:rPr>
        <w:t>ity of the Company's subsidiaries to pay dividends to the Company; enter into affiliate transactions; engage in sa</w:t>
      </w:r>
      <w:r>
        <w:rPr>
          <w:rFonts w:eastAsia="Times New Roman"/>
          <w:color w:val="000000"/>
          <w:sz w:val="20"/>
          <w:szCs w:val="20"/>
        </w:rPr>
        <w:t>le and leaseback transactions; and consolidate, merge, sell or otherwise dispose of all or substantially all of the Company's or such subsidia</w:t>
      </w:r>
      <w:r>
        <w:rPr>
          <w:rFonts w:eastAsia="Times New Roman"/>
          <w:color w:val="000000"/>
          <w:sz w:val="20"/>
          <w:szCs w:val="20"/>
        </w:rPr>
        <w:t>ries' assets. These covenants are subject to significant exceptions and qualifications. For example, if these notes are assigned an “investment grade” rating by Moody's or S&amp;P and no default has occurred or is continuing, certain covenants will be terminat</w:t>
      </w:r>
      <w:r>
        <w:rPr>
          <w:rFonts w:eastAsia="Times New Roman"/>
          <w:color w:val="000000"/>
          <w:sz w:val="20"/>
          <w:szCs w:val="20"/>
        </w:rPr>
        <w:t xml:space="preserve">ed.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On April 6, 2021, the Company issued the </w:t>
      </w:r>
      <w:r>
        <w:rPr>
          <w:rFonts w:eastAsia="Times New Roman"/>
          <w:color w:val="000000"/>
          <w:sz w:val="20"/>
          <w:szCs w:val="20"/>
          <w:shd w:val="clear" w:color="auto" w:fill="FFFFFF"/>
        </w:rPr>
        <w:t>5.125%</w:t>
      </w:r>
      <w:r>
        <w:rPr>
          <w:rFonts w:eastAsia="Times New Roman"/>
          <w:color w:val="000000"/>
          <w:sz w:val="20"/>
          <w:szCs w:val="20"/>
        </w:rPr>
        <w:t xml:space="preserve"> Notes due 2029. The Company used the net proceeds from the issuance of the </w:t>
      </w:r>
      <w:r>
        <w:rPr>
          <w:rFonts w:eastAsia="Times New Roman"/>
          <w:color w:val="000000"/>
          <w:sz w:val="20"/>
          <w:szCs w:val="20"/>
          <w:shd w:val="clear" w:color="auto" w:fill="FFFFFF"/>
        </w:rPr>
        <w:t>5.125%</w:t>
      </w:r>
      <w:r>
        <w:rPr>
          <w:rFonts w:eastAsia="Times New Roman"/>
          <w:color w:val="000000"/>
          <w:sz w:val="20"/>
          <w:szCs w:val="20"/>
        </w:rPr>
        <w:t xml:space="preserve"> Notes, together with the borrowing under its senior secured credit facilities to finance the consideration paid in conn</w:t>
      </w:r>
      <w:r>
        <w:rPr>
          <w:rFonts w:eastAsia="Times New Roman"/>
          <w:color w:val="000000"/>
          <w:sz w:val="20"/>
          <w:szCs w:val="20"/>
        </w:rPr>
        <w:t>ection with the Cardtronics Transaction.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w:t>
      </w:r>
      <w:r>
        <w:rPr>
          <w:rFonts w:eastAsia="Times New Roman"/>
          <w:color w:val="000000"/>
          <w:sz w:val="20"/>
          <w:szCs w:val="20"/>
          <w:shd w:val="clear" w:color="auto" w:fill="FFFFFF"/>
        </w:rPr>
        <w:t>5.125%</w:t>
      </w:r>
      <w:r>
        <w:rPr>
          <w:rFonts w:eastAsia="Times New Roman"/>
          <w:color w:val="000000"/>
          <w:sz w:val="20"/>
          <w:szCs w:val="20"/>
        </w:rPr>
        <w:t xml:space="preserve"> Notes are senior unsecured obligations of the Company and guaranteed by the Guarantors.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Interest is payable on the </w:t>
      </w:r>
      <w:r>
        <w:rPr>
          <w:rFonts w:eastAsia="Times New Roman"/>
          <w:color w:val="000000"/>
          <w:sz w:val="20"/>
          <w:szCs w:val="20"/>
          <w:shd w:val="clear" w:color="auto" w:fill="FFFFFF"/>
        </w:rPr>
        <w:t>5.125%</w:t>
      </w:r>
      <w:r>
        <w:rPr>
          <w:rFonts w:eastAsia="Times New Roman"/>
          <w:color w:val="000000"/>
          <w:sz w:val="20"/>
          <w:szCs w:val="20"/>
        </w:rPr>
        <w:t xml:space="preserve"> Notes semi-annually in arrears at annual rates of </w:t>
      </w:r>
      <w:r>
        <w:rPr>
          <w:rFonts w:eastAsia="Times New Roman"/>
          <w:color w:val="000000"/>
          <w:sz w:val="20"/>
          <w:szCs w:val="20"/>
          <w:shd w:val="clear" w:color="auto" w:fill="FFFFFF"/>
        </w:rPr>
        <w:t>5.125%</w:t>
      </w:r>
      <w:r>
        <w:rPr>
          <w:rFonts w:eastAsia="Times New Roman"/>
          <w:color w:val="000000"/>
          <w:sz w:val="20"/>
          <w:szCs w:val="20"/>
        </w:rPr>
        <w:t xml:space="preserve"> on April 15 and Octob</w:t>
      </w:r>
      <w:r>
        <w:rPr>
          <w:rFonts w:eastAsia="Times New Roman"/>
          <w:color w:val="000000"/>
          <w:sz w:val="20"/>
          <w:szCs w:val="20"/>
        </w:rPr>
        <w:t xml:space="preserve">er 15 of each year, beginning on October 15, 2021. The </w:t>
      </w:r>
      <w:r>
        <w:rPr>
          <w:rFonts w:eastAsia="Times New Roman"/>
          <w:color w:val="000000"/>
          <w:sz w:val="20"/>
          <w:szCs w:val="20"/>
          <w:shd w:val="clear" w:color="auto" w:fill="FFFFFF"/>
        </w:rPr>
        <w:t>5.125%</w:t>
      </w:r>
      <w:r>
        <w:rPr>
          <w:rFonts w:eastAsia="Times New Roman"/>
          <w:color w:val="000000"/>
          <w:sz w:val="20"/>
          <w:szCs w:val="20"/>
        </w:rPr>
        <w:t xml:space="preserve"> Notes will mature on April 15, 2029.</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At any time and from time to time, prior to April 15, 2024, the Company may redeem up to a maximum of 40% of the original aggregate principal amount of the</w:t>
      </w:r>
      <w:r>
        <w:rPr>
          <w:rFonts w:eastAsia="Times New Roman"/>
          <w:color w:val="000000"/>
          <w:sz w:val="20"/>
          <w:szCs w:val="20"/>
        </w:rPr>
        <w:t xml:space="preserve"> </w:t>
      </w:r>
      <w:r>
        <w:rPr>
          <w:rFonts w:eastAsia="Times New Roman"/>
          <w:color w:val="000000"/>
          <w:sz w:val="20"/>
          <w:szCs w:val="20"/>
          <w:shd w:val="clear" w:color="auto" w:fill="FFFFFF"/>
        </w:rPr>
        <w:t>5.125%</w:t>
      </w:r>
      <w:r>
        <w:rPr>
          <w:rFonts w:eastAsia="Times New Roman"/>
          <w:color w:val="000000"/>
          <w:sz w:val="20"/>
          <w:szCs w:val="20"/>
        </w:rPr>
        <w:t xml:space="preserve"> Notes with the proceeds of one or more equity offerings, at a redemption price equal to 105.125% of the principal amount thereof, plus accrued and unpaid interest thereon, if any, to, but not including, the redemption date (subject to the right of </w:t>
      </w:r>
      <w:r>
        <w:rPr>
          <w:rFonts w:eastAsia="Times New Roman"/>
          <w:color w:val="000000"/>
          <w:sz w:val="20"/>
          <w:szCs w:val="20"/>
        </w:rPr>
        <w:t xml:space="preserve">holders of record on the relevant record date to receive interest due on the relevant interest payment date); provided that: (i) at least 55% of the original aggregate principal amount of the applicable </w:t>
      </w:r>
      <w:r>
        <w:rPr>
          <w:rFonts w:eastAsia="Times New Roman"/>
          <w:color w:val="000000"/>
          <w:sz w:val="20"/>
          <w:szCs w:val="20"/>
          <w:shd w:val="clear" w:color="auto" w:fill="FFFFFF"/>
        </w:rPr>
        <w:t>5.125%</w:t>
      </w:r>
      <w:r>
        <w:rPr>
          <w:rFonts w:eastAsia="Times New Roman"/>
          <w:color w:val="000000"/>
          <w:sz w:val="20"/>
          <w:szCs w:val="20"/>
        </w:rPr>
        <w:t xml:space="preserve"> Notes remains outstanding; and (ii) such redem</w:t>
      </w:r>
      <w:r>
        <w:rPr>
          <w:rFonts w:eastAsia="Times New Roman"/>
          <w:color w:val="000000"/>
          <w:sz w:val="20"/>
          <w:szCs w:val="20"/>
        </w:rPr>
        <w:t>ption occurs within 180 days of the completion of such equity offering.</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Prior to April 15, 2024, the Company may redeem some or all of the </w:t>
      </w:r>
      <w:r>
        <w:rPr>
          <w:rFonts w:eastAsia="Times New Roman"/>
          <w:color w:val="000000"/>
          <w:sz w:val="20"/>
          <w:szCs w:val="20"/>
          <w:shd w:val="clear" w:color="auto" w:fill="FFFFFF"/>
        </w:rPr>
        <w:t>5.125%</w:t>
      </w:r>
      <w:r>
        <w:rPr>
          <w:rFonts w:eastAsia="Times New Roman"/>
          <w:color w:val="000000"/>
          <w:sz w:val="20"/>
          <w:szCs w:val="20"/>
        </w:rPr>
        <w:t xml:space="preserve"> Notes by paying a redemption price equal to 100% of the principal amount of the Notes to be redeemed plus th</w:t>
      </w:r>
      <w:r>
        <w:rPr>
          <w:rFonts w:eastAsia="Times New Roman"/>
          <w:color w:val="000000"/>
          <w:sz w:val="20"/>
          <w:szCs w:val="20"/>
        </w:rPr>
        <w:t xml:space="preserve">e applicable premium, as defined in the applicable indenture, as of, and accrued and unpaid interest to, but excluding, the applicable redemption date (subject to the right of holders of record of the applicable </w:t>
      </w:r>
      <w:r>
        <w:rPr>
          <w:rFonts w:eastAsia="Times New Roman"/>
          <w:color w:val="000000"/>
          <w:sz w:val="20"/>
          <w:szCs w:val="20"/>
          <w:shd w:val="clear" w:color="auto" w:fill="FFFFFF"/>
        </w:rPr>
        <w:t>5.125%</w:t>
      </w:r>
      <w:r>
        <w:rPr>
          <w:rFonts w:eastAsia="Times New Roman"/>
          <w:color w:val="000000"/>
          <w:sz w:val="20"/>
          <w:szCs w:val="20"/>
        </w:rPr>
        <w:t xml:space="preserve"> Notes on the relevant record date to </w:t>
      </w:r>
      <w:r>
        <w:rPr>
          <w:rFonts w:eastAsia="Times New Roman"/>
          <w:color w:val="000000"/>
          <w:sz w:val="20"/>
          <w:szCs w:val="20"/>
        </w:rPr>
        <w:t>receive interest due on the relevant interest payment date).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On or after April 15 of the relevant year listed below, the Company may redeem some or all of the </w:t>
      </w:r>
      <w:r>
        <w:rPr>
          <w:rFonts w:eastAsia="Times New Roman"/>
          <w:color w:val="000000"/>
          <w:sz w:val="20"/>
          <w:szCs w:val="20"/>
          <w:shd w:val="clear" w:color="auto" w:fill="FFFFFF"/>
        </w:rPr>
        <w:t>5.125%</w:t>
      </w:r>
      <w:r>
        <w:rPr>
          <w:rFonts w:eastAsia="Times New Roman"/>
          <w:color w:val="000000"/>
          <w:sz w:val="20"/>
          <w:szCs w:val="20"/>
        </w:rPr>
        <w:t xml:space="preserve"> Notes at the prices listed below, plus accrued and unpaid interest, if any, to, but not including, the redemption date (subject to the right of holders</w:t>
      </w:r>
      <w:r>
        <w:rPr>
          <w:rFonts w:eastAsia="Times New Roman"/>
          <w:color w:val="000000"/>
          <w:sz w:val="20"/>
          <w:szCs w:val="20"/>
        </w:rPr>
        <w:t xml:space="preserve"> of record on the relevant record date to receive interest due on the relevant interest payment date): 2024 at a redemption price of 102.563%, 2025 at a redemption price of 101.281% and 2026 and thereafter at a redemption price of 100%.</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w:t>
      </w:r>
      <w:r>
        <w:rPr>
          <w:rFonts w:eastAsia="Times New Roman"/>
          <w:color w:val="000000"/>
          <w:sz w:val="20"/>
          <w:szCs w:val="20"/>
          <w:shd w:val="clear" w:color="auto" w:fill="FFFFFF"/>
        </w:rPr>
        <w:t>5.125%</w:t>
      </w:r>
      <w:r>
        <w:rPr>
          <w:rFonts w:eastAsia="Times New Roman"/>
          <w:color w:val="000000"/>
          <w:sz w:val="20"/>
          <w:szCs w:val="20"/>
        </w:rPr>
        <w:t xml:space="preserve"> Notes </w:t>
      </w:r>
      <w:r>
        <w:rPr>
          <w:rFonts w:eastAsia="Times New Roman"/>
          <w:color w:val="000000"/>
          <w:sz w:val="20"/>
          <w:szCs w:val="20"/>
        </w:rPr>
        <w:t>contains customary events of default, including, among other things, payment default, exchange default, failure to provide certain notices thereunder and certain provisions related to bankruptcy events. The indenture also contains customary high yield affi</w:t>
      </w:r>
      <w:r>
        <w:rPr>
          <w:rFonts w:eastAsia="Times New Roman"/>
          <w:color w:val="000000"/>
          <w:sz w:val="20"/>
          <w:szCs w:val="20"/>
        </w:rPr>
        <w:t xml:space="preserve">rmative and negative covenants, including negative covenants that, among other things, limit the </w:t>
      </w:r>
    </w:p>
    <w:p w:rsidR="00000000" w:rsidRDefault="006F0EF5">
      <w:pPr>
        <w:jc w:val="center"/>
        <w:divId w:val="1734815187"/>
        <w:rPr>
          <w:rFonts w:eastAsia="Times New Roman"/>
        </w:rPr>
      </w:pPr>
      <w:r>
        <w:rPr>
          <w:rFonts w:eastAsia="Times New Roman"/>
          <w:color w:val="000000"/>
          <w:sz w:val="20"/>
          <w:szCs w:val="20"/>
        </w:rPr>
        <w:t>86</w:t>
      </w:r>
    </w:p>
    <w:p w:rsidR="00000000" w:rsidRDefault="006F0EF5">
      <w:pPr>
        <w:rPr>
          <w:rFonts w:eastAsia="Times New Roman"/>
        </w:rPr>
      </w:pPr>
      <w:r>
        <w:rPr>
          <w:rFonts w:eastAsia="Times New Roman"/>
        </w:rPr>
        <w:pict>
          <v:rect id="_x0000_i1115" style="width:0;height:1.5pt" o:hralign="center" o:hrstd="t" o:hr="t" fillcolor="#a0a0a0" stroked="f"/>
        </w:pict>
      </w:r>
    </w:p>
    <w:p w:rsidR="00000000" w:rsidRDefault="006F0EF5">
      <w:pPr>
        <w:divId w:val="26196013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734398950"/>
        <w:rPr>
          <w:rFonts w:eastAsia="Times New Roman"/>
        </w:rPr>
      </w:pPr>
      <w:r>
        <w:rPr>
          <w:rFonts w:eastAsia="Times New Roman"/>
          <w:b/>
          <w:bCs/>
          <w:color w:val="000000"/>
          <w:sz w:val="20"/>
          <w:szCs w:val="20"/>
        </w:rPr>
        <w:t>NCR Corporation</w:t>
      </w:r>
    </w:p>
    <w:p w:rsidR="00000000" w:rsidRDefault="006F0EF5">
      <w:pPr>
        <w:jc w:val="center"/>
        <w:divId w:val="734398950"/>
        <w:rPr>
          <w:rFonts w:eastAsia="Times New Roman"/>
        </w:rPr>
      </w:pPr>
      <w:r>
        <w:rPr>
          <w:rFonts w:eastAsia="Times New Roman"/>
          <w:b/>
          <w:bCs/>
          <w:color w:val="000000"/>
          <w:sz w:val="20"/>
          <w:szCs w:val="20"/>
        </w:rPr>
        <w:t>Notes to Consolidated Financial Statements-(Continued)</w:t>
      </w:r>
    </w:p>
    <w:p w:rsidR="00000000" w:rsidRDefault="006F0EF5">
      <w:pPr>
        <w:jc w:val="center"/>
        <w:divId w:val="734398950"/>
        <w:rPr>
          <w:rFonts w:eastAsia="Times New Roman"/>
        </w:rPr>
      </w:pPr>
    </w:p>
    <w:p w:rsidR="00000000" w:rsidRDefault="006F0EF5">
      <w:pPr>
        <w:jc w:val="center"/>
        <w:divId w:val="734398950"/>
        <w:rPr>
          <w:rFonts w:eastAsia="Times New Roman"/>
        </w:rPr>
      </w:pPr>
    </w:p>
    <w:p w:rsidR="00000000" w:rsidRDefault="006F0EF5">
      <w:pPr>
        <w:divId w:val="1018388064"/>
        <w:rPr>
          <w:rFonts w:eastAsia="Times New Roman"/>
        </w:rPr>
      </w:pPr>
    </w:p>
    <w:p w:rsidR="00000000" w:rsidRDefault="006F0EF5">
      <w:pPr>
        <w:jc w:val="both"/>
        <w:rPr>
          <w:rFonts w:eastAsia="Times New Roman"/>
        </w:rPr>
      </w:pPr>
      <w:r>
        <w:rPr>
          <w:rFonts w:eastAsia="Times New Roman"/>
          <w:color w:val="000000"/>
          <w:sz w:val="20"/>
          <w:szCs w:val="20"/>
        </w:rPr>
        <w:t>Company and its restricted subsidiaries’ ability to incur additional indebtedness, create liens on, sell or otherwise dispose of assets, engage in certain fundamental corporate changes or changes</w:t>
      </w:r>
      <w:r>
        <w:rPr>
          <w:rFonts w:eastAsia="Times New Roman"/>
          <w:color w:val="000000"/>
          <w:sz w:val="20"/>
          <w:szCs w:val="20"/>
        </w:rPr>
        <w:t xml:space="preserve"> to lines of business activities, make certain investments or material acquisitions, engage in sale-leaseback or hedging transactions, repurchase common stock, pay dividends or make similar distributions on capital stock, repay certain indebtedness, engage</w:t>
      </w:r>
      <w:r>
        <w:rPr>
          <w:rFonts w:eastAsia="Times New Roman"/>
          <w:color w:val="000000"/>
          <w:sz w:val="20"/>
          <w:szCs w:val="20"/>
        </w:rPr>
        <w:t xml:space="preserve"> in certain affiliate transactions and enter into agreements that restrict their ability to create liens, pay dividends or make loan repayments.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August 12, 2021 (the “Redemption Date”), the $400 million 8.125% Notes were redeemed, at a redemption prem</w:t>
      </w:r>
      <w:r>
        <w:rPr>
          <w:rFonts w:eastAsia="Times New Roman"/>
          <w:color w:val="000000"/>
          <w:sz w:val="20"/>
          <w:szCs w:val="20"/>
        </w:rPr>
        <w:t>ium of 109.136% of the aggregate principal amount. As part of the debt extinguishment, we recognized a loss of $42 million, which includes the write-off of deferred financing fees of $5 million and a cash redemption premium of $37 million.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September 1</w:t>
      </w:r>
      <w:r>
        <w:rPr>
          <w:rFonts w:eastAsia="Times New Roman"/>
          <w:color w:val="000000"/>
          <w:sz w:val="20"/>
          <w:szCs w:val="20"/>
        </w:rPr>
        <w:t>9, 2020, the Company redeemed all of its outstanding $600 million aggregate principal amount of 5.000% senior unsecured notes due in 2022 and $700 million aggregate principal amount of 6.375% senior unsecured notes due in 2023. The 5.00% notes were redeeme</w:t>
      </w:r>
      <w:r>
        <w:rPr>
          <w:rFonts w:eastAsia="Times New Roman"/>
          <w:color w:val="000000"/>
          <w:sz w:val="20"/>
          <w:szCs w:val="20"/>
        </w:rPr>
        <w:t>d at 100% plus accrued and unpaid interest. The 6.375% notes were redeemed at a premium of 102.125% plus accrued and unpaid interest. As a part of the debt extinguishment, we recognized a loss of $20 million, which includes the write-off of deferred financ</w:t>
      </w:r>
      <w:r>
        <w:rPr>
          <w:rFonts w:eastAsia="Times New Roman"/>
          <w:color w:val="000000"/>
          <w:sz w:val="20"/>
          <w:szCs w:val="20"/>
        </w:rPr>
        <w:t>ing fees of $5 million and a cash redemption premium of $15 million.</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Trade Receivables Securitization Facility</w:t>
      </w:r>
      <w:r>
        <w:rPr>
          <w:rFonts w:eastAsia="Times New Roman"/>
          <w:color w:val="000000"/>
          <w:sz w:val="20"/>
          <w:szCs w:val="20"/>
        </w:rPr>
        <w:t xml:space="preserve"> In November 2014, the Company established a revolving trade receivables securitization facility (the “T/R Facility”) with PNC Bank, National As</w:t>
      </w:r>
      <w:r>
        <w:rPr>
          <w:rFonts w:eastAsia="Times New Roman"/>
          <w:color w:val="000000"/>
          <w:sz w:val="20"/>
          <w:szCs w:val="20"/>
        </w:rPr>
        <w:t>sociation (“PNC”) as the administrative agent, and various lenders. The T/R Facility, as amended in November 2019, provided for up to $300 million in funding based on the availability of eligible receivables and other customary factors and conditions, of w</w:t>
      </w:r>
      <w:r>
        <w:rPr>
          <w:rFonts w:eastAsia="Times New Roman"/>
          <w:color w:val="000000"/>
          <w:sz w:val="20"/>
          <w:szCs w:val="20"/>
        </w:rPr>
        <w:t>hich none was outstanding as of December 31, 2020. On September 30, 2021, the principal agreements for the T/R Facility were amended and restated to allow the Company's wholly-owned, bankruptcy remote subsidiary NCR Receivables LLC (the “U.S. SPE”) to sell</w:t>
      </w:r>
      <w:r>
        <w:rPr>
          <w:rFonts w:eastAsia="Times New Roman"/>
          <w:color w:val="000000"/>
          <w:sz w:val="20"/>
          <w:szCs w:val="20"/>
        </w:rPr>
        <w:t xml:space="preserve"> to PNC and the other financial institutions participating in the T/R Facility an undivided ownership interest in a portion of the trade receivables owned by the U.S. SPE. In connection with this amendment and restatement, the U.S. SPE repaid in full its o</w:t>
      </w:r>
      <w:r>
        <w:rPr>
          <w:rFonts w:eastAsia="Times New Roman"/>
          <w:color w:val="000000"/>
          <w:sz w:val="20"/>
          <w:szCs w:val="20"/>
        </w:rPr>
        <w:t>utstanding indebtedness under the T/R Facility and agreed to terminate and replace the lending commitments of PNC and the other financial institutions thereunder with commitments to purchase the U.S. SPE's trade receivables. Refer to Note 6, “Trade Receiva</w:t>
      </w:r>
      <w:r>
        <w:rPr>
          <w:rFonts w:eastAsia="Times New Roman"/>
          <w:color w:val="000000"/>
          <w:sz w:val="20"/>
          <w:szCs w:val="20"/>
        </w:rPr>
        <w:t xml:space="preserve">bles Facility”, for more information.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Debt Maturities </w:t>
      </w:r>
      <w:r>
        <w:rPr>
          <w:rFonts w:eastAsia="Times New Roman"/>
          <w:color w:val="000000"/>
          <w:sz w:val="20"/>
          <w:szCs w:val="20"/>
        </w:rPr>
        <w:t xml:space="preserve">Maturities of debt outstanding, in principal amounts, at December 31, 2021 are summarized below: </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2264"/>
        <w:gridCol w:w="36"/>
        <w:gridCol w:w="36"/>
        <w:gridCol w:w="36"/>
        <w:gridCol w:w="36"/>
        <w:gridCol w:w="120"/>
        <w:gridCol w:w="644"/>
        <w:gridCol w:w="36"/>
        <w:gridCol w:w="36"/>
        <w:gridCol w:w="36"/>
        <w:gridCol w:w="36"/>
        <w:gridCol w:w="120"/>
        <w:gridCol w:w="560"/>
        <w:gridCol w:w="36"/>
        <w:gridCol w:w="36"/>
        <w:gridCol w:w="36"/>
        <w:gridCol w:w="36"/>
        <w:gridCol w:w="120"/>
        <w:gridCol w:w="535"/>
        <w:gridCol w:w="36"/>
        <w:gridCol w:w="36"/>
        <w:gridCol w:w="36"/>
        <w:gridCol w:w="36"/>
        <w:gridCol w:w="120"/>
        <w:gridCol w:w="536"/>
        <w:gridCol w:w="36"/>
        <w:gridCol w:w="36"/>
        <w:gridCol w:w="36"/>
        <w:gridCol w:w="36"/>
        <w:gridCol w:w="120"/>
        <w:gridCol w:w="537"/>
        <w:gridCol w:w="36"/>
        <w:gridCol w:w="36"/>
        <w:gridCol w:w="36"/>
        <w:gridCol w:w="36"/>
        <w:gridCol w:w="120"/>
        <w:gridCol w:w="537"/>
        <w:gridCol w:w="36"/>
        <w:gridCol w:w="36"/>
        <w:gridCol w:w="36"/>
        <w:gridCol w:w="36"/>
        <w:gridCol w:w="121"/>
        <w:gridCol w:w="745"/>
        <w:gridCol w:w="36"/>
      </w:tblGrid>
      <w:tr w:rsidR="00000000">
        <w:trPr>
          <w:divId w:val="1120997275"/>
          <w:jc w:val="center"/>
        </w:trPr>
        <w:tc>
          <w:tcPr>
            <w:tcW w:w="50" w:type="pct"/>
            <w:vAlign w:val="center"/>
            <w:hideMark/>
          </w:tcPr>
          <w:p w:rsidR="00000000" w:rsidRDefault="006F0EF5">
            <w:pPr>
              <w:jc w:val="both"/>
              <w:rPr>
                <w:rFonts w:eastAsia="Times New Roman"/>
              </w:rPr>
            </w:pPr>
          </w:p>
        </w:tc>
        <w:tc>
          <w:tcPr>
            <w:tcW w:w="140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5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9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120997275"/>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years ended December 31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120997275"/>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2026</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Thereafter</w:t>
            </w:r>
          </w:p>
        </w:tc>
      </w:tr>
      <w:tr w:rsidR="006F0EF5">
        <w:trPr>
          <w:divId w:val="1120997275"/>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Debt maturities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5,622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Fair Valu</w:t>
      </w:r>
      <w:r>
        <w:rPr>
          <w:rFonts w:eastAsia="Times New Roman"/>
          <w:i/>
          <w:iCs/>
          <w:color w:val="000000"/>
          <w:sz w:val="20"/>
          <w:szCs w:val="20"/>
        </w:rPr>
        <w:t>e of Debt</w:t>
      </w:r>
      <w:r>
        <w:rPr>
          <w:rFonts w:eastAsia="Times New Roman"/>
          <w:color w:val="000000"/>
          <w:sz w:val="20"/>
          <w:szCs w:val="20"/>
        </w:rPr>
        <w:t xml:space="preserve"> The Company utilized Level 2 inputs, as defined in the fair value hierarchy, to measure the fair value of the long-term debt, which, as of December 31, 2021 and 2020 was $5.74 billion and $3.49 billion, respectively. Management's fair value estim</w:t>
      </w:r>
      <w:r>
        <w:rPr>
          <w:rFonts w:eastAsia="Times New Roman"/>
          <w:color w:val="000000"/>
          <w:sz w:val="20"/>
          <w:szCs w:val="20"/>
        </w:rPr>
        <w:t>ates were based on quoted prices for recent trades of NCR’s long-term debt, quoted prices for similar instruments, and inquiries with certain investment communities.</w:t>
      </w:r>
    </w:p>
    <w:p w:rsidR="00000000" w:rsidRDefault="006F0EF5">
      <w:pPr>
        <w:jc w:val="center"/>
        <w:divId w:val="1027557755"/>
        <w:rPr>
          <w:rFonts w:eastAsia="Times New Roman"/>
        </w:rPr>
      </w:pPr>
      <w:r>
        <w:rPr>
          <w:rFonts w:eastAsia="Times New Roman"/>
          <w:color w:val="000000"/>
          <w:sz w:val="20"/>
          <w:szCs w:val="20"/>
        </w:rPr>
        <w:t>87</w:t>
      </w:r>
    </w:p>
    <w:p w:rsidR="00000000" w:rsidRDefault="006F0EF5">
      <w:pPr>
        <w:rPr>
          <w:rFonts w:eastAsia="Times New Roman"/>
        </w:rPr>
      </w:pPr>
      <w:r>
        <w:rPr>
          <w:rFonts w:eastAsia="Times New Roman"/>
        </w:rPr>
        <w:pict>
          <v:rect id="_x0000_i1116" style="width:0;height:1.5pt" o:hralign="center" o:hrstd="t" o:hr="t" fillcolor="#a0a0a0" stroked="f"/>
        </w:pict>
      </w:r>
    </w:p>
    <w:p w:rsidR="00000000" w:rsidRDefault="006F0EF5">
      <w:pPr>
        <w:divId w:val="161231897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926500143"/>
        <w:rPr>
          <w:rFonts w:eastAsia="Times New Roman"/>
        </w:rPr>
      </w:pPr>
      <w:r>
        <w:rPr>
          <w:rFonts w:eastAsia="Times New Roman"/>
          <w:b/>
          <w:bCs/>
          <w:color w:val="000000"/>
          <w:sz w:val="20"/>
          <w:szCs w:val="20"/>
        </w:rPr>
        <w:t>NCR Corporation</w:t>
      </w:r>
    </w:p>
    <w:p w:rsidR="00000000" w:rsidRDefault="006F0EF5">
      <w:pPr>
        <w:jc w:val="center"/>
        <w:divId w:val="1926500143"/>
        <w:rPr>
          <w:rFonts w:eastAsia="Times New Roman"/>
        </w:rPr>
      </w:pPr>
      <w:r>
        <w:rPr>
          <w:rFonts w:eastAsia="Times New Roman"/>
          <w:b/>
          <w:bCs/>
          <w:color w:val="000000"/>
          <w:sz w:val="20"/>
          <w:szCs w:val="20"/>
        </w:rPr>
        <w:t>Notes to Consolidated Financial Statements-(Continued)</w:t>
      </w:r>
    </w:p>
    <w:p w:rsidR="00000000" w:rsidRDefault="006F0EF5">
      <w:pPr>
        <w:jc w:val="center"/>
        <w:divId w:val="1926500143"/>
        <w:rPr>
          <w:rFonts w:eastAsia="Times New Roman"/>
        </w:rPr>
      </w:pPr>
    </w:p>
    <w:p w:rsidR="00000000" w:rsidRDefault="006F0EF5">
      <w:pPr>
        <w:jc w:val="center"/>
        <w:divId w:val="1926500143"/>
        <w:rPr>
          <w:rFonts w:eastAsia="Times New Roman"/>
        </w:rPr>
      </w:pPr>
    </w:p>
    <w:p w:rsidR="00000000" w:rsidRDefault="006F0EF5">
      <w:pPr>
        <w:divId w:val="1814054923"/>
        <w:rPr>
          <w:rFonts w:eastAsia="Times New Roman"/>
        </w:rPr>
      </w:pPr>
    </w:p>
    <w:p w:rsidR="00000000" w:rsidRDefault="006F0EF5">
      <w:pPr>
        <w:jc w:val="both"/>
        <w:rPr>
          <w:rFonts w:eastAsia="Times New Roman"/>
        </w:rPr>
      </w:pPr>
      <w:r>
        <w:rPr>
          <w:rFonts w:eastAsia="Times New Roman"/>
          <w:b/>
          <w:bCs/>
          <w:color w:val="7ACE05"/>
          <w:sz w:val="20"/>
          <w:szCs w:val="20"/>
        </w:rPr>
        <w:t>6. TRADE RECEIVABLES FACILITY</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September 30, 2021, the Company and its wholly-owned United States bankruptcy-remote special purpose entity (“SPE”) a</w:t>
      </w:r>
      <w:r>
        <w:rPr>
          <w:rFonts w:eastAsia="Times New Roman"/>
          <w:color w:val="000000"/>
          <w:sz w:val="20"/>
          <w:szCs w:val="20"/>
        </w:rPr>
        <w:t xml:space="preserve">mended and restated the principal agreements for the T/R Facility. The amended and restated agreements add the trade receivables originated by certain United States and Canadian subsidiaries of the Company to the T/R Facility. Furthermore, the amended and </w:t>
      </w:r>
      <w:r>
        <w:rPr>
          <w:rFonts w:eastAsia="Times New Roman"/>
          <w:color w:val="000000"/>
          <w:sz w:val="20"/>
          <w:szCs w:val="20"/>
        </w:rPr>
        <w:t>restated agreements enable the U.S. SPE to, from time to time, sell short-term trade receivables from certain customer trade accounts to PNC and the other unaffiliated purchasers on a revolving basis. The T/R Facility has a term of two years, which the Com</w:t>
      </w:r>
      <w:r>
        <w:rPr>
          <w:rFonts w:eastAsia="Times New Roman"/>
          <w:color w:val="000000"/>
          <w:sz w:val="20"/>
          <w:szCs w:val="20"/>
        </w:rPr>
        <w:t>pany and the U.S. SPE intend to renew.</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Under the T/R Facility, the Company and the other United States and Canadian subsidiaries continuously sell their trade receivables as they are originated to the U.S. SPE and another newly formed Canadian bankruptcy-remote special purpose entity (collectiv</w:t>
      </w:r>
      <w:r>
        <w:rPr>
          <w:rFonts w:eastAsia="Times New Roman"/>
          <w:color w:val="000000"/>
          <w:sz w:val="20"/>
          <w:szCs w:val="20"/>
        </w:rPr>
        <w:t>ely, the “SPEs”), as applicable. None of the assets or credit of either SPE is available to satisfy the debts and obligations owed to the creditors of the Company or any other person until the obligations of the SPEs under the T/R Facility have been satisf</w:t>
      </w:r>
      <w:r>
        <w:rPr>
          <w:rFonts w:eastAsia="Times New Roman"/>
          <w:color w:val="000000"/>
          <w:sz w:val="20"/>
          <w:szCs w:val="20"/>
        </w:rPr>
        <w:t xml:space="preserve">ied. The Company controls and therefore consolidates the SPEs in its consolidated financial statements.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cash is collected on the trade receivables, the U.S. SPE has the ability to continuously transfer ownership and control of new qualifying receivab</w:t>
      </w:r>
      <w:r>
        <w:rPr>
          <w:rFonts w:eastAsia="Times New Roman"/>
          <w:color w:val="000000"/>
          <w:sz w:val="20"/>
          <w:szCs w:val="20"/>
        </w:rPr>
        <w:t>les to PNC and the other unaffiliated purchasers such that the total outstanding balance of trade receivables sold can be up to $300 million at any point in time, which is the maximum purchase commitment of PNC and the other unaffiliated purchasers. The fu</w:t>
      </w:r>
      <w:r>
        <w:rPr>
          <w:rFonts w:eastAsia="Times New Roman"/>
          <w:color w:val="000000"/>
          <w:sz w:val="20"/>
          <w:szCs w:val="20"/>
        </w:rPr>
        <w:t>ture outstanding balance of trade receivables that are sold is expected to vary based on the level of activity and other factors and could be less than the maximum purchase commitment of $300 million. The total outstanding balance of trade receivables that</w:t>
      </w:r>
      <w:r>
        <w:rPr>
          <w:rFonts w:eastAsia="Times New Roman"/>
          <w:color w:val="000000"/>
          <w:sz w:val="20"/>
          <w:szCs w:val="20"/>
        </w:rPr>
        <w:t xml:space="preserve"> have been sold and derecognized by the U.S. SPE to PNC and the other unaffiliated purchasers is approximately $300 million as of December 31, 2021. The SPEs collectively owned $228 million (excluding the $300 million of trade receivables sold to PNC and t</w:t>
      </w:r>
      <w:r>
        <w:rPr>
          <w:rFonts w:eastAsia="Times New Roman"/>
          <w:color w:val="000000"/>
          <w:sz w:val="20"/>
          <w:szCs w:val="20"/>
        </w:rPr>
        <w:t>he other unaffiliated purchasers on December 31, 2021) and $428 million of trade receivable as of December 31, 2021 and December 31, 2020, respectively, and these amounts are included in Accounts receivable, net in the Company’s Consolidated Balance Sheets</w:t>
      </w:r>
      <w:r>
        <w:rPr>
          <w:rFonts w:eastAsia="Times New Roman"/>
          <w:color w:val="000000"/>
          <w:sz w:val="20"/>
          <w:szCs w:val="20"/>
        </w:rPr>
        <w:t xml:space="preserv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Upon the amendment and restatement of the T/R Facility, the Company received a benefit from cash from operations of approximately $300 million in the year ended December 31, 2021. Continuous cash activity related to the T/R Facility is reflected in Ne</w:t>
      </w:r>
      <w:r>
        <w:rPr>
          <w:rFonts w:eastAsia="Times New Roman"/>
          <w:color w:val="000000"/>
          <w:sz w:val="20"/>
          <w:szCs w:val="20"/>
        </w:rPr>
        <w:t>t cash provided by operating activities in the Consolidated Statements of Cash Flows. The U.S. SPE incurs fees due and payable to PNC and the other unaffiliated purchasers participating in the T/R Facility. Those fees, which are immaterial, are recorded wi</w:t>
      </w:r>
      <w:r>
        <w:rPr>
          <w:rFonts w:eastAsia="Times New Roman"/>
          <w:color w:val="000000"/>
          <w:sz w:val="20"/>
          <w:szCs w:val="20"/>
        </w:rPr>
        <w:t>thin Other income (expense), net in the Consolidated Statements of Operations. In addition, each of the SPEs has provided a full recourse guarantee in favor of PNC and the other unaffiliated purchasers of the full and timely payment of all trade receivable</w:t>
      </w:r>
      <w:r>
        <w:rPr>
          <w:rFonts w:eastAsia="Times New Roman"/>
          <w:color w:val="000000"/>
          <w:sz w:val="20"/>
          <w:szCs w:val="20"/>
        </w:rPr>
        <w:t>s sold to them by the U.S. SPE. The guarantee is collateralized by all the trade receivables owned by each of the SPEs that have not been sold to PNC or the other unaffiliated purchasers. The reserve recognized for this recourse obligation as of December 3</w:t>
      </w:r>
      <w:r>
        <w:rPr>
          <w:rFonts w:eastAsia="Times New Roman"/>
          <w:color w:val="000000"/>
          <w:sz w:val="20"/>
          <w:szCs w:val="20"/>
        </w:rPr>
        <w:t xml:space="preserve">1, 2021 is not material. </w:t>
      </w:r>
    </w:p>
    <w:p w:rsidR="00000000" w:rsidRDefault="006F0EF5">
      <w:pPr>
        <w:divId w:val="171183526"/>
        <w:rPr>
          <w:rFonts w:eastAsia="Times New Roman"/>
        </w:rPr>
      </w:pPr>
    </w:p>
    <w:p w:rsidR="00000000" w:rsidRDefault="006F0EF5">
      <w:pPr>
        <w:jc w:val="both"/>
        <w:rPr>
          <w:rFonts w:eastAsia="Times New Roman"/>
        </w:rPr>
      </w:pPr>
      <w:r>
        <w:rPr>
          <w:rFonts w:eastAsia="Times New Roman"/>
          <w:color w:val="000000"/>
          <w:sz w:val="20"/>
          <w:szCs w:val="20"/>
        </w:rPr>
        <w:t>The Company, or in the case of any Canadian trade receivables, NCR Canada Corp., continues to be involved with the trade receivables even after they are transferred to the SPEs (or further transferred to PNC and the other unaffi</w:t>
      </w:r>
      <w:r>
        <w:rPr>
          <w:rFonts w:eastAsia="Times New Roman"/>
          <w:color w:val="000000"/>
          <w:sz w:val="20"/>
          <w:szCs w:val="20"/>
        </w:rPr>
        <w:t>liated purchasers) by acting as servicer. In addition to any obligations as servicer, the Company and each of its subsidiaries acting as an originator under the T/R Facility provide the SPEs with customary recourse in respect of (i) certain dilutive events</w:t>
      </w:r>
      <w:r>
        <w:rPr>
          <w:rFonts w:eastAsia="Times New Roman"/>
          <w:color w:val="000000"/>
          <w:sz w:val="20"/>
          <w:szCs w:val="20"/>
        </w:rPr>
        <w:t xml:space="preserve"> with respect to the trade receivables sold to the SPEs that are caused by the Company or another originator and (ii) in the event of certain violations by the Company or another originator of their representations and warranties with respect to the trade </w:t>
      </w:r>
      <w:r>
        <w:rPr>
          <w:rFonts w:eastAsia="Times New Roman"/>
          <w:color w:val="000000"/>
          <w:sz w:val="20"/>
          <w:szCs w:val="20"/>
        </w:rPr>
        <w:t>receivables sold to the SPEs. These servicing and originator liabilities of the Company and its subsidiaries (other than the SPEs) under the T/R Facility are not expected to be material, given the high quality of the customers underlying the receivables an</w:t>
      </w:r>
      <w:r>
        <w:rPr>
          <w:rFonts w:eastAsia="Times New Roman"/>
          <w:color w:val="000000"/>
          <w:sz w:val="20"/>
          <w:szCs w:val="20"/>
        </w:rPr>
        <w:t>d the anticipated short collection period.</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T/R Facility includes other customary representations and warranties, affirmative and negative covenants and default and termination provisions, which provide for the acceleration of amounts owed to PNC and </w:t>
      </w:r>
      <w:r>
        <w:rPr>
          <w:rFonts w:eastAsia="Times New Roman"/>
          <w:color w:val="000000"/>
          <w:sz w:val="20"/>
          <w:szCs w:val="20"/>
        </w:rPr>
        <w:t>the other unaffiliated purchasers thereunder in circumstances including, but not limited to, failure to pay capital or yield on when due, breach of representation, warranty or covenant, certain insolvency events or failure to maintain the security interest</w:t>
      </w:r>
      <w:r>
        <w:rPr>
          <w:rFonts w:eastAsia="Times New Roman"/>
          <w:color w:val="000000"/>
          <w:sz w:val="20"/>
          <w:szCs w:val="20"/>
        </w:rPr>
        <w:t xml:space="preserve"> in the trade receivables, and defaults under other material indebtedness.</w:t>
      </w:r>
    </w:p>
    <w:p w:rsidR="00000000" w:rsidRDefault="006F0EF5">
      <w:pPr>
        <w:jc w:val="center"/>
        <w:divId w:val="336690904"/>
        <w:rPr>
          <w:rFonts w:eastAsia="Times New Roman"/>
        </w:rPr>
      </w:pPr>
      <w:r>
        <w:rPr>
          <w:rFonts w:eastAsia="Times New Roman"/>
          <w:color w:val="000000"/>
          <w:sz w:val="20"/>
          <w:szCs w:val="20"/>
        </w:rPr>
        <w:t>88</w:t>
      </w:r>
    </w:p>
    <w:p w:rsidR="00000000" w:rsidRDefault="006F0EF5">
      <w:pPr>
        <w:rPr>
          <w:rFonts w:eastAsia="Times New Roman"/>
        </w:rPr>
      </w:pPr>
      <w:r>
        <w:rPr>
          <w:rFonts w:eastAsia="Times New Roman"/>
        </w:rPr>
        <w:pict>
          <v:rect id="_x0000_i1117" style="width:0;height:1.5pt" o:hralign="center" o:hrstd="t" o:hr="t" fillcolor="#a0a0a0" stroked="f"/>
        </w:pict>
      </w:r>
    </w:p>
    <w:p w:rsidR="00000000" w:rsidRDefault="006F0EF5">
      <w:pPr>
        <w:divId w:val="179701764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512379607"/>
        <w:rPr>
          <w:rFonts w:eastAsia="Times New Roman"/>
        </w:rPr>
      </w:pPr>
      <w:r>
        <w:rPr>
          <w:rFonts w:eastAsia="Times New Roman"/>
          <w:b/>
          <w:bCs/>
          <w:color w:val="000000"/>
          <w:sz w:val="20"/>
          <w:szCs w:val="20"/>
        </w:rPr>
        <w:t>NCR Corporation</w:t>
      </w:r>
    </w:p>
    <w:p w:rsidR="00000000" w:rsidRDefault="006F0EF5">
      <w:pPr>
        <w:jc w:val="center"/>
        <w:divId w:val="1512379607"/>
        <w:rPr>
          <w:rFonts w:eastAsia="Times New Roman"/>
        </w:rPr>
      </w:pPr>
      <w:r>
        <w:rPr>
          <w:rFonts w:eastAsia="Times New Roman"/>
          <w:b/>
          <w:bCs/>
          <w:color w:val="000000"/>
          <w:sz w:val="20"/>
          <w:szCs w:val="20"/>
        </w:rPr>
        <w:t>Notes to Consolidated Financial Statements-(Conti</w:t>
      </w:r>
      <w:r>
        <w:rPr>
          <w:rFonts w:eastAsia="Times New Roman"/>
          <w:b/>
          <w:bCs/>
          <w:color w:val="000000"/>
          <w:sz w:val="20"/>
          <w:szCs w:val="20"/>
        </w:rPr>
        <w:t>nued)</w:t>
      </w:r>
    </w:p>
    <w:p w:rsidR="00000000" w:rsidRDefault="006F0EF5">
      <w:pPr>
        <w:jc w:val="center"/>
        <w:divId w:val="1512379607"/>
        <w:rPr>
          <w:rFonts w:eastAsia="Times New Roman"/>
        </w:rPr>
      </w:pPr>
    </w:p>
    <w:p w:rsidR="00000000" w:rsidRDefault="006F0EF5">
      <w:pPr>
        <w:jc w:val="center"/>
        <w:divId w:val="1512379607"/>
        <w:rPr>
          <w:rFonts w:eastAsia="Times New Roman"/>
        </w:rPr>
      </w:pPr>
    </w:p>
    <w:p w:rsidR="00000000" w:rsidRDefault="006F0EF5">
      <w:pPr>
        <w:divId w:val="1081634646"/>
        <w:rPr>
          <w:rFonts w:eastAsia="Times New Roman"/>
        </w:rPr>
      </w:pPr>
    </w:p>
    <w:p w:rsidR="00000000" w:rsidRDefault="006F0EF5">
      <w:pPr>
        <w:jc w:val="both"/>
        <w:rPr>
          <w:rFonts w:eastAsia="Times New Roman"/>
        </w:rPr>
      </w:pPr>
      <w:r>
        <w:rPr>
          <w:rFonts w:eastAsia="Times New Roman"/>
          <w:b/>
          <w:bCs/>
          <w:color w:val="7ACE05"/>
          <w:sz w:val="20"/>
          <w:szCs w:val="20"/>
        </w:rPr>
        <w:t>7. INCOME TAXES</w:t>
      </w:r>
      <w:r>
        <w:rPr>
          <w:rFonts w:eastAsia="Times New Roman"/>
          <w:b/>
          <w:bCs/>
          <w:color w:val="000000"/>
          <w:sz w:val="20"/>
          <w:szCs w:val="20"/>
        </w:rPr>
        <w:t xml:space="preserv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For the years ended December 31, income (loss) from continuing operations before income taxes consisted of the following:</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4556"/>
        <w:gridCol w:w="38"/>
        <w:gridCol w:w="36"/>
        <w:gridCol w:w="36"/>
        <w:gridCol w:w="36"/>
        <w:gridCol w:w="120"/>
        <w:gridCol w:w="948"/>
        <w:gridCol w:w="36"/>
        <w:gridCol w:w="36"/>
        <w:gridCol w:w="36"/>
        <w:gridCol w:w="36"/>
        <w:gridCol w:w="120"/>
        <w:gridCol w:w="948"/>
        <w:gridCol w:w="36"/>
        <w:gridCol w:w="36"/>
        <w:gridCol w:w="36"/>
        <w:gridCol w:w="36"/>
        <w:gridCol w:w="120"/>
        <w:gridCol w:w="948"/>
        <w:gridCol w:w="36"/>
      </w:tblGrid>
      <w:tr w:rsidR="00000000">
        <w:trPr>
          <w:divId w:val="1992126375"/>
          <w:jc w:val="center"/>
        </w:trPr>
        <w:tc>
          <w:tcPr>
            <w:tcW w:w="50" w:type="pct"/>
            <w:vAlign w:val="center"/>
            <w:hideMark/>
          </w:tcPr>
          <w:p w:rsidR="00000000" w:rsidRDefault="006F0EF5">
            <w:pPr>
              <w:jc w:val="both"/>
              <w:rPr>
                <w:rFonts w:eastAsia="Times New Roman"/>
              </w:rPr>
            </w:pPr>
          </w:p>
        </w:tc>
        <w:tc>
          <w:tcPr>
            <w:tcW w:w="278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992126375"/>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1992126375"/>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992126375"/>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United States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992126375"/>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366 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992126375"/>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14913527"/>
        <w:rPr>
          <w:rFonts w:eastAsia="Times New Roman"/>
        </w:rPr>
      </w:pPr>
    </w:p>
    <w:p w:rsidR="00000000" w:rsidRDefault="006F0EF5">
      <w:pPr>
        <w:jc w:val="both"/>
        <w:rPr>
          <w:rFonts w:eastAsia="Times New Roman"/>
        </w:rPr>
      </w:pPr>
      <w:r>
        <w:rPr>
          <w:rFonts w:eastAsia="Times New Roman"/>
          <w:color w:val="000000"/>
          <w:sz w:val="20"/>
          <w:szCs w:val="20"/>
        </w:rPr>
        <w:t>For the years ended December 31, income tax expense (benefit) consisted of the following:</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4555"/>
        <w:gridCol w:w="39"/>
        <w:gridCol w:w="36"/>
        <w:gridCol w:w="36"/>
        <w:gridCol w:w="36"/>
        <w:gridCol w:w="120"/>
        <w:gridCol w:w="947"/>
        <w:gridCol w:w="36"/>
        <w:gridCol w:w="36"/>
        <w:gridCol w:w="36"/>
        <w:gridCol w:w="36"/>
        <w:gridCol w:w="120"/>
        <w:gridCol w:w="948"/>
        <w:gridCol w:w="36"/>
        <w:gridCol w:w="36"/>
        <w:gridCol w:w="36"/>
        <w:gridCol w:w="36"/>
        <w:gridCol w:w="120"/>
        <w:gridCol w:w="948"/>
        <w:gridCol w:w="36"/>
      </w:tblGrid>
      <w:tr w:rsidR="00000000">
        <w:trPr>
          <w:divId w:val="59377203"/>
          <w:jc w:val="center"/>
        </w:trPr>
        <w:tc>
          <w:tcPr>
            <w:tcW w:w="50" w:type="pct"/>
            <w:vAlign w:val="center"/>
            <w:hideMark/>
          </w:tcPr>
          <w:p w:rsidR="00000000" w:rsidRDefault="006F0EF5">
            <w:pPr>
              <w:jc w:val="both"/>
              <w:rPr>
                <w:rFonts w:eastAsia="Times New Roman"/>
              </w:rPr>
            </w:pPr>
          </w:p>
        </w:tc>
        <w:tc>
          <w:tcPr>
            <w:tcW w:w="278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59377203"/>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5937720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59377203"/>
          <w:jc w:val="center"/>
        </w:trPr>
        <w:tc>
          <w:tcPr>
            <w:tcW w:w="0" w:type="auto"/>
            <w:gridSpan w:val="3"/>
            <w:shd w:val="clear" w:color="auto" w:fill="FFFF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Current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59377203"/>
          <w:jc w:val="center"/>
        </w:trPr>
        <w:tc>
          <w:tcPr>
            <w:tcW w:w="0" w:type="auto"/>
            <w:gridSpan w:val="3"/>
            <w:shd w:val="clear" w:color="auto" w:fill="CCEEFF"/>
            <w:tcMar>
              <w:top w:w="30" w:type="dxa"/>
              <w:left w:w="51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Federal</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9377203"/>
          <w:jc w:val="center"/>
        </w:trPr>
        <w:tc>
          <w:tcPr>
            <w:tcW w:w="0" w:type="auto"/>
            <w:gridSpan w:val="3"/>
            <w:shd w:val="clear" w:color="auto" w:fill="FFFFFF"/>
            <w:tcMar>
              <w:top w:w="30" w:type="dxa"/>
              <w:left w:w="51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State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9377203"/>
          <w:jc w:val="center"/>
        </w:trPr>
        <w:tc>
          <w:tcPr>
            <w:tcW w:w="0" w:type="auto"/>
            <w:gridSpan w:val="3"/>
            <w:shd w:val="clear" w:color="auto" w:fill="CCEEFF"/>
            <w:tcMar>
              <w:top w:w="30" w:type="dxa"/>
              <w:left w:w="51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9377203"/>
          <w:jc w:val="center"/>
        </w:trPr>
        <w:tc>
          <w:tcPr>
            <w:tcW w:w="0" w:type="auto"/>
            <w:gridSpan w:val="3"/>
            <w:shd w:val="clear" w:color="auto" w:fill="FFFF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Deferred</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59377203"/>
          <w:jc w:val="center"/>
        </w:trPr>
        <w:tc>
          <w:tcPr>
            <w:tcW w:w="0" w:type="auto"/>
            <w:gridSpan w:val="3"/>
            <w:shd w:val="clear" w:color="auto" w:fill="CCEEFF"/>
            <w:tcMar>
              <w:top w:w="30" w:type="dxa"/>
              <w:left w:w="51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Federal</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9377203"/>
          <w:jc w:val="center"/>
        </w:trPr>
        <w:tc>
          <w:tcPr>
            <w:tcW w:w="0" w:type="auto"/>
            <w:gridSpan w:val="3"/>
            <w:shd w:val="clear" w:color="auto" w:fill="FFFFFF"/>
            <w:tcMar>
              <w:top w:w="30" w:type="dxa"/>
              <w:left w:w="51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State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9377203"/>
          <w:jc w:val="center"/>
        </w:trPr>
        <w:tc>
          <w:tcPr>
            <w:tcW w:w="0" w:type="auto"/>
            <w:gridSpan w:val="3"/>
            <w:shd w:val="clear" w:color="auto" w:fill="CCEEFF"/>
            <w:tcMar>
              <w:top w:w="30" w:type="dxa"/>
              <w:left w:w="51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9377203"/>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income tax expense (benefit)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348211409"/>
        <w:rPr>
          <w:rFonts w:eastAsia="Times New Roman"/>
        </w:rPr>
      </w:pPr>
    </w:p>
    <w:p w:rsidR="00000000" w:rsidRDefault="006F0EF5">
      <w:pPr>
        <w:divId w:val="1717847326"/>
        <w:rPr>
          <w:rFonts w:eastAsia="Times New Roman"/>
        </w:rPr>
      </w:pPr>
      <w:r>
        <w:rPr>
          <w:rFonts w:eastAsia="Times New Roman"/>
          <w:color w:val="000000"/>
          <w:sz w:val="20"/>
          <w:szCs w:val="20"/>
        </w:rPr>
        <w:t>The following table presents the principal components of t</w:t>
      </w:r>
      <w:r>
        <w:rPr>
          <w:rFonts w:eastAsia="Times New Roman"/>
          <w:color w:val="000000"/>
          <w:sz w:val="20"/>
          <w:szCs w:val="20"/>
        </w:rPr>
        <w:t>he difference between the effective tax rate and the U.S. federal statutory income tax rate for the years ended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41"/>
        <w:gridCol w:w="4554"/>
        <w:gridCol w:w="40"/>
        <w:gridCol w:w="36"/>
        <w:gridCol w:w="36"/>
        <w:gridCol w:w="36"/>
        <w:gridCol w:w="120"/>
        <w:gridCol w:w="946"/>
        <w:gridCol w:w="36"/>
        <w:gridCol w:w="36"/>
        <w:gridCol w:w="36"/>
        <w:gridCol w:w="36"/>
        <w:gridCol w:w="120"/>
        <w:gridCol w:w="948"/>
        <w:gridCol w:w="36"/>
        <w:gridCol w:w="36"/>
        <w:gridCol w:w="36"/>
        <w:gridCol w:w="36"/>
        <w:gridCol w:w="120"/>
        <w:gridCol w:w="948"/>
        <w:gridCol w:w="36"/>
      </w:tblGrid>
      <w:tr w:rsidR="00000000">
        <w:trPr>
          <w:divId w:val="585188371"/>
          <w:jc w:val="center"/>
        </w:trPr>
        <w:tc>
          <w:tcPr>
            <w:tcW w:w="50" w:type="pct"/>
            <w:vAlign w:val="center"/>
            <w:hideMark/>
          </w:tcPr>
          <w:p w:rsidR="00000000" w:rsidRDefault="006F0EF5">
            <w:pPr>
              <w:rPr>
                <w:rFonts w:eastAsia="Times New Roman"/>
              </w:rPr>
            </w:pPr>
          </w:p>
        </w:tc>
        <w:tc>
          <w:tcPr>
            <w:tcW w:w="278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585188371"/>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585188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Income tax expense (benefit) at the U.S. federal tax rate of 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Foreign income tax differential</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Additional U.S. tax on foreign income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State and local income taxes (net of federal effect)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Meals and entertainment expense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Nondeductible transaction costs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Disallowed executive compensation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Excess benefit/deficit from share-based payments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U.S. permanent book/tax differences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Gain/loss on internal entity restructuring</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Change in branch tax status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Research and development tax credits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Foreign tax law changes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Valuation allowances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Change in liability for unrecognized tax benefits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Change in tax estimates for prior periods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Impact of intangible asset transfer</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net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585188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center"/>
        <w:divId w:val="683825347"/>
        <w:rPr>
          <w:rFonts w:eastAsia="Times New Roman"/>
        </w:rPr>
      </w:pPr>
      <w:r>
        <w:rPr>
          <w:rFonts w:eastAsia="Times New Roman"/>
          <w:color w:val="000000"/>
          <w:sz w:val="20"/>
          <w:szCs w:val="20"/>
        </w:rPr>
        <w:t>89</w:t>
      </w:r>
    </w:p>
    <w:p w:rsidR="00000000" w:rsidRDefault="006F0EF5">
      <w:pPr>
        <w:rPr>
          <w:rFonts w:eastAsia="Times New Roman"/>
        </w:rPr>
      </w:pPr>
      <w:r>
        <w:rPr>
          <w:rFonts w:eastAsia="Times New Roman"/>
        </w:rPr>
        <w:pict>
          <v:rect id="_x0000_i1118" style="width:0;height:1.5pt" o:hralign="center" o:hrstd="t" o:hr="t" fillcolor="#a0a0a0" stroked="f"/>
        </w:pict>
      </w:r>
    </w:p>
    <w:p w:rsidR="00000000" w:rsidRDefault="006F0EF5">
      <w:pPr>
        <w:divId w:val="926619870"/>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905677893"/>
        <w:rPr>
          <w:rFonts w:eastAsia="Times New Roman"/>
        </w:rPr>
      </w:pPr>
      <w:r>
        <w:rPr>
          <w:rFonts w:eastAsia="Times New Roman"/>
          <w:b/>
          <w:bCs/>
          <w:color w:val="000000"/>
          <w:sz w:val="20"/>
          <w:szCs w:val="20"/>
        </w:rPr>
        <w:t>N</w:t>
      </w:r>
      <w:r>
        <w:rPr>
          <w:rFonts w:eastAsia="Times New Roman"/>
          <w:b/>
          <w:bCs/>
          <w:color w:val="000000"/>
          <w:sz w:val="20"/>
          <w:szCs w:val="20"/>
        </w:rPr>
        <w:t>CR Corporation</w:t>
      </w:r>
    </w:p>
    <w:p w:rsidR="00000000" w:rsidRDefault="006F0EF5">
      <w:pPr>
        <w:jc w:val="center"/>
        <w:divId w:val="1905677893"/>
        <w:rPr>
          <w:rFonts w:eastAsia="Times New Roman"/>
        </w:rPr>
      </w:pPr>
      <w:r>
        <w:rPr>
          <w:rFonts w:eastAsia="Times New Roman"/>
          <w:b/>
          <w:bCs/>
          <w:color w:val="000000"/>
          <w:sz w:val="20"/>
          <w:szCs w:val="20"/>
        </w:rPr>
        <w:t>Notes to Consolidated Financial Statements-(Continued)</w:t>
      </w:r>
    </w:p>
    <w:p w:rsidR="00000000" w:rsidRDefault="006F0EF5">
      <w:pPr>
        <w:jc w:val="center"/>
        <w:divId w:val="1905677893"/>
        <w:rPr>
          <w:rFonts w:eastAsia="Times New Roman"/>
        </w:rPr>
      </w:pPr>
    </w:p>
    <w:p w:rsidR="00000000" w:rsidRDefault="006F0EF5">
      <w:pPr>
        <w:jc w:val="center"/>
        <w:divId w:val="1905677893"/>
        <w:rPr>
          <w:rFonts w:eastAsia="Times New Roman"/>
        </w:rPr>
      </w:pPr>
    </w:p>
    <w:p w:rsidR="00000000" w:rsidRDefault="006F0EF5">
      <w:pPr>
        <w:divId w:val="2122525832"/>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NCR's tax provisions include a provision for income taxes in certain tax jurisdictions where its subsidiaries are profitable, but reflect only a portion of the tax benefits related to certain foreign subsidiaries' tax losses due to the uncertainty of the u</w:t>
      </w:r>
      <w:r>
        <w:rPr>
          <w:rFonts w:eastAsia="Times New Roman"/>
          <w:color w:val="000000"/>
          <w:sz w:val="20"/>
          <w:szCs w:val="20"/>
        </w:rPr>
        <w:t>ltimate realization of future benefits from these losses. During 2021, significant matters impacting our tax rate include a $36 million expense from recording a valuation allowance against interest expense deduction carryforwards in the United States, a $1</w:t>
      </w:r>
      <w:r>
        <w:rPr>
          <w:rFonts w:eastAsia="Times New Roman"/>
          <w:color w:val="000000"/>
          <w:sz w:val="20"/>
          <w:szCs w:val="20"/>
        </w:rPr>
        <w:t>4 million benefit from the deferred tax impact of a tax law change in the United Kingdom and a $40 million non-cash expense resulting from an internal entity restructuring. During 2020, the tax rate was impacted by a $48 million benefit from the release of</w:t>
      </w:r>
      <w:r>
        <w:rPr>
          <w:rFonts w:eastAsia="Times New Roman"/>
          <w:color w:val="000000"/>
          <w:sz w:val="20"/>
          <w:szCs w:val="20"/>
        </w:rPr>
        <w:t xml:space="preserve"> a valuation allowance against U.S. foreign tax credits and the re-establishment of expected foreign tax credit offsets to unrecognized tax benefits. During 2019, the tax rate was impacted by the transfer of certain intangible assets among our wholly-owned</w:t>
      </w:r>
      <w:r>
        <w:rPr>
          <w:rFonts w:eastAsia="Times New Roman"/>
          <w:color w:val="000000"/>
          <w:sz w:val="20"/>
          <w:szCs w:val="20"/>
        </w:rPr>
        <w:t xml:space="preserve"> subsidiaries, creating a net tax benefit of $264 million. The tax rate was also impacted by foreign valuation allowance releases of $74 million.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In the fourth quarter of 2021, the Company recorded $9 million of income tax expense ($4.7 million of which </w:t>
      </w:r>
      <w:r>
        <w:rPr>
          <w:rFonts w:eastAsia="Times New Roman"/>
          <w:color w:val="000000"/>
          <w:sz w:val="20"/>
          <w:szCs w:val="20"/>
        </w:rPr>
        <w:t>related to multiple prior annual periods) related to the correction of the utilization of foreign tax credits in prior years and an additional valuation allowance required for interest expense carryforwards recognized in interim periods during 2021. The Co</w:t>
      </w:r>
      <w:r>
        <w:rPr>
          <w:rFonts w:eastAsia="Times New Roman"/>
          <w:color w:val="000000"/>
          <w:sz w:val="20"/>
          <w:szCs w:val="20"/>
        </w:rPr>
        <w:t>mpany determined that the adjustments and corrections recorded in the fourth quarter of 2021 were not material, quantitatively or qualitatively, to the impacted annual and interim financial statements.</w:t>
      </w:r>
    </w:p>
    <w:p w:rsidR="00000000" w:rsidRDefault="006F0EF5">
      <w:pPr>
        <w:jc w:val="both"/>
        <w:rPr>
          <w:rFonts w:eastAsia="Times New Roman"/>
        </w:rPr>
      </w:pPr>
    </w:p>
    <w:p w:rsidR="00000000" w:rsidRDefault="006F0EF5">
      <w:pPr>
        <w:jc w:val="both"/>
        <w:divId w:val="685904333"/>
        <w:rPr>
          <w:rFonts w:eastAsia="Times New Roman"/>
        </w:rPr>
      </w:pPr>
      <w:r>
        <w:rPr>
          <w:rFonts w:eastAsia="Times New Roman"/>
          <w:color w:val="000000"/>
          <w:sz w:val="20"/>
          <w:szCs w:val="20"/>
        </w:rPr>
        <w:t>NCR did not provide additional U.S. income tax or fo</w:t>
      </w:r>
      <w:r>
        <w:rPr>
          <w:rFonts w:eastAsia="Times New Roman"/>
          <w:color w:val="000000"/>
          <w:sz w:val="20"/>
          <w:szCs w:val="20"/>
        </w:rPr>
        <w:t>reign withholding taxes, if any, on approximately $3.5 billion of undistributed earnings of its foreign subsidiaries, given the intention continues to be that those earnings are reinvested indefinitely. The amount of unrecognized deferred tax liability ass</w:t>
      </w:r>
      <w:r>
        <w:rPr>
          <w:rFonts w:eastAsia="Times New Roman"/>
          <w:color w:val="000000"/>
          <w:sz w:val="20"/>
          <w:szCs w:val="20"/>
        </w:rPr>
        <w:t>ociated with these indefinitely reinvested earnings is approximately $145 million. The unrecognized deferred tax liability is made up of a combination of United States and state income taxes and foreign withholding taxes.</w:t>
      </w:r>
    </w:p>
    <w:p w:rsidR="00000000" w:rsidRDefault="006F0EF5">
      <w:pPr>
        <w:jc w:val="both"/>
        <w:rPr>
          <w:rFonts w:eastAsia="Times New Roman"/>
        </w:rPr>
      </w:pPr>
      <w:r>
        <w:rPr>
          <w:rFonts w:eastAsia="Times New Roman"/>
          <w:color w:val="000000"/>
          <w:sz w:val="20"/>
          <w:szCs w:val="20"/>
        </w:rPr>
        <w:t>We regularly review our deferred tax assets for recoverability and establish a valuation allowance if it is more likely than not that some portion or all of the deferred tax asset will not be realized. The determination as to whether a deferred tax asset w</w:t>
      </w:r>
      <w:r>
        <w:rPr>
          <w:rFonts w:eastAsia="Times New Roman"/>
          <w:color w:val="000000"/>
          <w:sz w:val="20"/>
          <w:szCs w:val="20"/>
        </w:rPr>
        <w:t>ill be realized is made on a jurisdictional basis and is based on the evaluation of positive and negative evidence. This evidence includes historical taxable income/loss, projected future taxable income, the expected timing of the reversal of existing temp</w:t>
      </w:r>
      <w:r>
        <w:rPr>
          <w:rFonts w:eastAsia="Times New Roman"/>
          <w:color w:val="000000"/>
          <w:sz w:val="20"/>
          <w:szCs w:val="20"/>
        </w:rPr>
        <w:t>orary differences and the implementation of tax planning strategies.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Deferred income tax assets and liabilities included in the Consolidated Balance Sheets as of December 31 were as follows:</w:t>
      </w:r>
    </w:p>
    <w:tbl>
      <w:tblPr>
        <w:tblW w:w="4978" w:type="pct"/>
        <w:tblCellMar>
          <w:top w:w="15" w:type="dxa"/>
          <w:left w:w="15" w:type="dxa"/>
          <w:bottom w:w="15" w:type="dxa"/>
          <w:right w:w="15" w:type="dxa"/>
        </w:tblCellMar>
        <w:tblLook w:val="04A0" w:firstRow="1" w:lastRow="0" w:firstColumn="1" w:lastColumn="0" w:noHBand="0" w:noVBand="1"/>
      </w:tblPr>
      <w:tblGrid>
        <w:gridCol w:w="39"/>
        <w:gridCol w:w="5754"/>
        <w:gridCol w:w="37"/>
        <w:gridCol w:w="36"/>
        <w:gridCol w:w="36"/>
        <w:gridCol w:w="36"/>
        <w:gridCol w:w="121"/>
        <w:gridCol w:w="954"/>
        <w:gridCol w:w="36"/>
        <w:gridCol w:w="36"/>
        <w:gridCol w:w="36"/>
        <w:gridCol w:w="36"/>
        <w:gridCol w:w="121"/>
        <w:gridCol w:w="955"/>
        <w:gridCol w:w="36"/>
      </w:tblGrid>
      <w:tr w:rsidR="00000000">
        <w:trPr>
          <w:divId w:val="419639046"/>
        </w:trPr>
        <w:tc>
          <w:tcPr>
            <w:tcW w:w="50" w:type="pct"/>
            <w:vAlign w:val="center"/>
            <w:hideMark/>
          </w:tcPr>
          <w:p w:rsidR="00000000" w:rsidRDefault="006F0EF5">
            <w:pPr>
              <w:jc w:val="both"/>
              <w:rPr>
                <w:rFonts w:eastAsia="Times New Roman"/>
              </w:rPr>
            </w:pPr>
          </w:p>
        </w:tc>
        <w:tc>
          <w:tcPr>
            <w:tcW w:w="350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419639046"/>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41963904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Deferred income tax assets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41963904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Tax loss and credit carryforwards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667 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Employee pensions and other benefits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balance sheet reserves and allowances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Capitalized research and development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Lease liabilities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Intangible assets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Property, plant and equipment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deferred income tax assets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Valuation allowance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(368)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deferred income tax assets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Deferred income tax liabilities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41963904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Right of use assets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Capitalized software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deferred income tax liabilities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963904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net deferred income tax assets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25958486"/>
        <w:rPr>
          <w:rFonts w:eastAsia="Times New Roman"/>
        </w:rPr>
      </w:pPr>
    </w:p>
    <w:p w:rsidR="00000000" w:rsidRDefault="006F0EF5">
      <w:pPr>
        <w:jc w:val="center"/>
        <w:divId w:val="904217859"/>
        <w:rPr>
          <w:rFonts w:eastAsia="Times New Roman"/>
        </w:rPr>
      </w:pPr>
      <w:r>
        <w:rPr>
          <w:rFonts w:eastAsia="Times New Roman"/>
          <w:color w:val="000000"/>
          <w:sz w:val="20"/>
          <w:szCs w:val="20"/>
        </w:rPr>
        <w:t>9</w:t>
      </w:r>
      <w:r>
        <w:rPr>
          <w:rFonts w:eastAsia="Times New Roman"/>
          <w:color w:val="000000"/>
          <w:sz w:val="20"/>
          <w:szCs w:val="20"/>
        </w:rPr>
        <w:t>0</w:t>
      </w:r>
    </w:p>
    <w:p w:rsidR="00000000" w:rsidRDefault="006F0EF5">
      <w:pPr>
        <w:rPr>
          <w:rFonts w:eastAsia="Times New Roman"/>
        </w:rPr>
      </w:pPr>
      <w:r>
        <w:rPr>
          <w:rFonts w:eastAsia="Times New Roman"/>
        </w:rPr>
        <w:pict>
          <v:rect id="_x0000_i1119" style="width:0;height:1.5pt" o:hralign="center" o:hrstd="t" o:hr="t" fillcolor="#a0a0a0" stroked="f"/>
        </w:pict>
      </w:r>
    </w:p>
    <w:p w:rsidR="00000000" w:rsidRDefault="006F0EF5">
      <w:pPr>
        <w:divId w:val="928854879"/>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845365558"/>
        <w:rPr>
          <w:rFonts w:eastAsia="Times New Roman"/>
        </w:rPr>
      </w:pPr>
      <w:r>
        <w:rPr>
          <w:rFonts w:eastAsia="Times New Roman"/>
          <w:b/>
          <w:bCs/>
          <w:color w:val="000000"/>
          <w:sz w:val="20"/>
          <w:szCs w:val="20"/>
        </w:rPr>
        <w:t>NCR Corporation</w:t>
      </w:r>
    </w:p>
    <w:p w:rsidR="00000000" w:rsidRDefault="006F0EF5">
      <w:pPr>
        <w:jc w:val="center"/>
        <w:divId w:val="845365558"/>
        <w:rPr>
          <w:rFonts w:eastAsia="Times New Roman"/>
        </w:rPr>
      </w:pPr>
      <w:r>
        <w:rPr>
          <w:rFonts w:eastAsia="Times New Roman"/>
          <w:b/>
          <w:bCs/>
          <w:color w:val="000000"/>
          <w:sz w:val="20"/>
          <w:szCs w:val="20"/>
        </w:rPr>
        <w:t>Notes to Consolidated Financial Statements-(Continued)</w:t>
      </w:r>
    </w:p>
    <w:p w:rsidR="00000000" w:rsidRDefault="006F0EF5">
      <w:pPr>
        <w:jc w:val="center"/>
        <w:divId w:val="845365558"/>
        <w:rPr>
          <w:rFonts w:eastAsia="Times New Roman"/>
        </w:rPr>
      </w:pPr>
    </w:p>
    <w:p w:rsidR="00000000" w:rsidRDefault="006F0EF5">
      <w:pPr>
        <w:jc w:val="center"/>
        <w:divId w:val="845365558"/>
        <w:rPr>
          <w:rFonts w:eastAsia="Times New Roman"/>
        </w:rPr>
      </w:pPr>
    </w:p>
    <w:p w:rsidR="00000000" w:rsidRDefault="006F0EF5">
      <w:pPr>
        <w:divId w:val="1803501490"/>
        <w:rPr>
          <w:rFonts w:eastAsia="Times New Roman"/>
        </w:rPr>
      </w:pPr>
    </w:p>
    <w:p w:rsidR="00000000" w:rsidRDefault="006F0EF5">
      <w:pPr>
        <w:jc w:val="both"/>
        <w:rPr>
          <w:rFonts w:eastAsia="Times New Roman"/>
        </w:rPr>
      </w:pPr>
      <w:r>
        <w:rPr>
          <w:rFonts w:eastAsia="Times New Roman"/>
          <w:color w:val="000000"/>
          <w:sz w:val="20"/>
          <w:szCs w:val="20"/>
        </w:rPr>
        <w:t xml:space="preserve">NCR has previously recorded valuation allowances related to certain deferred tax assets due to the uncertainty of the ultimate realization of the future benefits from those assets. The recorded valuation allowances cover deferred tax assets, primarily tax </w:t>
      </w:r>
      <w:r>
        <w:rPr>
          <w:rFonts w:eastAsia="Times New Roman"/>
          <w:color w:val="000000"/>
          <w:sz w:val="20"/>
          <w:szCs w:val="20"/>
        </w:rPr>
        <w:t>loss carryforwards and foreign tax credits, in tax jurisdictions where there is uncertainty as to the ultimate realization of those tax losses and credits. If we are unable to generate sufficient future taxable income of the proper source in the time perio</w:t>
      </w:r>
      <w:r>
        <w:rPr>
          <w:rFonts w:eastAsia="Times New Roman"/>
          <w:color w:val="000000"/>
          <w:sz w:val="20"/>
          <w:szCs w:val="20"/>
        </w:rPr>
        <w:t>d within which the temporary differences underlying our deferred tax assets become deductible, or before the expiration of our loss and credit carryforwards, additional valuation allowances could be required.</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of December 31, 2021, NCR had U.S. federal</w:t>
      </w:r>
      <w:r>
        <w:rPr>
          <w:rFonts w:eastAsia="Times New Roman"/>
          <w:color w:val="000000"/>
          <w:sz w:val="20"/>
          <w:szCs w:val="20"/>
        </w:rPr>
        <w:t>, U.S. state (tax effected), and foreign tax attribute carryforwards of approximately $1.7 billion. The net operating loss carryforwards that are subject to expiration will expire in the years 2022 through 2039. The attributes include U.S. tax credit carry</w:t>
      </w:r>
      <w:r>
        <w:rPr>
          <w:rFonts w:eastAsia="Times New Roman"/>
          <w:color w:val="000000"/>
          <w:sz w:val="20"/>
          <w:szCs w:val="20"/>
        </w:rPr>
        <w:t>forwards of $233 million, which expire in the years 2022 through 2041. As a result of stock ownership changes our U.S. tax attributes could be subject to limitations under Section 382 of the U.S. Internal Revenue Code of 1986, as amended, if further materi</w:t>
      </w:r>
      <w:r>
        <w:rPr>
          <w:rFonts w:eastAsia="Times New Roman"/>
          <w:color w:val="000000"/>
          <w:sz w:val="20"/>
          <w:szCs w:val="20"/>
        </w:rPr>
        <w:t>al stock ownership changes occur.</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aggregate changes in the balance of our gross unrecognized tax benefits were as follows for the years ended December 31:</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007"/>
        <w:gridCol w:w="36"/>
        <w:gridCol w:w="36"/>
        <w:gridCol w:w="36"/>
        <w:gridCol w:w="36"/>
        <w:gridCol w:w="120"/>
        <w:gridCol w:w="827"/>
        <w:gridCol w:w="36"/>
        <w:gridCol w:w="36"/>
        <w:gridCol w:w="36"/>
        <w:gridCol w:w="36"/>
        <w:gridCol w:w="120"/>
        <w:gridCol w:w="827"/>
        <w:gridCol w:w="36"/>
        <w:gridCol w:w="36"/>
        <w:gridCol w:w="36"/>
        <w:gridCol w:w="36"/>
        <w:gridCol w:w="120"/>
        <w:gridCol w:w="754"/>
        <w:gridCol w:w="36"/>
      </w:tblGrid>
      <w:tr w:rsidR="00000000">
        <w:trPr>
          <w:divId w:val="1243951998"/>
          <w:jc w:val="center"/>
        </w:trPr>
        <w:tc>
          <w:tcPr>
            <w:tcW w:w="50" w:type="pct"/>
            <w:vAlign w:val="center"/>
            <w:hideMark/>
          </w:tcPr>
          <w:p w:rsidR="00000000" w:rsidRDefault="006F0EF5">
            <w:pPr>
              <w:jc w:val="both"/>
              <w:rPr>
                <w:rFonts w:eastAsia="Times New Roman"/>
              </w:rPr>
            </w:pPr>
          </w:p>
        </w:tc>
        <w:tc>
          <w:tcPr>
            <w:tcW w:w="305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5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5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0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243951998"/>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1243951998"/>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Gross unrecognized tax benefits - January 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3951998"/>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Increases related to tax positions from prior years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3951998"/>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Decreases related to tax positions from prior years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3951998"/>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Increases related to tax provisions taken during the current year</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3951998"/>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Settlements with tax authorities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3951998"/>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Lapses of statutes of limitation</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3951998"/>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gross unrecognized tax benefits - December 31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283074662"/>
        <w:rPr>
          <w:rFonts w:eastAsia="Times New Roman"/>
        </w:rPr>
      </w:pPr>
    </w:p>
    <w:p w:rsidR="00000000" w:rsidRDefault="006F0EF5">
      <w:pPr>
        <w:jc w:val="both"/>
        <w:rPr>
          <w:rFonts w:eastAsia="Times New Roman"/>
        </w:rPr>
      </w:pPr>
      <w:r>
        <w:rPr>
          <w:rFonts w:eastAsia="Times New Roman"/>
          <w:color w:val="000000"/>
          <w:sz w:val="20"/>
          <w:szCs w:val="20"/>
        </w:rPr>
        <w:t>Of the total amount of gross unrecognized tax benefits as of December 31, 2021, $73 million would affect NCR’s effective tax rate if realized. The Company’s liability arising from uncertain tax positions is recorded in Income tax accruals and Other current</w:t>
      </w:r>
      <w:r>
        <w:rPr>
          <w:rFonts w:eastAsia="Times New Roman"/>
          <w:color w:val="000000"/>
          <w:sz w:val="20"/>
          <w:szCs w:val="20"/>
        </w:rPr>
        <w:t xml:space="preserve"> liabilities in the Consolidated Balance Sheets.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recognized interest and penalties associated with uncertain tax positions as part of the provision for income taxes in our Consolidated Statements of Operations of zero, $5 million of benefit, and $2 mi</w:t>
      </w:r>
      <w:r>
        <w:rPr>
          <w:rFonts w:eastAsia="Times New Roman"/>
          <w:color w:val="000000"/>
          <w:sz w:val="20"/>
          <w:szCs w:val="20"/>
        </w:rPr>
        <w:t>llion of expense for the years ended December 31, 2021, 2020, and 2019, respectively. The gross amount of interest and penalties accrued as of December 31, 2021 and 2020 was $30 million in each year.</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the United States, NCR files consolidated federal a</w:t>
      </w:r>
      <w:r>
        <w:rPr>
          <w:rFonts w:eastAsia="Times New Roman"/>
          <w:color w:val="000000"/>
          <w:sz w:val="20"/>
          <w:szCs w:val="20"/>
        </w:rPr>
        <w:t xml:space="preserve">nd state income tax returns where statutes of limitations generally range from three to five years. U.S. federal tax years remain open from 2018 forward. Years beginning on or after 2007 are still open to examination by certain foreign taxing authorities, </w:t>
      </w:r>
      <w:r>
        <w:rPr>
          <w:rFonts w:eastAsia="Times New Roman"/>
          <w:color w:val="000000"/>
          <w:sz w:val="20"/>
          <w:szCs w:val="20"/>
        </w:rPr>
        <w:t xml:space="preserve">including India, Egypt, and other major taxing jurisdictions.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During 2022, the Company expects to resolve certain tax matters related to United States and foreign jurisdictions. As of December 31, 2021, we estimate that it is reasonably possible that un</w:t>
      </w:r>
      <w:r>
        <w:rPr>
          <w:rFonts w:eastAsia="Times New Roman"/>
          <w:color w:val="000000"/>
          <w:sz w:val="20"/>
          <w:szCs w:val="20"/>
        </w:rPr>
        <w:t xml:space="preserve">recognized tax benefits may decrease by $3 million to $12 million in the next 12 months due to the resolution of these tax matters. </w:t>
      </w:r>
    </w:p>
    <w:p w:rsidR="00000000" w:rsidRDefault="006F0EF5">
      <w:pPr>
        <w:jc w:val="both"/>
        <w:rPr>
          <w:rFonts w:eastAsia="Times New Roman"/>
        </w:rPr>
      </w:pPr>
    </w:p>
    <w:p w:rsidR="00000000" w:rsidRDefault="006F0EF5">
      <w:pPr>
        <w:jc w:val="center"/>
        <w:divId w:val="1109399808"/>
        <w:rPr>
          <w:rFonts w:eastAsia="Times New Roman"/>
        </w:rPr>
      </w:pPr>
      <w:r>
        <w:rPr>
          <w:rFonts w:eastAsia="Times New Roman"/>
          <w:color w:val="000000"/>
          <w:sz w:val="20"/>
          <w:szCs w:val="20"/>
        </w:rPr>
        <w:t>91</w:t>
      </w:r>
    </w:p>
    <w:p w:rsidR="00000000" w:rsidRDefault="006F0EF5">
      <w:pPr>
        <w:rPr>
          <w:rFonts w:eastAsia="Times New Roman"/>
        </w:rPr>
      </w:pPr>
      <w:r>
        <w:rPr>
          <w:rFonts w:eastAsia="Times New Roman"/>
        </w:rPr>
        <w:pict>
          <v:rect id="_x0000_i1120" style="width:0;height:1.5pt" o:hralign="center" o:hrstd="t" o:hr="t" fillcolor="#a0a0a0" stroked="f"/>
        </w:pict>
      </w:r>
    </w:p>
    <w:p w:rsidR="00000000" w:rsidRDefault="006F0EF5">
      <w:pPr>
        <w:divId w:val="127540533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331519107"/>
        <w:rPr>
          <w:rFonts w:eastAsia="Times New Roman"/>
        </w:rPr>
      </w:pPr>
      <w:r>
        <w:rPr>
          <w:rFonts w:eastAsia="Times New Roman"/>
          <w:b/>
          <w:bCs/>
          <w:color w:val="000000"/>
          <w:sz w:val="20"/>
          <w:szCs w:val="20"/>
        </w:rPr>
        <w:t>NCR C</w:t>
      </w:r>
      <w:r>
        <w:rPr>
          <w:rFonts w:eastAsia="Times New Roman"/>
          <w:b/>
          <w:bCs/>
          <w:color w:val="000000"/>
          <w:sz w:val="20"/>
          <w:szCs w:val="20"/>
        </w:rPr>
        <w:t>orporation</w:t>
      </w:r>
    </w:p>
    <w:p w:rsidR="00000000" w:rsidRDefault="006F0EF5">
      <w:pPr>
        <w:jc w:val="center"/>
        <w:divId w:val="1331519107"/>
        <w:rPr>
          <w:rFonts w:eastAsia="Times New Roman"/>
        </w:rPr>
      </w:pPr>
      <w:r>
        <w:rPr>
          <w:rFonts w:eastAsia="Times New Roman"/>
          <w:b/>
          <w:bCs/>
          <w:color w:val="000000"/>
          <w:sz w:val="20"/>
          <w:szCs w:val="20"/>
        </w:rPr>
        <w:t>Notes to Consolidated Financial Statements-(Continued)</w:t>
      </w:r>
    </w:p>
    <w:p w:rsidR="00000000" w:rsidRDefault="006F0EF5">
      <w:pPr>
        <w:jc w:val="center"/>
        <w:divId w:val="1331519107"/>
        <w:rPr>
          <w:rFonts w:eastAsia="Times New Roman"/>
        </w:rPr>
      </w:pPr>
    </w:p>
    <w:p w:rsidR="00000000" w:rsidRDefault="006F0EF5">
      <w:pPr>
        <w:jc w:val="center"/>
        <w:divId w:val="1331519107"/>
        <w:rPr>
          <w:rFonts w:eastAsia="Times New Roman"/>
        </w:rPr>
      </w:pPr>
    </w:p>
    <w:p w:rsidR="00000000" w:rsidRDefault="006F0EF5">
      <w:pPr>
        <w:divId w:val="1521160582"/>
        <w:rPr>
          <w:rFonts w:eastAsia="Times New Roman"/>
        </w:rPr>
      </w:pPr>
    </w:p>
    <w:p w:rsidR="00000000" w:rsidRDefault="006F0EF5">
      <w:pPr>
        <w:divId w:val="1573586109"/>
        <w:rPr>
          <w:rFonts w:eastAsia="Times New Roman"/>
        </w:rPr>
      </w:pPr>
      <w:r>
        <w:rPr>
          <w:rFonts w:eastAsia="Times New Roman"/>
          <w:b/>
          <w:bCs/>
          <w:color w:val="7ACE05"/>
          <w:sz w:val="20"/>
          <w:szCs w:val="20"/>
        </w:rPr>
        <w:t xml:space="preserve">8. STOCK COMPENSATION PLANS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recognizes all share-based payments as compensation expense in its financial statements based on their fair value. As of December 31, 2021, t</w:t>
      </w:r>
      <w:r>
        <w:rPr>
          <w:rFonts w:eastAsia="Times New Roman"/>
          <w:color w:val="000000"/>
          <w:sz w:val="20"/>
          <w:szCs w:val="20"/>
        </w:rPr>
        <w:t>he Company’s stock-based compensation consisted of restricted stock units, employee stock purchase plan and stock options. The Company recorded stock-based compensation expense for the years ended December 31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5495"/>
        <w:gridCol w:w="37"/>
        <w:gridCol w:w="120"/>
        <w:gridCol w:w="698"/>
        <w:gridCol w:w="36"/>
        <w:gridCol w:w="36"/>
        <w:gridCol w:w="36"/>
        <w:gridCol w:w="36"/>
        <w:gridCol w:w="120"/>
        <w:gridCol w:w="657"/>
        <w:gridCol w:w="36"/>
        <w:gridCol w:w="36"/>
        <w:gridCol w:w="36"/>
        <w:gridCol w:w="36"/>
        <w:gridCol w:w="120"/>
        <w:gridCol w:w="659"/>
        <w:gridCol w:w="36"/>
      </w:tblGrid>
      <w:tr w:rsidR="00000000">
        <w:trPr>
          <w:divId w:val="1928418130"/>
          <w:jc w:val="center"/>
        </w:trPr>
        <w:tc>
          <w:tcPr>
            <w:tcW w:w="50" w:type="pct"/>
            <w:vAlign w:val="center"/>
            <w:hideMark/>
          </w:tcPr>
          <w:p w:rsidR="00000000" w:rsidRDefault="006F0EF5">
            <w:pPr>
              <w:jc w:val="both"/>
              <w:rPr>
                <w:rFonts w:eastAsia="Times New Roman"/>
              </w:rPr>
            </w:pPr>
          </w:p>
        </w:tc>
        <w:tc>
          <w:tcPr>
            <w:tcW w:w="335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5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5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5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928418130"/>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1928418130"/>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Restricted stock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928418130"/>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928418130"/>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Stock options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928418130"/>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Stock-based compensation expense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928418130"/>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Tax benefit</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928418130"/>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Total stock-based compensation (net of tax)</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Approximately 30 million shares remain authorized to be issued under the 2017 Stock Incentive Plan (“SIP”). Details of the Company's stock-based compensation plans are discussed bel</w:t>
      </w:r>
      <w:r>
        <w:rPr>
          <w:rFonts w:eastAsia="Times New Roman"/>
          <w:color w:val="000000"/>
          <w:sz w:val="20"/>
          <w:szCs w:val="20"/>
        </w:rPr>
        <w:t>ow.</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Restricted Stock Units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SIP provides for the grant of several different forms of stock-based compensation, including restricted stock units. Restricted stock units can have service-based and/or performance-based vesting with performance goals being established by the Compensa</w:t>
      </w:r>
      <w:r>
        <w:rPr>
          <w:rFonts w:eastAsia="Times New Roman"/>
          <w:color w:val="000000"/>
          <w:sz w:val="20"/>
          <w:szCs w:val="20"/>
        </w:rPr>
        <w:t>tion and Human Resource Committee of the Company’s Board of Directors. Any grant of restricted stock units is generally subject to a vesting period of 12 months to 48 months, to the extent permitted by the SIP. Performance-based grants conditionally vest u</w:t>
      </w:r>
      <w:r>
        <w:rPr>
          <w:rFonts w:eastAsia="Times New Roman"/>
          <w:color w:val="000000"/>
          <w:sz w:val="20"/>
          <w:szCs w:val="20"/>
        </w:rPr>
        <w:t>pon achievement of future performance goals based on performance criteria such as the Company’s achievement of specific return on capital and/or other financial metrics (as defined in the SIP) during the performance period. Performance-based grants must be</w:t>
      </w:r>
      <w:r>
        <w:rPr>
          <w:rFonts w:eastAsia="Times New Roman"/>
          <w:color w:val="000000"/>
          <w:sz w:val="20"/>
          <w:szCs w:val="20"/>
        </w:rPr>
        <w:t xml:space="preserve"> earned, based on performance, before the actual number of shares to be awarded is known. The Compensation and Human Resource Committee considers the likelihood of meeting the performance criteria based upon estimates and other relevant data, and certifies</w:t>
      </w:r>
      <w:r>
        <w:rPr>
          <w:rFonts w:eastAsia="Times New Roman"/>
          <w:color w:val="000000"/>
          <w:sz w:val="20"/>
          <w:szCs w:val="20"/>
        </w:rPr>
        <w:t xml:space="preserve"> performance based on its analysis of achievement against the performance criteria. A recipient of restricted stock units does not have the rights of a stockholder and is subject to restrictions on transferability and risk of forfeiture. Other terms and co</w:t>
      </w:r>
      <w:r>
        <w:rPr>
          <w:rFonts w:eastAsia="Times New Roman"/>
          <w:color w:val="000000"/>
          <w:sz w:val="20"/>
          <w:szCs w:val="20"/>
        </w:rPr>
        <w:t>nditions applicable to any award of restricted stock units will be determined by the Compensation and Human Resource Committee and set forth in the agreement relating to that award.</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discussed in Note 3, “Business Combinations and Divestitures”, the Co</w:t>
      </w:r>
      <w:r>
        <w:rPr>
          <w:rFonts w:eastAsia="Times New Roman"/>
          <w:color w:val="000000"/>
          <w:sz w:val="20"/>
          <w:szCs w:val="20"/>
        </w:rPr>
        <w:t xml:space="preserve">mpany converted certain outstanding unvested Cardtronics awards into NCR awards pursuant to an exchange ratio as defined in the acquisition agreement. Each restricted stock award that was outstanding, whether performance-based or time-based, was converted </w:t>
      </w:r>
      <w:r>
        <w:rPr>
          <w:rFonts w:eastAsia="Times New Roman"/>
          <w:color w:val="000000"/>
          <w:sz w:val="20"/>
          <w:szCs w:val="20"/>
        </w:rPr>
        <w:t xml:space="preserve">into time-based awards, and will continue to be governed by the same vesting terms as the original Cardtronics awards.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reports restricted stock unit activity during the year ended December 31,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4478"/>
        <w:gridCol w:w="38"/>
        <w:gridCol w:w="36"/>
        <w:gridCol w:w="36"/>
        <w:gridCol w:w="36"/>
        <w:gridCol w:w="37"/>
        <w:gridCol w:w="1647"/>
        <w:gridCol w:w="36"/>
        <w:gridCol w:w="36"/>
        <w:gridCol w:w="36"/>
        <w:gridCol w:w="36"/>
        <w:gridCol w:w="121"/>
        <w:gridCol w:w="1634"/>
        <w:gridCol w:w="36"/>
      </w:tblGrid>
      <w:tr w:rsidR="00000000">
        <w:trPr>
          <w:divId w:val="626618622"/>
          <w:jc w:val="center"/>
        </w:trPr>
        <w:tc>
          <w:tcPr>
            <w:tcW w:w="50" w:type="pct"/>
            <w:vAlign w:val="center"/>
            <w:hideMark/>
          </w:tcPr>
          <w:p w:rsidR="00000000" w:rsidRDefault="006F0EF5">
            <w:pPr>
              <w:jc w:val="both"/>
              <w:rPr>
                <w:rFonts w:eastAsia="Times New Roman"/>
              </w:rPr>
            </w:pPr>
          </w:p>
        </w:tc>
        <w:tc>
          <w:tcPr>
            <w:tcW w:w="271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02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02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626618622"/>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Shares in thousands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Number of Units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Weighted Average Grant-Date Fair Value per Unit</w:t>
            </w:r>
          </w:p>
        </w:tc>
      </w:tr>
      <w:tr w:rsidR="00000000">
        <w:trPr>
          <w:divId w:val="626618622"/>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Unvested shares as of January 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626618622"/>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Shares granted</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4,768 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34.00 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626618622"/>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Shares converted per acquisition agreement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1,283 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44.30 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626618622"/>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Shares vested</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(4,263)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27.89 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626618622"/>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Shares forfeited</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(524)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35.34 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626618622"/>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Unvested shares as of December 31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7,922 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32.86 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780641266"/>
        <w:rPr>
          <w:rFonts w:eastAsia="Times New Roman"/>
        </w:rPr>
      </w:pPr>
    </w:p>
    <w:p w:rsidR="00000000" w:rsidRDefault="006F0EF5">
      <w:pPr>
        <w:jc w:val="both"/>
        <w:rPr>
          <w:rFonts w:eastAsia="Times New Roman"/>
        </w:rPr>
      </w:pPr>
      <w:r>
        <w:rPr>
          <w:rFonts w:eastAsia="Times New Roman"/>
          <w:color w:val="000000"/>
          <w:sz w:val="20"/>
          <w:szCs w:val="20"/>
        </w:rPr>
        <w:t>Stock-based compensation expense is recognized in the financial statements based upon fair value. The total fair value of units vested and distributed in the form of NCR common stock was $119 million in 2021, $74 million in 2020, and $78 million in 2019. A</w:t>
      </w:r>
      <w:r>
        <w:rPr>
          <w:rFonts w:eastAsia="Times New Roman"/>
          <w:color w:val="000000"/>
          <w:sz w:val="20"/>
          <w:szCs w:val="20"/>
        </w:rPr>
        <w:t>s of December 31, 2021, there was $132 million of unrecognized compensation cost related to unvested restricted stock unit grants. The unrecognized compensation cost is expected to be recognized over a remaining weighted-average period of 1.0 year. The wei</w:t>
      </w:r>
      <w:r>
        <w:rPr>
          <w:rFonts w:eastAsia="Times New Roman"/>
          <w:color w:val="000000"/>
          <w:sz w:val="20"/>
          <w:szCs w:val="20"/>
        </w:rPr>
        <w:t xml:space="preserve">ghted average grant date fair value for restricted stock unit awards granted in 2020 and 2019 was $26.50 and </w:t>
      </w:r>
    </w:p>
    <w:p w:rsidR="00000000" w:rsidRDefault="006F0EF5">
      <w:pPr>
        <w:jc w:val="center"/>
        <w:divId w:val="2138529724"/>
        <w:rPr>
          <w:rFonts w:eastAsia="Times New Roman"/>
        </w:rPr>
      </w:pPr>
      <w:r>
        <w:rPr>
          <w:rFonts w:eastAsia="Times New Roman"/>
          <w:color w:val="000000"/>
          <w:sz w:val="20"/>
          <w:szCs w:val="20"/>
        </w:rPr>
        <w:t>92</w:t>
      </w:r>
    </w:p>
    <w:p w:rsidR="00000000" w:rsidRDefault="006F0EF5">
      <w:pPr>
        <w:rPr>
          <w:rFonts w:eastAsia="Times New Roman"/>
        </w:rPr>
      </w:pPr>
      <w:r>
        <w:rPr>
          <w:rFonts w:eastAsia="Times New Roman"/>
        </w:rPr>
        <w:pict>
          <v:rect id="_x0000_i1121" style="width:0;height:1.5pt" o:hralign="center" o:hrstd="t" o:hr="t" fillcolor="#a0a0a0" stroked="f"/>
        </w:pict>
      </w:r>
    </w:p>
    <w:p w:rsidR="00000000" w:rsidRDefault="006F0EF5">
      <w:pPr>
        <w:divId w:val="73297004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822741896"/>
        <w:rPr>
          <w:rFonts w:eastAsia="Times New Roman"/>
        </w:rPr>
      </w:pPr>
      <w:r>
        <w:rPr>
          <w:rFonts w:eastAsia="Times New Roman"/>
          <w:b/>
          <w:bCs/>
          <w:color w:val="000000"/>
          <w:sz w:val="20"/>
          <w:szCs w:val="20"/>
        </w:rPr>
        <w:t>NCR Corporation</w:t>
      </w:r>
    </w:p>
    <w:p w:rsidR="00000000" w:rsidRDefault="006F0EF5">
      <w:pPr>
        <w:jc w:val="center"/>
        <w:divId w:val="822741896"/>
        <w:rPr>
          <w:rFonts w:eastAsia="Times New Roman"/>
        </w:rPr>
      </w:pPr>
      <w:r>
        <w:rPr>
          <w:rFonts w:eastAsia="Times New Roman"/>
          <w:b/>
          <w:bCs/>
          <w:color w:val="000000"/>
          <w:sz w:val="20"/>
          <w:szCs w:val="20"/>
        </w:rPr>
        <w:t>Notes to Consolidated Financial Statements-(Continued)</w:t>
      </w:r>
    </w:p>
    <w:p w:rsidR="00000000" w:rsidRDefault="006F0EF5">
      <w:pPr>
        <w:jc w:val="center"/>
        <w:divId w:val="822741896"/>
        <w:rPr>
          <w:rFonts w:eastAsia="Times New Roman"/>
        </w:rPr>
      </w:pPr>
    </w:p>
    <w:p w:rsidR="00000000" w:rsidRDefault="006F0EF5">
      <w:pPr>
        <w:jc w:val="center"/>
        <w:divId w:val="822741896"/>
        <w:rPr>
          <w:rFonts w:eastAsia="Times New Roman"/>
        </w:rPr>
      </w:pPr>
    </w:p>
    <w:p w:rsidR="00000000" w:rsidRDefault="006F0EF5">
      <w:pPr>
        <w:divId w:val="1982230340"/>
        <w:rPr>
          <w:rFonts w:eastAsia="Times New Roman"/>
        </w:rPr>
      </w:pPr>
    </w:p>
    <w:p w:rsidR="00000000" w:rsidRDefault="006F0EF5">
      <w:pPr>
        <w:jc w:val="both"/>
        <w:rPr>
          <w:rFonts w:eastAsia="Times New Roman"/>
        </w:rPr>
      </w:pPr>
      <w:r>
        <w:rPr>
          <w:rFonts w:eastAsia="Times New Roman"/>
          <w:color w:val="000000"/>
          <w:sz w:val="20"/>
          <w:szCs w:val="20"/>
        </w:rPr>
        <w:t>$24.31</w:t>
      </w:r>
      <w:r>
        <w:rPr>
          <w:rFonts w:eastAsia="Times New Roman"/>
          <w:color w:val="000000"/>
          <w:sz w:val="20"/>
          <w:szCs w:val="20"/>
        </w:rPr>
        <w:t>, respectively. The weighted average grant date fair value of restricted stock awards assumed through the Cardtronics acquisition is based on the fair value on the date assumed.</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represents the composition of restricted stock unit gran</w:t>
      </w:r>
      <w:r>
        <w:rPr>
          <w:rFonts w:eastAsia="Times New Roman"/>
          <w:color w:val="000000"/>
          <w:sz w:val="20"/>
          <w:szCs w:val="20"/>
        </w:rPr>
        <w:t>ts in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4478"/>
        <w:gridCol w:w="37"/>
        <w:gridCol w:w="36"/>
        <w:gridCol w:w="36"/>
        <w:gridCol w:w="36"/>
        <w:gridCol w:w="37"/>
        <w:gridCol w:w="1647"/>
        <w:gridCol w:w="36"/>
        <w:gridCol w:w="36"/>
        <w:gridCol w:w="36"/>
        <w:gridCol w:w="36"/>
        <w:gridCol w:w="121"/>
        <w:gridCol w:w="1635"/>
        <w:gridCol w:w="36"/>
      </w:tblGrid>
      <w:tr w:rsidR="00000000">
        <w:trPr>
          <w:divId w:val="225341383"/>
          <w:jc w:val="center"/>
        </w:trPr>
        <w:tc>
          <w:tcPr>
            <w:tcW w:w="50" w:type="pct"/>
            <w:vAlign w:val="center"/>
            <w:hideMark/>
          </w:tcPr>
          <w:p w:rsidR="00000000" w:rsidRDefault="006F0EF5">
            <w:pPr>
              <w:jc w:val="both"/>
              <w:rPr>
                <w:rFonts w:eastAsia="Times New Roman"/>
              </w:rPr>
            </w:pPr>
          </w:p>
        </w:tc>
        <w:tc>
          <w:tcPr>
            <w:tcW w:w="271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02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02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25341383"/>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Shares in thousands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Number of Units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Weighted Average Grant-Date Fair Value</w:t>
            </w:r>
          </w:p>
        </w:tc>
      </w:tr>
      <w:tr w:rsidR="00000000">
        <w:trPr>
          <w:divId w:val="22534138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Service-based units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25341383"/>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Performance-based units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3,060 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32.81 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2534138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restricted stock units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4,768 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250652809"/>
        <w:rPr>
          <w:rFonts w:eastAsia="Times New Roman"/>
        </w:rPr>
      </w:pPr>
    </w:p>
    <w:p w:rsidR="00000000" w:rsidRDefault="006F0EF5">
      <w:pPr>
        <w:jc w:val="both"/>
        <w:rPr>
          <w:rFonts w:eastAsia="Times New Roman"/>
        </w:rPr>
      </w:pPr>
      <w:r>
        <w:rPr>
          <w:rFonts w:eastAsia="Times New Roman"/>
          <w:color w:val="000000"/>
          <w:sz w:val="20"/>
          <w:szCs w:val="20"/>
        </w:rPr>
        <w:t>On February 23, 2021, the Company granted market-based restricted stock units with 50% of the award vesting on December 31, 2022 and 50</w:t>
      </w:r>
      <w:r>
        <w:rPr>
          <w:rFonts w:eastAsia="Times New Roman"/>
          <w:color w:val="000000"/>
          <w:sz w:val="20"/>
          <w:szCs w:val="20"/>
        </w:rPr>
        <w:t>% of the award vesting on December 31, 2023. The number of awards that vest are subject to the performance of the Company's stock price from the date of grant to December 31, 2022. The fair value was determined to be $47.20 based on using a Monte-Carlo sim</w:t>
      </w:r>
      <w:r>
        <w:rPr>
          <w:rFonts w:eastAsia="Times New Roman"/>
          <w:color w:val="000000"/>
          <w:sz w:val="20"/>
          <w:szCs w:val="20"/>
        </w:rPr>
        <w:t xml:space="preserve">ulation model and will be recognized over the requisite service period. The table below details the assumptions used in determining the fair value of the market-based restricted stock units granted on February 23, 2021. </w:t>
      </w:r>
    </w:p>
    <w:tbl>
      <w:tblPr>
        <w:tblW w:w="5000" w:type="pct"/>
        <w:tblCellMar>
          <w:top w:w="15" w:type="dxa"/>
          <w:left w:w="15" w:type="dxa"/>
          <w:bottom w:w="15" w:type="dxa"/>
          <w:right w:w="15" w:type="dxa"/>
        </w:tblCellMar>
        <w:tblLook w:val="04A0" w:firstRow="1" w:lastRow="0" w:firstColumn="1" w:lastColumn="0" w:noHBand="0" w:noVBand="1"/>
      </w:tblPr>
      <w:tblGrid>
        <w:gridCol w:w="37"/>
        <w:gridCol w:w="6441"/>
        <w:gridCol w:w="36"/>
        <w:gridCol w:w="39"/>
        <w:gridCol w:w="1533"/>
        <w:gridCol w:w="220"/>
      </w:tblGrid>
      <w:tr w:rsidR="00000000">
        <w:trPr>
          <w:divId w:val="2124306804"/>
        </w:trPr>
        <w:tc>
          <w:tcPr>
            <w:tcW w:w="50" w:type="pct"/>
            <w:vAlign w:val="center"/>
            <w:hideMark/>
          </w:tcPr>
          <w:p w:rsidR="00000000" w:rsidRDefault="006F0EF5">
            <w:pPr>
              <w:jc w:val="both"/>
              <w:rPr>
                <w:rFonts w:eastAsia="Times New Roman"/>
              </w:rPr>
            </w:pPr>
          </w:p>
        </w:tc>
        <w:tc>
          <w:tcPr>
            <w:tcW w:w="392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9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124306804"/>
          <w:trHeight w:val="360"/>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24306804"/>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Dividend yield</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r>
      <w:tr w:rsidR="00000000">
        <w:trPr>
          <w:divId w:val="2124306804"/>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r>
      <w:tr w:rsidR="00000000">
        <w:trPr>
          <w:divId w:val="2124306804"/>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Expected volatility</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57.20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r>
    </w:tbl>
    <w:p w:rsidR="00000000" w:rsidRDefault="006F0EF5">
      <w:pPr>
        <w:divId w:val="1741561989"/>
        <w:rPr>
          <w:rFonts w:eastAsia="Times New Roman"/>
        </w:rPr>
      </w:pPr>
    </w:p>
    <w:p w:rsidR="00000000" w:rsidRDefault="006F0EF5">
      <w:pPr>
        <w:jc w:val="both"/>
        <w:rPr>
          <w:rFonts w:eastAsia="Times New Roman"/>
        </w:rPr>
      </w:pPr>
      <w:r>
        <w:rPr>
          <w:rFonts w:eastAsia="Times New Roman"/>
          <w:color w:val="000000"/>
          <w:sz w:val="20"/>
          <w:szCs w:val="20"/>
        </w:rPr>
        <w:t>Expected volatility for the market-based restricted stock units is calculated as the historical volatility of the Company’s stock over a period of three years, as management believes this is the best representation of prospective trends. The risk-free inte</w:t>
      </w:r>
      <w:r>
        <w:rPr>
          <w:rFonts w:eastAsia="Times New Roman"/>
          <w:color w:val="000000"/>
          <w:sz w:val="20"/>
          <w:szCs w:val="20"/>
        </w:rPr>
        <w:t>rest rate was determined based on a blend of the</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and two year U.S. Treasury yield curves in effect at the time of the grant.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September 22, 2021, the Company granted market-based restricted stock units with the award vesting on September 9, 2024. The number of awards that vest are subject to the performance of the Company's stock price from the date of grant to September 9, 20</w:t>
      </w:r>
      <w:r>
        <w:rPr>
          <w:rFonts w:eastAsia="Times New Roman"/>
          <w:color w:val="000000"/>
          <w:sz w:val="20"/>
          <w:szCs w:val="20"/>
        </w:rPr>
        <w:t>24. The fair value was determined to be $51.02 based on using a Monte-Carlo simulation model and will be recognized over the requisite service period. The table below details the assumptions used in determining the fair value of the market-based restricted</w:t>
      </w:r>
      <w:r>
        <w:rPr>
          <w:rFonts w:eastAsia="Times New Roman"/>
          <w:color w:val="000000"/>
          <w:sz w:val="20"/>
          <w:szCs w:val="20"/>
        </w:rPr>
        <w:t xml:space="preserve"> stock units granted on September 22, 2021. </w:t>
      </w:r>
    </w:p>
    <w:p w:rsidR="00000000" w:rsidRDefault="006F0EF5">
      <w:pPr>
        <w:divId w:val="85349760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6441"/>
        <w:gridCol w:w="36"/>
        <w:gridCol w:w="39"/>
        <w:gridCol w:w="1533"/>
        <w:gridCol w:w="220"/>
      </w:tblGrid>
      <w:tr w:rsidR="00000000">
        <w:trPr>
          <w:divId w:val="1865558829"/>
        </w:trPr>
        <w:tc>
          <w:tcPr>
            <w:tcW w:w="50" w:type="pct"/>
            <w:vAlign w:val="center"/>
            <w:hideMark/>
          </w:tcPr>
          <w:p w:rsidR="00000000" w:rsidRDefault="006F0EF5">
            <w:pPr>
              <w:rPr>
                <w:rFonts w:eastAsia="Times New Roman"/>
              </w:rPr>
            </w:pPr>
          </w:p>
        </w:tc>
        <w:tc>
          <w:tcPr>
            <w:tcW w:w="392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96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865558829"/>
          <w:trHeight w:val="360"/>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865558829"/>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Dividend yield</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r>
      <w:tr w:rsidR="00000000">
        <w:trPr>
          <w:divId w:val="1865558829"/>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r>
      <w:tr w:rsidR="00000000">
        <w:trPr>
          <w:divId w:val="1865558829"/>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Expected volatility</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58.47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r>
    </w:tbl>
    <w:p w:rsidR="00000000" w:rsidRDefault="006F0EF5">
      <w:pPr>
        <w:divId w:val="58601835"/>
        <w:rPr>
          <w:rFonts w:eastAsia="Times New Roman"/>
        </w:rPr>
      </w:pPr>
    </w:p>
    <w:p w:rsidR="00000000" w:rsidRDefault="006F0EF5">
      <w:pPr>
        <w:jc w:val="both"/>
        <w:rPr>
          <w:rFonts w:eastAsia="Times New Roman"/>
        </w:rPr>
      </w:pPr>
      <w:r>
        <w:rPr>
          <w:rFonts w:eastAsia="Times New Roman"/>
          <w:color w:val="000000"/>
          <w:sz w:val="20"/>
          <w:szCs w:val="20"/>
        </w:rPr>
        <w:t>Expected volatility for the market-based restricted stock units is calculated as the historical volatility of the Company’s stock over a period of three years, as management believes this is the best representation of prospective trends. The risk-free inte</w:t>
      </w:r>
      <w:r>
        <w:rPr>
          <w:rFonts w:eastAsia="Times New Roman"/>
          <w:color w:val="000000"/>
          <w:sz w:val="20"/>
          <w:szCs w:val="20"/>
        </w:rPr>
        <w:t>rest rate was determined based on a blend of the two years and three years U.S. Treasury yield curves in effect at the time of the grant.</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Stock Options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SIP also provides for the grant of stock options to purchase shares of NCR common stock. The Compensation and Human Resource Committee has discretion to determine the material terms and conditions of option awards under the SIP, provided that (i) the e</w:t>
      </w:r>
      <w:r>
        <w:rPr>
          <w:rFonts w:eastAsia="Times New Roman"/>
          <w:color w:val="000000"/>
          <w:sz w:val="20"/>
          <w:szCs w:val="20"/>
        </w:rPr>
        <w:t>xercise price must be no less than the fair market value of NCR common stock (defined as the closing price) on the date of grant, (ii) the term must be no longer than ten years, and (iii) in no event shall the normal vesting schedule provide for vesting in</w:t>
      </w:r>
      <w:r>
        <w:rPr>
          <w:rFonts w:eastAsia="Times New Roman"/>
          <w:color w:val="000000"/>
          <w:sz w:val="20"/>
          <w:szCs w:val="20"/>
        </w:rPr>
        <w:t xml:space="preserve"> less than one year. Other terms and conditions of an award of stock options will be determined by the Compensation and Human Resource Committee as set forth in the agreement relating to that award. The Compensation and Human Resource Committee has authori</w:t>
      </w:r>
      <w:r>
        <w:rPr>
          <w:rFonts w:eastAsia="Times New Roman"/>
          <w:color w:val="000000"/>
          <w:sz w:val="20"/>
          <w:szCs w:val="20"/>
        </w:rPr>
        <w:t xml:space="preserve">ty to administer the SIP, except that the Committee on Directors and Governance of the Company’s Board of Directors will administer the SIP with respect to non-employee members of the Board of Directors. New shares of the Company’s common stock are issued </w:t>
      </w:r>
      <w:r>
        <w:rPr>
          <w:rFonts w:eastAsia="Times New Roman"/>
          <w:color w:val="000000"/>
          <w:sz w:val="20"/>
          <w:szCs w:val="20"/>
        </w:rPr>
        <w:t xml:space="preserve">as a result of stock option exercises. </w:t>
      </w:r>
    </w:p>
    <w:p w:rsidR="00000000" w:rsidRDefault="006F0EF5">
      <w:pPr>
        <w:jc w:val="both"/>
        <w:rPr>
          <w:rFonts w:eastAsia="Times New Roman"/>
        </w:rPr>
      </w:pPr>
    </w:p>
    <w:p w:rsidR="00000000" w:rsidRDefault="006F0EF5">
      <w:pPr>
        <w:jc w:val="center"/>
        <w:divId w:val="2026205679"/>
        <w:rPr>
          <w:rFonts w:eastAsia="Times New Roman"/>
        </w:rPr>
      </w:pPr>
      <w:r>
        <w:rPr>
          <w:rFonts w:eastAsia="Times New Roman"/>
          <w:color w:val="000000"/>
          <w:sz w:val="20"/>
          <w:szCs w:val="20"/>
        </w:rPr>
        <w:t>93</w:t>
      </w:r>
    </w:p>
    <w:p w:rsidR="00000000" w:rsidRDefault="006F0EF5">
      <w:pPr>
        <w:rPr>
          <w:rFonts w:eastAsia="Times New Roman"/>
        </w:rPr>
      </w:pPr>
      <w:r>
        <w:rPr>
          <w:rFonts w:eastAsia="Times New Roman"/>
        </w:rPr>
        <w:pict>
          <v:rect id="_x0000_i1122" style="width:0;height:1.5pt" o:hralign="center" o:hrstd="t" o:hr="t" fillcolor="#a0a0a0" stroked="f"/>
        </w:pict>
      </w:r>
    </w:p>
    <w:p w:rsidR="00000000" w:rsidRDefault="006F0EF5">
      <w:pPr>
        <w:divId w:val="1563640018"/>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096554344"/>
        <w:rPr>
          <w:rFonts w:eastAsia="Times New Roman"/>
        </w:rPr>
      </w:pPr>
      <w:r>
        <w:rPr>
          <w:rFonts w:eastAsia="Times New Roman"/>
          <w:b/>
          <w:bCs/>
          <w:color w:val="000000"/>
          <w:sz w:val="20"/>
          <w:szCs w:val="20"/>
        </w:rPr>
        <w:t>NCR Corporation</w:t>
      </w:r>
    </w:p>
    <w:p w:rsidR="00000000" w:rsidRDefault="006F0EF5">
      <w:pPr>
        <w:jc w:val="center"/>
        <w:divId w:val="1096554344"/>
        <w:rPr>
          <w:rFonts w:eastAsia="Times New Roman"/>
        </w:rPr>
      </w:pPr>
      <w:r>
        <w:rPr>
          <w:rFonts w:eastAsia="Times New Roman"/>
          <w:b/>
          <w:bCs/>
          <w:color w:val="000000"/>
          <w:sz w:val="20"/>
          <w:szCs w:val="20"/>
        </w:rPr>
        <w:t>Notes to Consolidated Financial Statements-(Continued)</w:t>
      </w:r>
    </w:p>
    <w:p w:rsidR="00000000" w:rsidRDefault="006F0EF5">
      <w:pPr>
        <w:jc w:val="center"/>
        <w:divId w:val="1096554344"/>
        <w:rPr>
          <w:rFonts w:eastAsia="Times New Roman"/>
        </w:rPr>
      </w:pPr>
    </w:p>
    <w:p w:rsidR="00000000" w:rsidRDefault="006F0EF5">
      <w:pPr>
        <w:jc w:val="center"/>
        <w:divId w:val="1096554344"/>
        <w:rPr>
          <w:rFonts w:eastAsia="Times New Roman"/>
        </w:rPr>
      </w:pPr>
    </w:p>
    <w:p w:rsidR="00000000" w:rsidRDefault="006F0EF5">
      <w:pPr>
        <w:divId w:val="1106120260"/>
        <w:rPr>
          <w:rFonts w:eastAsia="Times New Roman"/>
        </w:rPr>
      </w:pPr>
    </w:p>
    <w:p w:rsidR="00000000" w:rsidRDefault="006F0EF5">
      <w:pPr>
        <w:jc w:val="both"/>
        <w:rPr>
          <w:rFonts w:eastAsia="Times New Roman"/>
        </w:rPr>
      </w:pPr>
      <w:r>
        <w:rPr>
          <w:rFonts w:eastAsia="Times New Roman"/>
          <w:color w:val="000000"/>
          <w:sz w:val="20"/>
          <w:szCs w:val="20"/>
        </w:rPr>
        <w:t>During the year ended December 31, 2021, the Company did not grant any stock options. As discussed in Note 3, “Business Combinations and Divestitures”, the Company converted certain outstanding u</w:t>
      </w:r>
      <w:r>
        <w:rPr>
          <w:rFonts w:eastAsia="Times New Roman"/>
          <w:color w:val="000000"/>
          <w:sz w:val="20"/>
          <w:szCs w:val="20"/>
        </w:rPr>
        <w:t>nvested Cardtronics awards into NCR awards. Cardtronics stock option awards were converted into NCR stock option awards with an exercise price per share for option awards equal to the exercise price per share of such stock option award immediately prior to</w:t>
      </w:r>
      <w:r>
        <w:rPr>
          <w:rFonts w:eastAsia="Times New Roman"/>
          <w:color w:val="000000"/>
          <w:sz w:val="20"/>
          <w:szCs w:val="20"/>
        </w:rPr>
        <w:t xml:space="preserve"> the completion of the acquisition divided by the exchange ratio (as defined in the acquisition agreement) and will continue to be governed generally by the same terms and conditions as were applicable prior to the acquisition. The fair value of options th</w:t>
      </w:r>
      <w:r>
        <w:rPr>
          <w:rFonts w:eastAsia="Times New Roman"/>
          <w:color w:val="000000"/>
          <w:sz w:val="20"/>
          <w:szCs w:val="20"/>
        </w:rPr>
        <w:t>at the Company assumed in connection with the acquisition of Cardtronics were estimated using the Black-Scholes model.</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During the year ended December 31, 2020, stock options granted were premium-priced stock options with an exercise price equal to either</w:t>
      </w:r>
      <w:r>
        <w:rPr>
          <w:rFonts w:eastAsia="Times New Roman"/>
          <w:color w:val="000000"/>
          <w:sz w:val="20"/>
          <w:szCs w:val="20"/>
        </w:rPr>
        <w:t xml:space="preserve"> 110% or 115% of the closing stock price on the date of the grant. The weighted average exercise price of the stock options granted in the year ended December 31, 2020 was $36.26. The weighted average fair value of the option grants was $7.64 for the year </w:t>
      </w:r>
      <w:r>
        <w:rPr>
          <w:rFonts w:eastAsia="Times New Roman"/>
          <w:color w:val="000000"/>
          <w:sz w:val="20"/>
          <w:szCs w:val="20"/>
        </w:rPr>
        <w:t xml:space="preserve">ended December 31, 2020 based on using a Monte-Carlo simulation model and will be recognized over the requisite service period. These option grants have a 7 year contractual term that vest at the end of 36 months.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table below details the assumptions</w:t>
      </w:r>
      <w:r>
        <w:rPr>
          <w:rFonts w:eastAsia="Times New Roman"/>
          <w:color w:val="000000"/>
          <w:sz w:val="20"/>
          <w:szCs w:val="20"/>
        </w:rPr>
        <w:t xml:space="preserve"> used in determining the fair value of the option grants:</w:t>
      </w:r>
    </w:p>
    <w:p w:rsidR="00000000" w:rsidRDefault="006F0EF5">
      <w:pPr>
        <w:jc w:val="both"/>
        <w:rPr>
          <w:rFonts w:eastAsia="Times New Roman"/>
        </w:rPr>
      </w:pPr>
    </w:p>
    <w:p w:rsidR="00000000" w:rsidRDefault="006F0EF5">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595"/>
        <w:gridCol w:w="36"/>
        <w:gridCol w:w="36"/>
        <w:gridCol w:w="37"/>
        <w:gridCol w:w="2378"/>
        <w:gridCol w:w="187"/>
      </w:tblGrid>
      <w:tr w:rsidR="00000000">
        <w:trPr>
          <w:jc w:val="center"/>
        </w:trPr>
        <w:tc>
          <w:tcPr>
            <w:tcW w:w="50" w:type="pct"/>
            <w:vAlign w:val="center"/>
            <w:hideMark/>
          </w:tcPr>
          <w:p w:rsidR="00000000" w:rsidRDefault="006F0EF5">
            <w:pPr>
              <w:jc w:val="both"/>
              <w:rPr>
                <w:rFonts w:eastAsia="Times New Roman"/>
              </w:rPr>
            </w:pPr>
          </w:p>
        </w:tc>
        <w:tc>
          <w:tcPr>
            <w:tcW w:w="341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47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Dividend yield</w:t>
            </w:r>
          </w:p>
        </w:tc>
        <w:tc>
          <w:tcPr>
            <w:tcW w:w="0" w:type="auto"/>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Risk-free interest rate</w:t>
            </w:r>
          </w:p>
        </w:tc>
        <w:tc>
          <w:tcPr>
            <w:tcW w:w="0" w:type="auto"/>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Expected volatility</w:t>
            </w:r>
          </w:p>
        </w:tc>
        <w:tc>
          <w:tcPr>
            <w:tcW w:w="0" w:type="auto"/>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34.63 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Expected holding period - years</w:t>
            </w:r>
          </w:p>
        </w:tc>
        <w:tc>
          <w:tcPr>
            <w:tcW w:w="0" w:type="auto"/>
            <w:vAlign w:val="center"/>
            <w:hideMark/>
          </w:tcPr>
          <w:p w:rsidR="00000000" w:rsidRDefault="006F0EF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3.7</w:t>
            </w:r>
          </w:p>
        </w:tc>
      </w:tr>
    </w:tbl>
    <w:p w:rsidR="00000000" w:rsidRDefault="006F0EF5">
      <w:pPr>
        <w:divId w:val="466243197"/>
        <w:rPr>
          <w:rFonts w:eastAsia="Times New Roman"/>
        </w:rPr>
      </w:pPr>
    </w:p>
    <w:p w:rsidR="00000000" w:rsidRDefault="006F0EF5">
      <w:pPr>
        <w:jc w:val="both"/>
        <w:divId w:val="510028300"/>
        <w:rPr>
          <w:rFonts w:eastAsia="Times New Roman"/>
        </w:rPr>
      </w:pPr>
      <w:r>
        <w:rPr>
          <w:rFonts w:eastAsia="Times New Roman"/>
          <w:color w:val="000000"/>
          <w:sz w:val="20"/>
          <w:szCs w:val="20"/>
        </w:rPr>
        <w:t>Expected volatility is calculated as the historical volatility of the Company’</w:t>
      </w:r>
      <w:r>
        <w:rPr>
          <w:rFonts w:eastAsia="Times New Roman"/>
          <w:color w:val="000000"/>
          <w:sz w:val="20"/>
          <w:szCs w:val="20"/>
        </w:rPr>
        <w:t>s stock over a period equal to the expected term of the options, as management believes this is the best representation of prospective trends. The Company uses historical data to estimate option exercise and employee terminations within the valuation model</w:t>
      </w:r>
      <w:r>
        <w:rPr>
          <w:rFonts w:eastAsia="Times New Roman"/>
          <w:color w:val="000000"/>
          <w:sz w:val="20"/>
          <w:szCs w:val="20"/>
        </w:rPr>
        <w:t xml:space="preserve">. The expected holding period represents the period of time that options are expected to be outstanding. For the options granted during the year ended December 31, 2020, the seven-year U.S. Treasury yield curve was used to determine the risk-free interest </w:t>
      </w:r>
      <w:r>
        <w:rPr>
          <w:rFonts w:eastAsia="Times New Roman"/>
          <w:color w:val="000000"/>
          <w:sz w:val="20"/>
          <w:szCs w:val="20"/>
        </w:rPr>
        <w:t xml:space="preserve">rate. </w:t>
      </w:r>
    </w:p>
    <w:p w:rsidR="00000000" w:rsidRDefault="006F0EF5">
      <w:pPr>
        <w:jc w:val="both"/>
        <w:rPr>
          <w:rFonts w:eastAsia="Times New Roman"/>
        </w:rPr>
      </w:pPr>
      <w:r>
        <w:rPr>
          <w:rFonts w:eastAsia="Times New Roman"/>
          <w:color w:val="000000"/>
          <w:sz w:val="20"/>
          <w:szCs w:val="20"/>
        </w:rPr>
        <w:t>The following table summarizes the Company’s stock option activity for the year ended December 31, 2021:</w:t>
      </w:r>
    </w:p>
    <w:tbl>
      <w:tblPr>
        <w:tblW w:w="4970" w:type="pct"/>
        <w:jc w:val="center"/>
        <w:tblCellMar>
          <w:top w:w="15" w:type="dxa"/>
          <w:left w:w="15" w:type="dxa"/>
          <w:bottom w:w="15" w:type="dxa"/>
          <w:right w:w="15" w:type="dxa"/>
        </w:tblCellMar>
        <w:tblLook w:val="04A0" w:firstRow="1" w:lastRow="0" w:firstColumn="1" w:lastColumn="0" w:noHBand="0" w:noVBand="1"/>
      </w:tblPr>
      <w:tblGrid>
        <w:gridCol w:w="46"/>
        <w:gridCol w:w="3759"/>
        <w:gridCol w:w="37"/>
        <w:gridCol w:w="36"/>
        <w:gridCol w:w="36"/>
        <w:gridCol w:w="36"/>
        <w:gridCol w:w="43"/>
        <w:gridCol w:w="878"/>
        <w:gridCol w:w="36"/>
        <w:gridCol w:w="36"/>
        <w:gridCol w:w="36"/>
        <w:gridCol w:w="36"/>
        <w:gridCol w:w="121"/>
        <w:gridCol w:w="876"/>
        <w:gridCol w:w="36"/>
        <w:gridCol w:w="36"/>
        <w:gridCol w:w="36"/>
        <w:gridCol w:w="36"/>
        <w:gridCol w:w="70"/>
        <w:gridCol w:w="853"/>
        <w:gridCol w:w="36"/>
        <w:gridCol w:w="36"/>
        <w:gridCol w:w="36"/>
        <w:gridCol w:w="36"/>
        <w:gridCol w:w="121"/>
        <w:gridCol w:w="876"/>
        <w:gridCol w:w="36"/>
      </w:tblGrid>
      <w:tr w:rsidR="00000000">
        <w:trPr>
          <w:divId w:val="416295099"/>
          <w:jc w:val="center"/>
        </w:trPr>
        <w:tc>
          <w:tcPr>
            <w:tcW w:w="50" w:type="pct"/>
            <w:vAlign w:val="center"/>
            <w:hideMark/>
          </w:tcPr>
          <w:p w:rsidR="00000000" w:rsidRDefault="006F0EF5">
            <w:pPr>
              <w:jc w:val="both"/>
              <w:rPr>
                <w:rFonts w:eastAsia="Times New Roman"/>
              </w:rPr>
            </w:pPr>
          </w:p>
        </w:tc>
        <w:tc>
          <w:tcPr>
            <w:tcW w:w="229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7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7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7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7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416295099"/>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Shares in thousands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Shares Under Option</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Weighted Average Exercise Price per Share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Weighted Average Remaining Contractual Term (in years)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 xml:space="preserve">Aggregate Intrinsic Value </w:t>
            </w:r>
            <w:r>
              <w:rPr>
                <w:rFonts w:eastAsia="Times New Roman"/>
                <w:b/>
                <w:bCs/>
                <w:color w:val="000000"/>
                <w:sz w:val="16"/>
                <w:szCs w:val="16"/>
              </w:rPr>
              <w:br/>
              <w:t>(in millions)</w:t>
            </w:r>
          </w:p>
        </w:tc>
      </w:tr>
      <w:tr w:rsidR="00000000">
        <w:trPr>
          <w:divId w:val="41629509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Outstanding as of January 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9,798 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41629509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41629509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Assumed through acquisition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28.93 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41629509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Exercised</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(832)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30.54 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41629509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Forfeited or expired</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30.64 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41629509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Outstanding as of December 31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9,079 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4.54</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65.69 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629509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Fully vested and expected to vest as of December 31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4,987 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33.91 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4.83</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31.39 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1629509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Exercisable as of December 31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4,074 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31.82 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4.18</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34.13 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of December 31, 2021, the total unrecognized compensation cost of $21 million related to unvested stock option grants is expected to be recognized over a weighted average period of approximate</w:t>
      </w:r>
      <w:r>
        <w:rPr>
          <w:rFonts w:eastAsia="Times New Roman"/>
          <w:color w:val="000000"/>
          <w:sz w:val="20"/>
          <w:szCs w:val="20"/>
        </w:rPr>
        <w:t xml:space="preserve">ly 0.6 years.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total intrinsic value of all options exercised was $9 million in 2021, $1 million in 2020, and $1 million in 2019. Cash received from option exercises under all share-based payment arrangements was $25 million in 2021, $2 million in 20</w:t>
      </w:r>
      <w:r>
        <w:rPr>
          <w:rFonts w:eastAsia="Times New Roman"/>
          <w:color w:val="000000"/>
          <w:sz w:val="20"/>
          <w:szCs w:val="20"/>
        </w:rPr>
        <w:t xml:space="preserve">20, and $2 million in 2019. The tax benefit realized from option exercises was $1 million in 2021. There was no tax benefit realized from stock options exercised in 2020 and 2019. </w:t>
      </w: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Employee Stock Purchase Plan </w:t>
      </w:r>
    </w:p>
    <w:p w:rsidR="00000000" w:rsidRDefault="006F0EF5">
      <w:pPr>
        <w:jc w:val="center"/>
        <w:divId w:val="754782053"/>
        <w:rPr>
          <w:rFonts w:eastAsia="Times New Roman"/>
        </w:rPr>
      </w:pPr>
      <w:r>
        <w:rPr>
          <w:rFonts w:eastAsia="Times New Roman"/>
          <w:color w:val="000000"/>
          <w:sz w:val="20"/>
          <w:szCs w:val="20"/>
        </w:rPr>
        <w:t>94</w:t>
      </w:r>
    </w:p>
    <w:p w:rsidR="00000000" w:rsidRDefault="006F0EF5">
      <w:pPr>
        <w:rPr>
          <w:rFonts w:eastAsia="Times New Roman"/>
        </w:rPr>
      </w:pPr>
      <w:r>
        <w:rPr>
          <w:rFonts w:eastAsia="Times New Roman"/>
        </w:rPr>
        <w:pict>
          <v:rect id="_x0000_i1123" style="width:0;height:1.5pt" o:hralign="center" o:hrstd="t" o:hr="t" fillcolor="#a0a0a0" stroked="f"/>
        </w:pict>
      </w:r>
    </w:p>
    <w:p w:rsidR="00000000" w:rsidRDefault="006F0EF5">
      <w:pPr>
        <w:divId w:val="202455552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419061494"/>
        <w:rPr>
          <w:rFonts w:eastAsia="Times New Roman"/>
        </w:rPr>
      </w:pPr>
      <w:r>
        <w:rPr>
          <w:rFonts w:eastAsia="Times New Roman"/>
          <w:b/>
          <w:bCs/>
          <w:color w:val="000000"/>
          <w:sz w:val="20"/>
          <w:szCs w:val="20"/>
        </w:rPr>
        <w:t>NCR Corporation</w:t>
      </w:r>
    </w:p>
    <w:p w:rsidR="00000000" w:rsidRDefault="006F0EF5">
      <w:pPr>
        <w:jc w:val="center"/>
        <w:divId w:val="1419061494"/>
        <w:rPr>
          <w:rFonts w:eastAsia="Times New Roman"/>
        </w:rPr>
      </w:pPr>
      <w:r>
        <w:rPr>
          <w:rFonts w:eastAsia="Times New Roman"/>
          <w:b/>
          <w:bCs/>
          <w:color w:val="000000"/>
          <w:sz w:val="20"/>
          <w:szCs w:val="20"/>
        </w:rPr>
        <w:t>Notes to Consolidated Financial Statements-(Continued)</w:t>
      </w:r>
    </w:p>
    <w:p w:rsidR="00000000" w:rsidRDefault="006F0EF5">
      <w:pPr>
        <w:jc w:val="center"/>
        <w:divId w:val="1419061494"/>
        <w:rPr>
          <w:rFonts w:eastAsia="Times New Roman"/>
        </w:rPr>
      </w:pPr>
    </w:p>
    <w:p w:rsidR="00000000" w:rsidRDefault="006F0EF5">
      <w:pPr>
        <w:jc w:val="center"/>
        <w:divId w:val="1419061494"/>
        <w:rPr>
          <w:rFonts w:eastAsia="Times New Roman"/>
        </w:rPr>
      </w:pPr>
    </w:p>
    <w:p w:rsidR="00000000" w:rsidRDefault="006F0EF5">
      <w:pPr>
        <w:divId w:val="1821848021"/>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Company's amended Employee Stock Purchase Plan (“ESPP”) provides employees a 15% discount on stock</w:t>
      </w:r>
      <w:r>
        <w:rPr>
          <w:rFonts w:eastAsia="Times New Roman"/>
          <w:color w:val="000000"/>
          <w:sz w:val="20"/>
          <w:szCs w:val="20"/>
        </w:rPr>
        <w:t xml:space="preserve"> purchases using a three-month look-back feature where the discount is applied to the stock price that represents the lower of NCR’s closing stock price on either the first day or the last day of each calendar quarter. Participants can contribute between 1</w:t>
      </w:r>
      <w:r>
        <w:rPr>
          <w:rFonts w:eastAsia="Times New Roman"/>
          <w:color w:val="000000"/>
          <w:sz w:val="20"/>
          <w:szCs w:val="20"/>
        </w:rPr>
        <w:t>% and 10% of their compensation. The amended ESPP was approved by NCR stockholders in 2016 and became effective January 1, 2017.</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Employees purchased approximately 0.8 million shares in 2021, 1.3 million shares in 2020, and 0.8 million shares in 2019, for</w:t>
      </w:r>
      <w:r>
        <w:rPr>
          <w:rFonts w:eastAsia="Times New Roman"/>
          <w:color w:val="000000"/>
          <w:sz w:val="20"/>
          <w:szCs w:val="20"/>
        </w:rPr>
        <w:t xml:space="preserve"> approximately $26 million in 2021, $21 million in 2020 and $18 million in 2019. A total of 4 million shares were originally authorized to be issued under the ESPP before its amendment. Under the amended ESPP, 10 million shares were newly authorized to be </w:t>
      </w:r>
      <w:r>
        <w:rPr>
          <w:rFonts w:eastAsia="Times New Roman"/>
          <w:color w:val="000000"/>
          <w:sz w:val="20"/>
          <w:szCs w:val="20"/>
        </w:rPr>
        <w:t>issued, plus any shares remaining unissued under the prior ESPP after the last 2016 purchase date. Approximately 6.8 million authorized shares remain unissued under our amended ESPP as of December 31, 2021.</w:t>
      </w: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7ACE05"/>
          <w:sz w:val="20"/>
          <w:szCs w:val="20"/>
        </w:rPr>
        <w:t xml:space="preserve">9. EMPLOYEE BENEFIT PLANS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Pension, Postretirement and Postemployment Plans</w:t>
      </w:r>
      <w:r>
        <w:rPr>
          <w:rFonts w:eastAsia="Times New Roman"/>
          <w:color w:val="000000"/>
          <w:sz w:val="20"/>
          <w:szCs w:val="20"/>
        </w:rPr>
        <w:t xml:space="preserve"> NCR sponsors defined benefit pension plans. NCR’s U.S. pension plan no longer offers additional benefits and is closed to new participants. Internationally, the defined benefit p</w:t>
      </w:r>
      <w:r>
        <w:rPr>
          <w:rFonts w:eastAsia="Times New Roman"/>
          <w:color w:val="000000"/>
          <w:sz w:val="20"/>
          <w:szCs w:val="20"/>
        </w:rPr>
        <w:t>lans are based primarily upon compensation and years of service. Certain international plans also no longer offer additional benefits and are closed to new participants. NCR’s funding policy is to contribute annually no less than the minimum required by ap</w:t>
      </w:r>
      <w:r>
        <w:rPr>
          <w:rFonts w:eastAsia="Times New Roman"/>
          <w:color w:val="000000"/>
          <w:sz w:val="20"/>
          <w:szCs w:val="20"/>
        </w:rPr>
        <w:t>plicable laws and regulations. Assets of NCR’s defined benefit plans are primarily invested in corporate and government debt securities, common and commingled trusts, publicly traded common stocks, real estate investments, and cash or cash equivalents.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w:t>
      </w:r>
      <w:r>
        <w:rPr>
          <w:rFonts w:eastAsia="Times New Roman"/>
          <w:color w:val="000000"/>
          <w:sz w:val="20"/>
          <w:szCs w:val="20"/>
        </w:rPr>
        <w:t>CR recognizes the funded status of each applicable plan on the Consolidated Balance Sheets. Each overfunded plan is recognized as an asset and each underfunded plan is recognized as a liability. For pension plans, changes in the fair value of plan assets a</w:t>
      </w:r>
      <w:r>
        <w:rPr>
          <w:rFonts w:eastAsia="Times New Roman"/>
          <w:color w:val="000000"/>
          <w:sz w:val="20"/>
          <w:szCs w:val="20"/>
        </w:rPr>
        <w:t>nd net actuarial gains or losses are recognized upon remeasurement, which is at least annually in the fourth quarter of each year. For postretirement and postemployment plans, changes to the funded status are recognized as a component of other comprehensiv</w:t>
      </w:r>
      <w:r>
        <w:rPr>
          <w:rFonts w:eastAsia="Times New Roman"/>
          <w:color w:val="000000"/>
          <w:sz w:val="20"/>
          <w:szCs w:val="20"/>
        </w:rPr>
        <w:t>e loss in stockholders' equity.</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sponsors a U.S. postretirement benefit plan that no longer offers benefits to U.S. participants who had not reached a certain age and years of service with NCR. The plan provides medical care benefits to retirees and their eligible dependents. Non-U.S.</w:t>
      </w:r>
      <w:r>
        <w:rPr>
          <w:rFonts w:eastAsia="Times New Roman"/>
          <w:color w:val="000000"/>
          <w:sz w:val="20"/>
          <w:szCs w:val="20"/>
        </w:rPr>
        <w:t xml:space="preserve"> employees are typically covered under government-sponsored programs, and NCR generally does not provide postretirement benefits other than pensions to non-U.S. retirees. NCR generally funds these benefits on a pay-as-you-go basis.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offers various po</w:t>
      </w:r>
      <w:r>
        <w:rPr>
          <w:rFonts w:eastAsia="Times New Roman"/>
          <w:color w:val="000000"/>
          <w:sz w:val="20"/>
          <w:szCs w:val="20"/>
        </w:rPr>
        <w:t>stemployment benefits to involuntarily terminated and certain inactive employees after employment but before retirement. These benefits are paid in accordance with NCR’s established postemployment benefit practices and policies. Postemployment benefits inc</w:t>
      </w:r>
      <w:r>
        <w:rPr>
          <w:rFonts w:eastAsia="Times New Roman"/>
          <w:color w:val="000000"/>
          <w:sz w:val="20"/>
          <w:szCs w:val="20"/>
        </w:rPr>
        <w:t>lude mainly severance as well as continuation of healthcare benefits and life insurance coverage while on disability. NCR provides appropriate accruals for these postemployment benefits. These postemployment benefits are funded on a pay-as-you-go basis.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Pension Plans </w:t>
      </w:r>
      <w:r>
        <w:rPr>
          <w:rFonts w:eastAsia="Times New Roman"/>
          <w:color w:val="000000"/>
          <w:sz w:val="20"/>
          <w:szCs w:val="20"/>
        </w:rPr>
        <w:t xml:space="preserve">Reconciliation of the beginning and ending balances of the benefit obligations for NCR's pension plans are as follows: </w:t>
      </w:r>
    </w:p>
    <w:p w:rsidR="00000000" w:rsidRDefault="006F0EF5">
      <w:pPr>
        <w:jc w:val="center"/>
        <w:divId w:val="1848516154"/>
        <w:rPr>
          <w:rFonts w:eastAsia="Times New Roman"/>
        </w:rPr>
      </w:pPr>
      <w:r>
        <w:rPr>
          <w:rFonts w:eastAsia="Times New Roman"/>
          <w:color w:val="000000"/>
          <w:sz w:val="20"/>
          <w:szCs w:val="20"/>
        </w:rPr>
        <w:t>95</w:t>
      </w:r>
    </w:p>
    <w:p w:rsidR="00000000" w:rsidRDefault="006F0EF5">
      <w:pPr>
        <w:rPr>
          <w:rFonts w:eastAsia="Times New Roman"/>
        </w:rPr>
      </w:pPr>
      <w:r>
        <w:rPr>
          <w:rFonts w:eastAsia="Times New Roman"/>
        </w:rPr>
        <w:pict>
          <v:rect id="_x0000_i1124" style="width:0;height:1.5pt" o:hralign="center" o:hrstd="t" o:hr="t" fillcolor="#a0a0a0" stroked="f"/>
        </w:pict>
      </w:r>
    </w:p>
    <w:p w:rsidR="00000000" w:rsidRDefault="006F0EF5">
      <w:pPr>
        <w:divId w:val="170983809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322271011"/>
        <w:rPr>
          <w:rFonts w:eastAsia="Times New Roman"/>
        </w:rPr>
      </w:pPr>
      <w:r>
        <w:rPr>
          <w:rFonts w:eastAsia="Times New Roman"/>
          <w:b/>
          <w:bCs/>
          <w:color w:val="000000"/>
          <w:sz w:val="20"/>
          <w:szCs w:val="20"/>
        </w:rPr>
        <w:t>NCR C</w:t>
      </w:r>
      <w:r>
        <w:rPr>
          <w:rFonts w:eastAsia="Times New Roman"/>
          <w:b/>
          <w:bCs/>
          <w:color w:val="000000"/>
          <w:sz w:val="20"/>
          <w:szCs w:val="20"/>
        </w:rPr>
        <w:t>orporation</w:t>
      </w:r>
    </w:p>
    <w:p w:rsidR="00000000" w:rsidRDefault="006F0EF5">
      <w:pPr>
        <w:jc w:val="center"/>
        <w:divId w:val="1322271011"/>
        <w:rPr>
          <w:rFonts w:eastAsia="Times New Roman"/>
        </w:rPr>
      </w:pPr>
      <w:r>
        <w:rPr>
          <w:rFonts w:eastAsia="Times New Roman"/>
          <w:b/>
          <w:bCs/>
          <w:color w:val="000000"/>
          <w:sz w:val="20"/>
          <w:szCs w:val="20"/>
        </w:rPr>
        <w:t>Notes to Consolidated Financial Statements-(Continued)</w:t>
      </w:r>
    </w:p>
    <w:p w:rsidR="00000000" w:rsidRDefault="006F0EF5">
      <w:pPr>
        <w:jc w:val="center"/>
        <w:divId w:val="1322271011"/>
        <w:rPr>
          <w:rFonts w:eastAsia="Times New Roman"/>
        </w:rPr>
      </w:pPr>
    </w:p>
    <w:p w:rsidR="00000000" w:rsidRDefault="006F0EF5">
      <w:pPr>
        <w:jc w:val="center"/>
        <w:divId w:val="1322271011"/>
        <w:rPr>
          <w:rFonts w:eastAsia="Times New Roman"/>
        </w:rPr>
      </w:pPr>
    </w:p>
    <w:p w:rsidR="00000000" w:rsidRDefault="006F0EF5">
      <w:pPr>
        <w:divId w:val="816923474"/>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3382"/>
        <w:gridCol w:w="38"/>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8"/>
        <w:gridCol w:w="36"/>
        <w:gridCol w:w="36"/>
        <w:gridCol w:w="36"/>
        <w:gridCol w:w="36"/>
        <w:gridCol w:w="120"/>
        <w:gridCol w:w="539"/>
        <w:gridCol w:w="36"/>
      </w:tblGrid>
      <w:tr w:rsidR="00000000">
        <w:trPr>
          <w:divId w:val="307981659"/>
          <w:jc w:val="center"/>
        </w:trPr>
        <w:tc>
          <w:tcPr>
            <w:tcW w:w="50" w:type="pct"/>
            <w:vAlign w:val="center"/>
            <w:hideMark/>
          </w:tcPr>
          <w:p w:rsidR="00000000" w:rsidRDefault="006F0EF5">
            <w:pPr>
              <w:rPr>
                <w:rFonts w:eastAsia="Times New Roman"/>
              </w:rPr>
            </w:pPr>
          </w:p>
        </w:tc>
        <w:tc>
          <w:tcPr>
            <w:tcW w:w="20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307981659"/>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 Pension Benefits</w:t>
            </w:r>
          </w:p>
        </w:tc>
      </w:tr>
      <w:tr w:rsidR="00000000">
        <w:trPr>
          <w:divId w:val="307981659"/>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30798165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30798165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 obligation as of January 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2,067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1,954 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1,174 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3,313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3,128 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30798165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service cost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30798165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30798165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Amendment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30798165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Actuarial (gain)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(159)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30798165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Benefits paid</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30798165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Plan participant contributions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30798165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30798165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 obligation as of December 31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2,987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30798165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Accumulated benefit obligation as of December 31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1,882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2,067 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1,095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1,235 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2,977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3,302 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675454194"/>
        <w:rPr>
          <w:rFonts w:eastAsia="Times New Roman"/>
        </w:rPr>
      </w:pPr>
    </w:p>
    <w:p w:rsidR="00000000" w:rsidRDefault="006F0EF5">
      <w:pPr>
        <w:divId w:val="1928612992"/>
        <w:rPr>
          <w:rFonts w:eastAsia="Times New Roman"/>
        </w:rPr>
      </w:pPr>
      <w:r>
        <w:rPr>
          <w:rFonts w:eastAsia="Times New Roman"/>
          <w:color w:val="000000"/>
          <w:sz w:val="20"/>
          <w:szCs w:val="20"/>
        </w:rPr>
        <w:t>A reconciliation of the beginning and ending balances of the fair value of the plan ass</w:t>
      </w:r>
      <w:r>
        <w:rPr>
          <w:rFonts w:eastAsia="Times New Roman"/>
          <w:color w:val="000000"/>
          <w:sz w:val="20"/>
          <w:szCs w:val="20"/>
        </w:rPr>
        <w:t>ets of NCR's pension plans are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3383"/>
        <w:gridCol w:w="38"/>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8"/>
        <w:gridCol w:w="36"/>
        <w:gridCol w:w="36"/>
        <w:gridCol w:w="36"/>
        <w:gridCol w:w="36"/>
        <w:gridCol w:w="120"/>
        <w:gridCol w:w="539"/>
        <w:gridCol w:w="36"/>
      </w:tblGrid>
      <w:tr w:rsidR="00000000">
        <w:trPr>
          <w:divId w:val="1197499859"/>
          <w:jc w:val="center"/>
        </w:trPr>
        <w:tc>
          <w:tcPr>
            <w:tcW w:w="50" w:type="pct"/>
            <w:vAlign w:val="center"/>
            <w:hideMark/>
          </w:tcPr>
          <w:p w:rsidR="00000000" w:rsidRDefault="006F0EF5">
            <w:pPr>
              <w:rPr>
                <w:rFonts w:eastAsia="Times New Roman"/>
              </w:rPr>
            </w:pPr>
          </w:p>
        </w:tc>
        <w:tc>
          <w:tcPr>
            <w:tcW w:w="20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197499859"/>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 Pension Benefits</w:t>
            </w:r>
          </w:p>
        </w:tc>
      </w:tr>
      <w:tr w:rsidR="00000000">
        <w:trPr>
          <w:divId w:val="1197499859"/>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119749985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Change in plan assets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19749985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Fair value of plan assets as of January 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1,528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1,377 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1,058 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2,435 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9749985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Actual return on plan assets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286 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9749985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Company contributions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9749985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Benefits paid</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97499859"/>
          <w:jc w:val="center"/>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119749985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Currency translation adjustments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9749985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Plan participant contributions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9749985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Fair value of plan assets as of December 31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1,379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center"/>
        <w:divId w:val="2120373820"/>
        <w:rPr>
          <w:rFonts w:eastAsia="Times New Roman"/>
        </w:rPr>
      </w:pPr>
      <w:r>
        <w:rPr>
          <w:rFonts w:eastAsia="Times New Roman"/>
          <w:color w:val="000000"/>
          <w:sz w:val="20"/>
          <w:szCs w:val="20"/>
        </w:rPr>
        <w:t>96</w:t>
      </w:r>
    </w:p>
    <w:p w:rsidR="00000000" w:rsidRDefault="006F0EF5">
      <w:pPr>
        <w:rPr>
          <w:rFonts w:eastAsia="Times New Roman"/>
        </w:rPr>
      </w:pPr>
      <w:r>
        <w:rPr>
          <w:rFonts w:eastAsia="Times New Roman"/>
        </w:rPr>
        <w:pict>
          <v:rect id="_x0000_i1125" style="width:0;height:1.5pt" o:hralign="center" o:hrstd="t" o:hr="t" fillcolor="#a0a0a0" stroked="f"/>
        </w:pict>
      </w:r>
    </w:p>
    <w:p w:rsidR="00000000" w:rsidRDefault="006F0EF5">
      <w:pPr>
        <w:divId w:val="945968630"/>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466897179"/>
        <w:rPr>
          <w:rFonts w:eastAsia="Times New Roman"/>
        </w:rPr>
      </w:pPr>
      <w:r>
        <w:rPr>
          <w:rFonts w:eastAsia="Times New Roman"/>
          <w:b/>
          <w:bCs/>
          <w:color w:val="000000"/>
          <w:sz w:val="20"/>
          <w:szCs w:val="20"/>
        </w:rPr>
        <w:t>NCR Corporation</w:t>
      </w:r>
    </w:p>
    <w:p w:rsidR="00000000" w:rsidRDefault="006F0EF5">
      <w:pPr>
        <w:jc w:val="center"/>
        <w:divId w:val="466897179"/>
        <w:rPr>
          <w:rFonts w:eastAsia="Times New Roman"/>
        </w:rPr>
      </w:pPr>
      <w:r>
        <w:rPr>
          <w:rFonts w:eastAsia="Times New Roman"/>
          <w:b/>
          <w:bCs/>
          <w:color w:val="000000"/>
          <w:sz w:val="20"/>
          <w:szCs w:val="20"/>
        </w:rPr>
        <w:t>Notes to Consolidated Financial Statements-(Continued)</w:t>
      </w:r>
    </w:p>
    <w:p w:rsidR="00000000" w:rsidRDefault="006F0EF5">
      <w:pPr>
        <w:jc w:val="center"/>
        <w:divId w:val="466897179"/>
        <w:rPr>
          <w:rFonts w:eastAsia="Times New Roman"/>
        </w:rPr>
      </w:pPr>
    </w:p>
    <w:p w:rsidR="00000000" w:rsidRDefault="006F0EF5">
      <w:pPr>
        <w:jc w:val="center"/>
        <w:divId w:val="466897179"/>
        <w:rPr>
          <w:rFonts w:eastAsia="Times New Roman"/>
        </w:rPr>
      </w:pPr>
    </w:p>
    <w:p w:rsidR="00000000" w:rsidRDefault="006F0EF5">
      <w:pPr>
        <w:divId w:val="1436829595"/>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presents the funded status and the reconciliation of the funded status to amounts recognized in the Consolidated Balance Sheets and in Accumulated other comprehensive loss as of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3394"/>
        <w:gridCol w:w="38"/>
        <w:gridCol w:w="36"/>
        <w:gridCol w:w="36"/>
        <w:gridCol w:w="36"/>
        <w:gridCol w:w="120"/>
        <w:gridCol w:w="526"/>
        <w:gridCol w:w="36"/>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8"/>
        <w:gridCol w:w="36"/>
        <w:gridCol w:w="36"/>
        <w:gridCol w:w="36"/>
        <w:gridCol w:w="36"/>
        <w:gridCol w:w="120"/>
        <w:gridCol w:w="539"/>
        <w:gridCol w:w="36"/>
      </w:tblGrid>
      <w:tr w:rsidR="00000000">
        <w:trPr>
          <w:divId w:val="13581160"/>
          <w:jc w:val="center"/>
        </w:trPr>
        <w:tc>
          <w:tcPr>
            <w:tcW w:w="50" w:type="pct"/>
            <w:vAlign w:val="center"/>
            <w:hideMark/>
          </w:tcPr>
          <w:p w:rsidR="00000000" w:rsidRDefault="006F0EF5">
            <w:pPr>
              <w:jc w:val="both"/>
              <w:rPr>
                <w:rFonts w:eastAsia="Times New Roman"/>
              </w:rPr>
            </w:pPr>
          </w:p>
        </w:tc>
        <w:tc>
          <w:tcPr>
            <w:tcW w:w="208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7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358116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 Pension Benefits</w:t>
            </w:r>
          </w:p>
        </w:tc>
      </w:tr>
      <w:tr w:rsidR="00000000">
        <w:trPr>
          <w:divId w:val="13581160"/>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1358116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Funded Status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502)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358116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Amounts recognized in the Consolidated Balance Sheets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358116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358116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358116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(503)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(539)</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(286)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(789)</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(851)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358116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amounts recognized</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358116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Amounts recognized in Accumulated 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358116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Prior service cost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358116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685132291"/>
        <w:rPr>
          <w:rFonts w:eastAsia="Times New Roman"/>
        </w:rPr>
      </w:pPr>
    </w:p>
    <w:p w:rsidR="00000000" w:rsidRDefault="006F0EF5">
      <w:pPr>
        <w:jc w:val="both"/>
        <w:rPr>
          <w:rFonts w:eastAsia="Times New Roman"/>
        </w:rPr>
      </w:pPr>
      <w:r>
        <w:rPr>
          <w:rFonts w:eastAsia="Times New Roman"/>
          <w:color w:val="000000"/>
          <w:sz w:val="20"/>
          <w:szCs w:val="20"/>
        </w:rPr>
        <w:t>For pension plans with accumulated benefit obligations in excess of plan assets, the projected benefit obligation, accumulated benefit obligation, and fair value of assets were $2,151 million, $2,149 million, and $1,382 million, respectively, as of Decembe</w:t>
      </w:r>
      <w:r>
        <w:rPr>
          <w:rFonts w:eastAsia="Times New Roman"/>
          <w:color w:val="000000"/>
          <w:sz w:val="20"/>
          <w:szCs w:val="20"/>
        </w:rPr>
        <w:t>r 31, 2021, and $2,366 million, $2,363 million and $1,531 million, respectively, as of December 31, 2020.</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net periodic benefit (income) cost of the pension plans for the years ended December 31 was as follows:</w:t>
      </w:r>
    </w:p>
    <w:tbl>
      <w:tblPr>
        <w:tblW w:w="4934" w:type="pct"/>
        <w:jc w:val="center"/>
        <w:tblCellMar>
          <w:top w:w="15" w:type="dxa"/>
          <w:left w:w="15" w:type="dxa"/>
          <w:bottom w:w="15" w:type="dxa"/>
          <w:right w:w="15" w:type="dxa"/>
        </w:tblCellMar>
        <w:tblLook w:val="04A0" w:firstRow="1" w:lastRow="0" w:firstColumn="1" w:lastColumn="0" w:noHBand="0" w:noVBand="1"/>
      </w:tblPr>
      <w:tblGrid>
        <w:gridCol w:w="39"/>
        <w:gridCol w:w="3075"/>
        <w:gridCol w:w="38"/>
        <w:gridCol w:w="120"/>
        <w:gridCol w:w="346"/>
        <w:gridCol w:w="36"/>
        <w:gridCol w:w="36"/>
        <w:gridCol w:w="36"/>
        <w:gridCol w:w="36"/>
        <w:gridCol w:w="120"/>
        <w:gridCol w:w="293"/>
        <w:gridCol w:w="36"/>
        <w:gridCol w:w="36"/>
        <w:gridCol w:w="36"/>
        <w:gridCol w:w="36"/>
        <w:gridCol w:w="120"/>
        <w:gridCol w:w="281"/>
        <w:gridCol w:w="36"/>
        <w:gridCol w:w="36"/>
        <w:gridCol w:w="36"/>
        <w:gridCol w:w="36"/>
        <w:gridCol w:w="120"/>
        <w:gridCol w:w="334"/>
        <w:gridCol w:w="36"/>
        <w:gridCol w:w="36"/>
        <w:gridCol w:w="36"/>
        <w:gridCol w:w="36"/>
        <w:gridCol w:w="121"/>
        <w:gridCol w:w="295"/>
        <w:gridCol w:w="36"/>
        <w:gridCol w:w="36"/>
        <w:gridCol w:w="36"/>
        <w:gridCol w:w="36"/>
        <w:gridCol w:w="120"/>
        <w:gridCol w:w="253"/>
        <w:gridCol w:w="36"/>
        <w:gridCol w:w="36"/>
        <w:gridCol w:w="36"/>
        <w:gridCol w:w="36"/>
        <w:gridCol w:w="120"/>
        <w:gridCol w:w="434"/>
        <w:gridCol w:w="36"/>
        <w:gridCol w:w="36"/>
        <w:gridCol w:w="36"/>
        <w:gridCol w:w="36"/>
        <w:gridCol w:w="120"/>
        <w:gridCol w:w="250"/>
        <w:gridCol w:w="36"/>
        <w:gridCol w:w="36"/>
        <w:gridCol w:w="36"/>
        <w:gridCol w:w="36"/>
        <w:gridCol w:w="120"/>
        <w:gridCol w:w="289"/>
        <w:gridCol w:w="36"/>
      </w:tblGrid>
      <w:tr w:rsidR="00000000">
        <w:trPr>
          <w:divId w:val="2061778675"/>
          <w:jc w:val="center"/>
        </w:trPr>
        <w:tc>
          <w:tcPr>
            <w:tcW w:w="50" w:type="pct"/>
            <w:vAlign w:val="center"/>
            <w:hideMark/>
          </w:tcPr>
          <w:p w:rsidR="00000000" w:rsidRDefault="006F0EF5">
            <w:pPr>
              <w:jc w:val="both"/>
              <w:rPr>
                <w:rFonts w:eastAsia="Times New Roman"/>
              </w:rPr>
            </w:pPr>
          </w:p>
        </w:tc>
        <w:tc>
          <w:tcPr>
            <w:tcW w:w="192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061778675"/>
          <w:trHeight w:val="480"/>
          <w:jc w:val="center"/>
        </w:trPr>
        <w:tc>
          <w:tcPr>
            <w:tcW w:w="0" w:type="auto"/>
            <w:gridSpan w:val="3"/>
            <w:vMerge w:val="restart"/>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International </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 Pension Benefits</w:t>
            </w:r>
          </w:p>
        </w:tc>
      </w:tr>
      <w:tr w:rsidR="00000000">
        <w:trPr>
          <w:divId w:val="2061778675"/>
          <w:trHeight w:val="480"/>
          <w:jc w:val="center"/>
        </w:trPr>
        <w:tc>
          <w:tcPr>
            <w:tcW w:w="0" w:type="auto"/>
            <w:gridSpan w:val="3"/>
            <w:vMerge/>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6F0EF5">
        <w:trPr>
          <w:divId w:val="2061778675"/>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divId w:val="2061778675"/>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divId w:val="2061778675"/>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divId w:val="2061778675"/>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61778675"/>
          <w:jc w:val="center"/>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2061778675"/>
          <w:jc w:val="center"/>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6F0EF5">
        <w:trPr>
          <w:divId w:val="2061778675"/>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Actuarial (gain) loss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(118)</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divId w:val="2061778675"/>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Net periodic benefit (income)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Actuarial gains in 2021 were primarily due to an i</w:t>
      </w:r>
      <w:r>
        <w:rPr>
          <w:rFonts w:eastAsia="Times New Roman"/>
          <w:color w:val="000000"/>
          <w:sz w:val="20"/>
          <w:szCs w:val="20"/>
          <w:shd w:val="clear" w:color="auto" w:fill="FFFFFF"/>
        </w:rPr>
        <w:t xml:space="preserve">ncrease in discount rates as well as a favorable impact from an update to the mortality tables. Actuarial losses in 2020 and 2019 were primarily due to a decrease in the discount rate.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weighted average rates and assumptions used to determine benefit</w:t>
      </w:r>
      <w:r>
        <w:rPr>
          <w:rFonts w:eastAsia="Times New Roman"/>
          <w:color w:val="000000"/>
          <w:sz w:val="20"/>
          <w:szCs w:val="20"/>
        </w:rPr>
        <w:t xml:space="preserve"> obligations as of December 31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349"/>
        <w:gridCol w:w="36"/>
        <w:gridCol w:w="36"/>
        <w:gridCol w:w="36"/>
        <w:gridCol w:w="36"/>
        <w:gridCol w:w="42"/>
        <w:gridCol w:w="444"/>
        <w:gridCol w:w="221"/>
        <w:gridCol w:w="36"/>
        <w:gridCol w:w="36"/>
        <w:gridCol w:w="36"/>
        <w:gridCol w:w="41"/>
        <w:gridCol w:w="456"/>
        <w:gridCol w:w="188"/>
        <w:gridCol w:w="36"/>
        <w:gridCol w:w="36"/>
        <w:gridCol w:w="36"/>
        <w:gridCol w:w="52"/>
        <w:gridCol w:w="445"/>
        <w:gridCol w:w="221"/>
        <w:gridCol w:w="36"/>
        <w:gridCol w:w="36"/>
        <w:gridCol w:w="36"/>
        <w:gridCol w:w="51"/>
        <w:gridCol w:w="446"/>
        <w:gridCol w:w="187"/>
        <w:gridCol w:w="36"/>
        <w:gridCol w:w="36"/>
        <w:gridCol w:w="36"/>
        <w:gridCol w:w="41"/>
        <w:gridCol w:w="456"/>
        <w:gridCol w:w="221"/>
        <w:gridCol w:w="36"/>
        <w:gridCol w:w="36"/>
        <w:gridCol w:w="36"/>
        <w:gridCol w:w="41"/>
        <w:gridCol w:w="457"/>
        <w:gridCol w:w="188"/>
      </w:tblGrid>
      <w:tr w:rsidR="00000000">
        <w:trPr>
          <w:divId w:val="1858739669"/>
          <w:jc w:val="center"/>
        </w:trPr>
        <w:tc>
          <w:tcPr>
            <w:tcW w:w="50" w:type="pct"/>
            <w:vAlign w:val="center"/>
            <w:hideMark/>
          </w:tcPr>
          <w:p w:rsidR="00000000" w:rsidRDefault="006F0EF5">
            <w:pPr>
              <w:jc w:val="both"/>
              <w:rPr>
                <w:rFonts w:eastAsia="Times New Roman"/>
              </w:rPr>
            </w:pPr>
          </w:p>
        </w:tc>
        <w:tc>
          <w:tcPr>
            <w:tcW w:w="208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7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858739669"/>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 Pension Benefits</w:t>
            </w:r>
          </w:p>
        </w:tc>
      </w:tr>
      <w:tr w:rsidR="00000000">
        <w:trPr>
          <w:divId w:val="1858739669"/>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185873966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Discount rate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185873966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Rate of compensation increase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divId w:val="341663266"/>
        <w:rPr>
          <w:rFonts w:eastAsia="Times New Roman"/>
        </w:rPr>
      </w:pPr>
    </w:p>
    <w:p w:rsidR="00000000" w:rsidRDefault="006F0EF5">
      <w:pPr>
        <w:jc w:val="both"/>
        <w:rPr>
          <w:rFonts w:eastAsia="Times New Roman"/>
        </w:rPr>
      </w:pPr>
      <w:r>
        <w:rPr>
          <w:rFonts w:eastAsia="Times New Roman"/>
          <w:color w:val="000000"/>
          <w:sz w:val="20"/>
          <w:szCs w:val="20"/>
        </w:rPr>
        <w:t>The weighted average rates and assumptions used to determine net periodic benefit (income) cost for the y</w:t>
      </w:r>
      <w:r>
        <w:rPr>
          <w:rFonts w:eastAsia="Times New Roman"/>
          <w:color w:val="000000"/>
          <w:sz w:val="20"/>
          <w:szCs w:val="20"/>
        </w:rPr>
        <w:t>ears ended December 31 were as follows:</w:t>
      </w:r>
    </w:p>
    <w:p w:rsidR="00000000" w:rsidRDefault="006F0EF5">
      <w:pPr>
        <w:jc w:val="center"/>
        <w:divId w:val="1655986061"/>
        <w:rPr>
          <w:rFonts w:eastAsia="Times New Roman"/>
        </w:rPr>
      </w:pPr>
      <w:r>
        <w:rPr>
          <w:rFonts w:eastAsia="Times New Roman"/>
          <w:color w:val="000000"/>
          <w:sz w:val="20"/>
          <w:szCs w:val="20"/>
        </w:rPr>
        <w:t>97</w:t>
      </w:r>
    </w:p>
    <w:p w:rsidR="00000000" w:rsidRDefault="006F0EF5">
      <w:pPr>
        <w:rPr>
          <w:rFonts w:eastAsia="Times New Roman"/>
        </w:rPr>
      </w:pPr>
      <w:r>
        <w:rPr>
          <w:rFonts w:eastAsia="Times New Roman"/>
        </w:rPr>
        <w:pict>
          <v:rect id="_x0000_i1126" style="width:0;height:1.5pt" o:hralign="center" o:hrstd="t" o:hr="t" fillcolor="#a0a0a0" stroked="f"/>
        </w:pict>
      </w:r>
    </w:p>
    <w:p w:rsidR="00000000" w:rsidRDefault="006F0EF5">
      <w:pPr>
        <w:divId w:val="798306059"/>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723481552"/>
        <w:rPr>
          <w:rFonts w:eastAsia="Times New Roman"/>
        </w:rPr>
      </w:pPr>
      <w:r>
        <w:rPr>
          <w:rFonts w:eastAsia="Times New Roman"/>
          <w:b/>
          <w:bCs/>
          <w:color w:val="000000"/>
          <w:sz w:val="20"/>
          <w:szCs w:val="20"/>
        </w:rPr>
        <w:t>NCR Corporation</w:t>
      </w:r>
    </w:p>
    <w:p w:rsidR="00000000" w:rsidRDefault="006F0EF5">
      <w:pPr>
        <w:jc w:val="center"/>
        <w:divId w:val="723481552"/>
        <w:rPr>
          <w:rFonts w:eastAsia="Times New Roman"/>
        </w:rPr>
      </w:pPr>
      <w:r>
        <w:rPr>
          <w:rFonts w:eastAsia="Times New Roman"/>
          <w:b/>
          <w:bCs/>
          <w:color w:val="000000"/>
          <w:sz w:val="20"/>
          <w:szCs w:val="20"/>
        </w:rPr>
        <w:t>Notes to Consolidated Financial Statements-(Continued)</w:t>
      </w:r>
    </w:p>
    <w:p w:rsidR="00000000" w:rsidRDefault="006F0EF5">
      <w:pPr>
        <w:jc w:val="center"/>
        <w:divId w:val="723481552"/>
        <w:rPr>
          <w:rFonts w:eastAsia="Times New Roman"/>
        </w:rPr>
      </w:pPr>
    </w:p>
    <w:p w:rsidR="00000000" w:rsidRDefault="006F0EF5">
      <w:pPr>
        <w:jc w:val="center"/>
        <w:divId w:val="723481552"/>
        <w:rPr>
          <w:rFonts w:eastAsia="Times New Roman"/>
        </w:rPr>
      </w:pPr>
    </w:p>
    <w:p w:rsidR="00000000" w:rsidRDefault="006F0EF5">
      <w:pPr>
        <w:divId w:val="1403016973"/>
        <w:rPr>
          <w:rFonts w:eastAsia="Times New Roman"/>
        </w:rPr>
      </w:pPr>
    </w:p>
    <w:tbl>
      <w:tblPr>
        <w:tblW w:w="4948" w:type="pct"/>
        <w:jc w:val="center"/>
        <w:tblCellMar>
          <w:top w:w="15" w:type="dxa"/>
          <w:left w:w="15" w:type="dxa"/>
          <w:bottom w:w="15" w:type="dxa"/>
          <w:right w:w="15" w:type="dxa"/>
        </w:tblCellMar>
        <w:tblLook w:val="04A0" w:firstRow="1" w:lastRow="0" w:firstColumn="1" w:lastColumn="0" w:noHBand="0" w:noVBand="1"/>
      </w:tblPr>
      <w:tblGrid>
        <w:gridCol w:w="38"/>
        <w:gridCol w:w="1514"/>
        <w:gridCol w:w="37"/>
        <w:gridCol w:w="36"/>
        <w:gridCol w:w="36"/>
        <w:gridCol w:w="36"/>
        <w:gridCol w:w="77"/>
        <w:gridCol w:w="377"/>
        <w:gridCol w:w="221"/>
        <w:gridCol w:w="37"/>
        <w:gridCol w:w="40"/>
        <w:gridCol w:w="37"/>
        <w:gridCol w:w="76"/>
        <w:gridCol w:w="376"/>
        <w:gridCol w:w="187"/>
        <w:gridCol w:w="36"/>
        <w:gridCol w:w="39"/>
        <w:gridCol w:w="36"/>
        <w:gridCol w:w="76"/>
        <w:gridCol w:w="376"/>
        <w:gridCol w:w="187"/>
        <w:gridCol w:w="36"/>
        <w:gridCol w:w="36"/>
        <w:gridCol w:w="36"/>
        <w:gridCol w:w="60"/>
        <w:gridCol w:w="288"/>
        <w:gridCol w:w="221"/>
        <w:gridCol w:w="37"/>
        <w:gridCol w:w="37"/>
        <w:gridCol w:w="37"/>
        <w:gridCol w:w="60"/>
        <w:gridCol w:w="297"/>
        <w:gridCol w:w="188"/>
        <w:gridCol w:w="37"/>
        <w:gridCol w:w="37"/>
        <w:gridCol w:w="37"/>
        <w:gridCol w:w="59"/>
        <w:gridCol w:w="296"/>
        <w:gridCol w:w="187"/>
        <w:gridCol w:w="36"/>
        <w:gridCol w:w="36"/>
        <w:gridCol w:w="36"/>
        <w:gridCol w:w="81"/>
        <w:gridCol w:w="396"/>
        <w:gridCol w:w="221"/>
        <w:gridCol w:w="37"/>
        <w:gridCol w:w="41"/>
        <w:gridCol w:w="36"/>
        <w:gridCol w:w="80"/>
        <w:gridCol w:w="395"/>
        <w:gridCol w:w="187"/>
        <w:gridCol w:w="36"/>
        <w:gridCol w:w="41"/>
        <w:gridCol w:w="36"/>
        <w:gridCol w:w="80"/>
        <w:gridCol w:w="397"/>
        <w:gridCol w:w="187"/>
      </w:tblGrid>
      <w:tr w:rsidR="00000000">
        <w:trPr>
          <w:divId w:val="164636384"/>
          <w:jc w:val="center"/>
        </w:trPr>
        <w:tc>
          <w:tcPr>
            <w:tcW w:w="50" w:type="pct"/>
            <w:vAlign w:val="center"/>
            <w:hideMark/>
          </w:tcPr>
          <w:p w:rsidR="00000000" w:rsidRDefault="006F0EF5">
            <w:pPr>
              <w:rPr>
                <w:rFonts w:eastAsia="Times New Roman"/>
              </w:rPr>
            </w:pPr>
          </w:p>
        </w:tc>
        <w:tc>
          <w:tcPr>
            <w:tcW w:w="189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64636384"/>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International </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 Pension Benefits</w:t>
            </w:r>
          </w:p>
        </w:tc>
      </w:tr>
      <w:tr w:rsidR="00000000">
        <w:trPr>
          <w:divId w:val="164636384"/>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16463638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Discount rate - Service Cost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6F0EF5">
        <w:trPr>
          <w:divId w:val="16463638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Discount rate - Interest Cost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6F0EF5">
        <w:trPr>
          <w:divId w:val="16463638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Expected return on plan assets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16463638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Rate of compensation increase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divId w:val="2022583923"/>
        <w:rPr>
          <w:rFonts w:eastAsia="Times New Roman"/>
        </w:rPr>
      </w:pPr>
    </w:p>
    <w:p w:rsidR="00000000" w:rsidRDefault="006F0EF5">
      <w:pPr>
        <w:jc w:val="both"/>
        <w:rPr>
          <w:rFonts w:eastAsia="Times New Roman"/>
        </w:rPr>
      </w:pPr>
      <w:r>
        <w:rPr>
          <w:rFonts w:eastAsia="Times New Roman"/>
          <w:color w:val="000000"/>
          <w:sz w:val="20"/>
          <w:szCs w:val="20"/>
        </w:rPr>
        <w:t xml:space="preserve">The weighted-average cash balance interest crediting rate for the Company's cash balance defined benefit plans was 1.1% for the years ended December 31, 2021 and 2020.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discount rate used to determine U.S. benefit obligations as of December 31, 2021 </w:t>
      </w:r>
      <w:r>
        <w:rPr>
          <w:rFonts w:eastAsia="Times New Roman"/>
          <w:color w:val="000000"/>
          <w:sz w:val="20"/>
          <w:szCs w:val="20"/>
        </w:rPr>
        <w:t>was derived by matching the plans’ expected future cash flows to the corresponding yields from the Aon Hewitt AA Bond Universe Curve. This yield curve has been constructed to represent the available yields on high-quality, fixed-income investments across a</w:t>
      </w:r>
      <w:r>
        <w:rPr>
          <w:rFonts w:eastAsia="Times New Roman"/>
          <w:color w:val="000000"/>
          <w:sz w:val="20"/>
          <w:szCs w:val="20"/>
        </w:rPr>
        <w:t xml:space="preserve"> broad range of future maturities. International discount rates were determined by examining interest rate levels and trends within each country, particularly yields on high-quality, long-term corporate bonds, relative to our future expected cash flows.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employs a building block approach as its primary approach in determining the long-term expected rate of return assumptions for plan assets. Historical market returns are studied and long-term relationships between equities and fixed income are preserv</w:t>
      </w:r>
      <w:r>
        <w:rPr>
          <w:rFonts w:eastAsia="Times New Roman"/>
          <w:color w:val="000000"/>
          <w:sz w:val="20"/>
          <w:szCs w:val="20"/>
        </w:rPr>
        <w:t>ed consistent with the widely accepted capital market principle that assets with higher volatilities generate higher returns over the long run. Current market factors, such as inflation and interest rates are evaluated before long-term capital market assum</w:t>
      </w:r>
      <w:r>
        <w:rPr>
          <w:rFonts w:eastAsia="Times New Roman"/>
          <w:color w:val="000000"/>
          <w:sz w:val="20"/>
          <w:szCs w:val="20"/>
        </w:rPr>
        <w:t>ptions are determined. The expected long-term portfolio return is established for each plan via a building block approach with proper rebalancing consideration. The result is then adjusted to reflect additional expected return from active management net of</w:t>
      </w:r>
      <w:r>
        <w:rPr>
          <w:rFonts w:eastAsia="Times New Roman"/>
          <w:color w:val="000000"/>
          <w:sz w:val="20"/>
          <w:szCs w:val="20"/>
        </w:rPr>
        <w:t xml:space="preserve"> plan expenses. Historical plan returns, the expectations of other capital market participants, and peer data may be used to review and assess the results for reasonableness and appropriateness.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Plan Assets </w:t>
      </w:r>
      <w:r>
        <w:rPr>
          <w:rFonts w:eastAsia="Times New Roman"/>
          <w:color w:val="000000"/>
          <w:sz w:val="20"/>
          <w:szCs w:val="20"/>
        </w:rPr>
        <w:t>The weighted average asset allocations as of D</w:t>
      </w:r>
      <w:r>
        <w:rPr>
          <w:rFonts w:eastAsia="Times New Roman"/>
          <w:color w:val="000000"/>
          <w:sz w:val="20"/>
          <w:szCs w:val="20"/>
        </w:rPr>
        <w:t>ecember 31, 2021 and 2020 by asset category are as follows:</w:t>
      </w:r>
    </w:p>
    <w:tbl>
      <w:tblPr>
        <w:tblW w:w="4970" w:type="pct"/>
        <w:jc w:val="center"/>
        <w:tblCellMar>
          <w:top w:w="15" w:type="dxa"/>
          <w:left w:w="15" w:type="dxa"/>
          <w:bottom w:w="15" w:type="dxa"/>
          <w:right w:w="15" w:type="dxa"/>
        </w:tblCellMar>
        <w:tblLook w:val="04A0" w:firstRow="1" w:lastRow="0" w:firstColumn="1" w:lastColumn="0" w:noHBand="0" w:noVBand="1"/>
      </w:tblPr>
      <w:tblGrid>
        <w:gridCol w:w="37"/>
        <w:gridCol w:w="3504"/>
        <w:gridCol w:w="36"/>
        <w:gridCol w:w="36"/>
        <w:gridCol w:w="36"/>
        <w:gridCol w:w="36"/>
        <w:gridCol w:w="49"/>
        <w:gridCol w:w="385"/>
        <w:gridCol w:w="221"/>
        <w:gridCol w:w="37"/>
        <w:gridCol w:w="37"/>
        <w:gridCol w:w="37"/>
        <w:gridCol w:w="49"/>
        <w:gridCol w:w="384"/>
        <w:gridCol w:w="188"/>
        <w:gridCol w:w="36"/>
        <w:gridCol w:w="36"/>
        <w:gridCol w:w="36"/>
        <w:gridCol w:w="76"/>
        <w:gridCol w:w="660"/>
        <w:gridCol w:w="36"/>
        <w:gridCol w:w="36"/>
        <w:gridCol w:w="36"/>
        <w:gridCol w:w="36"/>
        <w:gridCol w:w="49"/>
        <w:gridCol w:w="322"/>
        <w:gridCol w:w="221"/>
        <w:gridCol w:w="37"/>
        <w:gridCol w:w="37"/>
        <w:gridCol w:w="37"/>
        <w:gridCol w:w="49"/>
        <w:gridCol w:w="377"/>
        <w:gridCol w:w="187"/>
        <w:gridCol w:w="36"/>
        <w:gridCol w:w="36"/>
        <w:gridCol w:w="36"/>
        <w:gridCol w:w="76"/>
        <w:gridCol w:w="660"/>
        <w:gridCol w:w="36"/>
      </w:tblGrid>
      <w:tr w:rsidR="00000000">
        <w:trPr>
          <w:divId w:val="977953371"/>
          <w:jc w:val="center"/>
        </w:trPr>
        <w:tc>
          <w:tcPr>
            <w:tcW w:w="50" w:type="pct"/>
            <w:vAlign w:val="center"/>
            <w:hideMark/>
          </w:tcPr>
          <w:p w:rsidR="00000000" w:rsidRDefault="006F0EF5">
            <w:pPr>
              <w:jc w:val="both"/>
              <w:rPr>
                <w:rFonts w:eastAsia="Times New Roman"/>
              </w:rPr>
            </w:pPr>
          </w:p>
        </w:tc>
        <w:tc>
          <w:tcPr>
            <w:tcW w:w="218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977953371"/>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U.S. Pension Fund</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International Pension Fund</w:t>
            </w:r>
          </w:p>
        </w:tc>
      </w:tr>
      <w:tr w:rsidR="00000000">
        <w:trPr>
          <w:divId w:val="977953371"/>
          <w:trHeight w:val="660"/>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Actual Allocation of Plan Assets as of December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Target Asset Allocation</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Actual Allocation of Plan Assets as of December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Target Asset Allocation</w:t>
            </w:r>
          </w:p>
        </w:tc>
      </w:tr>
      <w:tr w:rsidR="00000000">
        <w:trPr>
          <w:divId w:val="977953371"/>
          <w:trHeight w:val="300"/>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6F0EF5">
            <w:pPr>
              <w:spacing w:after="100"/>
              <w:rPr>
                <w:rFonts w:eastAsia="Times New Roman"/>
              </w:rPr>
            </w:pPr>
          </w:p>
        </w:tc>
      </w:tr>
      <w:tr w:rsidR="00000000">
        <w:trPr>
          <w:divId w:val="977953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Equity securities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10 - 30%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10 - 30%</w:t>
            </w:r>
          </w:p>
        </w:tc>
      </w:tr>
      <w:tr w:rsidR="00000000">
        <w:trPr>
          <w:divId w:val="97795337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Debt securities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40 - 85%</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50 - 70%</w:t>
            </w:r>
          </w:p>
        </w:tc>
      </w:tr>
      <w:tr w:rsidR="00000000">
        <w:trPr>
          <w:divId w:val="977953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Real estate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0 - 15%</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10 - 20%</w:t>
            </w:r>
          </w:p>
        </w:tc>
      </w:tr>
      <w:tr w:rsidR="00000000">
        <w:trPr>
          <w:divId w:val="97795337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0 - 30%</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5 - 15%</w:t>
            </w:r>
          </w:p>
        </w:tc>
      </w:tr>
      <w:tr w:rsidR="00000000">
        <w:trPr>
          <w:divId w:val="97795337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fair value of plan assets as of December 31, 2021 and 2020 by asset category is as follows:</w:t>
      </w:r>
    </w:p>
    <w:p w:rsidR="00000000" w:rsidRDefault="006F0EF5">
      <w:pPr>
        <w:jc w:val="center"/>
        <w:divId w:val="1580866014"/>
        <w:rPr>
          <w:rFonts w:eastAsia="Times New Roman"/>
        </w:rPr>
      </w:pPr>
      <w:r>
        <w:rPr>
          <w:rFonts w:eastAsia="Times New Roman"/>
          <w:color w:val="000000"/>
          <w:sz w:val="20"/>
          <w:szCs w:val="20"/>
        </w:rPr>
        <w:t>98</w:t>
      </w:r>
    </w:p>
    <w:p w:rsidR="00000000" w:rsidRDefault="006F0EF5">
      <w:pPr>
        <w:rPr>
          <w:rFonts w:eastAsia="Times New Roman"/>
        </w:rPr>
      </w:pPr>
      <w:r>
        <w:rPr>
          <w:rFonts w:eastAsia="Times New Roman"/>
        </w:rPr>
        <w:pict>
          <v:rect id="_x0000_i1127" style="width:0;height:1.5pt" o:hralign="center" o:hrstd="t" o:hr="t" fillcolor="#a0a0a0" stroked="f"/>
        </w:pict>
      </w:r>
    </w:p>
    <w:p w:rsidR="00000000" w:rsidRDefault="006F0EF5">
      <w:pPr>
        <w:divId w:val="208641647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923956822"/>
        <w:rPr>
          <w:rFonts w:eastAsia="Times New Roman"/>
        </w:rPr>
      </w:pPr>
      <w:r>
        <w:rPr>
          <w:rFonts w:eastAsia="Times New Roman"/>
          <w:b/>
          <w:bCs/>
          <w:color w:val="000000"/>
          <w:sz w:val="20"/>
          <w:szCs w:val="20"/>
        </w:rPr>
        <w:t>NCR Corporation</w:t>
      </w:r>
    </w:p>
    <w:p w:rsidR="00000000" w:rsidRDefault="006F0EF5">
      <w:pPr>
        <w:jc w:val="center"/>
        <w:divId w:val="923956822"/>
        <w:rPr>
          <w:rFonts w:eastAsia="Times New Roman"/>
        </w:rPr>
      </w:pPr>
      <w:r>
        <w:rPr>
          <w:rFonts w:eastAsia="Times New Roman"/>
          <w:b/>
          <w:bCs/>
          <w:color w:val="000000"/>
          <w:sz w:val="20"/>
          <w:szCs w:val="20"/>
        </w:rPr>
        <w:t>Notes to Consolidated Financial Statements-(Continued)</w:t>
      </w:r>
    </w:p>
    <w:p w:rsidR="00000000" w:rsidRDefault="006F0EF5">
      <w:pPr>
        <w:jc w:val="center"/>
        <w:divId w:val="923956822"/>
        <w:rPr>
          <w:rFonts w:eastAsia="Times New Roman"/>
        </w:rPr>
      </w:pPr>
    </w:p>
    <w:p w:rsidR="00000000" w:rsidRDefault="006F0EF5">
      <w:pPr>
        <w:jc w:val="center"/>
        <w:divId w:val="923956822"/>
        <w:rPr>
          <w:rFonts w:eastAsia="Times New Roman"/>
        </w:rPr>
      </w:pPr>
    </w:p>
    <w:p w:rsidR="00000000" w:rsidRDefault="006F0EF5">
      <w:pPr>
        <w:divId w:val="118648401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82"/>
        <w:gridCol w:w="1018"/>
        <w:gridCol w:w="38"/>
        <w:gridCol w:w="83"/>
        <w:gridCol w:w="284"/>
        <w:gridCol w:w="36"/>
        <w:gridCol w:w="101"/>
        <w:gridCol w:w="555"/>
        <w:gridCol w:w="36"/>
        <w:gridCol w:w="101"/>
        <w:gridCol w:w="478"/>
        <w:gridCol w:w="36"/>
        <w:gridCol w:w="101"/>
        <w:gridCol w:w="640"/>
        <w:gridCol w:w="36"/>
        <w:gridCol w:w="101"/>
        <w:gridCol w:w="774"/>
        <w:gridCol w:w="36"/>
        <w:gridCol w:w="101"/>
        <w:gridCol w:w="465"/>
        <w:gridCol w:w="36"/>
        <w:gridCol w:w="36"/>
        <w:gridCol w:w="36"/>
        <w:gridCol w:w="36"/>
        <w:gridCol w:w="101"/>
        <w:gridCol w:w="564"/>
        <w:gridCol w:w="36"/>
        <w:gridCol w:w="101"/>
        <w:gridCol w:w="478"/>
        <w:gridCol w:w="36"/>
        <w:gridCol w:w="101"/>
        <w:gridCol w:w="630"/>
        <w:gridCol w:w="36"/>
        <w:gridCol w:w="101"/>
        <w:gridCol w:w="764"/>
        <w:gridCol w:w="36"/>
        <w:gridCol w:w="101"/>
        <w:gridCol w:w="458"/>
        <w:gridCol w:w="36"/>
      </w:tblGrid>
      <w:tr w:rsidR="00000000">
        <w:trPr>
          <w:divId w:val="1772696994"/>
          <w:jc w:val="center"/>
        </w:trPr>
        <w:tc>
          <w:tcPr>
            <w:tcW w:w="50" w:type="pct"/>
            <w:vAlign w:val="center"/>
            <w:hideMark/>
          </w:tcPr>
          <w:p w:rsidR="00000000" w:rsidRDefault="006F0EF5">
            <w:pPr>
              <w:rPr>
                <w:rFonts w:eastAsia="Times New Roman"/>
              </w:rPr>
            </w:pPr>
          </w:p>
        </w:tc>
        <w:tc>
          <w:tcPr>
            <w:tcW w:w="6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7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8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1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7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8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7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8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2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6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772696994"/>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U.S.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International</w:t>
            </w:r>
          </w:p>
        </w:tc>
      </w:tr>
      <w:tr w:rsidR="00000000">
        <w:trPr>
          <w:divId w:val="1772696994"/>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4"/>
                <w:szCs w:val="14"/>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Notes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Fair Value as of December 31, 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Significant Other Observable Inputs (Level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Not Subject to Leveling</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Fair Value as of December 31, 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Significant Other Observable Inputs (Level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 xml:space="preserve">Not Subject to Leveling </w:t>
            </w:r>
          </w:p>
        </w:tc>
      </w:tr>
      <w:tr w:rsidR="00000000">
        <w:trPr>
          <w:divId w:val="177269699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7269699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i/>
                <w:iCs/>
                <w:color w:val="000000"/>
                <w:sz w:val="16"/>
                <w:szCs w:val="16"/>
              </w:rPr>
              <w:t>Equity securities: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6F0EF5">
        <w:trPr>
          <w:divId w:val="177269699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Common stock</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194 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194 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7269699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i/>
                <w:iCs/>
                <w:color w:val="000000"/>
                <w:sz w:val="16"/>
                <w:szCs w:val="16"/>
              </w:rPr>
              <w:t>Fixed income securities: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7269699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Government securities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201 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201 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7269699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Corporate debt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752 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752 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7269699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i/>
                <w:iCs/>
                <w:color w:val="000000"/>
                <w:sz w:val="16"/>
                <w:szCs w:val="16"/>
              </w:rPr>
              <w:t>Other types of investments: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7269699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Money market funds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7269699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Common and commingled trusts - Equities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145 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145 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7269699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Common and commingled trusts - Bonds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457 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457 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7269699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Common and commingled trusts - 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7269699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Common and commingled trusts - Balanced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185 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185 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72696994"/>
          <w:jc w:val="center"/>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177269699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Partnership/joint venture interests - Other</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7269699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Mutual funds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72696994"/>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Insurance products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72696994"/>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Real estate and other</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divId w:val="1772696994"/>
          <w:jc w:val="center"/>
        </w:trPr>
        <w:tc>
          <w:tcPr>
            <w:tcW w:w="0" w:type="auto"/>
            <w:gridSpan w:val="3"/>
            <w:shd w:val="clear" w:color="auto" w:fill="CCEE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1,379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224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953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202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1,106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88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151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841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center"/>
        <w:divId w:val="220140408"/>
        <w:rPr>
          <w:rFonts w:eastAsia="Times New Roman"/>
        </w:rPr>
      </w:pPr>
      <w:r>
        <w:rPr>
          <w:rFonts w:eastAsia="Times New Roman"/>
          <w:color w:val="000000"/>
          <w:sz w:val="20"/>
          <w:szCs w:val="20"/>
        </w:rPr>
        <w:t>99</w:t>
      </w:r>
    </w:p>
    <w:p w:rsidR="00000000" w:rsidRDefault="006F0EF5">
      <w:pPr>
        <w:rPr>
          <w:rFonts w:eastAsia="Times New Roman"/>
        </w:rPr>
      </w:pPr>
      <w:r>
        <w:rPr>
          <w:rFonts w:eastAsia="Times New Roman"/>
        </w:rPr>
        <w:pict>
          <v:rect id="_x0000_i1128" style="width:0;height:1.5pt" o:hralign="center" o:hrstd="t" o:hr="t" fillcolor="#a0a0a0" stroked="f"/>
        </w:pict>
      </w:r>
    </w:p>
    <w:p w:rsidR="00000000" w:rsidRDefault="006F0EF5">
      <w:pPr>
        <w:divId w:val="62759281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657685232"/>
        <w:rPr>
          <w:rFonts w:eastAsia="Times New Roman"/>
        </w:rPr>
      </w:pPr>
      <w:r>
        <w:rPr>
          <w:rFonts w:eastAsia="Times New Roman"/>
          <w:b/>
          <w:bCs/>
          <w:color w:val="000000"/>
          <w:sz w:val="20"/>
          <w:szCs w:val="20"/>
        </w:rPr>
        <w:t>NCR</w:t>
      </w:r>
      <w:r>
        <w:rPr>
          <w:rFonts w:eastAsia="Times New Roman"/>
          <w:b/>
          <w:bCs/>
          <w:color w:val="000000"/>
          <w:sz w:val="20"/>
          <w:szCs w:val="20"/>
        </w:rPr>
        <w:t xml:space="preserve"> Corporation</w:t>
      </w:r>
    </w:p>
    <w:p w:rsidR="00000000" w:rsidRDefault="006F0EF5">
      <w:pPr>
        <w:jc w:val="center"/>
        <w:divId w:val="1657685232"/>
        <w:rPr>
          <w:rFonts w:eastAsia="Times New Roman"/>
        </w:rPr>
      </w:pPr>
      <w:r>
        <w:rPr>
          <w:rFonts w:eastAsia="Times New Roman"/>
          <w:b/>
          <w:bCs/>
          <w:color w:val="000000"/>
          <w:sz w:val="20"/>
          <w:szCs w:val="20"/>
        </w:rPr>
        <w:t>Notes to Consolidated Financial Statements-(Continued)</w:t>
      </w:r>
    </w:p>
    <w:p w:rsidR="00000000" w:rsidRDefault="006F0EF5">
      <w:pPr>
        <w:jc w:val="center"/>
        <w:divId w:val="1657685232"/>
        <w:rPr>
          <w:rFonts w:eastAsia="Times New Roman"/>
        </w:rPr>
      </w:pPr>
    </w:p>
    <w:p w:rsidR="00000000" w:rsidRDefault="006F0EF5">
      <w:pPr>
        <w:jc w:val="center"/>
        <w:divId w:val="1657685232"/>
        <w:rPr>
          <w:rFonts w:eastAsia="Times New Roman"/>
        </w:rPr>
      </w:pPr>
    </w:p>
    <w:p w:rsidR="00000000" w:rsidRDefault="006F0EF5">
      <w:pPr>
        <w:divId w:val="64338897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1034"/>
        <w:gridCol w:w="38"/>
        <w:gridCol w:w="83"/>
        <w:gridCol w:w="284"/>
        <w:gridCol w:w="36"/>
        <w:gridCol w:w="101"/>
        <w:gridCol w:w="547"/>
        <w:gridCol w:w="36"/>
        <w:gridCol w:w="101"/>
        <w:gridCol w:w="472"/>
        <w:gridCol w:w="36"/>
        <w:gridCol w:w="101"/>
        <w:gridCol w:w="628"/>
        <w:gridCol w:w="36"/>
        <w:gridCol w:w="101"/>
        <w:gridCol w:w="768"/>
        <w:gridCol w:w="36"/>
        <w:gridCol w:w="101"/>
        <w:gridCol w:w="459"/>
        <w:gridCol w:w="36"/>
        <w:gridCol w:w="36"/>
        <w:gridCol w:w="36"/>
        <w:gridCol w:w="36"/>
        <w:gridCol w:w="101"/>
        <w:gridCol w:w="547"/>
        <w:gridCol w:w="36"/>
        <w:gridCol w:w="101"/>
        <w:gridCol w:w="488"/>
        <w:gridCol w:w="36"/>
        <w:gridCol w:w="101"/>
        <w:gridCol w:w="629"/>
        <w:gridCol w:w="36"/>
        <w:gridCol w:w="101"/>
        <w:gridCol w:w="764"/>
        <w:gridCol w:w="36"/>
        <w:gridCol w:w="101"/>
        <w:gridCol w:w="461"/>
        <w:gridCol w:w="36"/>
      </w:tblGrid>
      <w:tr w:rsidR="00000000">
        <w:trPr>
          <w:jc w:val="center"/>
        </w:trPr>
        <w:tc>
          <w:tcPr>
            <w:tcW w:w="50" w:type="pct"/>
            <w:vAlign w:val="center"/>
            <w:hideMark/>
          </w:tcPr>
          <w:p w:rsidR="00000000" w:rsidRDefault="006F0EF5">
            <w:pPr>
              <w:rPr>
                <w:rFonts w:eastAsia="Times New Roman"/>
              </w:rPr>
            </w:pPr>
          </w:p>
        </w:tc>
        <w:tc>
          <w:tcPr>
            <w:tcW w:w="77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7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0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6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5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6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7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0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6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2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7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U.S.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International</w:t>
            </w: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4"/>
                <w:szCs w:val="14"/>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Notes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Fair Value as of December 31, 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Significant Other Observable Inputs (Level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Not Subject to Leveling</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Fair Value as of December 31, 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 xml:space="preserve">Significant Other Observable Inputs </w:t>
            </w:r>
            <w:r>
              <w:rPr>
                <w:rFonts w:eastAsia="Times New Roman"/>
                <w:b/>
                <w:bCs/>
                <w:color w:val="000000"/>
                <w:sz w:val="14"/>
                <w:szCs w:val="14"/>
              </w:rPr>
              <w:br/>
              <w:t>(Level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4"/>
                <w:szCs w:val="14"/>
              </w:rPr>
              <w:t>Not Subject to Leveling</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i/>
                <w:iCs/>
                <w:color w:val="000000"/>
                <w:sz w:val="16"/>
                <w:szCs w:val="16"/>
              </w:rPr>
              <w:t>Equity securities: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6F0EF5">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Common stock</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i/>
                <w:iCs/>
                <w:color w:val="000000"/>
                <w:sz w:val="16"/>
                <w:szCs w:val="16"/>
              </w:rPr>
              <w:t>Fixed income securities: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Government securities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221 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221 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Corporate debt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1,011 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1,011 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104 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104 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i/>
                <w:iCs/>
                <w:color w:val="000000"/>
                <w:sz w:val="16"/>
                <w:szCs w:val="16"/>
              </w:rPr>
              <w:t>Other types of investments: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Money market funds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Common and commingled trusts - Equities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149 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149 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Common and commingled trusts - Bonds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167 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167 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Common and commingled trusts - 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Common and commingled trusts - Balanced</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90 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Partnership/joint venture interests - Other</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Mutual funds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28 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Insurance products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Real estate and other</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152 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jc w:val="center"/>
        </w:trPr>
        <w:tc>
          <w:tcPr>
            <w:tcW w:w="0" w:type="auto"/>
            <w:gridSpan w:val="3"/>
            <w:shd w:val="clear" w:color="auto" w:fill="CCEE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1,528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1,232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268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1,118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57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105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152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16"/>
                <w:szCs w:val="16"/>
              </w:rPr>
              <w:t>804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213152283"/>
        <w:rPr>
          <w:rFonts w:eastAsia="Times New Roman"/>
        </w:rPr>
      </w:pPr>
    </w:p>
    <w:p w:rsidR="00000000" w:rsidRDefault="006F0EF5">
      <w:pPr>
        <w:jc w:val="both"/>
        <w:rPr>
          <w:rFonts w:eastAsia="Times New Roman"/>
        </w:rPr>
      </w:pPr>
      <w:r>
        <w:rPr>
          <w:rFonts w:eastAsia="Times New Roman"/>
          <w:color w:val="000000"/>
          <w:sz w:val="20"/>
          <w:szCs w:val="20"/>
          <w:u w:val="single"/>
        </w:rPr>
        <w:t>Notes:</w:t>
      </w:r>
    </w:p>
    <w:p w:rsidR="00000000" w:rsidRDefault="006F0EF5">
      <w:pPr>
        <w:ind w:hanging="360"/>
        <w:jc w:val="both"/>
        <w:rPr>
          <w:rFonts w:eastAsia="Times New Roman"/>
        </w:rPr>
      </w:pPr>
      <w:r>
        <w:rPr>
          <w:rFonts w:eastAsia="Times New Roman"/>
          <w:color w:val="000000"/>
          <w:sz w:val="20"/>
          <w:szCs w:val="20"/>
          <w:shd w:val="clear" w:color="auto" w:fill="FFFFFF"/>
        </w:rPr>
        <w:t>1.Common stocks are valued based on quoted market prices at the closing price as reported on the active market</w:t>
      </w:r>
      <w:r>
        <w:rPr>
          <w:rFonts w:eastAsia="Times New Roman"/>
          <w:color w:val="000000"/>
          <w:sz w:val="20"/>
          <w:szCs w:val="20"/>
          <w:shd w:val="clear" w:color="auto" w:fill="FFFFFF"/>
        </w:rPr>
        <w:t xml:space="preserve"> on which the individual securities are traded.</w:t>
      </w:r>
    </w:p>
    <w:p w:rsidR="00000000" w:rsidRDefault="006F0EF5">
      <w:pPr>
        <w:ind w:hanging="360"/>
        <w:jc w:val="both"/>
        <w:rPr>
          <w:rFonts w:eastAsia="Times New Roman"/>
        </w:rPr>
      </w:pPr>
      <w:r>
        <w:rPr>
          <w:rFonts w:eastAsia="Times New Roman"/>
          <w:color w:val="000000"/>
          <w:sz w:val="20"/>
          <w:szCs w:val="20"/>
          <w:shd w:val="clear" w:color="auto" w:fill="FFFFFF"/>
        </w:rPr>
        <w:t>2.Government securities are valued based on yields currently available on comparable securities of issuers with similar credit ratings. When quoted prices are not available for identical or similar securities</w:t>
      </w:r>
      <w:r>
        <w:rPr>
          <w:rFonts w:eastAsia="Times New Roman"/>
          <w:color w:val="000000"/>
          <w:sz w:val="20"/>
          <w:szCs w:val="20"/>
          <w:shd w:val="clear" w:color="auto" w:fill="FFFFFF"/>
        </w:rPr>
        <w:t>, the security is valued under a discounted cash flows approach that maximizes observable inputs, such as current yields on similar instruments but includes adjustments for certain risks that may not be observable, such as credit and liquidity risks.</w:t>
      </w:r>
    </w:p>
    <w:p w:rsidR="00000000" w:rsidRDefault="006F0EF5">
      <w:pPr>
        <w:ind w:hanging="360"/>
        <w:jc w:val="both"/>
        <w:rPr>
          <w:rFonts w:eastAsia="Times New Roman"/>
        </w:rPr>
      </w:pPr>
      <w:r>
        <w:rPr>
          <w:rFonts w:eastAsia="Times New Roman"/>
          <w:color w:val="000000"/>
          <w:sz w:val="20"/>
          <w:szCs w:val="20"/>
          <w:shd w:val="clear" w:color="auto" w:fill="FFFFFF"/>
        </w:rPr>
        <w:t>3.Cor</w:t>
      </w:r>
      <w:r>
        <w:rPr>
          <w:rFonts w:eastAsia="Times New Roman"/>
          <w:color w:val="000000"/>
          <w:sz w:val="20"/>
          <w:szCs w:val="20"/>
          <w:shd w:val="clear" w:color="auto" w:fill="FFFFFF"/>
        </w:rPr>
        <w:t xml:space="preserve">porate debt is valued primarily based on observable market quotations for similar bonds at the closing price reported on the active market on which the individual securities are traded. When such quoted prices are not available, the bonds are valued using </w:t>
      </w:r>
      <w:r>
        <w:rPr>
          <w:rFonts w:eastAsia="Times New Roman"/>
          <w:color w:val="000000"/>
          <w:sz w:val="20"/>
          <w:szCs w:val="20"/>
          <w:shd w:val="clear" w:color="auto" w:fill="FFFFFF"/>
        </w:rPr>
        <w:t>a discounted cash flows approach using current yields on similar instruments of issuers with similar credit ratings.</w:t>
      </w:r>
    </w:p>
    <w:p w:rsidR="00000000" w:rsidRDefault="006F0EF5">
      <w:pPr>
        <w:ind w:hanging="360"/>
        <w:jc w:val="both"/>
        <w:rPr>
          <w:rFonts w:eastAsia="Times New Roman"/>
        </w:rPr>
      </w:pPr>
      <w:r>
        <w:rPr>
          <w:rFonts w:eastAsia="Times New Roman"/>
          <w:color w:val="000000"/>
          <w:sz w:val="20"/>
          <w:szCs w:val="20"/>
          <w:shd w:val="clear" w:color="auto" w:fill="FFFFFF"/>
        </w:rPr>
        <w:t>4.Common/collective trusts and registered investment companies (</w:t>
      </w:r>
      <w:r>
        <w:rPr>
          <w:rFonts w:eastAsia="Times New Roman"/>
          <w:color w:val="000000"/>
          <w:sz w:val="20"/>
          <w:szCs w:val="20"/>
        </w:rPr>
        <w:t>“</w:t>
      </w:r>
      <w:r>
        <w:rPr>
          <w:rFonts w:eastAsia="Times New Roman"/>
          <w:color w:val="000000"/>
          <w:sz w:val="20"/>
          <w:szCs w:val="20"/>
          <w:shd w:val="clear" w:color="auto" w:fill="FFFFFF"/>
        </w:rPr>
        <w:t>RICs</w:t>
      </w:r>
      <w:r>
        <w:rPr>
          <w:rFonts w:eastAsia="Times New Roman"/>
          <w:color w:val="000000"/>
          <w:sz w:val="20"/>
          <w:szCs w:val="20"/>
        </w:rPr>
        <w:t>”</w:t>
      </w:r>
      <w:r>
        <w:rPr>
          <w:rFonts w:eastAsia="Times New Roman"/>
          <w:color w:val="000000"/>
          <w:sz w:val="20"/>
          <w:szCs w:val="20"/>
          <w:shd w:val="clear" w:color="auto" w:fill="FFFFFF"/>
        </w:rPr>
        <w:t>) such as mutual funds are valued using a Net Asset Value (</w:t>
      </w:r>
      <w:r>
        <w:rPr>
          <w:rFonts w:eastAsia="Times New Roman"/>
          <w:color w:val="000000"/>
          <w:sz w:val="20"/>
          <w:szCs w:val="20"/>
        </w:rPr>
        <w:t>“</w:t>
      </w:r>
      <w:r>
        <w:rPr>
          <w:rFonts w:eastAsia="Times New Roman"/>
          <w:color w:val="000000"/>
          <w:sz w:val="20"/>
          <w:szCs w:val="20"/>
          <w:shd w:val="clear" w:color="auto" w:fill="FFFFFF"/>
        </w:rPr>
        <w:t>NAV</w:t>
      </w:r>
      <w:r>
        <w:rPr>
          <w:rFonts w:eastAsia="Times New Roman"/>
          <w:color w:val="000000"/>
          <w:sz w:val="20"/>
          <w:szCs w:val="20"/>
        </w:rPr>
        <w:t>”</w:t>
      </w:r>
      <w:r>
        <w:rPr>
          <w:rFonts w:eastAsia="Times New Roman"/>
          <w:color w:val="000000"/>
          <w:sz w:val="20"/>
          <w:szCs w:val="20"/>
          <w:shd w:val="clear" w:color="auto" w:fill="FFFFFF"/>
        </w:rPr>
        <w:t>) pro</w:t>
      </w:r>
      <w:r>
        <w:rPr>
          <w:rFonts w:eastAsia="Times New Roman"/>
          <w:color w:val="000000"/>
          <w:sz w:val="20"/>
          <w:szCs w:val="20"/>
          <w:shd w:val="clear" w:color="auto" w:fill="FFFFFF"/>
        </w:rPr>
        <w:t>vided by the manager of each fund. The NAV is based on the underlying net assets owned by the fund, divided by the number of shares or units outstanding. The fair value of the underlying securities within the fund, which are generally traded on an active m</w:t>
      </w:r>
      <w:r>
        <w:rPr>
          <w:rFonts w:eastAsia="Times New Roman"/>
          <w:color w:val="000000"/>
          <w:sz w:val="20"/>
          <w:szCs w:val="20"/>
          <w:shd w:val="clear" w:color="auto" w:fill="FFFFFF"/>
        </w:rPr>
        <w:t>arket, are valued at the closing price reported on the active market on which those individual securities are traded. For investments not traded on an active market, or for which a quoted price is not publicly available, a variety of unobservable valuation</w:t>
      </w:r>
      <w:r>
        <w:rPr>
          <w:rFonts w:eastAsia="Times New Roman"/>
          <w:color w:val="000000"/>
          <w:sz w:val="20"/>
          <w:szCs w:val="20"/>
          <w:shd w:val="clear" w:color="auto" w:fill="FFFFFF"/>
        </w:rPr>
        <w:t xml:space="preserve"> methodologies, including discounted cash flow, market multiple and cost valuation approaches, are employed by the fund manager or independent third party to value investments. </w:t>
      </w:r>
    </w:p>
    <w:p w:rsidR="00000000" w:rsidRDefault="006F0EF5">
      <w:pPr>
        <w:ind w:hanging="360"/>
        <w:jc w:val="both"/>
        <w:rPr>
          <w:rFonts w:eastAsia="Times New Roman"/>
        </w:rPr>
      </w:pPr>
      <w:r>
        <w:rPr>
          <w:rFonts w:eastAsia="Times New Roman"/>
          <w:color w:val="000000"/>
          <w:sz w:val="20"/>
          <w:szCs w:val="20"/>
        </w:rPr>
        <w:t>5.Partnership/joint ventures are valued based on the fair value of the underly</w:t>
      </w:r>
      <w:r>
        <w:rPr>
          <w:rFonts w:eastAsia="Times New Roman"/>
          <w:color w:val="000000"/>
          <w:sz w:val="20"/>
          <w:szCs w:val="20"/>
        </w:rPr>
        <w:t>ing securities within the fund, which include investments both traded on an active market and not traded on an active market. For those investments that are traded on an active market, the values are based on the closing price reported on the active market</w:t>
      </w:r>
      <w:r>
        <w:rPr>
          <w:rFonts w:eastAsia="Times New Roman"/>
          <w:color w:val="000000"/>
          <w:sz w:val="20"/>
          <w:szCs w:val="20"/>
        </w:rPr>
        <w:t xml:space="preserve"> on which those individual securities </w:t>
      </w:r>
    </w:p>
    <w:p w:rsidR="00000000" w:rsidRDefault="006F0EF5">
      <w:pPr>
        <w:jc w:val="center"/>
        <w:divId w:val="1638294484"/>
        <w:rPr>
          <w:rFonts w:eastAsia="Times New Roman"/>
        </w:rPr>
      </w:pPr>
      <w:r>
        <w:rPr>
          <w:rFonts w:eastAsia="Times New Roman"/>
          <w:color w:val="000000"/>
          <w:sz w:val="20"/>
          <w:szCs w:val="20"/>
        </w:rPr>
        <w:t>100</w:t>
      </w:r>
    </w:p>
    <w:p w:rsidR="00000000" w:rsidRDefault="006F0EF5">
      <w:pPr>
        <w:rPr>
          <w:rFonts w:eastAsia="Times New Roman"/>
        </w:rPr>
      </w:pPr>
      <w:r>
        <w:rPr>
          <w:rFonts w:eastAsia="Times New Roman"/>
        </w:rPr>
        <w:pict>
          <v:rect id="_x0000_i1129" style="width:0;height:1.5pt" o:hralign="center" o:hrstd="t" o:hr="t" fillcolor="#a0a0a0" stroked="f"/>
        </w:pict>
      </w:r>
    </w:p>
    <w:p w:rsidR="00000000" w:rsidRDefault="006F0EF5">
      <w:pPr>
        <w:divId w:val="74206936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779253534"/>
        <w:rPr>
          <w:rFonts w:eastAsia="Times New Roman"/>
        </w:rPr>
      </w:pPr>
      <w:r>
        <w:rPr>
          <w:rFonts w:eastAsia="Times New Roman"/>
          <w:b/>
          <w:bCs/>
          <w:color w:val="000000"/>
          <w:sz w:val="20"/>
          <w:szCs w:val="20"/>
        </w:rPr>
        <w:t>NCR Corporation</w:t>
      </w:r>
    </w:p>
    <w:p w:rsidR="00000000" w:rsidRDefault="006F0EF5">
      <w:pPr>
        <w:jc w:val="center"/>
        <w:divId w:val="1779253534"/>
        <w:rPr>
          <w:rFonts w:eastAsia="Times New Roman"/>
        </w:rPr>
      </w:pPr>
      <w:r>
        <w:rPr>
          <w:rFonts w:eastAsia="Times New Roman"/>
          <w:b/>
          <w:bCs/>
          <w:color w:val="000000"/>
          <w:sz w:val="20"/>
          <w:szCs w:val="20"/>
        </w:rPr>
        <w:t>Notes to Consolidated Financial Statements-(Continued)</w:t>
      </w:r>
    </w:p>
    <w:p w:rsidR="00000000" w:rsidRDefault="006F0EF5">
      <w:pPr>
        <w:jc w:val="center"/>
        <w:divId w:val="1779253534"/>
        <w:rPr>
          <w:rFonts w:eastAsia="Times New Roman"/>
        </w:rPr>
      </w:pPr>
    </w:p>
    <w:p w:rsidR="00000000" w:rsidRDefault="006F0EF5">
      <w:pPr>
        <w:jc w:val="center"/>
        <w:divId w:val="1779253534"/>
        <w:rPr>
          <w:rFonts w:eastAsia="Times New Roman"/>
        </w:rPr>
      </w:pPr>
    </w:p>
    <w:p w:rsidR="00000000" w:rsidRDefault="006F0EF5">
      <w:pPr>
        <w:divId w:val="1821264207"/>
        <w:rPr>
          <w:rFonts w:eastAsia="Times New Roman"/>
        </w:rPr>
      </w:pPr>
    </w:p>
    <w:p w:rsidR="00000000" w:rsidRDefault="006F0EF5">
      <w:pPr>
        <w:jc w:val="both"/>
        <w:rPr>
          <w:rFonts w:eastAsia="Times New Roman"/>
        </w:rPr>
      </w:pPr>
      <w:r>
        <w:rPr>
          <w:rFonts w:eastAsia="Times New Roman"/>
          <w:color w:val="000000"/>
          <w:sz w:val="20"/>
          <w:szCs w:val="20"/>
        </w:rPr>
        <w:t>are traded. For investments not traded on an active market, or for which a quoted price is not publicly available, a variety of unobservable valuation methodologies, including discounted cash flo</w:t>
      </w:r>
      <w:r>
        <w:rPr>
          <w:rFonts w:eastAsia="Times New Roman"/>
          <w:color w:val="000000"/>
          <w:sz w:val="20"/>
          <w:szCs w:val="20"/>
        </w:rPr>
        <w:t>w, market multiples and cost valuation approaches, are employed by the fund manager to value investments.</w:t>
      </w:r>
    </w:p>
    <w:p w:rsidR="00000000" w:rsidRDefault="006F0EF5">
      <w:pPr>
        <w:ind w:hanging="360"/>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presents the reconciliation of the beginning and ending balances of those plan assets classified within Level 3 of the valuation</w:t>
      </w:r>
      <w:r>
        <w:rPr>
          <w:rFonts w:eastAsia="Times New Roman"/>
          <w:color w:val="000000"/>
          <w:sz w:val="20"/>
          <w:szCs w:val="20"/>
        </w:rPr>
        <w:t xml:space="preserve"> hierarchy. When the determination is made to classify the plan assets within Level 3, the determination is based upon the significance of the unobservable inputs to the overall fair value measurement.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49"/>
        <w:gridCol w:w="6626"/>
        <w:gridCol w:w="37"/>
        <w:gridCol w:w="36"/>
        <w:gridCol w:w="36"/>
        <w:gridCol w:w="36"/>
        <w:gridCol w:w="121"/>
        <w:gridCol w:w="1316"/>
        <w:gridCol w:w="36"/>
      </w:tblGrid>
      <w:tr w:rsidR="00000000">
        <w:trPr>
          <w:divId w:val="1240166731"/>
          <w:jc w:val="center"/>
        </w:trPr>
        <w:tc>
          <w:tcPr>
            <w:tcW w:w="50" w:type="pct"/>
            <w:vAlign w:val="center"/>
            <w:hideMark/>
          </w:tcPr>
          <w:p w:rsidR="00000000" w:rsidRDefault="006F0EF5">
            <w:pPr>
              <w:jc w:val="both"/>
              <w:rPr>
                <w:rFonts w:eastAsia="Times New Roman"/>
              </w:rPr>
            </w:pPr>
          </w:p>
        </w:tc>
        <w:tc>
          <w:tcPr>
            <w:tcW w:w="406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2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240166731"/>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International Pension Plans</w:t>
            </w:r>
          </w:p>
        </w:tc>
      </w:tr>
      <w:tr w:rsidR="00000000">
        <w:trPr>
          <w:divId w:val="124016673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Balance, December 31, 2019</w:t>
            </w:r>
          </w:p>
        </w:tc>
        <w:tc>
          <w:tcPr>
            <w:tcW w:w="0" w:type="auto"/>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016673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Realized and unrealized gains and losses, net</w:t>
            </w:r>
          </w:p>
        </w:tc>
        <w:tc>
          <w:tcPr>
            <w:tcW w:w="0" w:type="auto"/>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016673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Purchases, sales and settlements, net</w:t>
            </w:r>
          </w:p>
        </w:tc>
        <w:tc>
          <w:tcPr>
            <w:tcW w:w="0" w:type="auto"/>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016673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Transfers, net</w:t>
            </w:r>
          </w:p>
        </w:tc>
        <w:tc>
          <w:tcPr>
            <w:tcW w:w="0" w:type="auto"/>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016673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Balance, December 31, 2020</w:t>
            </w:r>
          </w:p>
        </w:tc>
        <w:tc>
          <w:tcPr>
            <w:tcW w:w="0" w:type="auto"/>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016673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Realized and unrealized gains and losses, net</w:t>
            </w:r>
          </w:p>
        </w:tc>
        <w:tc>
          <w:tcPr>
            <w:tcW w:w="0" w:type="auto"/>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016673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Purchases, sales and settlements, net</w:t>
            </w:r>
          </w:p>
        </w:tc>
        <w:tc>
          <w:tcPr>
            <w:tcW w:w="0" w:type="auto"/>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016673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Transfers, net</w:t>
            </w:r>
          </w:p>
        </w:tc>
        <w:tc>
          <w:tcPr>
            <w:tcW w:w="0" w:type="auto"/>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24016673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Balance, December 31, 2021</w:t>
            </w:r>
          </w:p>
        </w:tc>
        <w:tc>
          <w:tcPr>
            <w:tcW w:w="0" w:type="auto"/>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888451264"/>
        <w:rPr>
          <w:rFonts w:eastAsia="Times New Roman"/>
        </w:rPr>
      </w:pPr>
    </w:p>
    <w:p w:rsidR="00000000" w:rsidRDefault="006F0EF5">
      <w:pPr>
        <w:jc w:val="both"/>
        <w:rPr>
          <w:rFonts w:eastAsia="Times New Roman"/>
        </w:rPr>
      </w:pPr>
      <w:r>
        <w:rPr>
          <w:rFonts w:eastAsia="Times New Roman"/>
          <w:i/>
          <w:iCs/>
          <w:color w:val="000000"/>
          <w:sz w:val="20"/>
          <w:szCs w:val="20"/>
        </w:rPr>
        <w:t>Investment Strategy</w:t>
      </w:r>
      <w:r>
        <w:rPr>
          <w:rFonts w:eastAsia="Times New Roman"/>
          <w:color w:val="000000"/>
          <w:sz w:val="20"/>
          <w:szCs w:val="20"/>
        </w:rPr>
        <w:t xml:space="preserve"> </w:t>
      </w:r>
      <w:r>
        <w:rPr>
          <w:rFonts w:eastAsia="Times New Roman"/>
          <w:color w:val="000000"/>
          <w:sz w:val="20"/>
          <w:szCs w:val="20"/>
        </w:rPr>
        <w:t>NCR has historically employed a total return investment approach, whereby a mix of fixed-income, equities and real estate investments are used to maximize the long-term return of plan assets subject to a prudent level of risk. The risk tolerance is establi</w:t>
      </w:r>
      <w:r>
        <w:rPr>
          <w:rFonts w:eastAsia="Times New Roman"/>
          <w:color w:val="000000"/>
          <w:sz w:val="20"/>
          <w:szCs w:val="20"/>
        </w:rPr>
        <w:t xml:space="preserve">shed for each plan through a careful consideration of plan liabilities, plan funded status and corporate financial condition. The asset allocation held by the U.S. pension plan has historically been and continues to be a portfolio comprising a substantial </w:t>
      </w:r>
      <w:r>
        <w:rPr>
          <w:rFonts w:eastAsia="Times New Roman"/>
          <w:color w:val="000000"/>
          <w:sz w:val="20"/>
          <w:szCs w:val="20"/>
        </w:rPr>
        <w:t>portion of fixed income assets as of December 31, 2021. However, we have reviewed the plan's funding requirements, and in consultation with an independent advisor on asset allocation strategy investment policy and objectives, we have begun to diversify and</w:t>
      </w:r>
      <w:r>
        <w:rPr>
          <w:rFonts w:eastAsia="Times New Roman"/>
          <w:color w:val="000000"/>
          <w:sz w:val="20"/>
          <w:szCs w:val="20"/>
        </w:rPr>
        <w:t xml:space="preserve"> rebalance the asset allocation to capture additional returns to reduce future cash funding requirements.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investment portfolios contain primarily fixed-income investments, which are diversified across U.S. and non-U.S. issuers, type of fixed-income s</w:t>
      </w:r>
      <w:r>
        <w:rPr>
          <w:rFonts w:eastAsia="Times New Roman"/>
          <w:color w:val="000000"/>
          <w:sz w:val="20"/>
          <w:szCs w:val="20"/>
        </w:rPr>
        <w:t>ecurity (i.e., government bonds, corporate bonds, mortgage-backed securities) and credit quality. The investment portfolios also contain a blend of equity investments, which are diversified across U.S. and non-U.S. stocks, small and large capitalization st</w:t>
      </w:r>
      <w:r>
        <w:rPr>
          <w:rFonts w:eastAsia="Times New Roman"/>
          <w:color w:val="000000"/>
          <w:sz w:val="20"/>
          <w:szCs w:val="20"/>
        </w:rPr>
        <w:t>ocks, and growth and value stocks, primarily of non-U.S. issuers. Where applicable, real estate investments are made through real estate securities, partnership interests or direct investment and are diversified by property type and location. Other assets,</w:t>
      </w:r>
      <w:r>
        <w:rPr>
          <w:rFonts w:eastAsia="Times New Roman"/>
          <w:color w:val="000000"/>
          <w:sz w:val="20"/>
          <w:szCs w:val="20"/>
        </w:rPr>
        <w:t xml:space="preserve"> such as cash or private equity are used judiciously to improve portfolio diversification and enhance risk-adjusted portfolio returns. Derivatives may be used to adjust market exposures in an efficient and timely manner. Due to the timing of security purch</w:t>
      </w:r>
      <w:r>
        <w:rPr>
          <w:rFonts w:eastAsia="Times New Roman"/>
          <w:color w:val="000000"/>
          <w:sz w:val="20"/>
          <w:szCs w:val="20"/>
        </w:rPr>
        <w:t xml:space="preserve">ases and sales, cash held by fund managers is classified in the same asset category as the related investment. Rebalancing algorithms are applied to keep the asset mix of the plans from deviating excessively from their targets. Investment risk is measured </w:t>
      </w:r>
      <w:r>
        <w:rPr>
          <w:rFonts w:eastAsia="Times New Roman"/>
          <w:color w:val="000000"/>
          <w:sz w:val="20"/>
          <w:szCs w:val="20"/>
        </w:rPr>
        <w:t>and monitored on an ongoing basis through regular performance reporting, investment manager reviews, actuarial liability measurements and periodic investment strategy reviews.</w:t>
      </w:r>
    </w:p>
    <w:p w:rsidR="00000000" w:rsidRDefault="006F0EF5">
      <w:pPr>
        <w:jc w:val="both"/>
        <w:rPr>
          <w:rFonts w:eastAsia="Times New Roman"/>
        </w:rPr>
      </w:pPr>
    </w:p>
    <w:p w:rsidR="00000000" w:rsidRDefault="006F0EF5">
      <w:pPr>
        <w:jc w:val="center"/>
        <w:divId w:val="1245144442"/>
        <w:rPr>
          <w:rFonts w:eastAsia="Times New Roman"/>
        </w:rPr>
      </w:pPr>
      <w:r>
        <w:rPr>
          <w:rFonts w:eastAsia="Times New Roman"/>
          <w:color w:val="000000"/>
          <w:sz w:val="20"/>
          <w:szCs w:val="20"/>
        </w:rPr>
        <w:t>101</w:t>
      </w:r>
    </w:p>
    <w:p w:rsidR="00000000" w:rsidRDefault="006F0EF5">
      <w:pPr>
        <w:rPr>
          <w:rFonts w:eastAsia="Times New Roman"/>
        </w:rPr>
      </w:pPr>
      <w:r>
        <w:rPr>
          <w:rFonts w:eastAsia="Times New Roman"/>
        </w:rPr>
        <w:pict>
          <v:rect id="_x0000_i1130" style="width:0;height:1.5pt" o:hralign="center" o:hrstd="t" o:hr="t" fillcolor="#a0a0a0" stroked="f"/>
        </w:pict>
      </w:r>
    </w:p>
    <w:p w:rsidR="00000000" w:rsidRDefault="006F0EF5">
      <w:pPr>
        <w:divId w:val="28268799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456681929"/>
        <w:rPr>
          <w:rFonts w:eastAsia="Times New Roman"/>
        </w:rPr>
      </w:pPr>
      <w:r>
        <w:rPr>
          <w:rFonts w:eastAsia="Times New Roman"/>
          <w:b/>
          <w:bCs/>
          <w:color w:val="000000"/>
          <w:sz w:val="20"/>
          <w:szCs w:val="20"/>
        </w:rPr>
        <w:t>NCR Corporation</w:t>
      </w:r>
    </w:p>
    <w:p w:rsidR="00000000" w:rsidRDefault="006F0EF5">
      <w:pPr>
        <w:jc w:val="center"/>
        <w:divId w:val="456681929"/>
        <w:rPr>
          <w:rFonts w:eastAsia="Times New Roman"/>
        </w:rPr>
      </w:pPr>
      <w:r>
        <w:rPr>
          <w:rFonts w:eastAsia="Times New Roman"/>
          <w:b/>
          <w:bCs/>
          <w:color w:val="000000"/>
          <w:sz w:val="20"/>
          <w:szCs w:val="20"/>
        </w:rPr>
        <w:t>Notes to Consolidated Financial Statements-(Continued)</w:t>
      </w:r>
    </w:p>
    <w:p w:rsidR="00000000" w:rsidRDefault="006F0EF5">
      <w:pPr>
        <w:jc w:val="center"/>
        <w:divId w:val="456681929"/>
        <w:rPr>
          <w:rFonts w:eastAsia="Times New Roman"/>
        </w:rPr>
      </w:pPr>
    </w:p>
    <w:p w:rsidR="00000000" w:rsidRDefault="006F0EF5">
      <w:pPr>
        <w:jc w:val="center"/>
        <w:divId w:val="456681929"/>
        <w:rPr>
          <w:rFonts w:eastAsia="Times New Roman"/>
        </w:rPr>
      </w:pPr>
    </w:p>
    <w:p w:rsidR="00000000" w:rsidRDefault="006F0EF5">
      <w:pPr>
        <w:divId w:val="1059207096"/>
        <w:rPr>
          <w:rFonts w:eastAsia="Times New Roman"/>
        </w:rPr>
      </w:pPr>
    </w:p>
    <w:p w:rsidR="00000000" w:rsidRDefault="006F0EF5">
      <w:pPr>
        <w:jc w:val="both"/>
        <w:rPr>
          <w:rFonts w:eastAsia="Times New Roman"/>
        </w:rPr>
      </w:pPr>
      <w:r>
        <w:rPr>
          <w:rFonts w:eastAsia="Times New Roman"/>
          <w:i/>
          <w:iCs/>
          <w:color w:val="000000"/>
          <w:sz w:val="20"/>
          <w:szCs w:val="20"/>
        </w:rPr>
        <w:t>Postretirement Plans</w:t>
      </w:r>
      <w:r>
        <w:rPr>
          <w:rFonts w:eastAsia="Times New Roman"/>
          <w:color w:val="000000"/>
          <w:sz w:val="20"/>
          <w:szCs w:val="20"/>
        </w:rPr>
        <w:t xml:space="preserve"> </w:t>
      </w:r>
      <w:r>
        <w:rPr>
          <w:rFonts w:eastAsia="Times New Roman"/>
          <w:color w:val="000000"/>
          <w:sz w:val="20"/>
          <w:szCs w:val="20"/>
        </w:rPr>
        <w:t>Reconciliation of the beginning and ending balances of the benefit obligation for NCR's U.S. postretirement plan is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925"/>
        <w:gridCol w:w="37"/>
        <w:gridCol w:w="36"/>
        <w:gridCol w:w="36"/>
        <w:gridCol w:w="36"/>
        <w:gridCol w:w="121"/>
        <w:gridCol w:w="881"/>
        <w:gridCol w:w="37"/>
        <w:gridCol w:w="36"/>
        <w:gridCol w:w="36"/>
        <w:gridCol w:w="36"/>
        <w:gridCol w:w="120"/>
        <w:gridCol w:w="881"/>
        <w:gridCol w:w="36"/>
      </w:tblGrid>
      <w:tr w:rsidR="00000000">
        <w:trPr>
          <w:divId w:val="2137672999"/>
          <w:jc w:val="center"/>
        </w:trPr>
        <w:tc>
          <w:tcPr>
            <w:tcW w:w="50" w:type="pct"/>
            <w:vAlign w:val="center"/>
            <w:hideMark/>
          </w:tcPr>
          <w:p w:rsidR="00000000" w:rsidRDefault="006F0EF5">
            <w:pPr>
              <w:jc w:val="both"/>
              <w:rPr>
                <w:rFonts w:eastAsia="Times New Roman"/>
              </w:rPr>
            </w:pPr>
          </w:p>
        </w:tc>
        <w:tc>
          <w:tcPr>
            <w:tcW w:w="359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137672999"/>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Postretirement Benefits</w:t>
            </w:r>
          </w:p>
        </w:tc>
      </w:tr>
      <w:tr w:rsidR="00000000">
        <w:trPr>
          <w:divId w:val="2137672999"/>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213767299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13767299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 obligation as of January 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137672999"/>
          <w:jc w:val="center"/>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213767299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Interest cost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13767299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Actuarial gain</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13767299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Plan participant contributions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13767299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Benefits paid</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13767299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 obligation as of December 31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ind w:firstLine="720"/>
        <w:divId w:val="48462668"/>
        <w:rPr>
          <w:rFonts w:eastAsia="Times New Roman"/>
        </w:rPr>
      </w:pPr>
    </w:p>
    <w:p w:rsidR="00000000" w:rsidRDefault="006F0EF5">
      <w:pPr>
        <w:jc w:val="both"/>
        <w:rPr>
          <w:rFonts w:eastAsia="Times New Roman"/>
        </w:rPr>
      </w:pPr>
      <w:r>
        <w:rPr>
          <w:rFonts w:eastAsia="Times New Roman"/>
          <w:color w:val="000000"/>
          <w:sz w:val="20"/>
          <w:szCs w:val="20"/>
        </w:rPr>
        <w:t>The following table presents the funded status and the reconciliation of the funded status to amounts recognized in the Consolidated Balance Sheets and in Accumulated other comprehensive loss as of December 31:</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24"/>
        <w:gridCol w:w="38"/>
        <w:gridCol w:w="36"/>
        <w:gridCol w:w="36"/>
        <w:gridCol w:w="36"/>
        <w:gridCol w:w="120"/>
        <w:gridCol w:w="881"/>
        <w:gridCol w:w="36"/>
        <w:gridCol w:w="36"/>
        <w:gridCol w:w="36"/>
        <w:gridCol w:w="36"/>
        <w:gridCol w:w="120"/>
        <w:gridCol w:w="882"/>
        <w:gridCol w:w="36"/>
      </w:tblGrid>
      <w:tr w:rsidR="00000000">
        <w:trPr>
          <w:divId w:val="487862700"/>
          <w:jc w:val="center"/>
        </w:trPr>
        <w:tc>
          <w:tcPr>
            <w:tcW w:w="50" w:type="pct"/>
            <w:vAlign w:val="center"/>
            <w:hideMark/>
          </w:tcPr>
          <w:p w:rsidR="00000000" w:rsidRDefault="006F0EF5">
            <w:pPr>
              <w:jc w:val="both"/>
              <w:rPr>
                <w:rFonts w:eastAsia="Times New Roman"/>
              </w:rPr>
            </w:pPr>
          </w:p>
        </w:tc>
        <w:tc>
          <w:tcPr>
            <w:tcW w:w="359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48786270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Postretirement Benefits</w:t>
            </w:r>
          </w:p>
        </w:tc>
      </w:tr>
      <w:tr w:rsidR="00000000">
        <w:trPr>
          <w:divId w:val="487862700"/>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48786270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 obligation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8786270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Amounts recognized in the Consolidated Balance Sheets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48786270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8786270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8786270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amounts recognized</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8786270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Amounts recognized in 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48786270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actuarial loss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8786270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Prior service benefit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48786270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614793710"/>
        <w:rPr>
          <w:rFonts w:eastAsia="Times New Roman"/>
        </w:rPr>
      </w:pPr>
    </w:p>
    <w:p w:rsidR="00000000" w:rsidRDefault="006F0EF5">
      <w:pPr>
        <w:jc w:val="both"/>
        <w:rPr>
          <w:rFonts w:eastAsia="Times New Roman"/>
        </w:rPr>
      </w:pPr>
      <w:r>
        <w:rPr>
          <w:rFonts w:eastAsia="Times New Roman"/>
          <w:color w:val="000000"/>
          <w:sz w:val="20"/>
          <w:szCs w:val="20"/>
        </w:rPr>
        <w:t>The net periodic benefit cost of the postretirement plan for the years ended December 31 was: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774"/>
        <w:gridCol w:w="36"/>
        <w:gridCol w:w="36"/>
        <w:gridCol w:w="36"/>
        <w:gridCol w:w="36"/>
        <w:gridCol w:w="120"/>
        <w:gridCol w:w="545"/>
        <w:gridCol w:w="36"/>
        <w:gridCol w:w="36"/>
        <w:gridCol w:w="36"/>
        <w:gridCol w:w="36"/>
        <w:gridCol w:w="120"/>
        <w:gridCol w:w="547"/>
        <w:gridCol w:w="36"/>
        <w:gridCol w:w="36"/>
        <w:gridCol w:w="36"/>
        <w:gridCol w:w="36"/>
        <w:gridCol w:w="120"/>
        <w:gridCol w:w="549"/>
        <w:gridCol w:w="36"/>
      </w:tblGrid>
      <w:tr w:rsidR="00000000">
        <w:trPr>
          <w:divId w:val="920330458"/>
          <w:jc w:val="center"/>
        </w:trPr>
        <w:tc>
          <w:tcPr>
            <w:tcW w:w="50" w:type="pct"/>
            <w:vAlign w:val="center"/>
            <w:hideMark/>
          </w:tcPr>
          <w:p w:rsidR="00000000" w:rsidRDefault="006F0EF5">
            <w:pPr>
              <w:jc w:val="both"/>
              <w:rPr>
                <w:rFonts w:eastAsia="Times New Roman"/>
              </w:rPr>
            </w:pPr>
          </w:p>
        </w:tc>
        <w:tc>
          <w:tcPr>
            <w:tcW w:w="351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920330458"/>
          <w:trHeight w:val="240"/>
          <w:jc w:val="center"/>
        </w:trPr>
        <w:tc>
          <w:tcPr>
            <w:tcW w:w="0" w:type="auto"/>
            <w:gridSpan w:val="3"/>
            <w:vMerge w:val="restart"/>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Postretirement Benefits</w:t>
            </w:r>
          </w:p>
        </w:tc>
      </w:tr>
      <w:tr w:rsidR="00000000">
        <w:trPr>
          <w:divId w:val="920330458"/>
          <w:trHeight w:val="240"/>
          <w:jc w:val="center"/>
        </w:trPr>
        <w:tc>
          <w:tcPr>
            <w:tcW w:w="0" w:type="auto"/>
            <w:gridSpan w:val="3"/>
            <w:vMerge/>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920330458"/>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Interest cost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920330458"/>
          <w:jc w:val="center"/>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920330458"/>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Amortization of:</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920330458"/>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   Prior service benefit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920330458"/>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   Actuarial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920330458"/>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Net periodic benefit cost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706907155"/>
        <w:rPr>
          <w:rFonts w:eastAsia="Times New Roman"/>
        </w:rPr>
      </w:pPr>
    </w:p>
    <w:p w:rsidR="00000000" w:rsidRDefault="006F0EF5">
      <w:pPr>
        <w:jc w:val="both"/>
        <w:rPr>
          <w:rFonts w:eastAsia="Times New Roman"/>
        </w:rPr>
      </w:pPr>
      <w:r>
        <w:rPr>
          <w:rFonts w:eastAsia="Times New Roman"/>
          <w:color w:val="000000"/>
          <w:sz w:val="20"/>
          <w:szCs w:val="20"/>
        </w:rPr>
        <w:t>The assumptions utilized in accounting for postretirement benefit obligations as of December 31 and for postretirement benefit income for the years ended Decem</w:t>
      </w:r>
      <w:r>
        <w:rPr>
          <w:rFonts w:eastAsia="Times New Roman"/>
          <w:color w:val="000000"/>
          <w:sz w:val="20"/>
          <w:szCs w:val="20"/>
        </w:rPr>
        <w:t>ber 31 were:</w:t>
      </w:r>
    </w:p>
    <w:tbl>
      <w:tblPr>
        <w:tblW w:w="4934" w:type="pct"/>
        <w:jc w:val="center"/>
        <w:tblCellMar>
          <w:top w:w="15" w:type="dxa"/>
          <w:left w:w="15" w:type="dxa"/>
          <w:bottom w:w="15" w:type="dxa"/>
          <w:right w:w="15" w:type="dxa"/>
        </w:tblCellMar>
        <w:tblLook w:val="04A0" w:firstRow="1" w:lastRow="0" w:firstColumn="1" w:lastColumn="0" w:noHBand="0" w:noVBand="1"/>
      </w:tblPr>
      <w:tblGrid>
        <w:gridCol w:w="37"/>
        <w:gridCol w:w="3591"/>
        <w:gridCol w:w="36"/>
        <w:gridCol w:w="36"/>
        <w:gridCol w:w="36"/>
        <w:gridCol w:w="36"/>
        <w:gridCol w:w="39"/>
        <w:gridCol w:w="450"/>
        <w:gridCol w:w="221"/>
        <w:gridCol w:w="37"/>
        <w:gridCol w:w="37"/>
        <w:gridCol w:w="37"/>
        <w:gridCol w:w="39"/>
        <w:gridCol w:w="451"/>
        <w:gridCol w:w="188"/>
        <w:gridCol w:w="37"/>
        <w:gridCol w:w="37"/>
        <w:gridCol w:w="36"/>
        <w:gridCol w:w="38"/>
        <w:gridCol w:w="452"/>
        <w:gridCol w:w="187"/>
        <w:gridCol w:w="36"/>
        <w:gridCol w:w="36"/>
        <w:gridCol w:w="36"/>
        <w:gridCol w:w="44"/>
        <w:gridCol w:w="362"/>
        <w:gridCol w:w="221"/>
        <w:gridCol w:w="37"/>
        <w:gridCol w:w="36"/>
        <w:gridCol w:w="36"/>
        <w:gridCol w:w="43"/>
        <w:gridCol w:w="363"/>
        <w:gridCol w:w="187"/>
        <w:gridCol w:w="36"/>
        <w:gridCol w:w="36"/>
        <w:gridCol w:w="36"/>
        <w:gridCol w:w="43"/>
        <w:gridCol w:w="363"/>
        <w:gridCol w:w="187"/>
      </w:tblGrid>
      <w:tr w:rsidR="00000000">
        <w:trPr>
          <w:divId w:val="786896785"/>
          <w:jc w:val="center"/>
        </w:trPr>
        <w:tc>
          <w:tcPr>
            <w:tcW w:w="50" w:type="pct"/>
            <w:vAlign w:val="center"/>
            <w:hideMark/>
          </w:tcPr>
          <w:p w:rsidR="00000000" w:rsidRDefault="006F0EF5">
            <w:pPr>
              <w:jc w:val="both"/>
              <w:rPr>
                <w:rFonts w:eastAsia="Times New Roman"/>
              </w:rPr>
            </w:pPr>
          </w:p>
        </w:tc>
        <w:tc>
          <w:tcPr>
            <w:tcW w:w="225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3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786896785"/>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Postretirement Benefit Obligations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Postretirement Benefit Costs</w:t>
            </w:r>
          </w:p>
        </w:tc>
      </w:tr>
      <w:tr w:rsidR="00000000">
        <w:trPr>
          <w:divId w:val="786896785"/>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786896785"/>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Discount rate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divId w:val="434011692"/>
        <w:rPr>
          <w:rFonts w:eastAsia="Times New Roman"/>
        </w:rPr>
      </w:pPr>
    </w:p>
    <w:p w:rsidR="00000000" w:rsidRDefault="006F0EF5">
      <w:pPr>
        <w:jc w:val="center"/>
        <w:divId w:val="340858004"/>
        <w:rPr>
          <w:rFonts w:eastAsia="Times New Roman"/>
        </w:rPr>
      </w:pPr>
      <w:r>
        <w:rPr>
          <w:rFonts w:eastAsia="Times New Roman"/>
          <w:color w:val="000000"/>
          <w:sz w:val="20"/>
          <w:szCs w:val="20"/>
        </w:rPr>
        <w:t>102</w:t>
      </w:r>
    </w:p>
    <w:p w:rsidR="00000000" w:rsidRDefault="006F0EF5">
      <w:pPr>
        <w:rPr>
          <w:rFonts w:eastAsia="Times New Roman"/>
        </w:rPr>
      </w:pPr>
      <w:r>
        <w:rPr>
          <w:rFonts w:eastAsia="Times New Roman"/>
        </w:rPr>
        <w:pict>
          <v:rect id="_x0000_i1131" style="width:0;height:1.5pt" o:hralign="center" o:hrstd="t" o:hr="t" fillcolor="#a0a0a0" stroked="f"/>
        </w:pict>
      </w:r>
    </w:p>
    <w:p w:rsidR="00000000" w:rsidRDefault="006F0EF5">
      <w:pPr>
        <w:divId w:val="10986373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767338355"/>
        <w:rPr>
          <w:rFonts w:eastAsia="Times New Roman"/>
        </w:rPr>
      </w:pPr>
      <w:r>
        <w:rPr>
          <w:rFonts w:eastAsia="Times New Roman"/>
          <w:b/>
          <w:bCs/>
          <w:color w:val="000000"/>
          <w:sz w:val="20"/>
          <w:szCs w:val="20"/>
        </w:rPr>
        <w:t>NCR Corporation</w:t>
      </w:r>
    </w:p>
    <w:p w:rsidR="00000000" w:rsidRDefault="006F0EF5">
      <w:pPr>
        <w:jc w:val="center"/>
        <w:divId w:val="1767338355"/>
        <w:rPr>
          <w:rFonts w:eastAsia="Times New Roman"/>
        </w:rPr>
      </w:pPr>
      <w:r>
        <w:rPr>
          <w:rFonts w:eastAsia="Times New Roman"/>
          <w:b/>
          <w:bCs/>
          <w:color w:val="000000"/>
          <w:sz w:val="20"/>
          <w:szCs w:val="20"/>
        </w:rPr>
        <w:t>Notes to Consolidated Financial Statements-(Continued)</w:t>
      </w:r>
    </w:p>
    <w:p w:rsidR="00000000" w:rsidRDefault="006F0EF5">
      <w:pPr>
        <w:jc w:val="center"/>
        <w:divId w:val="1767338355"/>
        <w:rPr>
          <w:rFonts w:eastAsia="Times New Roman"/>
        </w:rPr>
      </w:pPr>
    </w:p>
    <w:p w:rsidR="00000000" w:rsidRDefault="006F0EF5">
      <w:pPr>
        <w:jc w:val="center"/>
        <w:divId w:val="1767338355"/>
        <w:rPr>
          <w:rFonts w:eastAsia="Times New Roman"/>
        </w:rPr>
      </w:pPr>
    </w:p>
    <w:p w:rsidR="00000000" w:rsidRDefault="006F0EF5">
      <w:pPr>
        <w:divId w:val="1101223311"/>
        <w:rPr>
          <w:rFonts w:eastAsia="Times New Roman"/>
        </w:rPr>
      </w:pPr>
    </w:p>
    <w:p w:rsidR="00000000" w:rsidRDefault="006F0EF5">
      <w:pPr>
        <w:jc w:val="both"/>
        <w:rPr>
          <w:rFonts w:eastAsia="Times New Roman"/>
        </w:rPr>
      </w:pPr>
      <w:r>
        <w:rPr>
          <w:rFonts w:eastAsia="Times New Roman"/>
          <w:color w:val="000000"/>
          <w:sz w:val="20"/>
          <w:szCs w:val="20"/>
        </w:rPr>
        <w:t>Assumed healthcare cost trend rates as of December 31 were:</w:t>
      </w:r>
    </w:p>
    <w:tbl>
      <w:tblPr>
        <w:tblW w:w="4970" w:type="pct"/>
        <w:jc w:val="center"/>
        <w:tblCellMar>
          <w:top w:w="15" w:type="dxa"/>
          <w:left w:w="15" w:type="dxa"/>
          <w:bottom w:w="15" w:type="dxa"/>
          <w:right w:w="15" w:type="dxa"/>
        </w:tblCellMar>
        <w:tblLook w:val="04A0" w:firstRow="1" w:lastRow="0" w:firstColumn="1" w:lastColumn="0" w:noHBand="0" w:noVBand="1"/>
      </w:tblPr>
      <w:tblGrid>
        <w:gridCol w:w="37"/>
        <w:gridCol w:w="4205"/>
        <w:gridCol w:w="36"/>
        <w:gridCol w:w="36"/>
        <w:gridCol w:w="36"/>
        <w:gridCol w:w="36"/>
        <w:gridCol w:w="65"/>
        <w:gridCol w:w="618"/>
        <w:gridCol w:w="220"/>
        <w:gridCol w:w="36"/>
        <w:gridCol w:w="36"/>
        <w:gridCol w:w="36"/>
        <w:gridCol w:w="65"/>
        <w:gridCol w:w="618"/>
        <w:gridCol w:w="220"/>
        <w:gridCol w:w="36"/>
        <w:gridCol w:w="36"/>
        <w:gridCol w:w="36"/>
        <w:gridCol w:w="65"/>
        <w:gridCol w:w="618"/>
        <w:gridCol w:w="187"/>
        <w:gridCol w:w="36"/>
        <w:gridCol w:w="36"/>
        <w:gridCol w:w="36"/>
        <w:gridCol w:w="65"/>
        <w:gridCol w:w="618"/>
        <w:gridCol w:w="187"/>
      </w:tblGrid>
      <w:tr w:rsidR="00000000">
        <w:trPr>
          <w:divId w:val="1036542241"/>
          <w:jc w:val="center"/>
        </w:trPr>
        <w:tc>
          <w:tcPr>
            <w:tcW w:w="50" w:type="pct"/>
            <w:vAlign w:val="center"/>
            <w:hideMark/>
          </w:tcPr>
          <w:p w:rsidR="00000000" w:rsidRDefault="006F0EF5">
            <w:pPr>
              <w:jc w:val="both"/>
              <w:rPr>
                <w:rFonts w:eastAsia="Times New Roman"/>
              </w:rPr>
            </w:pPr>
          </w:p>
        </w:tc>
        <w:tc>
          <w:tcPr>
            <w:tcW w:w="265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036542241"/>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1036542241"/>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Pre-65 Coverage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Post-65 Coverage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Pre-65 Coverage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Post-65 Coverage</w:t>
            </w:r>
          </w:p>
        </w:tc>
      </w:tr>
      <w:tr w:rsidR="00000000">
        <w:trPr>
          <w:divId w:val="103654224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Healthcare cost trend rate assumed for next year</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103654224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Rate to which the cost trend rate is assumed to decline (the ultimate trend rate)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103654224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Year that the rate reaches the ultimate rate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2028</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2028</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2027</w:t>
            </w:r>
          </w:p>
        </w:tc>
      </w:tr>
    </w:tbl>
    <w:p w:rsidR="00000000" w:rsidRDefault="006F0EF5">
      <w:pPr>
        <w:jc w:val="center"/>
        <w:divId w:val="1036542241"/>
        <w:rPr>
          <w:rFonts w:eastAsia="Times New Roman"/>
        </w:rPr>
      </w:pPr>
      <w:r>
        <w:rPr>
          <w:rFonts w:eastAsia="Times New Roman"/>
          <w:color w:val="000000"/>
          <w:sz w:val="20"/>
          <w:szCs w:val="20"/>
        </w:rPr>
        <w:t>    </w:t>
      </w:r>
    </w:p>
    <w:p w:rsidR="00000000" w:rsidRDefault="006F0EF5">
      <w:pPr>
        <w:divId w:val="1148863677"/>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Postemployment Benefits </w:t>
      </w:r>
      <w:r>
        <w:rPr>
          <w:rFonts w:eastAsia="Times New Roman"/>
          <w:color w:val="000000"/>
          <w:sz w:val="20"/>
          <w:szCs w:val="20"/>
        </w:rPr>
        <w:t>Reconciliation of the beginning and ending balances of the benefit obligation for NCR's postemployment plan was:</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925"/>
        <w:gridCol w:w="37"/>
        <w:gridCol w:w="36"/>
        <w:gridCol w:w="36"/>
        <w:gridCol w:w="36"/>
        <w:gridCol w:w="121"/>
        <w:gridCol w:w="881"/>
        <w:gridCol w:w="37"/>
        <w:gridCol w:w="36"/>
        <w:gridCol w:w="36"/>
        <w:gridCol w:w="36"/>
        <w:gridCol w:w="120"/>
        <w:gridCol w:w="881"/>
        <w:gridCol w:w="36"/>
      </w:tblGrid>
      <w:tr w:rsidR="00000000">
        <w:trPr>
          <w:divId w:val="114057373"/>
          <w:jc w:val="center"/>
        </w:trPr>
        <w:tc>
          <w:tcPr>
            <w:tcW w:w="50" w:type="pct"/>
            <w:vAlign w:val="center"/>
            <w:hideMark/>
          </w:tcPr>
          <w:p w:rsidR="00000000" w:rsidRDefault="006F0EF5">
            <w:pPr>
              <w:jc w:val="both"/>
              <w:rPr>
                <w:rFonts w:eastAsia="Times New Roman"/>
              </w:rPr>
            </w:pPr>
          </w:p>
        </w:tc>
        <w:tc>
          <w:tcPr>
            <w:tcW w:w="359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14057373"/>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Postemployment Benefits</w:t>
            </w:r>
          </w:p>
        </w:tc>
      </w:tr>
      <w:tr w:rsidR="00000000">
        <w:trPr>
          <w:divId w:val="114057373"/>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11405737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14057373"/>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 obligation as of January 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4057373"/>
          <w:jc w:val="center"/>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11405737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Service cost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4057373"/>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405737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Amendments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4057373"/>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Benefits paid</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405737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Foreign currency exchange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4057373"/>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Actuarial (gain)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1405737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 obligation as of December 31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222301367"/>
        <w:rPr>
          <w:rFonts w:eastAsia="Times New Roman"/>
        </w:rPr>
      </w:pPr>
    </w:p>
    <w:p w:rsidR="00000000" w:rsidRDefault="006F0EF5">
      <w:pPr>
        <w:jc w:val="both"/>
        <w:rPr>
          <w:rFonts w:eastAsia="Times New Roman"/>
        </w:rPr>
      </w:pPr>
      <w:r>
        <w:rPr>
          <w:rFonts w:eastAsia="Times New Roman"/>
          <w:color w:val="000000"/>
          <w:sz w:val="20"/>
          <w:szCs w:val="20"/>
        </w:rPr>
        <w:t>The following table presents the funded status and the reconciliation of the unfunded status to amounts recognized in the Consolidated Balance Sheets and in Accumulated other comprehensive loss at December 31:</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24"/>
        <w:gridCol w:w="38"/>
        <w:gridCol w:w="36"/>
        <w:gridCol w:w="36"/>
        <w:gridCol w:w="36"/>
        <w:gridCol w:w="120"/>
        <w:gridCol w:w="881"/>
        <w:gridCol w:w="36"/>
        <w:gridCol w:w="36"/>
        <w:gridCol w:w="36"/>
        <w:gridCol w:w="36"/>
        <w:gridCol w:w="120"/>
        <w:gridCol w:w="882"/>
        <w:gridCol w:w="36"/>
      </w:tblGrid>
      <w:tr w:rsidR="00000000">
        <w:trPr>
          <w:divId w:val="1536382968"/>
          <w:jc w:val="center"/>
        </w:trPr>
        <w:tc>
          <w:tcPr>
            <w:tcW w:w="50" w:type="pct"/>
            <w:vAlign w:val="center"/>
            <w:hideMark/>
          </w:tcPr>
          <w:p w:rsidR="00000000" w:rsidRDefault="006F0EF5">
            <w:pPr>
              <w:jc w:val="both"/>
              <w:rPr>
                <w:rFonts w:eastAsia="Times New Roman"/>
              </w:rPr>
            </w:pPr>
          </w:p>
        </w:tc>
        <w:tc>
          <w:tcPr>
            <w:tcW w:w="359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536382968"/>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Postemployment Benefits</w:t>
            </w:r>
          </w:p>
        </w:tc>
      </w:tr>
      <w:tr w:rsidR="00000000">
        <w:trPr>
          <w:divId w:val="1536382968"/>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r>
      <w:tr w:rsidR="00000000">
        <w:trPr>
          <w:divId w:val="1536382968"/>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Benefit obligation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36382968"/>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Amounts recognized in the Consolidated Balance Sheets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536382968"/>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36382968"/>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36382968"/>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amounts recognized</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36382968"/>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Amounts recognized in 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536382968"/>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actuarial gain</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36382968"/>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Prior service benefit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36382968"/>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779399992"/>
        <w:rPr>
          <w:rFonts w:eastAsia="Times New Roman"/>
        </w:rPr>
      </w:pPr>
    </w:p>
    <w:p w:rsidR="00000000" w:rsidRDefault="006F0EF5">
      <w:pPr>
        <w:jc w:val="center"/>
        <w:divId w:val="1873492050"/>
        <w:rPr>
          <w:rFonts w:eastAsia="Times New Roman"/>
        </w:rPr>
      </w:pPr>
      <w:r>
        <w:rPr>
          <w:rFonts w:eastAsia="Times New Roman"/>
          <w:color w:val="000000"/>
          <w:sz w:val="20"/>
          <w:szCs w:val="20"/>
        </w:rPr>
        <w:t>103</w:t>
      </w:r>
    </w:p>
    <w:p w:rsidR="00000000" w:rsidRDefault="006F0EF5">
      <w:pPr>
        <w:rPr>
          <w:rFonts w:eastAsia="Times New Roman"/>
        </w:rPr>
      </w:pPr>
      <w:r>
        <w:rPr>
          <w:rFonts w:eastAsia="Times New Roman"/>
        </w:rPr>
        <w:pict>
          <v:rect id="_x0000_i1132" style="width:0;height:1.5pt" o:hralign="center" o:hrstd="t" o:hr="t" fillcolor="#a0a0a0" stroked="f"/>
        </w:pict>
      </w:r>
    </w:p>
    <w:p w:rsidR="00000000" w:rsidRDefault="006F0EF5">
      <w:pPr>
        <w:divId w:val="131511157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847670221"/>
        <w:rPr>
          <w:rFonts w:eastAsia="Times New Roman"/>
        </w:rPr>
      </w:pPr>
      <w:r>
        <w:rPr>
          <w:rFonts w:eastAsia="Times New Roman"/>
          <w:b/>
          <w:bCs/>
          <w:color w:val="000000"/>
          <w:sz w:val="20"/>
          <w:szCs w:val="20"/>
        </w:rPr>
        <w:t>NCR Corporation</w:t>
      </w:r>
    </w:p>
    <w:p w:rsidR="00000000" w:rsidRDefault="006F0EF5">
      <w:pPr>
        <w:jc w:val="center"/>
        <w:divId w:val="847670221"/>
        <w:rPr>
          <w:rFonts w:eastAsia="Times New Roman"/>
        </w:rPr>
      </w:pPr>
      <w:r>
        <w:rPr>
          <w:rFonts w:eastAsia="Times New Roman"/>
          <w:b/>
          <w:bCs/>
          <w:color w:val="000000"/>
          <w:sz w:val="20"/>
          <w:szCs w:val="20"/>
        </w:rPr>
        <w:t>Notes to Consolidated Financial Statements-(Continued)</w:t>
      </w:r>
    </w:p>
    <w:p w:rsidR="00000000" w:rsidRDefault="006F0EF5">
      <w:pPr>
        <w:jc w:val="center"/>
        <w:divId w:val="847670221"/>
        <w:rPr>
          <w:rFonts w:eastAsia="Times New Roman"/>
        </w:rPr>
      </w:pPr>
    </w:p>
    <w:p w:rsidR="00000000" w:rsidRDefault="006F0EF5">
      <w:pPr>
        <w:jc w:val="center"/>
        <w:divId w:val="847670221"/>
        <w:rPr>
          <w:rFonts w:eastAsia="Times New Roman"/>
        </w:rPr>
      </w:pPr>
    </w:p>
    <w:p w:rsidR="00000000" w:rsidRDefault="006F0EF5">
      <w:pPr>
        <w:divId w:val="334724813"/>
        <w:rPr>
          <w:rFonts w:eastAsia="Times New Roman"/>
        </w:rPr>
      </w:pPr>
    </w:p>
    <w:p w:rsidR="00000000" w:rsidRDefault="006F0EF5">
      <w:pPr>
        <w:jc w:val="both"/>
        <w:rPr>
          <w:rFonts w:eastAsia="Times New Roman"/>
        </w:rPr>
      </w:pPr>
      <w:r>
        <w:rPr>
          <w:rFonts w:eastAsia="Times New Roman"/>
          <w:color w:val="000000"/>
          <w:sz w:val="20"/>
          <w:szCs w:val="20"/>
        </w:rPr>
        <w:t>The net periodic benefit cost of the postemployment plan for the years ended December 31 was: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63"/>
        <w:gridCol w:w="36"/>
        <w:gridCol w:w="120"/>
        <w:gridCol w:w="917"/>
        <w:gridCol w:w="36"/>
        <w:gridCol w:w="36"/>
        <w:gridCol w:w="36"/>
        <w:gridCol w:w="36"/>
        <w:gridCol w:w="120"/>
        <w:gridCol w:w="877"/>
        <w:gridCol w:w="36"/>
        <w:gridCol w:w="36"/>
        <w:gridCol w:w="36"/>
        <w:gridCol w:w="36"/>
        <w:gridCol w:w="120"/>
        <w:gridCol w:w="878"/>
        <w:gridCol w:w="36"/>
      </w:tblGrid>
      <w:tr w:rsidR="00000000">
        <w:trPr>
          <w:divId w:val="1422488238"/>
          <w:jc w:val="center"/>
        </w:trPr>
        <w:tc>
          <w:tcPr>
            <w:tcW w:w="50" w:type="pct"/>
            <w:vAlign w:val="center"/>
            <w:hideMark/>
          </w:tcPr>
          <w:p w:rsidR="00000000" w:rsidRDefault="006F0EF5">
            <w:pPr>
              <w:jc w:val="both"/>
              <w:rPr>
                <w:rFonts w:eastAsia="Times New Roman"/>
              </w:rPr>
            </w:pPr>
          </w:p>
        </w:tc>
        <w:tc>
          <w:tcPr>
            <w:tcW w:w="296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8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422488238"/>
          <w:trHeight w:val="240"/>
          <w:jc w:val="center"/>
        </w:trPr>
        <w:tc>
          <w:tcPr>
            <w:tcW w:w="0" w:type="auto"/>
            <w:gridSpan w:val="3"/>
            <w:vMerge w:val="restart"/>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Postemployment Benefits</w:t>
            </w:r>
          </w:p>
        </w:tc>
      </w:tr>
      <w:tr w:rsidR="00000000">
        <w:trPr>
          <w:divId w:val="1422488238"/>
          <w:trHeight w:val="240"/>
          <w:jc w:val="center"/>
        </w:trPr>
        <w:tc>
          <w:tcPr>
            <w:tcW w:w="0" w:type="auto"/>
            <w:gridSpan w:val="3"/>
            <w:vMerge/>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1422488238"/>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22488238"/>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22488238"/>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422488238"/>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   Prior service benefit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22488238"/>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   Actuarial gain</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422488238"/>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Net benefit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421024304"/>
        <w:rPr>
          <w:rFonts w:eastAsia="Times New Roman"/>
        </w:rPr>
      </w:pPr>
    </w:p>
    <w:p w:rsidR="00000000" w:rsidRDefault="006F0EF5">
      <w:pPr>
        <w:jc w:val="both"/>
        <w:rPr>
          <w:rFonts w:eastAsia="Times New Roman"/>
        </w:rPr>
      </w:pPr>
      <w:r>
        <w:rPr>
          <w:rFonts w:eastAsia="Times New Roman"/>
          <w:color w:val="000000"/>
          <w:sz w:val="20"/>
          <w:szCs w:val="20"/>
        </w:rPr>
        <w:t>The weighted average assumptions utilized in accounting for postemployment benefit obligations as of December 31 and for postemployment benefit costs for the years ended December 31 were:</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753"/>
        <w:gridCol w:w="37"/>
        <w:gridCol w:w="36"/>
        <w:gridCol w:w="36"/>
        <w:gridCol w:w="36"/>
        <w:gridCol w:w="59"/>
        <w:gridCol w:w="526"/>
        <w:gridCol w:w="221"/>
        <w:gridCol w:w="37"/>
        <w:gridCol w:w="37"/>
        <w:gridCol w:w="37"/>
        <w:gridCol w:w="58"/>
        <w:gridCol w:w="506"/>
        <w:gridCol w:w="187"/>
        <w:gridCol w:w="36"/>
        <w:gridCol w:w="36"/>
        <w:gridCol w:w="36"/>
        <w:gridCol w:w="39"/>
        <w:gridCol w:w="526"/>
        <w:gridCol w:w="221"/>
        <w:gridCol w:w="37"/>
        <w:gridCol w:w="37"/>
        <w:gridCol w:w="37"/>
        <w:gridCol w:w="39"/>
        <w:gridCol w:w="548"/>
        <w:gridCol w:w="188"/>
        <w:gridCol w:w="37"/>
        <w:gridCol w:w="36"/>
        <w:gridCol w:w="36"/>
        <w:gridCol w:w="38"/>
        <w:gridCol w:w="551"/>
        <w:gridCol w:w="187"/>
      </w:tblGrid>
      <w:tr w:rsidR="00000000">
        <w:trPr>
          <w:divId w:val="1617373482"/>
          <w:jc w:val="center"/>
        </w:trPr>
        <w:tc>
          <w:tcPr>
            <w:tcW w:w="50" w:type="pct"/>
            <w:vAlign w:val="center"/>
            <w:hideMark/>
          </w:tcPr>
          <w:p w:rsidR="00000000" w:rsidRDefault="006F0EF5">
            <w:pPr>
              <w:jc w:val="both"/>
              <w:rPr>
                <w:rFonts w:eastAsia="Times New Roman"/>
              </w:rPr>
            </w:pPr>
          </w:p>
        </w:tc>
        <w:tc>
          <w:tcPr>
            <w:tcW w:w="233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2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2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617373482"/>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Postemployment Benefit Obligations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Postemployment Benefit Costs</w:t>
            </w:r>
          </w:p>
        </w:tc>
      </w:tr>
      <w:tr w:rsidR="00000000">
        <w:trPr>
          <w:divId w:val="1617373482"/>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1617373482"/>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Discount rate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1617373482"/>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Salary increase rate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1617373482"/>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Involuntary turnover rate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divId w:val="1468008845"/>
        <w:rPr>
          <w:rFonts w:eastAsia="Times New Roman"/>
        </w:rPr>
      </w:pPr>
    </w:p>
    <w:p w:rsidR="00000000" w:rsidRDefault="006F0EF5">
      <w:pPr>
        <w:jc w:val="both"/>
        <w:rPr>
          <w:rFonts w:eastAsia="Times New Roman"/>
        </w:rPr>
      </w:pPr>
      <w:r>
        <w:rPr>
          <w:rFonts w:eastAsia="Times New Roman"/>
          <w:i/>
          <w:iCs/>
          <w:color w:val="000000"/>
          <w:sz w:val="20"/>
          <w:szCs w:val="20"/>
        </w:rPr>
        <w:t>Cash Flows Related to Employee Benefit Plans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Cash Contributions</w:t>
      </w:r>
      <w:r>
        <w:rPr>
          <w:rFonts w:eastAsia="Times New Roman"/>
          <w:color w:val="000000"/>
          <w:sz w:val="20"/>
          <w:szCs w:val="20"/>
        </w:rPr>
        <w:t xml:space="preserve"> NCR does not plan to contribute to the U.S. qualified pension plan in 2022, and plans to contribute approximately $15 million to the international pension plans in 2022. The Company plans to</w:t>
      </w:r>
      <w:r>
        <w:rPr>
          <w:rFonts w:eastAsia="Times New Roman"/>
          <w:color w:val="000000"/>
          <w:sz w:val="20"/>
          <w:szCs w:val="20"/>
        </w:rPr>
        <w:t xml:space="preserve"> make contributions of approximately $1 million to the U.S. postretirement plan. The Company plans to make contributions of $30 million to the U.S. and international postemployment plans in 2022. </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Estimated Future Benefit Payments</w:t>
      </w:r>
      <w:r>
        <w:rPr>
          <w:rFonts w:eastAsia="Times New Roman"/>
          <w:color w:val="000000"/>
          <w:sz w:val="20"/>
          <w:szCs w:val="20"/>
        </w:rPr>
        <w:t xml:space="preserve"> NCR expects to make the</w:t>
      </w:r>
      <w:r>
        <w:rPr>
          <w:rFonts w:eastAsia="Times New Roman"/>
          <w:color w:val="000000"/>
          <w:sz w:val="20"/>
          <w:szCs w:val="20"/>
        </w:rPr>
        <w:t xml:space="preserve"> following benefit payments reflecting past and future service from its pension, postretirement and postemployment plans: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1343"/>
        <w:gridCol w:w="36"/>
        <w:gridCol w:w="36"/>
        <w:gridCol w:w="36"/>
        <w:gridCol w:w="36"/>
        <w:gridCol w:w="121"/>
        <w:gridCol w:w="1110"/>
        <w:gridCol w:w="36"/>
        <w:gridCol w:w="36"/>
        <w:gridCol w:w="36"/>
        <w:gridCol w:w="36"/>
        <w:gridCol w:w="121"/>
        <w:gridCol w:w="1110"/>
        <w:gridCol w:w="36"/>
        <w:gridCol w:w="36"/>
        <w:gridCol w:w="36"/>
        <w:gridCol w:w="36"/>
        <w:gridCol w:w="121"/>
        <w:gridCol w:w="1110"/>
        <w:gridCol w:w="36"/>
        <w:gridCol w:w="36"/>
        <w:gridCol w:w="36"/>
        <w:gridCol w:w="36"/>
        <w:gridCol w:w="121"/>
        <w:gridCol w:w="1110"/>
        <w:gridCol w:w="36"/>
        <w:gridCol w:w="36"/>
        <w:gridCol w:w="36"/>
        <w:gridCol w:w="36"/>
        <w:gridCol w:w="121"/>
        <w:gridCol w:w="1112"/>
        <w:gridCol w:w="36"/>
      </w:tblGrid>
      <w:tr w:rsidR="00000000">
        <w:trPr>
          <w:divId w:val="1652098183"/>
          <w:jc w:val="center"/>
        </w:trPr>
        <w:tc>
          <w:tcPr>
            <w:tcW w:w="50" w:type="pct"/>
            <w:vAlign w:val="center"/>
            <w:hideMark/>
          </w:tcPr>
          <w:p w:rsidR="00000000" w:rsidRDefault="006F0EF5">
            <w:pPr>
              <w:jc w:val="both"/>
              <w:rPr>
                <w:rFonts w:eastAsia="Times New Roman"/>
              </w:rPr>
            </w:pPr>
          </w:p>
        </w:tc>
        <w:tc>
          <w:tcPr>
            <w:tcW w:w="84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2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2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2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2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2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652098183"/>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Postretirement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Postemployment Benefits</w:t>
            </w:r>
          </w:p>
        </w:tc>
      </w:tr>
      <w:tr w:rsidR="00000000">
        <w:trPr>
          <w:divId w:val="165209818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Year</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652098183"/>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65209818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652098183"/>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65209818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652098183"/>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652098183"/>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2027-2031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554 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783 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890187790"/>
        <w:rPr>
          <w:rFonts w:eastAsia="Times New Roman"/>
        </w:rPr>
      </w:pPr>
    </w:p>
    <w:p w:rsidR="00000000" w:rsidRDefault="006F0EF5">
      <w:pPr>
        <w:jc w:val="both"/>
        <w:rPr>
          <w:rFonts w:eastAsia="Times New Roman"/>
        </w:rPr>
      </w:pPr>
      <w:r>
        <w:rPr>
          <w:rFonts w:eastAsia="Times New Roman"/>
          <w:i/>
          <w:iCs/>
          <w:color w:val="000000"/>
          <w:sz w:val="20"/>
          <w:szCs w:val="20"/>
        </w:rPr>
        <w:t>Savings Plans</w:t>
      </w:r>
      <w:r>
        <w:rPr>
          <w:rFonts w:eastAsia="Times New Roman"/>
          <w:color w:val="000000"/>
          <w:sz w:val="20"/>
          <w:szCs w:val="20"/>
        </w:rPr>
        <w:t xml:space="preserve"> U.S. employees and m</w:t>
      </w:r>
      <w:r>
        <w:rPr>
          <w:rFonts w:eastAsia="Times New Roman"/>
          <w:color w:val="000000"/>
          <w:sz w:val="20"/>
          <w:szCs w:val="20"/>
        </w:rPr>
        <w:t>any international employees participate in defined contribution savings plans. These plans generally provide either a specified percent of pay or a matching contribution on participating employees’ voluntary elections. NCR’s matching contributions typicall</w:t>
      </w:r>
      <w:r>
        <w:rPr>
          <w:rFonts w:eastAsia="Times New Roman"/>
          <w:color w:val="000000"/>
          <w:sz w:val="20"/>
          <w:szCs w:val="20"/>
        </w:rPr>
        <w:t>y are subject to a maximum percentage or level of compensation. Employee contributions can be made pre-tax, after-tax or a combination thereof. The expense under the U.S. plan was approximately $31 million in 2021, $32 million in 2020, and $27 million in 2</w:t>
      </w:r>
      <w:r>
        <w:rPr>
          <w:rFonts w:eastAsia="Times New Roman"/>
          <w:color w:val="000000"/>
          <w:sz w:val="20"/>
          <w:szCs w:val="20"/>
        </w:rPr>
        <w:t xml:space="preserve">019. The expense under international and subsidiary savings plans was $31 million in 2021, $25 million in 2020, and $25 million in 2019. </w:t>
      </w:r>
    </w:p>
    <w:p w:rsidR="00000000" w:rsidRDefault="006F0EF5">
      <w:pPr>
        <w:divId w:val="476187333"/>
        <w:rPr>
          <w:rFonts w:eastAsia="Times New Roman"/>
        </w:rPr>
      </w:pPr>
    </w:p>
    <w:p w:rsidR="00000000" w:rsidRDefault="006F0EF5">
      <w:pPr>
        <w:jc w:val="both"/>
        <w:rPr>
          <w:rFonts w:eastAsia="Times New Roman"/>
        </w:rPr>
      </w:pPr>
      <w:r>
        <w:rPr>
          <w:rFonts w:eastAsia="Times New Roman"/>
          <w:i/>
          <w:iCs/>
          <w:color w:val="000000"/>
          <w:sz w:val="20"/>
          <w:szCs w:val="20"/>
        </w:rPr>
        <w:t xml:space="preserve">Amounts to be Recognized </w:t>
      </w:r>
      <w:r>
        <w:rPr>
          <w:rFonts w:eastAsia="Times New Roman"/>
          <w:color w:val="000000"/>
          <w:sz w:val="20"/>
          <w:szCs w:val="20"/>
        </w:rPr>
        <w:t>The amounts in Accumulated other comprehensive loss that are expected to be recognized as c</w:t>
      </w:r>
      <w:r>
        <w:rPr>
          <w:rFonts w:eastAsia="Times New Roman"/>
          <w:color w:val="000000"/>
          <w:sz w:val="20"/>
          <w:szCs w:val="20"/>
        </w:rPr>
        <w:t>omponents of net periodic benefit cost (income) during 2022 are as follows:</w:t>
      </w:r>
    </w:p>
    <w:p w:rsidR="00000000" w:rsidRDefault="006F0EF5">
      <w:pPr>
        <w:jc w:val="center"/>
        <w:divId w:val="592203378"/>
        <w:rPr>
          <w:rFonts w:eastAsia="Times New Roman"/>
        </w:rPr>
      </w:pPr>
      <w:r>
        <w:rPr>
          <w:rFonts w:eastAsia="Times New Roman"/>
          <w:color w:val="000000"/>
          <w:sz w:val="20"/>
          <w:szCs w:val="20"/>
        </w:rPr>
        <w:t>104</w:t>
      </w:r>
    </w:p>
    <w:p w:rsidR="00000000" w:rsidRDefault="006F0EF5">
      <w:pPr>
        <w:rPr>
          <w:rFonts w:eastAsia="Times New Roman"/>
        </w:rPr>
      </w:pPr>
      <w:r>
        <w:rPr>
          <w:rFonts w:eastAsia="Times New Roman"/>
        </w:rPr>
        <w:pict>
          <v:rect id="_x0000_i1133" style="width:0;height:1.5pt" o:hralign="center" o:hrstd="t" o:hr="t" fillcolor="#a0a0a0" stroked="f"/>
        </w:pict>
      </w:r>
    </w:p>
    <w:p w:rsidR="00000000" w:rsidRDefault="006F0EF5">
      <w:pPr>
        <w:divId w:val="190332456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498769735"/>
        <w:rPr>
          <w:rFonts w:eastAsia="Times New Roman"/>
        </w:rPr>
      </w:pPr>
      <w:r>
        <w:rPr>
          <w:rFonts w:eastAsia="Times New Roman"/>
          <w:b/>
          <w:bCs/>
          <w:color w:val="000000"/>
          <w:sz w:val="20"/>
          <w:szCs w:val="20"/>
        </w:rPr>
        <w:t>NCR Corporation</w:t>
      </w:r>
    </w:p>
    <w:p w:rsidR="00000000" w:rsidRDefault="006F0EF5">
      <w:pPr>
        <w:jc w:val="center"/>
        <w:divId w:val="1498769735"/>
        <w:rPr>
          <w:rFonts w:eastAsia="Times New Roman"/>
        </w:rPr>
      </w:pPr>
      <w:r>
        <w:rPr>
          <w:rFonts w:eastAsia="Times New Roman"/>
          <w:b/>
          <w:bCs/>
          <w:color w:val="000000"/>
          <w:sz w:val="20"/>
          <w:szCs w:val="20"/>
        </w:rPr>
        <w:t>Notes to Consolidated Financial Statements-(Continued)</w:t>
      </w:r>
    </w:p>
    <w:p w:rsidR="00000000" w:rsidRDefault="006F0EF5">
      <w:pPr>
        <w:jc w:val="center"/>
        <w:divId w:val="1498769735"/>
        <w:rPr>
          <w:rFonts w:eastAsia="Times New Roman"/>
        </w:rPr>
      </w:pPr>
    </w:p>
    <w:p w:rsidR="00000000" w:rsidRDefault="006F0EF5">
      <w:pPr>
        <w:jc w:val="center"/>
        <w:divId w:val="1498769735"/>
        <w:rPr>
          <w:rFonts w:eastAsia="Times New Roman"/>
        </w:rPr>
      </w:pPr>
    </w:p>
    <w:p w:rsidR="00000000" w:rsidRDefault="006F0EF5">
      <w:pPr>
        <w:divId w:val="1229534948"/>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41"/>
        <w:gridCol w:w="1457"/>
        <w:gridCol w:w="38"/>
        <w:gridCol w:w="36"/>
        <w:gridCol w:w="36"/>
        <w:gridCol w:w="36"/>
        <w:gridCol w:w="121"/>
        <w:gridCol w:w="1069"/>
        <w:gridCol w:w="36"/>
        <w:gridCol w:w="36"/>
        <w:gridCol w:w="36"/>
        <w:gridCol w:w="36"/>
        <w:gridCol w:w="121"/>
        <w:gridCol w:w="1069"/>
        <w:gridCol w:w="36"/>
        <w:gridCol w:w="36"/>
        <w:gridCol w:w="36"/>
        <w:gridCol w:w="36"/>
        <w:gridCol w:w="121"/>
        <w:gridCol w:w="1070"/>
        <w:gridCol w:w="36"/>
        <w:gridCol w:w="36"/>
        <w:gridCol w:w="36"/>
        <w:gridCol w:w="36"/>
        <w:gridCol w:w="121"/>
        <w:gridCol w:w="1070"/>
        <w:gridCol w:w="36"/>
        <w:gridCol w:w="36"/>
        <w:gridCol w:w="36"/>
        <w:gridCol w:w="36"/>
        <w:gridCol w:w="121"/>
        <w:gridCol w:w="1094"/>
        <w:gridCol w:w="36"/>
      </w:tblGrid>
      <w:tr w:rsidR="00000000">
        <w:trPr>
          <w:jc w:val="center"/>
        </w:trPr>
        <w:tc>
          <w:tcPr>
            <w:tcW w:w="50" w:type="pct"/>
            <w:vAlign w:val="center"/>
            <w:hideMark/>
          </w:tcPr>
          <w:p w:rsidR="00000000" w:rsidRDefault="006F0EF5">
            <w:pPr>
              <w:rPr>
                <w:rFonts w:eastAsia="Times New Roman"/>
              </w:rPr>
            </w:pPr>
          </w:p>
        </w:tc>
        <w:tc>
          <w:tcPr>
            <w:tcW w:w="9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1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1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1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1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1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U.S.</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Postretirement Benefits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Postemployment Benefits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Prior service cost (benefit)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Actuarial loss (gain)</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811874142"/>
        <w:rPr>
          <w:rFonts w:eastAsia="Times New Roman"/>
        </w:rPr>
      </w:pPr>
    </w:p>
    <w:p w:rsidR="00000000" w:rsidRDefault="006F0EF5">
      <w:pPr>
        <w:jc w:val="both"/>
        <w:rPr>
          <w:rFonts w:eastAsia="Times New Roman"/>
        </w:rPr>
      </w:pPr>
      <w:r>
        <w:rPr>
          <w:rFonts w:eastAsia="Times New Roman"/>
          <w:b/>
          <w:bCs/>
          <w:color w:val="7ACE05"/>
          <w:sz w:val="20"/>
          <w:szCs w:val="20"/>
        </w:rPr>
        <w:t xml:space="preserve">10. COMMITMENTS AND CONTINGENCIES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the normal course of business, NCR is subject to various proceedings, lawsuits, claims and other matters, including, for example, those that relate to the environment and health and safety, labor and employment, employee benefits, import/export complian</w:t>
      </w:r>
      <w:r>
        <w:rPr>
          <w:rFonts w:eastAsia="Times New Roman"/>
          <w:color w:val="000000"/>
          <w:sz w:val="20"/>
          <w:szCs w:val="20"/>
        </w:rPr>
        <w:t>ce, intellectual property, data privacy and security, product liability, commercial disputes and regulatory compliance, among others. Additionally, NCR is subject to diverse and complex laws and regulations, including those relating to corporate governance</w:t>
      </w:r>
      <w:r>
        <w:rPr>
          <w:rFonts w:eastAsia="Times New Roman"/>
          <w:color w:val="000000"/>
          <w:sz w:val="20"/>
          <w:szCs w:val="20"/>
        </w:rPr>
        <w:t>, public disclosure and reporting, environmental safety and the discharge of materials into the environment, product safety, import and export compliance, data privacy and security, antitrust and competition, government contracting, anti-corruption, and la</w:t>
      </w:r>
      <w:r>
        <w:rPr>
          <w:rFonts w:eastAsia="Times New Roman"/>
          <w:color w:val="000000"/>
          <w:sz w:val="20"/>
          <w:szCs w:val="20"/>
        </w:rPr>
        <w:t xml:space="preserve">bor and human resources, which are rapidly changing and subject to many possible changes in the future. Compliance with these laws and regulations, including changes in accounting standards, taxation requirements, and federal securities laws among others, </w:t>
      </w:r>
      <w:r>
        <w:rPr>
          <w:rFonts w:eastAsia="Times New Roman"/>
          <w:color w:val="000000"/>
          <w:sz w:val="20"/>
          <w:szCs w:val="20"/>
        </w:rPr>
        <w:t>may create a substantial burden on, and substantially increase costs to NCR or could have an impact on NCR's future operating results. The Company has reflected all liabilities when a loss is considered probable and reasonably estimable in the Consolidated</w:t>
      </w:r>
      <w:r>
        <w:rPr>
          <w:rFonts w:eastAsia="Times New Roman"/>
          <w:color w:val="000000"/>
          <w:sz w:val="20"/>
          <w:szCs w:val="20"/>
        </w:rPr>
        <w:t xml:space="preserve"> Financial Statements. We do not believe there is a reasonable possibility that losses exceeding amounts already recognized have been incurred, but there can be no assurances that the amounts required to satisfy alleged liabilities from such matters will n</w:t>
      </w:r>
      <w:r>
        <w:rPr>
          <w:rFonts w:eastAsia="Times New Roman"/>
          <w:color w:val="000000"/>
          <w:sz w:val="20"/>
          <w:szCs w:val="20"/>
        </w:rPr>
        <w:t>ot impact future operating results. Other than as stated below, the Company does not currently expect to incur material capital expenditures related to such matters. However, there can be no assurances that the actual amounts required to satisfy alleged li</w:t>
      </w:r>
      <w:r>
        <w:rPr>
          <w:rFonts w:eastAsia="Times New Roman"/>
          <w:color w:val="000000"/>
          <w:sz w:val="20"/>
          <w:szCs w:val="20"/>
        </w:rPr>
        <w:t xml:space="preserve">abilities from various lawsuits, claims, legal proceedings and other matters, including, but not limited to the Fox River and Kalamazoo River environmental matters and other matters discussed below, and to comply with applicable laws and regulations, will </w:t>
      </w:r>
      <w:r>
        <w:rPr>
          <w:rFonts w:eastAsia="Times New Roman"/>
          <w:color w:val="000000"/>
          <w:sz w:val="20"/>
          <w:szCs w:val="20"/>
        </w:rPr>
        <w:t>not exceed the amounts reflected in NCR’s Consolidated Financial Statements or will not have a material adverse effect on its consolidated results of operations, capital expenditures, competitive position, financial condition or cash flows.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Environmental</w:t>
      </w:r>
      <w:r>
        <w:rPr>
          <w:rFonts w:eastAsia="Times New Roman"/>
          <w:b/>
          <w:bCs/>
          <w:color w:val="000000"/>
          <w:sz w:val="20"/>
          <w:szCs w:val="20"/>
        </w:rPr>
        <w:t xml:space="preserve"> Matters</w:t>
      </w:r>
      <w:r>
        <w:rPr>
          <w:rFonts w:eastAsia="Times New Roman"/>
          <w:color w:val="000000"/>
          <w:sz w:val="20"/>
          <w:szCs w:val="20"/>
        </w:rPr>
        <w:t xml:space="preserve"> NCR's facilities and operations are subject to a wide range of environmental protection laws, and NCR has investigatory and remedial activities underway at a number of facilities that it currently owns or operates, or formerly owned or operated, t</w:t>
      </w:r>
      <w:r>
        <w:rPr>
          <w:rFonts w:eastAsia="Times New Roman"/>
          <w:color w:val="000000"/>
          <w:sz w:val="20"/>
          <w:szCs w:val="20"/>
        </w:rPr>
        <w:t>o comply, or to determine compliance, with such laws. Also, NCR has been identified, either by a government agency or by a private party seeking contribution to site clean-up costs, as a potentially responsible party (“PRP”) at a number of sites pursuant t</w:t>
      </w:r>
      <w:r>
        <w:rPr>
          <w:rFonts w:eastAsia="Times New Roman"/>
          <w:color w:val="000000"/>
          <w:sz w:val="20"/>
          <w:szCs w:val="20"/>
        </w:rPr>
        <w:t>o various state and federal laws, including the Federal Water Pollution Control Act, the Comprehensive Environmental Response, Compensation and Liability Act (“CERCLA”) and comparable state statutes. Other than the Fox River matter, the Kalamazoo River mat</w:t>
      </w:r>
      <w:r>
        <w:rPr>
          <w:rFonts w:eastAsia="Times New Roman"/>
          <w:color w:val="000000"/>
          <w:sz w:val="20"/>
          <w:szCs w:val="20"/>
        </w:rPr>
        <w:t>ter and the Ebina matter discussed below, we currently do not anticipate material expenses and liabilities from these environmental matters.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Fox River</w:t>
      </w:r>
      <w:r>
        <w:rPr>
          <w:rFonts w:eastAsia="Times New Roman"/>
          <w:color w:val="000000"/>
          <w:sz w:val="20"/>
          <w:szCs w:val="20"/>
        </w:rPr>
        <w:t xml:space="preserve"> NCR is one of eight entities that were formally notified by governmental and other entities, such as lo</w:t>
      </w:r>
      <w:r>
        <w:rPr>
          <w:rFonts w:eastAsia="Times New Roman"/>
          <w:color w:val="000000"/>
          <w:sz w:val="20"/>
          <w:szCs w:val="20"/>
        </w:rPr>
        <w:t>cal Native American tribes, that they are PRPs for environmental claims (under CERCLA and other statutes) arising out of the presence of polychlorinated biphenyls (“PCBs”) in sediments in the lower Fox River and in the Bay of Green Bay in Wisconsin. Such n</w:t>
      </w:r>
      <w:r>
        <w:rPr>
          <w:rFonts w:eastAsia="Times New Roman"/>
          <w:color w:val="000000"/>
          <w:sz w:val="20"/>
          <w:szCs w:val="20"/>
        </w:rPr>
        <w:t>otice was provided on September 30, 2003. The other Fox River PRPs that received notices include Appleton Papers Inc. (“API”; now known as Appvion, Inc.), P.H. Glatfelter Company (“Glatfelter”), Georgia-Pacific Consumer Products LP (“GP”, successor to Fort</w:t>
      </w:r>
      <w:r>
        <w:rPr>
          <w:rFonts w:eastAsia="Times New Roman"/>
          <w:color w:val="000000"/>
          <w:sz w:val="20"/>
          <w:szCs w:val="20"/>
        </w:rPr>
        <w:t xml:space="preserve"> James Operating Company), and others. NCR was identified as a PRP because of alleged PCB discharges from two carbonless copy paper manufacturing facilities it previously owned, which were located along the Fox River. NCR sold its facilities in 1978 to API</w:t>
      </w:r>
      <w:r>
        <w:rPr>
          <w:rFonts w:eastAsia="Times New Roman"/>
          <w:color w:val="000000"/>
          <w:sz w:val="20"/>
          <w:szCs w:val="20"/>
        </w:rPr>
        <w:t>. The parties have also contended that NCR is responsible for PCB discharges from paper mills owned by other companies because NCR carbonless copy paper “broke” was allegedly purchased by those other mills as a raw material.</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U.S. Environmental Protec</w:t>
      </w:r>
      <w:r>
        <w:rPr>
          <w:rFonts w:eastAsia="Times New Roman"/>
          <w:color w:val="000000"/>
          <w:sz w:val="20"/>
          <w:szCs w:val="20"/>
        </w:rPr>
        <w:t>tion Agency (“USEPA”) and Wisconsin Department of Natural Resources (together, “the Governments”) developed clean-up plans for the upper and lower parts of the Fox River and for portions of the Bay of Green Bay. On November 13, 2007, the Governments issued</w:t>
      </w:r>
      <w:r>
        <w:rPr>
          <w:rFonts w:eastAsia="Times New Roman"/>
          <w:color w:val="000000"/>
          <w:sz w:val="20"/>
          <w:szCs w:val="20"/>
        </w:rPr>
        <w:t xml:space="preserve"> a unilateral administrative order (the “2007 Order”) under CERCLA to the eight original PRPs, requiring them to perform remedial work under the Governments’ clean-up plan for the lower parts of the river (operable units 2 through 5). In April 2009, NCR an</w:t>
      </w:r>
      <w:r>
        <w:rPr>
          <w:rFonts w:eastAsia="Times New Roman"/>
          <w:color w:val="000000"/>
          <w:sz w:val="20"/>
          <w:szCs w:val="20"/>
        </w:rPr>
        <w:t>d API formed a limited liability company (the “LLC”), which entered into an agreement with an environmental remediation contractor to perform the work at the Fox River site. In-water dredging and remediation under the clean-up plan commenced shortly therea</w:t>
      </w:r>
      <w:r>
        <w:rPr>
          <w:rFonts w:eastAsia="Times New Roman"/>
          <w:color w:val="000000"/>
          <w:sz w:val="20"/>
          <w:szCs w:val="20"/>
        </w:rPr>
        <w:t xml:space="preserve">fter. </w:t>
      </w:r>
    </w:p>
    <w:p w:rsidR="00000000" w:rsidRDefault="006F0EF5">
      <w:pPr>
        <w:jc w:val="both"/>
        <w:rPr>
          <w:rFonts w:eastAsia="Times New Roman"/>
        </w:rPr>
      </w:pPr>
    </w:p>
    <w:p w:rsidR="00000000" w:rsidRDefault="006F0EF5">
      <w:pPr>
        <w:jc w:val="center"/>
        <w:divId w:val="718016192"/>
        <w:rPr>
          <w:rFonts w:eastAsia="Times New Roman"/>
        </w:rPr>
      </w:pPr>
      <w:r>
        <w:rPr>
          <w:rFonts w:eastAsia="Times New Roman"/>
          <w:color w:val="000000"/>
          <w:sz w:val="20"/>
          <w:szCs w:val="20"/>
        </w:rPr>
        <w:t>105</w:t>
      </w:r>
    </w:p>
    <w:p w:rsidR="00000000" w:rsidRDefault="006F0EF5">
      <w:pPr>
        <w:rPr>
          <w:rFonts w:eastAsia="Times New Roman"/>
        </w:rPr>
      </w:pPr>
      <w:r>
        <w:rPr>
          <w:rFonts w:eastAsia="Times New Roman"/>
        </w:rPr>
        <w:pict>
          <v:rect id="_x0000_i1134" style="width:0;height:1.5pt" o:hralign="center" o:hrstd="t" o:hr="t" fillcolor="#a0a0a0" stroked="f"/>
        </w:pict>
      </w:r>
    </w:p>
    <w:p w:rsidR="00000000" w:rsidRDefault="006F0EF5">
      <w:pPr>
        <w:divId w:val="102092985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2089881650"/>
        <w:rPr>
          <w:rFonts w:eastAsia="Times New Roman"/>
        </w:rPr>
      </w:pPr>
      <w:r>
        <w:rPr>
          <w:rFonts w:eastAsia="Times New Roman"/>
          <w:b/>
          <w:bCs/>
          <w:color w:val="000000"/>
          <w:sz w:val="20"/>
          <w:szCs w:val="20"/>
        </w:rPr>
        <w:t>NCR Corporation</w:t>
      </w:r>
    </w:p>
    <w:p w:rsidR="00000000" w:rsidRDefault="006F0EF5">
      <w:pPr>
        <w:jc w:val="center"/>
        <w:divId w:val="2089881650"/>
        <w:rPr>
          <w:rFonts w:eastAsia="Times New Roman"/>
        </w:rPr>
      </w:pPr>
      <w:r>
        <w:rPr>
          <w:rFonts w:eastAsia="Times New Roman"/>
          <w:b/>
          <w:bCs/>
          <w:color w:val="000000"/>
          <w:sz w:val="20"/>
          <w:szCs w:val="20"/>
        </w:rPr>
        <w:t>Notes to Consolidated Financial Statements-(Continued)</w:t>
      </w:r>
    </w:p>
    <w:p w:rsidR="00000000" w:rsidRDefault="006F0EF5">
      <w:pPr>
        <w:jc w:val="center"/>
        <w:divId w:val="2089881650"/>
        <w:rPr>
          <w:rFonts w:eastAsia="Times New Roman"/>
        </w:rPr>
      </w:pPr>
    </w:p>
    <w:p w:rsidR="00000000" w:rsidRDefault="006F0EF5">
      <w:pPr>
        <w:jc w:val="center"/>
        <w:divId w:val="2089881650"/>
        <w:rPr>
          <w:rFonts w:eastAsia="Times New Roman"/>
        </w:rPr>
      </w:pPr>
    </w:p>
    <w:p w:rsidR="00000000" w:rsidRDefault="006F0EF5">
      <w:pPr>
        <w:divId w:val="1468086569"/>
        <w:rPr>
          <w:rFonts w:eastAsia="Times New Roman"/>
        </w:rPr>
      </w:pPr>
    </w:p>
    <w:p w:rsidR="00000000" w:rsidRDefault="006F0EF5">
      <w:pPr>
        <w:jc w:val="both"/>
        <w:rPr>
          <w:rFonts w:eastAsia="Times New Roman"/>
        </w:rPr>
      </w:pPr>
      <w:r>
        <w:rPr>
          <w:rFonts w:eastAsia="Times New Roman"/>
          <w:color w:val="000000"/>
          <w:sz w:val="20"/>
          <w:szCs w:val="20"/>
        </w:rPr>
        <w:t>NCR and API, along with B.A.T Industries p.l.c. (“BA</w:t>
      </w:r>
      <w:r>
        <w:rPr>
          <w:rFonts w:eastAsia="Times New Roman"/>
          <w:color w:val="000000"/>
          <w:sz w:val="20"/>
          <w:szCs w:val="20"/>
        </w:rPr>
        <w:t>T”), share among themselves a portion of the cost of the Fox River clean-up and natural resource damages (“NRD”) based upon a 1998 agreement (the “Cost Sharing Agreement”), a 2005 arbitration award (subsequently confirmed as a judgment), and a September 30</w:t>
      </w:r>
      <w:r>
        <w:rPr>
          <w:rFonts w:eastAsia="Times New Roman"/>
          <w:color w:val="000000"/>
          <w:sz w:val="20"/>
          <w:szCs w:val="20"/>
        </w:rPr>
        <w:t xml:space="preserve">, 2014 Funding Agreement (the “Funding Agreement”). The Cost Sharing Agreement and the arbitration resolved disputes that arose out of the Company's 1978 sale of its Fox River facilities to API. The Cost Sharing Agreement and arbitration award resulted in </w:t>
      </w:r>
      <w:r>
        <w:rPr>
          <w:rFonts w:eastAsia="Times New Roman"/>
          <w:color w:val="000000"/>
          <w:sz w:val="20"/>
          <w:szCs w:val="20"/>
        </w:rPr>
        <w:t>a 45% share for NCR of the first $75 million of such costs (a threshold that was reached in 2008), and a 40% share for amounts in excess of $75 million. The Funding Agreement arose out of a 2012 to 2014 arbitration dispute between NCR and API, and provides</w:t>
      </w:r>
      <w:r>
        <w:rPr>
          <w:rFonts w:eastAsia="Times New Roman"/>
          <w:color w:val="000000"/>
          <w:sz w:val="20"/>
          <w:szCs w:val="20"/>
        </w:rPr>
        <w:t xml:space="preserve"> for regular, ongoing funding of NCR incurred Fox River remediation costs via contributions, made to a new limited liability corporation created by the Funding Agreement, by BAT, API and, for 2014, API's indemnitor, Windward Prospects. The Funding Agreemen</w:t>
      </w:r>
      <w:r>
        <w:rPr>
          <w:rFonts w:eastAsia="Times New Roman"/>
          <w:color w:val="000000"/>
          <w:sz w:val="20"/>
          <w:szCs w:val="20"/>
        </w:rPr>
        <w:t>t creates an obligation on BAT and API to fund 50% of NCR’s Fox River remediation costs from October 1, 2014 forward (API’s Fox River-related obligations under the Funding Agreement were fully satisfied in 2016); the Funding Agreement also provides NCR con</w:t>
      </w:r>
      <w:r>
        <w:rPr>
          <w:rFonts w:eastAsia="Times New Roman"/>
          <w:color w:val="000000"/>
          <w:sz w:val="20"/>
          <w:szCs w:val="20"/>
        </w:rPr>
        <w:t>tractual avenues for payment of, via direct and third-party sources, (1) the difference between BAT’s and API’s 60% obligation under the Cost Sharing Agreement and arbitration award on the one hand and their ongoing (since September 2014) 50% payments unde</w:t>
      </w:r>
      <w:r>
        <w:rPr>
          <w:rFonts w:eastAsia="Times New Roman"/>
          <w:color w:val="000000"/>
          <w:sz w:val="20"/>
          <w:szCs w:val="20"/>
        </w:rPr>
        <w:t>r the Funding Agreement on the other, as well as (2) the difference between the amount NCR received under the Funding Agreement and the amount owed to it under the Cost Sharing Agreement and arbitration award for the period from April 2012 through Septembe</w:t>
      </w:r>
      <w:r>
        <w:rPr>
          <w:rFonts w:eastAsia="Times New Roman"/>
          <w:color w:val="000000"/>
          <w:sz w:val="20"/>
          <w:szCs w:val="20"/>
        </w:rPr>
        <w:t>r 2014. As of December 31, 2021 and 2020, the receivable under the Funding Agreement was approximately $54 million and was included in Other assets in the Consolidated Balance Sheet. The Company anticipates that it will collect sums related to the receivab</w:t>
      </w:r>
      <w:r>
        <w:rPr>
          <w:rFonts w:eastAsia="Times New Roman"/>
          <w:color w:val="000000"/>
          <w:sz w:val="20"/>
          <w:szCs w:val="20"/>
        </w:rPr>
        <w:t xml:space="preserve">le after 2021, subject and pursuant to the terms of the Funding Agreement and related agreements. This receivable is not taken into account in calculating the Company’s Fox River net reserve. </w:t>
      </w:r>
    </w:p>
    <w:p w:rsidR="00000000" w:rsidRDefault="006F0EF5">
      <w:pPr>
        <w:jc w:val="both"/>
        <w:rPr>
          <w:rFonts w:eastAsia="Times New Roman"/>
        </w:rPr>
      </w:pPr>
    </w:p>
    <w:p w:rsidR="00000000" w:rsidRDefault="006F0EF5">
      <w:pPr>
        <w:jc w:val="both"/>
        <w:divId w:val="1591622389"/>
        <w:rPr>
          <w:rFonts w:eastAsia="Times New Roman"/>
        </w:rPr>
      </w:pPr>
      <w:r>
        <w:rPr>
          <w:rFonts w:eastAsia="Times New Roman"/>
          <w:color w:val="000000"/>
          <w:sz w:val="20"/>
          <w:szCs w:val="20"/>
        </w:rPr>
        <w:t>The Company's litigations relating to contribution and enforc</w:t>
      </w:r>
      <w:r>
        <w:rPr>
          <w:rFonts w:eastAsia="Times New Roman"/>
          <w:color w:val="000000"/>
          <w:sz w:val="20"/>
          <w:szCs w:val="20"/>
        </w:rPr>
        <w:t xml:space="preserve">ement claims concerning the Fox River have been concluded. A proposed consent decree settlement (the “CD settlement”) with respect to the contribution action (a case originally filed by NCR and API) and the government enforcement action (a case originally </w:t>
      </w:r>
      <w:r>
        <w:rPr>
          <w:rFonts w:eastAsia="Times New Roman"/>
          <w:color w:val="000000"/>
          <w:sz w:val="20"/>
          <w:szCs w:val="20"/>
        </w:rPr>
        <w:t>filed by the federal and state governments against several PRPs, including the Company) was successfully negotiated by NCR and the federal and state governments and was approved on August 22, 2017 by the federal district court in Wisconsin that had been pr</w:t>
      </w:r>
      <w:r>
        <w:rPr>
          <w:rFonts w:eastAsia="Times New Roman"/>
          <w:color w:val="000000"/>
          <w:sz w:val="20"/>
          <w:szCs w:val="20"/>
        </w:rPr>
        <w:t>esiding over those cases. A final order of dismissal as to the Company in the contribution and government enforcement actions was subsequently entered; one party, Glatfelter, had appealed the approval of the CD settlement. On January 3, 2019, the United St</w:t>
      </w:r>
      <w:r>
        <w:rPr>
          <w:rFonts w:eastAsia="Times New Roman"/>
          <w:color w:val="000000"/>
          <w:sz w:val="20"/>
          <w:szCs w:val="20"/>
        </w:rPr>
        <w:t>ates lodged a proposed consent decree with the Wisconsin court, reflecting a settlement reached by the United States, Wisconsin and Glatfelter with respect to Glatfelter’s Fox River liability under the government enforcement action; a component of that set</w:t>
      </w:r>
      <w:r>
        <w:rPr>
          <w:rFonts w:eastAsia="Times New Roman"/>
          <w:color w:val="000000"/>
          <w:sz w:val="20"/>
          <w:szCs w:val="20"/>
        </w:rPr>
        <w:t xml:space="preserve">tlement was withdrawal of Glatfelter’s appeal opposing the Company’s CD settlement. On March 14, 2019, the Wisconsin court approved the Glatfelter consent decree, and on April 3, 2019, Glatfelter's appeal was dismissed. </w:t>
      </w:r>
    </w:p>
    <w:p w:rsidR="00000000" w:rsidRDefault="006F0EF5">
      <w:pPr>
        <w:jc w:val="both"/>
        <w:divId w:val="1439445257"/>
        <w:rPr>
          <w:rFonts w:eastAsia="Times New Roman"/>
        </w:rPr>
      </w:pPr>
      <w:r>
        <w:rPr>
          <w:rFonts w:eastAsia="Times New Roman"/>
          <w:color w:val="000000"/>
          <w:sz w:val="20"/>
          <w:szCs w:val="20"/>
        </w:rPr>
        <w:t xml:space="preserve">The CD settlement has now resolved </w:t>
      </w:r>
      <w:r>
        <w:rPr>
          <w:rFonts w:eastAsia="Times New Roman"/>
          <w:color w:val="000000"/>
          <w:sz w:val="20"/>
          <w:szCs w:val="20"/>
        </w:rPr>
        <w:t>the remaining Fox River-related contribution and enforcement claims against the Company. The key components of the approved CD settlement include (1) the Company’s commitment to complete the remediation of the Fox River, which has now been completed; (2) t</w:t>
      </w:r>
      <w:r>
        <w:rPr>
          <w:rFonts w:eastAsia="Times New Roman"/>
          <w:color w:val="000000"/>
          <w:sz w:val="20"/>
          <w:szCs w:val="20"/>
        </w:rPr>
        <w:t>he Company’s conditional agreement to waive its contribution claims against the two remaining defendants in the case, GP and Glatfelter; (3) the Company’s agreement not to appeal the trial court’s decision on divisibility of harm; (4) the Governments’ agre</w:t>
      </w:r>
      <w:r>
        <w:rPr>
          <w:rFonts w:eastAsia="Times New Roman"/>
          <w:color w:val="000000"/>
          <w:sz w:val="20"/>
          <w:szCs w:val="20"/>
        </w:rPr>
        <w:t>ement to include in the settlement so-called “contribution protection” in the Company’s favor as to GP’s and Glatfelter’s contribution claims against the Company, the effect of which will be to extinguish those claims; (5) the Governments’ agreement not to</w:t>
      </w:r>
      <w:r>
        <w:rPr>
          <w:rFonts w:eastAsia="Times New Roman"/>
          <w:color w:val="000000"/>
          <w:sz w:val="20"/>
          <w:szCs w:val="20"/>
        </w:rPr>
        <w:t xml:space="preserve"> pursue the Company for the Governments’ past oversight costs; and (6) the Governments’ agreement to exercise prosecutorial discretion in pursuing other parties for future oversight costs and long-term monitoring and maintenance, with the Company retaining</w:t>
      </w:r>
      <w:r>
        <w:rPr>
          <w:rFonts w:eastAsia="Times New Roman"/>
          <w:color w:val="000000"/>
          <w:sz w:val="20"/>
          <w:szCs w:val="20"/>
        </w:rPr>
        <w:t xml:space="preserve"> so-called “backstop” liability in the event that the other parties fail to pay future oversight costs or to perform long-term monitoring and maintenance. Additionally, although certain state law claims by GP and Glatfelter against the Company may not be a</w:t>
      </w:r>
      <w:r>
        <w:rPr>
          <w:rFonts w:eastAsia="Times New Roman"/>
          <w:color w:val="000000"/>
          <w:sz w:val="20"/>
          <w:szCs w:val="20"/>
        </w:rPr>
        <w:t xml:space="preserve">ffected directly by the CD settlement, the CD settlement provides that the Company’s contribution claims against those two parties will revive if those parties attempt to assert any claims against the Company relating to the Fox River, including any state </w:t>
      </w:r>
      <w:r>
        <w:rPr>
          <w:rFonts w:eastAsia="Times New Roman"/>
          <w:color w:val="000000"/>
          <w:sz w:val="20"/>
          <w:szCs w:val="20"/>
        </w:rPr>
        <w:t>law claims.</w:t>
      </w:r>
    </w:p>
    <w:p w:rsidR="00000000" w:rsidRDefault="006F0EF5">
      <w:pPr>
        <w:jc w:val="both"/>
        <w:divId w:val="1048720971"/>
        <w:rPr>
          <w:rFonts w:eastAsia="Times New Roman"/>
        </w:rPr>
      </w:pPr>
      <w:r>
        <w:rPr>
          <w:rFonts w:eastAsia="Times New Roman"/>
          <w:color w:val="000000"/>
          <w:sz w:val="20"/>
          <w:szCs w:val="20"/>
        </w:rPr>
        <w:t>In the quarter ending September 30, 2017, the remediation general contractor commenced an arbitration against the LLC, in a dispute over contract interpretation. The hearing on this matter was completed in June 2019, and the parties submitted p</w:t>
      </w:r>
      <w:r>
        <w:rPr>
          <w:rFonts w:eastAsia="Times New Roman"/>
          <w:color w:val="000000"/>
          <w:sz w:val="20"/>
          <w:szCs w:val="20"/>
        </w:rPr>
        <w:t>ost-trial briefs in August 2019. The amounts claimed by the contractor range from approximately $46 million to approximately $53 million; the Company disputed the claims and contested them vigorously during the hearing. In November 2019, having rejected su</w:t>
      </w:r>
      <w:r>
        <w:rPr>
          <w:rFonts w:eastAsia="Times New Roman"/>
          <w:color w:val="000000"/>
          <w:sz w:val="20"/>
          <w:szCs w:val="20"/>
        </w:rPr>
        <w:t>bstantial portions of the claims, the arbitration panel awarded the contractor approximately $10 million. The Company’s indemnitors and co-obligors, described below, were responsible for the majority of the award, with the Company’s share being approximate</w:t>
      </w:r>
      <w:r>
        <w:rPr>
          <w:rFonts w:eastAsia="Times New Roman"/>
          <w:color w:val="000000"/>
          <w:sz w:val="20"/>
          <w:szCs w:val="20"/>
        </w:rPr>
        <w:t>ly 25% of the award.</w:t>
      </w:r>
    </w:p>
    <w:p w:rsidR="00000000" w:rsidRDefault="006F0EF5">
      <w:pPr>
        <w:jc w:val="both"/>
        <w:rPr>
          <w:rFonts w:eastAsia="Times New Roman"/>
        </w:rPr>
      </w:pPr>
      <w:r>
        <w:rPr>
          <w:rFonts w:eastAsia="Times New Roman"/>
          <w:color w:val="000000"/>
          <w:sz w:val="20"/>
          <w:szCs w:val="20"/>
        </w:rPr>
        <w:t>With respect to the Company’s prior dispute with API, which was generally superseded by the Funding Agreement, the Company received timely payments as they came due under the Funding Agreement. Although API filed for bankruptcy protect</w:t>
      </w:r>
      <w:r>
        <w:rPr>
          <w:rFonts w:eastAsia="Times New Roman"/>
          <w:color w:val="000000"/>
          <w:sz w:val="20"/>
          <w:szCs w:val="20"/>
        </w:rPr>
        <w:t xml:space="preserve">ion in October 2017, it had made all of the payments to the Company in connection with the Fox River that are required of it by the Funding Agreement. </w:t>
      </w:r>
    </w:p>
    <w:p w:rsidR="00000000" w:rsidRDefault="006F0EF5">
      <w:pPr>
        <w:jc w:val="both"/>
        <w:rPr>
          <w:rFonts w:eastAsia="Times New Roman"/>
        </w:rPr>
      </w:pPr>
    </w:p>
    <w:p w:rsidR="00000000" w:rsidRDefault="006F0EF5">
      <w:pPr>
        <w:jc w:val="center"/>
        <w:divId w:val="1926105822"/>
        <w:rPr>
          <w:rFonts w:eastAsia="Times New Roman"/>
        </w:rPr>
      </w:pPr>
      <w:r>
        <w:rPr>
          <w:rFonts w:eastAsia="Times New Roman"/>
          <w:color w:val="000000"/>
          <w:sz w:val="20"/>
          <w:szCs w:val="20"/>
        </w:rPr>
        <w:t>106</w:t>
      </w:r>
    </w:p>
    <w:p w:rsidR="00000000" w:rsidRDefault="006F0EF5">
      <w:pPr>
        <w:rPr>
          <w:rFonts w:eastAsia="Times New Roman"/>
        </w:rPr>
      </w:pPr>
      <w:r>
        <w:rPr>
          <w:rFonts w:eastAsia="Times New Roman"/>
        </w:rPr>
        <w:pict>
          <v:rect id="_x0000_i1135" style="width:0;height:1.5pt" o:hralign="center" o:hrstd="t" o:hr="t" fillcolor="#a0a0a0" stroked="f"/>
        </w:pict>
      </w:r>
    </w:p>
    <w:p w:rsidR="00000000" w:rsidRDefault="006F0EF5">
      <w:pPr>
        <w:divId w:val="69943280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663579290"/>
        <w:rPr>
          <w:rFonts w:eastAsia="Times New Roman"/>
        </w:rPr>
      </w:pPr>
      <w:r>
        <w:rPr>
          <w:rFonts w:eastAsia="Times New Roman"/>
          <w:b/>
          <w:bCs/>
          <w:color w:val="000000"/>
          <w:sz w:val="20"/>
          <w:szCs w:val="20"/>
        </w:rPr>
        <w:t>NCR Corporation</w:t>
      </w:r>
    </w:p>
    <w:p w:rsidR="00000000" w:rsidRDefault="006F0EF5">
      <w:pPr>
        <w:jc w:val="center"/>
        <w:divId w:val="1663579290"/>
        <w:rPr>
          <w:rFonts w:eastAsia="Times New Roman"/>
        </w:rPr>
      </w:pPr>
      <w:r>
        <w:rPr>
          <w:rFonts w:eastAsia="Times New Roman"/>
          <w:b/>
          <w:bCs/>
          <w:color w:val="000000"/>
          <w:sz w:val="20"/>
          <w:szCs w:val="20"/>
        </w:rPr>
        <w:t>Notes to Consolidated Financial Statements-(Continued)</w:t>
      </w:r>
    </w:p>
    <w:p w:rsidR="00000000" w:rsidRDefault="006F0EF5">
      <w:pPr>
        <w:jc w:val="center"/>
        <w:divId w:val="1663579290"/>
        <w:rPr>
          <w:rFonts w:eastAsia="Times New Roman"/>
        </w:rPr>
      </w:pPr>
    </w:p>
    <w:p w:rsidR="00000000" w:rsidRDefault="006F0EF5">
      <w:pPr>
        <w:jc w:val="center"/>
        <w:divId w:val="1663579290"/>
        <w:rPr>
          <w:rFonts w:eastAsia="Times New Roman"/>
        </w:rPr>
      </w:pPr>
    </w:p>
    <w:p w:rsidR="00000000" w:rsidRDefault="006F0EF5">
      <w:pPr>
        <w:divId w:val="1458064091"/>
        <w:rPr>
          <w:rFonts w:eastAsia="Times New Roman"/>
        </w:rPr>
      </w:pPr>
    </w:p>
    <w:p w:rsidR="00000000" w:rsidRDefault="006F0EF5">
      <w:pPr>
        <w:jc w:val="both"/>
        <w:rPr>
          <w:rFonts w:eastAsia="Times New Roman"/>
        </w:rPr>
      </w:pPr>
      <w:r>
        <w:rPr>
          <w:rFonts w:eastAsia="Times New Roman"/>
          <w:color w:val="000000"/>
          <w:sz w:val="20"/>
          <w:szCs w:val="20"/>
        </w:rPr>
        <w:t>NCR's eventual remediation liability, followed by long-term monitoring expected to be performed by others, will depend on a number of factors. In establishing the reserve, NCR attempts to estimate a range of reasonably possible outcomes for each of these f</w:t>
      </w:r>
      <w:r>
        <w:rPr>
          <w:rFonts w:eastAsia="Times New Roman"/>
          <w:color w:val="000000"/>
          <w:sz w:val="20"/>
          <w:szCs w:val="20"/>
        </w:rPr>
        <w:t>actors, although each range is itself uncertain. NCR uses its best estimate within the range, if that is possible. Where there is a range of equally possible outcomes, and there is no amount within that range that is considered to be a better estimate than</w:t>
      </w:r>
      <w:r>
        <w:rPr>
          <w:rFonts w:eastAsia="Times New Roman"/>
          <w:color w:val="000000"/>
          <w:sz w:val="20"/>
          <w:szCs w:val="20"/>
        </w:rPr>
        <w:t xml:space="preserve"> any other amount, NCR uses the low end of the range. The significant factors include: (1) the total remaining site costs, including the costs associated with decommissioning the site, the expected cost impact of which is expected to be neutral or non-mate</w:t>
      </w:r>
      <w:r>
        <w:rPr>
          <w:rFonts w:eastAsia="Times New Roman"/>
          <w:color w:val="000000"/>
          <w:sz w:val="20"/>
          <w:szCs w:val="20"/>
        </w:rPr>
        <w:t>rial to the Company, including long-term monitoring following completion of the clean-up, and what parties are assigned to discharge the post-clean-up tasks (as noted, the Company no longer expects to bear long-term monitoring costs); (2) total NRD for the</w:t>
      </w:r>
      <w:r>
        <w:rPr>
          <w:rFonts w:eastAsia="Times New Roman"/>
          <w:color w:val="000000"/>
          <w:sz w:val="20"/>
          <w:szCs w:val="20"/>
        </w:rPr>
        <w:t xml:space="preserve"> site and the share that NCR will bear (which is now resolved as to the Company); (3) the share of clean-up costs that NCR will bear (which is resolved under the CD settlement); (4) NCR's transaction and litigation costs to defend itself to the extent addi</w:t>
      </w:r>
      <w:r>
        <w:rPr>
          <w:rFonts w:eastAsia="Times New Roman"/>
          <w:color w:val="000000"/>
          <w:sz w:val="20"/>
          <w:szCs w:val="20"/>
        </w:rPr>
        <w:t>tional litigation is required with respect to claims brought by the general contractor; and (5) the share of NCR's payments that BAT will bear (which is governed by the Cost Sharing Agreement and the Funding Agreement, BAT has made all of the payments requ</w:t>
      </w:r>
      <w:r>
        <w:rPr>
          <w:rFonts w:eastAsia="Times New Roman"/>
          <w:color w:val="000000"/>
          <w:sz w:val="20"/>
          <w:szCs w:val="20"/>
        </w:rPr>
        <w:t>ested of it, and as discussed above; API is in bankruptcy and is not presumed likely to bear further shares of NCR's payments). With respect to NRD, in connection with a certain settlement entered into by other PRPs in 2015, the Government withdrew the NRD</w:t>
      </w:r>
      <w:r>
        <w:rPr>
          <w:rFonts w:eastAsia="Times New Roman"/>
          <w:color w:val="000000"/>
          <w:sz w:val="20"/>
          <w:szCs w:val="20"/>
        </w:rPr>
        <w:t xml:space="preserve"> claims it had prosecuted on behalf of NRD trustees, including those NRD claims asserted against the Company.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While it is possible there could be additional changes to some elements of the reserve over upcoming periods, all in river-remediation, site de</w:t>
      </w:r>
      <w:r>
        <w:rPr>
          <w:rFonts w:eastAsia="Times New Roman"/>
          <w:color w:val="000000"/>
          <w:sz w:val="20"/>
          <w:szCs w:val="20"/>
        </w:rPr>
        <w:t>molition and site decommissioning have been completed. Final reporting and site completion certification is expected this year. Nonetheless, there can be no assurance that unexpected expenditures and liabilities will not have a material effect on NCR's cap</w:t>
      </w:r>
      <w:r>
        <w:rPr>
          <w:rFonts w:eastAsia="Times New Roman"/>
          <w:color w:val="000000"/>
          <w:sz w:val="20"/>
          <w:szCs w:val="20"/>
        </w:rPr>
        <w:t>ital expenditures, earnings, financial condition, cash flows, or competitive position. As of December 31, 2021 and 2020, the gross reserve for the Fox River matter was approximately $4 million and $6 million, respectively. As of December 31, 2021 and 2020,</w:t>
      </w:r>
      <w:r>
        <w:rPr>
          <w:rFonts w:eastAsia="Times New Roman"/>
          <w:color w:val="000000"/>
          <w:sz w:val="20"/>
          <w:szCs w:val="20"/>
        </w:rPr>
        <w:t xml:space="preserve"> the net reserve for the Fox River matter was approximately $26 million and $28 million, respectively. NCR contributes to the LLC to fund remediation activities and generally, by contract, has funded certain amounts of remediation expenses in advance. As o</w:t>
      </w:r>
      <w:r>
        <w:rPr>
          <w:rFonts w:eastAsia="Times New Roman"/>
          <w:color w:val="000000"/>
          <w:sz w:val="20"/>
          <w:szCs w:val="20"/>
        </w:rPr>
        <w:t xml:space="preserve">f December 31, 2021 and 2020, approximately zero remained from this funding. NCR's reserve for the Fox River matter is reduced as the LLC makes payments to the remediation contractor and other vendors with respect to remediation activities.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Under a 1996</w:t>
      </w:r>
      <w:r>
        <w:rPr>
          <w:rFonts w:eastAsia="Times New Roman"/>
          <w:color w:val="000000"/>
          <w:sz w:val="20"/>
          <w:szCs w:val="20"/>
        </w:rPr>
        <w:t xml:space="preserve"> agreement, AT&amp;T Corp. (“AT&amp;T”) and Nokia (as the successor to Lucent Technologies and Alcatel-Lucent USA) are responsible severally (not jointly) for indemnifying NCR for certain portions of the amounts paid by NCR for the Fox River matter over a defined </w:t>
      </w:r>
      <w:r>
        <w:rPr>
          <w:rFonts w:eastAsia="Times New Roman"/>
          <w:color w:val="000000"/>
          <w:sz w:val="20"/>
          <w:szCs w:val="20"/>
        </w:rPr>
        <w:t>threshold and subject to certain offsets. (The agreement governs certain aspects of AT&amp;T's divestiture of NCR and of what was then known as Lucent Technologies.) Those companies have made the payments requested of them by the Company on an ongoing basis.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Kalamazoo River </w:t>
      </w:r>
      <w:r>
        <w:rPr>
          <w:rFonts w:eastAsia="Times New Roman"/>
          <w:color w:val="000000"/>
          <w:sz w:val="20"/>
          <w:szCs w:val="20"/>
        </w:rPr>
        <w:t>In November 2010, USEPA issued a “general notice letter” to NCR with respect to the Allied Paper, Inc./Portage Creek/Kalamazoo River Superfund Site (“Kalamazoo River site”) in Michigan. Three other companies - International Paper, Mead Cor</w:t>
      </w:r>
      <w:r>
        <w:rPr>
          <w:rFonts w:eastAsia="Times New Roman"/>
          <w:color w:val="000000"/>
          <w:sz w:val="20"/>
          <w:szCs w:val="20"/>
        </w:rPr>
        <w:t>poration, and Consumers Energy - also received general notice letters at or about the same time. USEPA asserts that the site is contaminated by various substances, primarily PCBs, as a result of discharges by various paper mills located along the river. US</w:t>
      </w:r>
      <w:r>
        <w:rPr>
          <w:rFonts w:eastAsia="Times New Roman"/>
          <w:color w:val="000000"/>
          <w:sz w:val="20"/>
          <w:szCs w:val="20"/>
        </w:rPr>
        <w:t>EPA does not claim that the Company made direct discharges into the Kalamazoo River, and NCR never had facilities at or near the Kalamazoo River site, but USEPA indicated that “NCR may be liable under Section 107 of CERCLA ... as an arranger, who by contra</w:t>
      </w:r>
      <w:r>
        <w:rPr>
          <w:rFonts w:eastAsia="Times New Roman"/>
          <w:color w:val="000000"/>
          <w:sz w:val="20"/>
          <w:szCs w:val="20"/>
        </w:rPr>
        <w:t>ct or agreement, arranged for the disposal, treatment and/or transportation of hazardous substances at the Site.” USEPA stated that it “may issue special notice letters to [NCR] and other PRPs for future RI/FS [remedial investigation / feasibility studies]</w:t>
      </w:r>
      <w:r>
        <w:rPr>
          <w:rFonts w:eastAsia="Times New Roman"/>
          <w:color w:val="000000"/>
          <w:sz w:val="20"/>
          <w:szCs w:val="20"/>
        </w:rPr>
        <w:t xml:space="preserve"> and RD/RA [remedial design / remedial action] negotiations.”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connection with the Kalamazoo River site, in December 2010 the Company, along with two other defendants, was sued in federal court by three GP affiliate corporations in a private-party cont</w:t>
      </w:r>
      <w:r>
        <w:rPr>
          <w:rFonts w:eastAsia="Times New Roman"/>
          <w:color w:val="000000"/>
          <w:sz w:val="20"/>
          <w:szCs w:val="20"/>
        </w:rPr>
        <w:t xml:space="preserve">ribution and cost recovery action for alleged pollution. The suit, pending in Michigan, asks that the Company and other defendants pay a “fair portion” of these companies’ costs. Various removal and remedial actions remain to be decided upon and performed </w:t>
      </w:r>
      <w:r>
        <w:rPr>
          <w:rFonts w:eastAsia="Times New Roman"/>
          <w:color w:val="000000"/>
          <w:sz w:val="20"/>
          <w:szCs w:val="20"/>
        </w:rPr>
        <w:t>at the Kalamazoo River site, the total costs for which generally remain undetermined; in 2017, Records of Decisions were issued for two parts of the river, and in 2018 such a decision was issued for another part of the river, but such decisions for the maj</w:t>
      </w:r>
      <w:r>
        <w:rPr>
          <w:rFonts w:eastAsia="Times New Roman"/>
          <w:color w:val="000000"/>
          <w:sz w:val="20"/>
          <w:szCs w:val="20"/>
        </w:rPr>
        <w:t xml:space="preserve">ority of the work are expected to be made only over the next several years. The suit alleges that the Company is liable to the GP entities as an “arranger” under CERCLA. The initial phase of the case was tried in a Michigan federal court in February 2013; </w:t>
      </w:r>
      <w:r>
        <w:rPr>
          <w:rFonts w:eastAsia="Times New Roman"/>
          <w:color w:val="000000"/>
          <w:sz w:val="20"/>
          <w:szCs w:val="20"/>
        </w:rPr>
        <w:t>on September 26, 2013 the court issued a decision that held NCR was liable as an “arranger” as of at least March 1969. (PCB-containing carbonless copy paper was produced from approximately 1954 to April 1971, and the majority of contamination at the Kalama</w:t>
      </w:r>
      <w:r>
        <w:rPr>
          <w:rFonts w:eastAsia="Times New Roman"/>
          <w:color w:val="000000"/>
          <w:sz w:val="20"/>
          <w:szCs w:val="20"/>
        </w:rPr>
        <w:t xml:space="preserve">zoo River site had occurred prior to 1969). NCR preserved its right to appeal the September 2013 decision.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the 2013 decision the Court did not determine NCR’s share of the overall liability. Relative shares of liability for the four companies were tr</w:t>
      </w:r>
      <w:r>
        <w:rPr>
          <w:rFonts w:eastAsia="Times New Roman"/>
          <w:color w:val="000000"/>
          <w:sz w:val="20"/>
          <w:szCs w:val="20"/>
        </w:rPr>
        <w:t xml:space="preserve">ied to the court in a subsequent phase of the case in December 2015. In a ruling issued on March 29, 2018, </w:t>
      </w:r>
    </w:p>
    <w:p w:rsidR="00000000" w:rsidRDefault="006F0EF5">
      <w:pPr>
        <w:jc w:val="center"/>
        <w:divId w:val="242758381"/>
        <w:rPr>
          <w:rFonts w:eastAsia="Times New Roman"/>
        </w:rPr>
      </w:pPr>
      <w:r>
        <w:rPr>
          <w:rFonts w:eastAsia="Times New Roman"/>
          <w:color w:val="000000"/>
          <w:sz w:val="20"/>
          <w:szCs w:val="20"/>
        </w:rPr>
        <w:t>107</w:t>
      </w:r>
    </w:p>
    <w:p w:rsidR="00000000" w:rsidRDefault="006F0EF5">
      <w:pPr>
        <w:rPr>
          <w:rFonts w:eastAsia="Times New Roman"/>
        </w:rPr>
      </w:pPr>
      <w:r>
        <w:rPr>
          <w:rFonts w:eastAsia="Times New Roman"/>
        </w:rPr>
        <w:pict>
          <v:rect id="_x0000_i1136" style="width:0;height:1.5pt" o:hralign="center" o:hrstd="t" o:hr="t" fillcolor="#a0a0a0" stroked="f"/>
        </w:pict>
      </w:r>
    </w:p>
    <w:p w:rsidR="00000000" w:rsidRDefault="006F0EF5">
      <w:pPr>
        <w:divId w:val="212973722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050804290"/>
        <w:rPr>
          <w:rFonts w:eastAsia="Times New Roman"/>
        </w:rPr>
      </w:pPr>
      <w:r>
        <w:rPr>
          <w:rFonts w:eastAsia="Times New Roman"/>
          <w:b/>
          <w:bCs/>
          <w:color w:val="000000"/>
          <w:sz w:val="20"/>
          <w:szCs w:val="20"/>
        </w:rPr>
        <w:t>NCR Corporation</w:t>
      </w:r>
    </w:p>
    <w:p w:rsidR="00000000" w:rsidRDefault="006F0EF5">
      <w:pPr>
        <w:jc w:val="center"/>
        <w:divId w:val="1050804290"/>
        <w:rPr>
          <w:rFonts w:eastAsia="Times New Roman"/>
        </w:rPr>
      </w:pPr>
      <w:r>
        <w:rPr>
          <w:rFonts w:eastAsia="Times New Roman"/>
          <w:b/>
          <w:bCs/>
          <w:color w:val="000000"/>
          <w:sz w:val="20"/>
          <w:szCs w:val="20"/>
        </w:rPr>
        <w:t>Notes to Consol</w:t>
      </w:r>
      <w:r>
        <w:rPr>
          <w:rFonts w:eastAsia="Times New Roman"/>
          <w:b/>
          <w:bCs/>
          <w:color w:val="000000"/>
          <w:sz w:val="20"/>
          <w:szCs w:val="20"/>
        </w:rPr>
        <w:t>idated Financial Statements-(Continued)</w:t>
      </w:r>
    </w:p>
    <w:p w:rsidR="00000000" w:rsidRDefault="006F0EF5">
      <w:pPr>
        <w:jc w:val="center"/>
        <w:divId w:val="1050804290"/>
        <w:rPr>
          <w:rFonts w:eastAsia="Times New Roman"/>
        </w:rPr>
      </w:pPr>
    </w:p>
    <w:p w:rsidR="00000000" w:rsidRDefault="006F0EF5">
      <w:pPr>
        <w:jc w:val="center"/>
        <w:divId w:val="1050804290"/>
        <w:rPr>
          <w:rFonts w:eastAsia="Times New Roman"/>
        </w:rPr>
      </w:pPr>
    </w:p>
    <w:p w:rsidR="00000000" w:rsidRDefault="006F0EF5">
      <w:pPr>
        <w:divId w:val="1629508285"/>
        <w:rPr>
          <w:rFonts w:eastAsia="Times New Roman"/>
        </w:rPr>
      </w:pPr>
    </w:p>
    <w:p w:rsidR="00000000" w:rsidRDefault="006F0EF5">
      <w:pPr>
        <w:jc w:val="both"/>
        <w:rPr>
          <w:rFonts w:eastAsia="Times New Roman"/>
        </w:rPr>
      </w:pPr>
      <w:r>
        <w:rPr>
          <w:rFonts w:eastAsia="Times New Roman"/>
          <w:color w:val="000000"/>
          <w:sz w:val="20"/>
          <w:szCs w:val="20"/>
        </w:rPr>
        <w:t>the court addressed responsibility for the costs that GP had incurred in the past, totaling to approximately $50 million (GP had sought approximately $105 million, but $55 million of those claims were removed b</w:t>
      </w:r>
      <w:r>
        <w:rPr>
          <w:rFonts w:eastAsia="Times New Roman"/>
          <w:color w:val="000000"/>
          <w:sz w:val="20"/>
          <w:szCs w:val="20"/>
        </w:rPr>
        <w:t>y the court upon motions filed by the Company and other parties); NCR and GP were each assigned a 40% share of those costs, and the other two companies were assigned 15% and 5% as their allocations. The court entered a judgment in the case on June 19, 2018</w:t>
      </w:r>
      <w:r>
        <w:rPr>
          <w:rFonts w:eastAsia="Times New Roman"/>
          <w:color w:val="000000"/>
          <w:sz w:val="20"/>
          <w:szCs w:val="20"/>
        </w:rPr>
        <w:t>, in which it indicated that it would not allocate future costs, but would enter a declaratory judgment that the four companies together had responsibility for future costs, in amounts and shares to be determined. Cross-proceedings have been commenced to o</w:t>
      </w:r>
      <w:r>
        <w:rPr>
          <w:rFonts w:eastAsia="Times New Roman"/>
          <w:color w:val="000000"/>
          <w:sz w:val="20"/>
          <w:szCs w:val="20"/>
        </w:rPr>
        <w:t>btain recoveries from the other parties pursuant to the judgment; those proceedings were stayed pending the appeal referenced below.</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July 2018, the Company appealed to the United States Court of Appeals for the Sixth Circuit both the 2013 court decisi</w:t>
      </w:r>
      <w:r>
        <w:rPr>
          <w:rFonts w:eastAsia="Times New Roman"/>
          <w:color w:val="000000"/>
          <w:sz w:val="20"/>
          <w:szCs w:val="20"/>
        </w:rPr>
        <w:t>on, which it believes is in conflict with a decision from the Fox River trial court as to Operable Unit 1 of that site and an affirmance of that decision from the Court of Appeals for the Seventh Circuit, and the 2018 court decision, on various legal groun</w:t>
      </w:r>
      <w:r>
        <w:rPr>
          <w:rFonts w:eastAsia="Times New Roman"/>
          <w:color w:val="000000"/>
          <w:sz w:val="20"/>
          <w:szCs w:val="20"/>
        </w:rPr>
        <w:t>ds. The Company filed a bond to stay any execution of the judgment pending the appeal, and its application for a stay was approved by the court and remains stayed until the Company filed its dismissal of the appeal on December 31, 2020 pursuant to a Consen</w:t>
      </w:r>
      <w:r>
        <w:rPr>
          <w:rFonts w:eastAsia="Times New Roman"/>
          <w:color w:val="000000"/>
          <w:sz w:val="20"/>
          <w:szCs w:val="20"/>
        </w:rPr>
        <w:t>t Decree, noted below.</w:t>
      </w:r>
    </w:p>
    <w:p w:rsidR="00000000" w:rsidRDefault="006F0EF5">
      <w:pPr>
        <w:jc w:val="both"/>
        <w:rPr>
          <w:rFonts w:eastAsia="Times New Roman"/>
        </w:rPr>
      </w:pPr>
    </w:p>
    <w:p w:rsidR="00000000" w:rsidRDefault="006F0EF5">
      <w:pPr>
        <w:jc w:val="both"/>
        <w:rPr>
          <w:rFonts w:eastAsia="Times New Roman"/>
        </w:rPr>
      </w:pPr>
      <w:r>
        <w:rPr>
          <w:rFonts w:eastAsia="Times New Roman"/>
          <w:color w:val="212529"/>
          <w:sz w:val="20"/>
          <w:szCs w:val="20"/>
        </w:rPr>
        <w:t>During the pendency of the Sixth Circuit stay, the Company negotiated a settlement of the Kalamazoo River matter with the USEPA and other government agencies having oversight over the river. On December 5, 2019, the Company entered</w:t>
      </w:r>
      <w:r>
        <w:rPr>
          <w:rFonts w:eastAsia="Times New Roman"/>
          <w:color w:val="212529"/>
          <w:sz w:val="20"/>
          <w:szCs w:val="20"/>
        </w:rPr>
        <w:t xml:space="preserve"> into a Consent Decree, filed with the District Court on December 11, 2019, and on December 2, 2020, the District Court approved the Consent Decree, which has now resolved all litigation associated with the river clean-up, including the Sixth Circuit appea</w:t>
      </w:r>
      <w:r>
        <w:rPr>
          <w:rFonts w:eastAsia="Times New Roman"/>
          <w:color w:val="212529"/>
          <w:sz w:val="20"/>
          <w:szCs w:val="20"/>
        </w:rPr>
        <w:t>l. The Consent Decree requires the Company to pay GP its 40% share of past costs, to pay the USEPA and state agencies their past and future administrative costs, and to dismiss its Sixth Circuit appeal. The Consent Decree further requires the Company to ta</w:t>
      </w:r>
      <w:r>
        <w:rPr>
          <w:rFonts w:eastAsia="Times New Roman"/>
          <w:color w:val="212529"/>
          <w:sz w:val="20"/>
          <w:szCs w:val="20"/>
        </w:rPr>
        <w:t>ke responsibility for the remediation of a portion, but not all, of the Kalamazoo River. The Consent Decree further provides the Company protection from other PRPs, including GP, seeking contribution for their costs associated with the clean-up anywhere on</w:t>
      </w:r>
      <w:r>
        <w:rPr>
          <w:rFonts w:eastAsia="Times New Roman"/>
          <w:color w:val="212529"/>
          <w:sz w:val="20"/>
          <w:szCs w:val="20"/>
        </w:rPr>
        <w:t xml:space="preserve"> the river, thereby resolving the allocation of future costs left unresolved by the June 19, 2019 judgment.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expects to have claims against BAT and API under the Funding Agreement discussed above for the Kalamazoo River remediation expenses. API filed for bankruptcy protection in October 2017, and thus payment of its potential share under the Funding Agreemen</w:t>
      </w:r>
      <w:r>
        <w:rPr>
          <w:rFonts w:eastAsia="Times New Roman"/>
          <w:color w:val="000000"/>
          <w:sz w:val="20"/>
          <w:szCs w:val="20"/>
        </w:rPr>
        <w:t>t for so-called “future sites,” which would include the Kalamazoo River site, may be at risk, but as liability under the Cost Sharing Agreement and the Funding Agreement is joint and several, the bankruptcy is not anticipated to affect the Company’s abilit</w:t>
      </w:r>
      <w:r>
        <w:rPr>
          <w:rFonts w:eastAsia="Times New Roman"/>
          <w:color w:val="000000"/>
          <w:sz w:val="20"/>
          <w:szCs w:val="20"/>
        </w:rPr>
        <w:t>y to seek that amount from BAT. The Company will also have indemnity or reimbursement claims against AT&amp;T and Nokia under the arrangement discussed above in connection with the Fox River matter after expenses have met a contractual threshold set out in the</w:t>
      </w:r>
      <w:r>
        <w:rPr>
          <w:rFonts w:eastAsia="Times New Roman"/>
          <w:color w:val="000000"/>
          <w:sz w:val="20"/>
          <w:szCs w:val="20"/>
        </w:rPr>
        <w:t xml:space="preserve"> 1996 agreement referenced above in the Fox River discussion.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of December 31, 2021 and December 31, 2020, the total reserve for Kalamazoo was $99 million and $164 million, respectively. The reserve is reported on a basis that is net of expected contr</w:t>
      </w:r>
      <w:r>
        <w:rPr>
          <w:rFonts w:eastAsia="Times New Roman"/>
          <w:color w:val="000000"/>
          <w:sz w:val="20"/>
          <w:szCs w:val="20"/>
        </w:rPr>
        <w:t>ibutions from the Company's co-obligors and indemnitors, subject to when the applicable threshold is reached. While the Company believes its co-obligors' and indemnitors' obligations are as previously reported, the reserve reflects changes in positions tak</w:t>
      </w:r>
      <w:r>
        <w:rPr>
          <w:rFonts w:eastAsia="Times New Roman"/>
          <w:color w:val="000000"/>
          <w:sz w:val="20"/>
          <w:szCs w:val="20"/>
        </w:rPr>
        <w:t>en by some of those co-obligors and indemnitors with respect to the Kalamazoo River. The contributions from its co-obligors and indemnitors are expected to range from $70 million to $150 million and the Company will continue to pursue such contribution.   </w:t>
      </w:r>
      <w:r>
        <w:rPr>
          <w:rFonts w:eastAsia="Times New Roman"/>
          <w:color w:val="000000"/>
          <w:sz w:val="20"/>
          <w:szCs w:val="20"/>
        </w:rPr>
        <w:t>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 many aspects of the costs of remediation will not be determined for several years (and thus the high end of a range of possible costs for many areas of the site cannot be quantified at this time), the Company has made what it considers to be reason</w:t>
      </w:r>
      <w:r>
        <w:rPr>
          <w:rFonts w:eastAsia="Times New Roman"/>
          <w:color w:val="000000"/>
          <w:sz w:val="20"/>
          <w:szCs w:val="20"/>
        </w:rPr>
        <w:t>able estimates of the low end of a range for such costs where remedies are identified, and/or of the costs of investigations and studies for areas of the river where remedies have not yet been determined, and the reserve is informed by those estimates. The</w:t>
      </w:r>
      <w:r>
        <w:rPr>
          <w:rFonts w:eastAsia="Times New Roman"/>
          <w:color w:val="000000"/>
          <w:sz w:val="20"/>
          <w:szCs w:val="20"/>
        </w:rPr>
        <w:t xml:space="preserve"> extent of NCR’s potential liability remains subject to many uncertainties, notwithstanding the settlement of this matter and related Consent Decree noted above, particularly in as much as remedy decisions and cost estimates will not be generated until tim</w:t>
      </w:r>
      <w:r>
        <w:rPr>
          <w:rFonts w:eastAsia="Times New Roman"/>
          <w:color w:val="000000"/>
          <w:sz w:val="20"/>
          <w:szCs w:val="20"/>
        </w:rPr>
        <w:t xml:space="preserve">es in the future and as most of the work to be performed will take place through the 2030s. Under other assumptions or estimates for possible costs of remediation, which the Company does not at this point consider to be reasonably estimable or verifiable, </w:t>
      </w:r>
      <w:r>
        <w:rPr>
          <w:rFonts w:eastAsia="Times New Roman"/>
          <w:color w:val="000000"/>
          <w:sz w:val="20"/>
          <w:szCs w:val="20"/>
        </w:rPr>
        <w:t>it is possible that the reserve the Company has taken to discontinued operations reflected in this paragraph could more than approximately double the reflected reserve.</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Ebina</w:t>
      </w:r>
      <w:r>
        <w:rPr>
          <w:rFonts w:eastAsia="Times New Roman"/>
          <w:color w:val="000000"/>
          <w:sz w:val="20"/>
          <w:szCs w:val="20"/>
        </w:rPr>
        <w:t xml:space="preserve"> The Company is engaged in cooperative regulatory compliance activities with the</w:t>
      </w:r>
      <w:r>
        <w:rPr>
          <w:rFonts w:eastAsia="Times New Roman"/>
          <w:color w:val="000000"/>
          <w:sz w:val="20"/>
          <w:szCs w:val="20"/>
        </w:rPr>
        <w:t xml:space="preserve"> government of Japan in connection with certain environmental contaminants generated in its past operations in that country. The Company has quantities of PCB and other wastes primarily from its former plant at Oiso, Japan, including capsulated undiluted s</w:t>
      </w:r>
      <w:r>
        <w:rPr>
          <w:rFonts w:eastAsia="Times New Roman"/>
          <w:color w:val="000000"/>
          <w:sz w:val="20"/>
          <w:szCs w:val="20"/>
        </w:rPr>
        <w:t>olutions manufactured in the past, capacitors, light ballasts and PCB-affected soil from the Oiso plant that was excavated and placed in steel drums. These wastes are stored in a facility at Ebina, Japan in accordance with Japanese regulations governing su</w:t>
      </w:r>
      <w:r>
        <w:rPr>
          <w:rFonts w:eastAsia="Times New Roman"/>
          <w:color w:val="000000"/>
          <w:sz w:val="20"/>
          <w:szCs w:val="20"/>
        </w:rPr>
        <w:t>ch materials. Over the past several years, Japan has enacted and amended legislation governing such wastes, and has set a current deadline for treating and disposing of (at government-constructed disposal facilities) the highest-concentration wastes by 202</w:t>
      </w:r>
      <w:r>
        <w:rPr>
          <w:rFonts w:eastAsia="Times New Roman"/>
          <w:color w:val="000000"/>
          <w:sz w:val="20"/>
          <w:szCs w:val="20"/>
        </w:rPr>
        <w:t xml:space="preserve">7. Lower-concentration </w:t>
      </w:r>
    </w:p>
    <w:p w:rsidR="00000000" w:rsidRDefault="006F0EF5">
      <w:pPr>
        <w:jc w:val="center"/>
        <w:divId w:val="1682852336"/>
        <w:rPr>
          <w:rFonts w:eastAsia="Times New Roman"/>
        </w:rPr>
      </w:pPr>
      <w:r>
        <w:rPr>
          <w:rFonts w:eastAsia="Times New Roman"/>
          <w:color w:val="000000"/>
          <w:sz w:val="20"/>
          <w:szCs w:val="20"/>
        </w:rPr>
        <w:t>108</w:t>
      </w:r>
    </w:p>
    <w:p w:rsidR="00000000" w:rsidRDefault="006F0EF5">
      <w:pPr>
        <w:rPr>
          <w:rFonts w:eastAsia="Times New Roman"/>
        </w:rPr>
      </w:pPr>
      <w:r>
        <w:rPr>
          <w:rFonts w:eastAsia="Times New Roman"/>
        </w:rPr>
        <w:pict>
          <v:rect id="_x0000_i1137" style="width:0;height:1.5pt" o:hralign="center" o:hrstd="t" o:hr="t" fillcolor="#a0a0a0" stroked="f"/>
        </w:pict>
      </w:r>
    </w:p>
    <w:p w:rsidR="00000000" w:rsidRDefault="006F0EF5">
      <w:pPr>
        <w:divId w:val="65452586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924343535"/>
        <w:rPr>
          <w:rFonts w:eastAsia="Times New Roman"/>
        </w:rPr>
      </w:pPr>
      <w:r>
        <w:rPr>
          <w:rFonts w:eastAsia="Times New Roman"/>
          <w:b/>
          <w:bCs/>
          <w:color w:val="000000"/>
          <w:sz w:val="20"/>
          <w:szCs w:val="20"/>
        </w:rPr>
        <w:t>NCR Corporation</w:t>
      </w:r>
    </w:p>
    <w:p w:rsidR="00000000" w:rsidRDefault="006F0EF5">
      <w:pPr>
        <w:jc w:val="center"/>
        <w:divId w:val="924343535"/>
        <w:rPr>
          <w:rFonts w:eastAsia="Times New Roman"/>
        </w:rPr>
      </w:pPr>
      <w:r>
        <w:rPr>
          <w:rFonts w:eastAsia="Times New Roman"/>
          <w:b/>
          <w:bCs/>
          <w:color w:val="000000"/>
          <w:sz w:val="20"/>
          <w:szCs w:val="20"/>
        </w:rPr>
        <w:t>Notes to Consolidated Financial Statements-(Continued)</w:t>
      </w:r>
    </w:p>
    <w:p w:rsidR="00000000" w:rsidRDefault="006F0EF5">
      <w:pPr>
        <w:jc w:val="center"/>
        <w:divId w:val="924343535"/>
        <w:rPr>
          <w:rFonts w:eastAsia="Times New Roman"/>
        </w:rPr>
      </w:pPr>
    </w:p>
    <w:p w:rsidR="00000000" w:rsidRDefault="006F0EF5">
      <w:pPr>
        <w:jc w:val="center"/>
        <w:divId w:val="924343535"/>
        <w:rPr>
          <w:rFonts w:eastAsia="Times New Roman"/>
        </w:rPr>
      </w:pPr>
    </w:p>
    <w:p w:rsidR="00000000" w:rsidRDefault="006F0EF5">
      <w:pPr>
        <w:divId w:val="586890182"/>
        <w:rPr>
          <w:rFonts w:eastAsia="Times New Roman"/>
        </w:rPr>
      </w:pPr>
    </w:p>
    <w:p w:rsidR="00000000" w:rsidRDefault="006F0EF5">
      <w:pPr>
        <w:jc w:val="both"/>
        <w:rPr>
          <w:rFonts w:eastAsia="Times New Roman"/>
        </w:rPr>
      </w:pPr>
      <w:r>
        <w:rPr>
          <w:rFonts w:eastAsia="Times New Roman"/>
          <w:color w:val="000000"/>
          <w:sz w:val="20"/>
          <w:szCs w:val="20"/>
        </w:rPr>
        <w:t xml:space="preserve">wastes can be and have been disposed of via private contractors, and as of December 31, 2021, NCR had disposed of approximately 68% of its lower-concentration wastes and approximately 44% of its </w:t>
      </w:r>
      <w:r>
        <w:rPr>
          <w:rFonts w:eastAsia="Times New Roman"/>
          <w:color w:val="000000"/>
          <w:sz w:val="20"/>
          <w:szCs w:val="20"/>
        </w:rPr>
        <w:t>higher concentration wastes.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and its consultants have met and communicated regularly with the Japanese agency charged with administration of the law, and are working with that agency on a program to manage disposal of the high-concentration w</w:t>
      </w:r>
      <w:r>
        <w:rPr>
          <w:rFonts w:eastAsia="Times New Roman"/>
          <w:color w:val="000000"/>
          <w:sz w:val="20"/>
          <w:szCs w:val="20"/>
        </w:rPr>
        <w:t>astes, including tests of technologies to make the disposal more efficient. The government has given its final approvals, and the Company has started to dispose of the high-concentration wastes in 2021, with final deadlines for various of the government-co</w:t>
      </w:r>
      <w:r>
        <w:rPr>
          <w:rFonts w:eastAsia="Times New Roman"/>
          <w:color w:val="000000"/>
          <w:sz w:val="20"/>
          <w:szCs w:val="20"/>
        </w:rPr>
        <w:t>nstructed disposal sites currently set for 2022, 2023 and later. Low-concentration wastes are required to be contracted for disposal by 2027, a timetable that the Company expects to meet. In September 2019, the Company’s environmental consultants, followin</w:t>
      </w:r>
      <w:r>
        <w:rPr>
          <w:rFonts w:eastAsia="Times New Roman"/>
          <w:color w:val="000000"/>
          <w:sz w:val="20"/>
          <w:szCs w:val="20"/>
        </w:rPr>
        <w:t>g a series of communications and meetings with the Japanese agency, at the Company’s request prepared an estimate of remaining disposal costs over the coming several years. While the estimate is subject to a range of assumptions and uncertainties, includin</w:t>
      </w:r>
      <w:r>
        <w:rPr>
          <w:rFonts w:eastAsia="Times New Roman"/>
          <w:color w:val="000000"/>
          <w:sz w:val="20"/>
          <w:szCs w:val="20"/>
        </w:rPr>
        <w:t>g prospects of cost reduction in coordination with the agency as certain field testing to separate high-concentration and low-concentration waste progresses over the coming years, the Company has adjusted its existing reserve for the matter to take into ac</w:t>
      </w:r>
      <w:r>
        <w:rPr>
          <w:rFonts w:eastAsia="Times New Roman"/>
          <w:color w:val="000000"/>
          <w:sz w:val="20"/>
          <w:szCs w:val="20"/>
        </w:rPr>
        <w:t>count this cost estimate, and that reserve as of December 31, 2021 and 2020 is $16 million and $20 million, respectively. The Japan environmental waste issue is treated as a compliance matter and not as litigation or enforcement, and the Company has receiv</w:t>
      </w:r>
      <w:r>
        <w:rPr>
          <w:rFonts w:eastAsia="Times New Roman"/>
          <w:color w:val="000000"/>
          <w:sz w:val="20"/>
          <w:szCs w:val="20"/>
        </w:rPr>
        <w:t>ed no threats of litigation or enforcement.</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Environmental-Related Insurance Recoveries</w:t>
      </w:r>
      <w:r>
        <w:rPr>
          <w:rFonts w:eastAsia="Times New Roman"/>
          <w:color w:val="000000"/>
          <w:sz w:val="20"/>
          <w:szCs w:val="20"/>
        </w:rPr>
        <w:t xml:space="preserve"> In connection with the Fox River and other environmental sites, through December 31, 2021, NCR has received a combined gross total of approximately $205 million in set</w:t>
      </w:r>
      <w:r>
        <w:rPr>
          <w:rFonts w:eastAsia="Times New Roman"/>
          <w:color w:val="000000"/>
          <w:sz w:val="20"/>
          <w:szCs w:val="20"/>
        </w:rPr>
        <w:t>tlements reached with various of its insurance carriers. Portions of many of these settlements agreed in the 2010 through 2013 timeframe are payable to a law firm that litigated the claims on the Company's behalf. Some of the settlements cover not only the</w:t>
      </w:r>
      <w:r>
        <w:rPr>
          <w:rFonts w:eastAsia="Times New Roman"/>
          <w:color w:val="000000"/>
          <w:sz w:val="20"/>
          <w:szCs w:val="20"/>
        </w:rPr>
        <w:t xml:space="preserve"> Fox River but also other environmental sites; some are limited to either the Fox River or the Kalamazoo River site. Some of the settlements are directed to defense costs and some are directed to indemnity; some settlements cover both defense costs and ind</w:t>
      </w:r>
      <w:r>
        <w:rPr>
          <w:rFonts w:eastAsia="Times New Roman"/>
          <w:color w:val="000000"/>
          <w:sz w:val="20"/>
          <w:szCs w:val="20"/>
        </w:rPr>
        <w:t xml:space="preserve">emnity. The Company does not anticipate that further material insurance recoveries specific to Kalamazoo River remediation costs will be available to it, but is currently in settlement discussions with certain carriers over amounts potentially owed to the </w:t>
      </w:r>
      <w:r>
        <w:rPr>
          <w:rFonts w:eastAsia="Times New Roman"/>
          <w:color w:val="000000"/>
          <w:sz w:val="20"/>
          <w:szCs w:val="20"/>
        </w:rPr>
        <w:t xml:space="preserve">Company. In December 2021, the Company recovered approximately $3 million as a result of those discussions. Settlement discussions are continuing with the remaining carriers. Claims with respect to Kalamazoo River defense costs have now been settled, with </w:t>
      </w:r>
      <w:r>
        <w:rPr>
          <w:rFonts w:eastAsia="Times New Roman"/>
          <w:color w:val="000000"/>
          <w:sz w:val="20"/>
          <w:szCs w:val="20"/>
        </w:rPr>
        <w:t>the amounts of those settlements included in the sum reported above.</w:t>
      </w:r>
    </w:p>
    <w:p w:rsidR="00000000" w:rsidRDefault="006F0EF5">
      <w:pPr>
        <w:divId w:val="1877888006"/>
        <w:rPr>
          <w:rFonts w:eastAsia="Times New Roman"/>
        </w:rPr>
      </w:pPr>
    </w:p>
    <w:p w:rsidR="00000000" w:rsidRDefault="006F0EF5">
      <w:pPr>
        <w:jc w:val="both"/>
        <w:rPr>
          <w:rFonts w:eastAsia="Times New Roman"/>
        </w:rPr>
      </w:pPr>
      <w:r>
        <w:rPr>
          <w:rFonts w:eastAsia="Times New Roman"/>
          <w:i/>
          <w:iCs/>
          <w:color w:val="000000"/>
          <w:sz w:val="20"/>
          <w:szCs w:val="20"/>
        </w:rPr>
        <w:t>Environmental Remediation Estimates</w:t>
      </w:r>
      <w:r>
        <w:rPr>
          <w:rFonts w:eastAsia="Times New Roman"/>
          <w:color w:val="000000"/>
          <w:sz w:val="20"/>
          <w:szCs w:val="20"/>
        </w:rPr>
        <w:t xml:space="preserve"> It is difficult to estimate the future financial impact of environmental laws, including potential liabilities. NCR records environmental provisions </w:t>
      </w:r>
      <w:r>
        <w:rPr>
          <w:rFonts w:eastAsia="Times New Roman"/>
          <w:color w:val="000000"/>
          <w:sz w:val="20"/>
          <w:szCs w:val="20"/>
        </w:rPr>
        <w:t>when it is probable that a liability has been incurred and the amount or range of the liability is reasonably estimable; in accordance with accounting guidance, where liabilities are not expected to be quantifiable or estimable for a period of years, the e</w:t>
      </w:r>
      <w:r>
        <w:rPr>
          <w:rFonts w:eastAsia="Times New Roman"/>
          <w:color w:val="000000"/>
          <w:sz w:val="20"/>
          <w:szCs w:val="20"/>
        </w:rPr>
        <w:t>stimated costs of investigating those liabilities are recorded as a component of the reserve for that particular site. Provisions for estimated losses from environmental restoration and remediation are, depending on the site, based generally on internal an</w:t>
      </w:r>
      <w:r>
        <w:rPr>
          <w:rFonts w:eastAsia="Times New Roman"/>
          <w:color w:val="000000"/>
          <w:sz w:val="20"/>
          <w:szCs w:val="20"/>
        </w:rPr>
        <w:t>d third-party environmental studies, estimates as to the number and participation level of other PRPs, the extent of contamination, estimated amounts for attorney and other fees, and the nature of required clean-up and restoration actions. Reserves are adj</w:t>
      </w:r>
      <w:r>
        <w:rPr>
          <w:rFonts w:eastAsia="Times New Roman"/>
          <w:color w:val="000000"/>
          <w:sz w:val="20"/>
          <w:szCs w:val="20"/>
        </w:rPr>
        <w:t xml:space="preserve">usted as further information develops or circumstances change. Management expects that the amounts reserved from time to time will be paid out over the period of investigation, negotiation, remediation and restoration for the applicable sites. The amounts </w:t>
      </w:r>
      <w:r>
        <w:rPr>
          <w:rFonts w:eastAsia="Times New Roman"/>
          <w:color w:val="000000"/>
          <w:sz w:val="20"/>
          <w:szCs w:val="20"/>
        </w:rPr>
        <w:t>provided for environmental matters in NCR's Consolidated Financial Statements are the estimated gross undiscounted amounts of such liabilities, without deductions for indemnity insurance, third-party indemnity claims or recoveries from other PRPs, except a</w:t>
      </w:r>
      <w:r>
        <w:rPr>
          <w:rFonts w:eastAsia="Times New Roman"/>
          <w:color w:val="000000"/>
          <w:sz w:val="20"/>
          <w:szCs w:val="20"/>
        </w:rPr>
        <w:t xml:space="preserve">s qualified in the following sentences. In those cases where insurance carriers or third-party indemnitors have agreed to pay any amounts and management believes that collectability of such amounts is probable, the amounts are recorded in the Consolidated </w:t>
      </w:r>
      <w:r>
        <w:rPr>
          <w:rFonts w:eastAsia="Times New Roman"/>
          <w:color w:val="000000"/>
          <w:sz w:val="20"/>
          <w:szCs w:val="20"/>
        </w:rPr>
        <w:t>Financial Statements. For the Fox River and Kalamazoo River sites, as described above, assets relating to the AT&amp;T and Nokia indemnities and to the BAT obligations are recorded as payment is supported by contractual agreements, public filings and/or paymen</w:t>
      </w:r>
      <w:r>
        <w:rPr>
          <w:rFonts w:eastAsia="Times New Roman"/>
          <w:color w:val="000000"/>
          <w:sz w:val="20"/>
          <w:szCs w:val="20"/>
        </w:rPr>
        <w:t>t history.</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Other Matters</w:t>
      </w:r>
      <w:r>
        <w:rPr>
          <w:rFonts w:eastAsia="Times New Roman"/>
          <w:i/>
          <w:iCs/>
          <w:color w:val="000000"/>
          <w:sz w:val="20"/>
          <w:szCs w:val="20"/>
        </w:rPr>
        <w:t xml:space="preserve"> Kristen Schertzer, et al</w:t>
      </w:r>
      <w:r>
        <w:rPr>
          <w:rFonts w:eastAsia="Times New Roman"/>
          <w:color w:val="000000"/>
          <w:sz w:val="20"/>
          <w:szCs w:val="20"/>
        </w:rPr>
        <w:t xml:space="preserve"> On March 1, 2019, Cardtronics was named as a defendant in a purported class action lawsuit stylized as Kristen Schertzer, et al. v. Bank of America, N.A., et al., Case No. 3:19-cv-00264, in the United Sta</w:t>
      </w:r>
      <w:r>
        <w:rPr>
          <w:rFonts w:eastAsia="Times New Roman"/>
          <w:color w:val="000000"/>
          <w:sz w:val="20"/>
          <w:szCs w:val="20"/>
        </w:rPr>
        <w:t>tes District Court for the Southern District of California, which alleges harm related to balance inquiry transactions. On September 28, 2020, the District Court issued a denial of Cardtronics’ motion to dismiss and the matter proceeded to the discovery ph</w:t>
      </w:r>
      <w:r>
        <w:rPr>
          <w:rFonts w:eastAsia="Times New Roman"/>
          <w:color w:val="000000"/>
          <w:sz w:val="20"/>
          <w:szCs w:val="20"/>
        </w:rPr>
        <w:t>ase. In October 2021, Cardtronics and the putative class representative agreed to settle this matter as to the company only on an individual plaintiff basis. The litigation continues as to the other defendants. On October 22, 2021, Cardtronics was dismisse</w:t>
      </w:r>
      <w:r>
        <w:rPr>
          <w:rFonts w:eastAsia="Times New Roman"/>
          <w:color w:val="000000"/>
          <w:sz w:val="20"/>
          <w:szCs w:val="20"/>
        </w:rPr>
        <w:t xml:space="preserve">d from this case.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Guarantees and Product Warranties</w:t>
      </w:r>
      <w:r>
        <w:rPr>
          <w:rFonts w:eastAsia="Times New Roman"/>
          <w:color w:val="000000"/>
          <w:sz w:val="20"/>
          <w:szCs w:val="20"/>
        </w:rPr>
        <w:t xml:space="preserve"> In the ordinary course of business, NCR may issue performance guarantees on behalf of its subsidiaries to certain of its customers and other parties. Some of those guarantees may be backed by standby l</w:t>
      </w:r>
      <w:r>
        <w:rPr>
          <w:rFonts w:eastAsia="Times New Roman"/>
          <w:color w:val="000000"/>
          <w:sz w:val="20"/>
          <w:szCs w:val="20"/>
        </w:rPr>
        <w:t>etters of credit, surety bonds, or similar instruments. In general, under the guarantees, NCR would be obligated to perform, or cause performance, over the term of the underlying contract in the event of an unexcused, uncured breach by its subsidiary, or s</w:t>
      </w:r>
      <w:r>
        <w:rPr>
          <w:rFonts w:eastAsia="Times New Roman"/>
          <w:color w:val="000000"/>
          <w:sz w:val="20"/>
          <w:szCs w:val="20"/>
        </w:rPr>
        <w:t xml:space="preserve">ome </w:t>
      </w:r>
    </w:p>
    <w:p w:rsidR="00000000" w:rsidRDefault="006F0EF5">
      <w:pPr>
        <w:jc w:val="center"/>
        <w:divId w:val="726028451"/>
        <w:rPr>
          <w:rFonts w:eastAsia="Times New Roman"/>
        </w:rPr>
      </w:pPr>
      <w:r>
        <w:rPr>
          <w:rFonts w:eastAsia="Times New Roman"/>
          <w:color w:val="000000"/>
          <w:sz w:val="20"/>
          <w:szCs w:val="20"/>
        </w:rPr>
        <w:t>109</w:t>
      </w:r>
    </w:p>
    <w:p w:rsidR="00000000" w:rsidRDefault="006F0EF5">
      <w:pPr>
        <w:rPr>
          <w:rFonts w:eastAsia="Times New Roman"/>
        </w:rPr>
      </w:pPr>
      <w:r>
        <w:rPr>
          <w:rFonts w:eastAsia="Times New Roman"/>
        </w:rPr>
        <w:pict>
          <v:rect id="_x0000_i1138" style="width:0;height:1.5pt" o:hralign="center" o:hrstd="t" o:hr="t" fillcolor="#a0a0a0" stroked="f"/>
        </w:pict>
      </w:r>
    </w:p>
    <w:p w:rsidR="00000000" w:rsidRDefault="006F0EF5">
      <w:pPr>
        <w:divId w:val="52228339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180434569"/>
        <w:rPr>
          <w:rFonts w:eastAsia="Times New Roman"/>
        </w:rPr>
      </w:pPr>
      <w:r>
        <w:rPr>
          <w:rFonts w:eastAsia="Times New Roman"/>
          <w:b/>
          <w:bCs/>
          <w:color w:val="000000"/>
          <w:sz w:val="20"/>
          <w:szCs w:val="20"/>
        </w:rPr>
        <w:t>NCR Corporation</w:t>
      </w:r>
    </w:p>
    <w:p w:rsidR="00000000" w:rsidRDefault="006F0EF5">
      <w:pPr>
        <w:jc w:val="center"/>
        <w:divId w:val="1180434569"/>
        <w:rPr>
          <w:rFonts w:eastAsia="Times New Roman"/>
        </w:rPr>
      </w:pPr>
      <w:r>
        <w:rPr>
          <w:rFonts w:eastAsia="Times New Roman"/>
          <w:b/>
          <w:bCs/>
          <w:color w:val="000000"/>
          <w:sz w:val="20"/>
          <w:szCs w:val="20"/>
        </w:rPr>
        <w:t>Notes to Consolidated Financial Statements-(Continued)</w:t>
      </w:r>
    </w:p>
    <w:p w:rsidR="00000000" w:rsidRDefault="006F0EF5">
      <w:pPr>
        <w:jc w:val="center"/>
        <w:divId w:val="1180434569"/>
        <w:rPr>
          <w:rFonts w:eastAsia="Times New Roman"/>
        </w:rPr>
      </w:pPr>
    </w:p>
    <w:p w:rsidR="00000000" w:rsidRDefault="006F0EF5">
      <w:pPr>
        <w:jc w:val="center"/>
        <w:divId w:val="1180434569"/>
        <w:rPr>
          <w:rFonts w:eastAsia="Times New Roman"/>
        </w:rPr>
      </w:pPr>
    </w:p>
    <w:p w:rsidR="00000000" w:rsidRDefault="006F0EF5">
      <w:pPr>
        <w:divId w:val="12536085"/>
        <w:rPr>
          <w:rFonts w:eastAsia="Times New Roman"/>
        </w:rPr>
      </w:pPr>
    </w:p>
    <w:p w:rsidR="00000000" w:rsidRDefault="006F0EF5">
      <w:pPr>
        <w:jc w:val="both"/>
        <w:rPr>
          <w:rFonts w:eastAsia="Times New Roman"/>
        </w:rPr>
      </w:pPr>
      <w:r>
        <w:rPr>
          <w:rFonts w:eastAsia="Times New Roman"/>
          <w:color w:val="000000"/>
          <w:sz w:val="20"/>
          <w:szCs w:val="20"/>
        </w:rPr>
        <w:t>other specified triggering event, in each case as defined by the a</w:t>
      </w:r>
      <w:r>
        <w:rPr>
          <w:rFonts w:eastAsia="Times New Roman"/>
          <w:color w:val="000000"/>
          <w:sz w:val="20"/>
          <w:szCs w:val="20"/>
        </w:rPr>
        <w:t>pplicable guarantee. NCR believes the likelihood of having to perform under any such guarantee is remote. As of December 31, 2021 and 2020, NCR had no material obligations related to such guarantees, and therefore its Consolidated Financial Statements do n</w:t>
      </w:r>
      <w:r>
        <w:rPr>
          <w:rFonts w:eastAsia="Times New Roman"/>
          <w:color w:val="000000"/>
          <w:sz w:val="20"/>
          <w:szCs w:val="20"/>
        </w:rPr>
        <w:t>ot have any associated liability balance.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NCR provides its customers a standard manufacturer’s warranty and records, at the time of the sale, a corresponding estimated liability for potential warranty costs. Estimated future obligations due to warranty c</w:t>
      </w:r>
      <w:r>
        <w:rPr>
          <w:rFonts w:eastAsia="Times New Roman"/>
          <w:color w:val="000000"/>
          <w:sz w:val="20"/>
          <w:szCs w:val="20"/>
        </w:rPr>
        <w:t>laims are based upon historical factors, such as labor rates, average repair time, travel time, number of service calls per machine and cost of replacement parts. When a sale is consummated, the total customer revenue is recognized, provided that all reven</w:t>
      </w:r>
      <w:r>
        <w:rPr>
          <w:rFonts w:eastAsia="Times New Roman"/>
          <w:color w:val="000000"/>
          <w:sz w:val="20"/>
          <w:szCs w:val="20"/>
        </w:rPr>
        <w:t xml:space="preserve">ue recognition criteria are otherwise satisfied, and the associated warranty liability is recorded using pre-established warranty percentages for the respective product classes.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From time to time, product design or quality corrections are accomplished t</w:t>
      </w:r>
      <w:r>
        <w:rPr>
          <w:rFonts w:eastAsia="Times New Roman"/>
          <w:color w:val="000000"/>
          <w:sz w:val="20"/>
          <w:szCs w:val="20"/>
        </w:rPr>
        <w:t>hrough modification programs. When identified, associated costs of labor and parts for such programs are estimated and accrued as part of the warranty reserve.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recorded the activity related to the warranty reserve for the years ended December</w:t>
      </w:r>
      <w:r>
        <w:rPr>
          <w:rFonts w:eastAsia="Times New Roman"/>
          <w:color w:val="000000"/>
          <w:sz w:val="20"/>
          <w:szCs w:val="20"/>
        </w:rPr>
        <w:t xml:space="preserve"> 31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285"/>
        <w:gridCol w:w="37"/>
        <w:gridCol w:w="120"/>
        <w:gridCol w:w="772"/>
        <w:gridCol w:w="36"/>
        <w:gridCol w:w="36"/>
        <w:gridCol w:w="36"/>
        <w:gridCol w:w="36"/>
        <w:gridCol w:w="120"/>
        <w:gridCol w:w="732"/>
        <w:gridCol w:w="36"/>
        <w:gridCol w:w="36"/>
        <w:gridCol w:w="36"/>
        <w:gridCol w:w="36"/>
        <w:gridCol w:w="120"/>
        <w:gridCol w:w="757"/>
        <w:gridCol w:w="36"/>
      </w:tblGrid>
      <w:tr w:rsidR="00000000">
        <w:trPr>
          <w:divId w:val="1525247864"/>
          <w:jc w:val="center"/>
        </w:trPr>
        <w:tc>
          <w:tcPr>
            <w:tcW w:w="50" w:type="pct"/>
            <w:vAlign w:val="center"/>
            <w:hideMark/>
          </w:tcPr>
          <w:p w:rsidR="00000000" w:rsidRDefault="006F0EF5">
            <w:pPr>
              <w:jc w:val="both"/>
              <w:rPr>
                <w:rFonts w:eastAsia="Times New Roman"/>
              </w:rPr>
            </w:pPr>
          </w:p>
        </w:tc>
        <w:tc>
          <w:tcPr>
            <w:tcW w:w="321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9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9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0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525247864"/>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152524786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Warranty reserve liability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52524786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Beginning balance as of January 1</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52524786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Accruals for warranties issued</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28</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30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37</w:t>
            </w:r>
          </w:p>
        </w:tc>
      </w:tr>
      <w:tr w:rsidR="00000000">
        <w:trPr>
          <w:divId w:val="1525247864"/>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Settlements (in cash or in kind)</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(27)</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(33)</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(42)</w:t>
            </w:r>
          </w:p>
        </w:tc>
      </w:tr>
      <w:tr w:rsidR="00000000">
        <w:trPr>
          <w:divId w:val="1525247864"/>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Ending balance as of December 31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04348038"/>
        <w:rPr>
          <w:rFonts w:eastAsia="Times New Roman"/>
        </w:rPr>
      </w:pPr>
    </w:p>
    <w:p w:rsidR="00000000" w:rsidRDefault="006F0EF5">
      <w:pPr>
        <w:jc w:val="both"/>
        <w:rPr>
          <w:rFonts w:eastAsia="Times New Roman"/>
        </w:rPr>
      </w:pPr>
      <w:r>
        <w:rPr>
          <w:rFonts w:eastAsia="Times New Roman"/>
          <w:color w:val="000000"/>
          <w:sz w:val="20"/>
          <w:szCs w:val="20"/>
        </w:rPr>
        <w:t>In addition, NCR provides its customers with certain indemnification rights. In general, NCR agrees to indemnify the customer if a third-party asserts patent or other infringement o</w:t>
      </w:r>
      <w:r>
        <w:rPr>
          <w:rFonts w:eastAsia="Times New Roman"/>
          <w:color w:val="000000"/>
          <w:sz w:val="20"/>
          <w:szCs w:val="20"/>
        </w:rPr>
        <w:t>n the part of its customers for its use of the Company’s products subject to certain conditions that are generally standard within the Company’s industries. On limited occasions, the Company will undertake additional indemnification obligations for busines</w:t>
      </w:r>
      <w:r>
        <w:rPr>
          <w:rFonts w:eastAsia="Times New Roman"/>
          <w:color w:val="000000"/>
          <w:sz w:val="20"/>
          <w:szCs w:val="20"/>
        </w:rPr>
        <w:t>s reasons. From time to time, NCR also enters into agreements in connection with its acquisition and divestiture activities that include indemnification obligations by the Company. The fair value of these indemnification obligations is not readily determin</w:t>
      </w:r>
      <w:r>
        <w:rPr>
          <w:rFonts w:eastAsia="Times New Roman"/>
          <w:color w:val="000000"/>
          <w:sz w:val="20"/>
          <w:szCs w:val="20"/>
        </w:rPr>
        <w:t>able due to the conditional nature of the Company’s potential obligations and the specific facts and circumstances involved with each particular agreement. The Company has not recorded a liability in connection with these indemnifications, and no current i</w:t>
      </w:r>
      <w:r>
        <w:rPr>
          <w:rFonts w:eastAsia="Times New Roman"/>
          <w:color w:val="000000"/>
          <w:sz w:val="20"/>
          <w:szCs w:val="20"/>
        </w:rPr>
        <w:t>ndemnification instance is material to the Company’s financial position. Historically, payments made by the Company under these types of agreements have not had a material effect on the Company’s consolidated financial condition, results of operations or c</w:t>
      </w:r>
      <w:r>
        <w:rPr>
          <w:rFonts w:eastAsia="Times New Roman"/>
          <w:color w:val="000000"/>
          <w:sz w:val="20"/>
          <w:szCs w:val="20"/>
        </w:rPr>
        <w:t>ash flows.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Purchase Commitments</w:t>
      </w:r>
      <w:r>
        <w:rPr>
          <w:rFonts w:eastAsia="Times New Roman"/>
          <w:color w:val="000000"/>
          <w:sz w:val="20"/>
          <w:szCs w:val="20"/>
        </w:rPr>
        <w:t> </w:t>
      </w:r>
      <w:r>
        <w:rPr>
          <w:rFonts w:eastAsia="Times New Roman"/>
          <w:color w:val="000000"/>
          <w:sz w:val="20"/>
          <w:szCs w:val="20"/>
        </w:rPr>
        <w:t>The Company has purchase commitments for materials, supplies, services, and property, plant and equipment as part of the normal course of business. This includes a long-term service agreement with Accenture, under which many of NCR's key transaction proces</w:t>
      </w:r>
      <w:r>
        <w:rPr>
          <w:rFonts w:eastAsia="Times New Roman"/>
          <w:color w:val="000000"/>
          <w:sz w:val="20"/>
          <w:szCs w:val="20"/>
        </w:rPr>
        <w:t>sing activities and functions are performed.</w:t>
      </w:r>
    </w:p>
    <w:p w:rsidR="00000000" w:rsidRDefault="006F0EF5">
      <w:pPr>
        <w:jc w:val="both"/>
        <w:rPr>
          <w:rFonts w:eastAsia="Times New Roman"/>
        </w:rPr>
      </w:pPr>
    </w:p>
    <w:p w:rsidR="00000000" w:rsidRDefault="006F0EF5">
      <w:pPr>
        <w:divId w:val="1552498531"/>
        <w:rPr>
          <w:rFonts w:eastAsia="Times New Roman"/>
        </w:rPr>
      </w:pPr>
    </w:p>
    <w:p w:rsidR="00000000" w:rsidRDefault="006F0EF5">
      <w:pPr>
        <w:divId w:val="1210651137"/>
        <w:rPr>
          <w:rFonts w:eastAsia="Times New Roman"/>
        </w:rPr>
      </w:pPr>
      <w:r>
        <w:rPr>
          <w:rFonts w:eastAsia="Times New Roman"/>
          <w:b/>
          <w:bCs/>
          <w:color w:val="7ACE05"/>
          <w:sz w:val="20"/>
          <w:szCs w:val="20"/>
        </w:rPr>
        <w:t>11. LEASING</w:t>
      </w:r>
      <w:r>
        <w:rPr>
          <w:rFonts w:eastAsia="Times New Roman"/>
          <w:color w:val="000000"/>
          <w:sz w:val="20"/>
          <w:szCs w:val="20"/>
        </w:rPr>
        <w:t xml:space="preserve"> </w:t>
      </w:r>
    </w:p>
    <w:p w:rsidR="00000000" w:rsidRDefault="006F0EF5">
      <w:pPr>
        <w:divId w:val="1259675586"/>
        <w:rPr>
          <w:rFonts w:eastAsia="Times New Roman"/>
        </w:rPr>
      </w:pPr>
    </w:p>
    <w:p w:rsidR="00000000" w:rsidRDefault="006F0EF5">
      <w:pPr>
        <w:jc w:val="both"/>
        <w:rPr>
          <w:rFonts w:eastAsia="Times New Roman"/>
        </w:rPr>
      </w:pPr>
      <w:r>
        <w:rPr>
          <w:rFonts w:eastAsia="Times New Roman"/>
          <w:color w:val="000000"/>
          <w:sz w:val="20"/>
          <w:szCs w:val="20"/>
        </w:rPr>
        <w:t>The following table presents our lease balances as of December 31:</w:t>
      </w:r>
    </w:p>
    <w:p w:rsidR="00000000" w:rsidRDefault="006F0EF5">
      <w:pPr>
        <w:jc w:val="center"/>
        <w:divId w:val="1568805599"/>
        <w:rPr>
          <w:rFonts w:eastAsia="Times New Roman"/>
        </w:rPr>
      </w:pPr>
      <w:r>
        <w:rPr>
          <w:rFonts w:eastAsia="Times New Roman"/>
          <w:color w:val="000000"/>
          <w:sz w:val="20"/>
          <w:szCs w:val="20"/>
        </w:rPr>
        <w:t>110</w:t>
      </w:r>
    </w:p>
    <w:p w:rsidR="00000000" w:rsidRDefault="006F0EF5">
      <w:pPr>
        <w:rPr>
          <w:rFonts w:eastAsia="Times New Roman"/>
        </w:rPr>
      </w:pPr>
      <w:r>
        <w:rPr>
          <w:rFonts w:eastAsia="Times New Roman"/>
        </w:rPr>
        <w:pict>
          <v:rect id="_x0000_i1139" style="width:0;height:1.5pt" o:hralign="center" o:hrstd="t" o:hr="t" fillcolor="#a0a0a0" stroked="f"/>
        </w:pict>
      </w:r>
    </w:p>
    <w:p w:rsidR="00000000" w:rsidRDefault="006F0EF5">
      <w:pPr>
        <w:divId w:val="1403671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816095589"/>
        <w:rPr>
          <w:rFonts w:eastAsia="Times New Roman"/>
        </w:rPr>
      </w:pPr>
      <w:r>
        <w:rPr>
          <w:rFonts w:eastAsia="Times New Roman"/>
          <w:b/>
          <w:bCs/>
          <w:color w:val="000000"/>
          <w:sz w:val="20"/>
          <w:szCs w:val="20"/>
        </w:rPr>
        <w:t>NCR Corporation</w:t>
      </w:r>
    </w:p>
    <w:p w:rsidR="00000000" w:rsidRDefault="006F0EF5">
      <w:pPr>
        <w:jc w:val="center"/>
        <w:divId w:val="1816095589"/>
        <w:rPr>
          <w:rFonts w:eastAsia="Times New Roman"/>
        </w:rPr>
      </w:pPr>
      <w:r>
        <w:rPr>
          <w:rFonts w:eastAsia="Times New Roman"/>
          <w:b/>
          <w:bCs/>
          <w:color w:val="000000"/>
          <w:sz w:val="20"/>
          <w:szCs w:val="20"/>
        </w:rPr>
        <w:t>Notes to Consolidated Financial Statements-(Continued)</w:t>
      </w:r>
    </w:p>
    <w:p w:rsidR="00000000" w:rsidRDefault="006F0EF5">
      <w:pPr>
        <w:jc w:val="center"/>
        <w:divId w:val="1816095589"/>
        <w:rPr>
          <w:rFonts w:eastAsia="Times New Roman"/>
        </w:rPr>
      </w:pPr>
    </w:p>
    <w:p w:rsidR="00000000" w:rsidRDefault="006F0EF5">
      <w:pPr>
        <w:jc w:val="center"/>
        <w:divId w:val="1816095589"/>
        <w:rPr>
          <w:rFonts w:eastAsia="Times New Roman"/>
        </w:rPr>
      </w:pPr>
    </w:p>
    <w:p w:rsidR="00000000" w:rsidRDefault="006F0EF5">
      <w:pPr>
        <w:divId w:val="5258171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3600"/>
        <w:gridCol w:w="37"/>
        <w:gridCol w:w="46"/>
        <w:gridCol w:w="2435"/>
        <w:gridCol w:w="36"/>
        <w:gridCol w:w="36"/>
        <w:gridCol w:w="36"/>
        <w:gridCol w:w="36"/>
        <w:gridCol w:w="121"/>
        <w:gridCol w:w="775"/>
        <w:gridCol w:w="36"/>
        <w:gridCol w:w="36"/>
        <w:gridCol w:w="36"/>
        <w:gridCol w:w="36"/>
        <w:gridCol w:w="121"/>
        <w:gridCol w:w="802"/>
        <w:gridCol w:w="36"/>
      </w:tblGrid>
      <w:tr w:rsidR="00000000">
        <w:trPr>
          <w:jc w:val="center"/>
        </w:trPr>
        <w:tc>
          <w:tcPr>
            <w:tcW w:w="50" w:type="pct"/>
            <w:vAlign w:val="center"/>
            <w:hideMark/>
          </w:tcPr>
          <w:p w:rsidR="00000000" w:rsidRDefault="006F0EF5">
            <w:pPr>
              <w:rPr>
                <w:rFonts w:eastAsia="Times New Roman"/>
              </w:rPr>
            </w:pPr>
          </w:p>
        </w:tc>
        <w:tc>
          <w:tcPr>
            <w:tcW w:w="218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48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0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0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Location in the Consolidated Balance Sheet</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Operating lease assets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Operating lease assets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Finance lease assets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Property, plant and equipment, ne</w:t>
            </w:r>
            <w:r>
              <w:rPr>
                <w:rFonts w:eastAsia="Times New Roman"/>
                <w:color w:val="000000"/>
                <w:sz w:val="20"/>
                <w:szCs w:val="20"/>
              </w:rPr>
              <w:t>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Accumulated Amortization of Finance lease assets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Property, plant and equipment, net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446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Current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Operating lease liabilities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Finance lease liabilities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Noncurrent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w:t>
            </w:r>
            <w:r>
              <w:rPr>
                <w:rFonts w:eastAsia="Times New Roman"/>
                <w:color w:val="000000"/>
                <w:sz w:val="20"/>
                <w:szCs w:val="20"/>
              </w:rPr>
              <w:t>Operating lease liabilities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Finance lease liabilities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presents our lease costs for operating and finance leases: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99"/>
        <w:gridCol w:w="37"/>
        <w:gridCol w:w="121"/>
        <w:gridCol w:w="1259"/>
        <w:gridCol w:w="36"/>
        <w:gridCol w:w="36"/>
        <w:gridCol w:w="36"/>
        <w:gridCol w:w="36"/>
        <w:gridCol w:w="121"/>
        <w:gridCol w:w="1295"/>
        <w:gridCol w:w="36"/>
        <w:gridCol w:w="121"/>
        <w:gridCol w:w="1298"/>
        <w:gridCol w:w="36"/>
      </w:tblGrid>
      <w:tr w:rsidR="00000000">
        <w:trPr>
          <w:jc w:val="center"/>
        </w:trPr>
        <w:tc>
          <w:tcPr>
            <w:tcW w:w="50" w:type="pct"/>
            <w:vAlign w:val="center"/>
            <w:hideMark/>
          </w:tcPr>
          <w:p w:rsidR="00000000" w:rsidRDefault="006F0EF5">
            <w:pPr>
              <w:jc w:val="both"/>
              <w:rPr>
                <w:rFonts w:eastAsia="Times New Roman"/>
              </w:rPr>
            </w:pPr>
          </w:p>
        </w:tc>
        <w:tc>
          <w:tcPr>
            <w:tcW w:w="232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9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1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1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2020</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Amortization of leased assets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Interest on lease liabilities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Short-Term lease cost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Variable lease cost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Total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presents the supplemental cash flow information: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99"/>
        <w:gridCol w:w="37"/>
        <w:gridCol w:w="121"/>
        <w:gridCol w:w="1259"/>
        <w:gridCol w:w="36"/>
        <w:gridCol w:w="36"/>
        <w:gridCol w:w="36"/>
        <w:gridCol w:w="36"/>
        <w:gridCol w:w="121"/>
        <w:gridCol w:w="1295"/>
        <w:gridCol w:w="36"/>
        <w:gridCol w:w="121"/>
        <w:gridCol w:w="1298"/>
        <w:gridCol w:w="36"/>
      </w:tblGrid>
      <w:tr w:rsidR="00000000">
        <w:trPr>
          <w:jc w:val="center"/>
        </w:trPr>
        <w:tc>
          <w:tcPr>
            <w:tcW w:w="50" w:type="pct"/>
            <w:vAlign w:val="center"/>
            <w:hideMark/>
          </w:tcPr>
          <w:p w:rsidR="00000000" w:rsidRDefault="006F0EF5">
            <w:pPr>
              <w:jc w:val="both"/>
              <w:rPr>
                <w:rFonts w:eastAsia="Times New Roman"/>
              </w:rPr>
            </w:pPr>
          </w:p>
        </w:tc>
        <w:tc>
          <w:tcPr>
            <w:tcW w:w="232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79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1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1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2020</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2019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Operating cash flows from operating leases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w:t>
            </w:r>
            <w:r>
              <w:rPr>
                <w:rFonts w:eastAsia="Times New Roman"/>
                <w:color w:val="000000"/>
                <w:sz w:val="20"/>
                <w:szCs w:val="20"/>
              </w:rPr>
              <w:t>Operating cash flows from finance leases</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Financing cash flows from finance leases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Lease Assets Obtained in Exchange for Lease Obligations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Operating Leases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Finance Leases</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following table reconciles the undiscounted cash flows for each of the first five years and total of the remaining years to the finance lease liabilities and operating lease liabilities recorded on the Consolidated Balance Sheet as</w:t>
      </w:r>
      <w:r>
        <w:rPr>
          <w:rFonts w:eastAsia="Times New Roman"/>
          <w:color w:val="000000"/>
          <w:sz w:val="20"/>
          <w:szCs w:val="20"/>
        </w:rPr>
        <w:t xml:space="preserve"> of December 31, 2021:</w:t>
      </w:r>
    </w:p>
    <w:p w:rsidR="00000000" w:rsidRDefault="006F0EF5">
      <w:pPr>
        <w:jc w:val="center"/>
        <w:divId w:val="418409463"/>
        <w:rPr>
          <w:rFonts w:eastAsia="Times New Roman"/>
        </w:rPr>
      </w:pPr>
      <w:r>
        <w:rPr>
          <w:rFonts w:eastAsia="Times New Roman"/>
          <w:color w:val="000000"/>
          <w:sz w:val="20"/>
          <w:szCs w:val="20"/>
        </w:rPr>
        <w:t>111</w:t>
      </w:r>
    </w:p>
    <w:p w:rsidR="00000000" w:rsidRDefault="006F0EF5">
      <w:pPr>
        <w:rPr>
          <w:rFonts w:eastAsia="Times New Roman"/>
        </w:rPr>
      </w:pPr>
      <w:r>
        <w:rPr>
          <w:rFonts w:eastAsia="Times New Roman"/>
        </w:rPr>
        <w:pict>
          <v:rect id="_x0000_i1140" style="width:0;height:1.5pt" o:hralign="center" o:hrstd="t" o:hr="t" fillcolor="#a0a0a0" stroked="f"/>
        </w:pict>
      </w:r>
    </w:p>
    <w:p w:rsidR="00000000" w:rsidRDefault="006F0EF5">
      <w:pPr>
        <w:divId w:val="338704190"/>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667750129"/>
        <w:rPr>
          <w:rFonts w:eastAsia="Times New Roman"/>
        </w:rPr>
      </w:pPr>
      <w:r>
        <w:rPr>
          <w:rFonts w:eastAsia="Times New Roman"/>
          <w:b/>
          <w:bCs/>
          <w:color w:val="000000"/>
          <w:sz w:val="20"/>
          <w:szCs w:val="20"/>
        </w:rPr>
        <w:t>NCR Corporation</w:t>
      </w:r>
    </w:p>
    <w:p w:rsidR="00000000" w:rsidRDefault="006F0EF5">
      <w:pPr>
        <w:jc w:val="center"/>
        <w:divId w:val="667750129"/>
        <w:rPr>
          <w:rFonts w:eastAsia="Times New Roman"/>
        </w:rPr>
      </w:pPr>
      <w:r>
        <w:rPr>
          <w:rFonts w:eastAsia="Times New Roman"/>
          <w:b/>
          <w:bCs/>
          <w:color w:val="000000"/>
          <w:sz w:val="20"/>
          <w:szCs w:val="20"/>
        </w:rPr>
        <w:t>Notes to Consolidated Financial Statements-(Continued)</w:t>
      </w:r>
    </w:p>
    <w:p w:rsidR="00000000" w:rsidRDefault="006F0EF5">
      <w:pPr>
        <w:jc w:val="center"/>
        <w:divId w:val="667750129"/>
        <w:rPr>
          <w:rFonts w:eastAsia="Times New Roman"/>
        </w:rPr>
      </w:pPr>
    </w:p>
    <w:p w:rsidR="00000000" w:rsidRDefault="006F0EF5">
      <w:pPr>
        <w:jc w:val="center"/>
        <w:divId w:val="667750129"/>
        <w:rPr>
          <w:rFonts w:eastAsia="Times New Roman"/>
        </w:rPr>
      </w:pPr>
    </w:p>
    <w:p w:rsidR="00000000" w:rsidRDefault="006F0EF5">
      <w:pPr>
        <w:divId w:val="154980639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964"/>
        <w:gridCol w:w="37"/>
        <w:gridCol w:w="36"/>
        <w:gridCol w:w="36"/>
        <w:gridCol w:w="36"/>
        <w:gridCol w:w="121"/>
        <w:gridCol w:w="1367"/>
        <w:gridCol w:w="36"/>
        <w:gridCol w:w="36"/>
        <w:gridCol w:w="36"/>
        <w:gridCol w:w="36"/>
        <w:gridCol w:w="121"/>
        <w:gridCol w:w="1369"/>
        <w:gridCol w:w="36"/>
      </w:tblGrid>
      <w:tr w:rsidR="00000000">
        <w:trPr>
          <w:jc w:val="center"/>
        </w:trPr>
        <w:tc>
          <w:tcPr>
            <w:tcW w:w="50" w:type="pct"/>
            <w:vAlign w:val="center"/>
            <w:hideMark/>
          </w:tcPr>
          <w:p w:rsidR="00000000" w:rsidRDefault="006F0EF5">
            <w:pPr>
              <w:rPr>
                <w:rFonts w:eastAsia="Times New Roman"/>
              </w:rPr>
            </w:pPr>
          </w:p>
        </w:tc>
        <w:tc>
          <w:tcPr>
            <w:tcW w:w="301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7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7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Operating Leases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Finance Leases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lease payments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Less: Amount representing interest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(136)</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As of December 31, 2021, all material operating leases had commenced.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The following table presents the weighted average remaining lease term and interest rates: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17"/>
        <w:gridCol w:w="37"/>
        <w:gridCol w:w="36"/>
        <w:gridCol w:w="36"/>
        <w:gridCol w:w="36"/>
        <w:gridCol w:w="51"/>
        <w:gridCol w:w="929"/>
        <w:gridCol w:w="187"/>
        <w:gridCol w:w="36"/>
        <w:gridCol w:w="36"/>
        <w:gridCol w:w="36"/>
        <w:gridCol w:w="51"/>
        <w:gridCol w:w="993"/>
        <w:gridCol w:w="187"/>
      </w:tblGrid>
      <w:tr w:rsidR="00000000">
        <w:trPr>
          <w:divId w:val="1468666320"/>
          <w:jc w:val="center"/>
        </w:trPr>
        <w:tc>
          <w:tcPr>
            <w:tcW w:w="50" w:type="pct"/>
            <w:vAlign w:val="center"/>
            <w:hideMark/>
          </w:tcPr>
          <w:p w:rsidR="00000000" w:rsidRDefault="006F0EF5">
            <w:pPr>
              <w:jc w:val="both"/>
              <w:rPr>
                <w:rFonts w:eastAsia="Times New Roman"/>
              </w:rPr>
            </w:pPr>
          </w:p>
        </w:tc>
        <w:tc>
          <w:tcPr>
            <w:tcW w:w="344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6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1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6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46866632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r>
      <w:tr w:rsidR="00000000">
        <w:trPr>
          <w:divId w:val="146866632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Weighted average lease term:</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46866632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Operating leases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8.4 years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8.7 years</w:t>
            </w:r>
          </w:p>
        </w:tc>
      </w:tr>
      <w:tr w:rsidR="00000000">
        <w:trPr>
          <w:divId w:val="146866632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Finance leases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2.0 years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2.7 years</w:t>
            </w:r>
          </w:p>
        </w:tc>
      </w:tr>
      <w:tr w:rsidR="00000000">
        <w:trPr>
          <w:divId w:val="146866632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Weighted average interest rates: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468666320"/>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Operating leases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5.70 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6.45 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r w:rsidR="00000000">
        <w:trPr>
          <w:divId w:val="1468666320"/>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Finance leases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4.59 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w:t>
            </w:r>
          </w:p>
        </w:tc>
      </w:tr>
    </w:tbl>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t>
      </w:r>
    </w:p>
    <w:p w:rsidR="00000000" w:rsidRDefault="006F0EF5">
      <w:pPr>
        <w:divId w:val="1674916117"/>
        <w:rPr>
          <w:rFonts w:eastAsia="Times New Roman"/>
        </w:rPr>
      </w:pPr>
    </w:p>
    <w:p w:rsidR="00000000" w:rsidRDefault="006F0EF5">
      <w:pPr>
        <w:jc w:val="center"/>
        <w:divId w:val="107312268"/>
        <w:rPr>
          <w:rFonts w:eastAsia="Times New Roman"/>
        </w:rPr>
      </w:pPr>
      <w:r>
        <w:rPr>
          <w:rFonts w:eastAsia="Times New Roman"/>
          <w:color w:val="000000"/>
          <w:sz w:val="20"/>
          <w:szCs w:val="20"/>
        </w:rPr>
        <w:t>112</w:t>
      </w:r>
    </w:p>
    <w:p w:rsidR="00000000" w:rsidRDefault="006F0EF5">
      <w:pPr>
        <w:rPr>
          <w:rFonts w:eastAsia="Times New Roman"/>
        </w:rPr>
      </w:pPr>
      <w:r>
        <w:rPr>
          <w:rFonts w:eastAsia="Times New Roman"/>
        </w:rPr>
        <w:pict>
          <v:rect id="_x0000_i1141" style="width:0;height:1.5pt" o:hralign="center" o:hrstd="t" o:hr="t" fillcolor="#a0a0a0" stroked="f"/>
        </w:pict>
      </w:r>
    </w:p>
    <w:p w:rsidR="00000000" w:rsidRDefault="006F0EF5">
      <w:pPr>
        <w:divId w:val="1716537490"/>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736271287"/>
        <w:rPr>
          <w:rFonts w:eastAsia="Times New Roman"/>
        </w:rPr>
      </w:pPr>
      <w:r>
        <w:rPr>
          <w:rFonts w:eastAsia="Times New Roman"/>
          <w:b/>
          <w:bCs/>
          <w:color w:val="000000"/>
          <w:sz w:val="20"/>
          <w:szCs w:val="20"/>
        </w:rPr>
        <w:t>NCR Corporation</w:t>
      </w:r>
    </w:p>
    <w:p w:rsidR="00000000" w:rsidRDefault="006F0EF5">
      <w:pPr>
        <w:jc w:val="center"/>
        <w:divId w:val="1736271287"/>
        <w:rPr>
          <w:rFonts w:eastAsia="Times New Roman"/>
        </w:rPr>
      </w:pPr>
      <w:r>
        <w:rPr>
          <w:rFonts w:eastAsia="Times New Roman"/>
          <w:b/>
          <w:bCs/>
          <w:color w:val="000000"/>
          <w:sz w:val="20"/>
          <w:szCs w:val="20"/>
        </w:rPr>
        <w:t>Notes to Consolidated Financial Statements-(Continued)</w:t>
      </w:r>
    </w:p>
    <w:p w:rsidR="00000000" w:rsidRDefault="006F0EF5">
      <w:pPr>
        <w:jc w:val="center"/>
        <w:divId w:val="1736271287"/>
        <w:rPr>
          <w:rFonts w:eastAsia="Times New Roman"/>
        </w:rPr>
      </w:pPr>
    </w:p>
    <w:p w:rsidR="00000000" w:rsidRDefault="006F0EF5">
      <w:pPr>
        <w:jc w:val="center"/>
        <w:divId w:val="1736271287"/>
        <w:rPr>
          <w:rFonts w:eastAsia="Times New Roman"/>
        </w:rPr>
      </w:pPr>
    </w:p>
    <w:p w:rsidR="00000000" w:rsidRDefault="006F0EF5">
      <w:pPr>
        <w:divId w:val="896861254"/>
        <w:rPr>
          <w:rFonts w:eastAsia="Times New Roman"/>
        </w:rPr>
      </w:pPr>
    </w:p>
    <w:p w:rsidR="00000000" w:rsidRDefault="006F0EF5">
      <w:pPr>
        <w:divId w:val="1291014291"/>
        <w:rPr>
          <w:rFonts w:eastAsia="Times New Roman"/>
        </w:rPr>
      </w:pPr>
      <w:r>
        <w:rPr>
          <w:rFonts w:eastAsia="Times New Roman"/>
          <w:b/>
          <w:bCs/>
          <w:color w:val="7ACE05"/>
          <w:sz w:val="20"/>
          <w:szCs w:val="20"/>
        </w:rPr>
        <w:t xml:space="preserve">12. SERIES A PREFERRED STOCK </w:t>
      </w:r>
    </w:p>
    <w:p w:rsidR="00000000" w:rsidRDefault="006F0EF5">
      <w:pPr>
        <w:divId w:val="740063383"/>
        <w:rPr>
          <w:rFonts w:eastAsia="Times New Roman"/>
        </w:rPr>
      </w:pPr>
    </w:p>
    <w:p w:rsidR="00000000" w:rsidRDefault="006F0EF5">
      <w:pPr>
        <w:jc w:val="both"/>
        <w:rPr>
          <w:rFonts w:eastAsia="Times New Roman"/>
        </w:rPr>
      </w:pPr>
      <w:r>
        <w:rPr>
          <w:rFonts w:eastAsia="Times New Roman"/>
          <w:color w:val="000000"/>
          <w:sz w:val="20"/>
          <w:szCs w:val="20"/>
        </w:rPr>
        <w:t>On December 4, 2015, NCR issued 820,000 shares of Series A Convertible Preferred Stock to certain entities affiliated with the Blackstone Group L.P. (collectively, “Blackstone”) for an aggregate purchase price of $820 million, or $1,000 per share, pursuant</w:t>
      </w:r>
      <w:r>
        <w:rPr>
          <w:rFonts w:eastAsia="Times New Roman"/>
          <w:color w:val="000000"/>
          <w:sz w:val="20"/>
          <w:szCs w:val="20"/>
        </w:rPr>
        <w:t xml:space="preserve"> to an Investment Agreement between the Company and Blackstone dated November 11, 2015. In connection with the issuance of the Series A Convertible Preferred Stock, the Company incurred direct and incremental expenses of $26 million, including financial ad</w:t>
      </w:r>
      <w:r>
        <w:rPr>
          <w:rFonts w:eastAsia="Times New Roman"/>
          <w:color w:val="000000"/>
          <w:sz w:val="20"/>
          <w:szCs w:val="20"/>
        </w:rPr>
        <w:t xml:space="preserve">visory fees, closing costs, legal expenses and other offering-related expenses. These direct and incremental expenses originally reduced the Series A Convertible Preferred Stock, and will be accreted through retained earnings as a deemed dividend from the </w:t>
      </w:r>
      <w:r>
        <w:rPr>
          <w:rFonts w:eastAsia="Times New Roman"/>
          <w:color w:val="000000"/>
          <w:sz w:val="20"/>
          <w:szCs w:val="20"/>
        </w:rPr>
        <w:t xml:space="preserve">date of issuance through the first possible known redemption date, March 16, 2024.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2017, in connection with the early release of the lock-up included in the Investment Agreement, Blackstone offered for sale 342,000 shares of Series A Convertible Pref</w:t>
      </w:r>
      <w:r>
        <w:rPr>
          <w:rFonts w:eastAsia="Times New Roman"/>
          <w:color w:val="000000"/>
          <w:sz w:val="20"/>
          <w:szCs w:val="20"/>
        </w:rPr>
        <w:t>erred Stock in an underwritten public offering. In addition, Blackstone converted 90,000 shares of Series A Convertible Preferred Stock into shares of our common stock and we repurchased those shares of common stock for $48.47 per share. The underwritten o</w:t>
      </w:r>
      <w:r>
        <w:rPr>
          <w:rFonts w:eastAsia="Times New Roman"/>
          <w:color w:val="000000"/>
          <w:sz w:val="20"/>
          <w:szCs w:val="20"/>
        </w:rPr>
        <w:t>ffering and the stock repurchase were consummated on March 17, 2017.</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On September 18, 2019, NCR entered into an agreement to repurchase and convert the outstanding 512,221 shares of Series A Convertible Preferred Stock owned by Blackstone. NCR repurchase</w:t>
      </w:r>
      <w:r>
        <w:rPr>
          <w:rFonts w:eastAsia="Times New Roman"/>
          <w:color w:val="000000"/>
          <w:sz w:val="20"/>
          <w:szCs w:val="20"/>
        </w:rPr>
        <w:t>d 237,673 shares of Series A Convertible Preferred Stock for total cash consideration of $302 million. The remaining shares of Blackstone's Series A Convertible Preferred Stock, including accrued dividends, were converted to approximately 9.16 million shar</w:t>
      </w:r>
      <w:r>
        <w:rPr>
          <w:rFonts w:eastAsia="Times New Roman"/>
          <w:color w:val="000000"/>
          <w:sz w:val="20"/>
          <w:szCs w:val="20"/>
        </w:rPr>
        <w:t>es of common stock at a conversion price of $30.00 per share.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For the repurchase of Series A Convertible Preferred Stock, the excess of the fair value of consideration transferred over the carrying value was approximately $67 million, and has been includ</w:t>
      </w:r>
      <w:r>
        <w:rPr>
          <w:rFonts w:eastAsia="Times New Roman"/>
          <w:color w:val="000000"/>
          <w:sz w:val="20"/>
          <w:szCs w:val="20"/>
        </w:rPr>
        <w:t>ed as a deemed dividend in adjusting the income from common stockholders in calculating earnings per share. In this analysis, we determined the fair value of the consideration transferred was not in excess of the fair value of the redeemed Series A Convert</w:t>
      </w:r>
      <w:r>
        <w:rPr>
          <w:rFonts w:eastAsia="Times New Roman"/>
          <w:color w:val="000000"/>
          <w:sz w:val="20"/>
          <w:szCs w:val="20"/>
        </w:rPr>
        <w:t>ible Preferred Stock. As a result, there was no inducement provided to Blackstone for the conversion of the remaining preferred shares into common stock.</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 xml:space="preserve">On October 6, 2020, NCR entered into a definitive agreement to repurchase 67,000 shares of Series A </w:t>
      </w:r>
      <w:r>
        <w:rPr>
          <w:rFonts w:eastAsia="Times New Roman"/>
          <w:color w:val="000000"/>
          <w:sz w:val="20"/>
          <w:szCs w:val="20"/>
          <w:shd w:val="clear" w:color="auto" w:fill="FFFFFF"/>
        </w:rPr>
        <w:t>Convertible Preferred Stock from two affiliated shareholders for a total cash consideration of $72 million. The transaction closed on October 7, 2020. On October 12, 2020, NCR entered into a definitive agreement to repurchase 65,365 shares of Series A Conv</w:t>
      </w:r>
      <w:r>
        <w:rPr>
          <w:rFonts w:eastAsia="Times New Roman"/>
          <w:color w:val="000000"/>
          <w:sz w:val="20"/>
          <w:szCs w:val="20"/>
          <w:shd w:val="clear" w:color="auto" w:fill="FFFFFF"/>
        </w:rPr>
        <w:t xml:space="preserve">ertible Preferred Stock owned by two affiliated shareholders for a total cash consideration of $72 million. The transaction closed on October 13, 2020. The excess of the fair value of consideration transferred over the carrying value was approximately $12 </w:t>
      </w:r>
      <w:r>
        <w:rPr>
          <w:rFonts w:eastAsia="Times New Roman"/>
          <w:color w:val="000000"/>
          <w:sz w:val="20"/>
          <w:szCs w:val="20"/>
          <w:shd w:val="clear" w:color="auto" w:fill="FFFFFF"/>
        </w:rPr>
        <w:t>million, and has been included as a deemed dividend in adjusting the income from common stockholders in calculating earnings per share.</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Dividend Rights </w:t>
      </w:r>
      <w:r>
        <w:rPr>
          <w:rFonts w:eastAsia="Times New Roman"/>
          <w:color w:val="000000"/>
          <w:sz w:val="20"/>
          <w:szCs w:val="20"/>
        </w:rPr>
        <w:t>The Series A Convertible Preferred Stock ranks senior to the shares of the Company’s common stock, with respect to dividend rights and rights on the distribution of assets on any voluntary or involuntary liquidation, dissolution or winding up of the affair</w:t>
      </w:r>
      <w:r>
        <w:rPr>
          <w:rFonts w:eastAsia="Times New Roman"/>
          <w:color w:val="000000"/>
          <w:sz w:val="20"/>
          <w:szCs w:val="20"/>
        </w:rPr>
        <w:t xml:space="preserve">s of the Company. The Series A Convertible Preferred Stock has a liquidation preference of $1,000 per share. Holders of Series A Convertible Preferred Stock are entitled to a cumulative dividend at the rate of 5.5% per annum, payable quarterly in arrears. </w:t>
      </w:r>
      <w:r>
        <w:rPr>
          <w:rFonts w:eastAsia="Times New Roman"/>
          <w:color w:val="000000"/>
          <w:sz w:val="20"/>
          <w:szCs w:val="20"/>
        </w:rPr>
        <w:t>Beginning in the first quarter of 2020, dividends are payable in cash or in-kind at the option of the Company. If the Company does not declare and pay a dividend, the dividend rate will increase to 8.0% per annum until all accrued but unpaid dividends have</w:t>
      </w:r>
      <w:r>
        <w:rPr>
          <w:rFonts w:eastAsia="Times New Roman"/>
          <w:color w:val="000000"/>
          <w:sz w:val="20"/>
          <w:szCs w:val="20"/>
        </w:rPr>
        <w:t xml:space="preserve"> been paid in full. During the year ended December 31, 2021 the Company did not pay dividends-in-kind associated with the Series A Convertible Preferred Stock. During the years ended December 31 2020 and 2019, the Company paid dividends-in-kind of </w:t>
      </w:r>
      <w:r>
        <w:rPr>
          <w:rFonts w:eastAsia="Times New Roman"/>
          <w:color w:val="000000"/>
          <w:sz w:val="20"/>
          <w:szCs w:val="20"/>
          <w:shd w:val="clear" w:color="auto" w:fill="FFFFFF"/>
        </w:rPr>
        <w:t>$10 mill</w:t>
      </w:r>
      <w:r>
        <w:rPr>
          <w:rFonts w:eastAsia="Times New Roman"/>
          <w:color w:val="000000"/>
          <w:sz w:val="20"/>
          <w:szCs w:val="20"/>
          <w:shd w:val="clear" w:color="auto" w:fill="FFFFFF"/>
        </w:rPr>
        <w:t xml:space="preserve">ion and $43 million </w:t>
      </w:r>
      <w:r>
        <w:rPr>
          <w:rFonts w:eastAsia="Times New Roman"/>
          <w:color w:val="000000"/>
          <w:sz w:val="20"/>
          <w:szCs w:val="20"/>
        </w:rPr>
        <w:t>respectively, associated with the Series A Convertible Preferred Stock. Cash dividends of $15 million and $9 million were declared during the years ended December 31, 2021 and December 31, 2020, respectively, and there were no cash divi</w:t>
      </w:r>
      <w:r>
        <w:rPr>
          <w:rFonts w:eastAsia="Times New Roman"/>
          <w:color w:val="000000"/>
          <w:sz w:val="20"/>
          <w:szCs w:val="20"/>
        </w:rPr>
        <w:t>dends during the year ended December 31, 2019.</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Conversion Features </w:t>
      </w:r>
      <w:r>
        <w:rPr>
          <w:rFonts w:eastAsia="Times New Roman"/>
          <w:color w:val="000000"/>
          <w:sz w:val="20"/>
          <w:szCs w:val="20"/>
        </w:rPr>
        <w:t>The Series A Convertible Preferred Stock is convertible at the option of the holders at any time into shares of common stock at a conversion price of $30.00 per share, or a conversion rat</w:t>
      </w:r>
      <w:r>
        <w:rPr>
          <w:rFonts w:eastAsia="Times New Roman"/>
          <w:color w:val="000000"/>
          <w:sz w:val="20"/>
          <w:szCs w:val="20"/>
        </w:rPr>
        <w:t>e of 33.333 shares of common stock per share of Series A Convertible Preferred Stock. As of December 31, 2021 and 2020, the maximum number of common shares that could be required to be issued upon conversion of the outstanding shares of Series A Convertibl</w:t>
      </w:r>
      <w:r>
        <w:rPr>
          <w:rFonts w:eastAsia="Times New Roman"/>
          <w:color w:val="000000"/>
          <w:sz w:val="20"/>
          <w:szCs w:val="20"/>
        </w:rPr>
        <w:t xml:space="preserve">e Preferred Stock was </w:t>
      </w:r>
      <w:r>
        <w:rPr>
          <w:rFonts w:eastAsia="Times New Roman"/>
          <w:color w:val="000000"/>
          <w:sz w:val="20"/>
          <w:szCs w:val="20"/>
          <w:shd w:val="clear" w:color="auto" w:fill="FFFFFF"/>
        </w:rPr>
        <w:t>9.2 million</w:t>
      </w:r>
      <w:r>
        <w:rPr>
          <w:rFonts w:eastAsia="Times New Roman"/>
          <w:color w:val="000000"/>
          <w:sz w:val="20"/>
          <w:szCs w:val="20"/>
        </w:rPr>
        <w:t xml:space="preserve"> shares, respectively. The conversion rate is subject to the following customary anti-dilution and other adjustments:</w:t>
      </w:r>
    </w:p>
    <w:p w:rsidR="00000000" w:rsidRDefault="006F0EF5">
      <w:pPr>
        <w:jc w:val="both"/>
        <w:rPr>
          <w:rFonts w:eastAsia="Times New Roman"/>
        </w:rPr>
      </w:pPr>
    </w:p>
    <w:p w:rsidR="00000000" w:rsidRDefault="006F0EF5">
      <w:pPr>
        <w:ind w:hanging="360"/>
        <w:jc w:val="both"/>
        <w:rPr>
          <w:rFonts w:eastAsia="Times New Roman"/>
        </w:rPr>
      </w:pPr>
      <w:r>
        <w:rPr>
          <w:rFonts w:eastAsia="Times New Roman"/>
          <w:color w:val="000000"/>
          <w:sz w:val="20"/>
          <w:szCs w:val="20"/>
        </w:rPr>
        <w:t>•the issuance of common stock as a dividend or the subdivision, combination, or reclassification of com</w:t>
      </w:r>
      <w:r>
        <w:rPr>
          <w:rFonts w:eastAsia="Times New Roman"/>
          <w:color w:val="000000"/>
          <w:sz w:val="20"/>
          <w:szCs w:val="20"/>
        </w:rPr>
        <w:t>mon stock into a greater or lesser number of shares of common stock;</w:t>
      </w:r>
    </w:p>
    <w:p w:rsidR="00000000" w:rsidRDefault="006F0EF5">
      <w:pPr>
        <w:ind w:hanging="360"/>
        <w:jc w:val="both"/>
        <w:rPr>
          <w:rFonts w:eastAsia="Times New Roman"/>
        </w:rPr>
      </w:pPr>
      <w:r>
        <w:rPr>
          <w:rFonts w:eastAsia="Times New Roman"/>
          <w:color w:val="000000"/>
          <w:sz w:val="20"/>
          <w:szCs w:val="20"/>
        </w:rPr>
        <w:t>•the dividend, distribution or other issuance of rights, options or warrants to holders of Common Stock entitling them to subscribe for or purchase shares of common stock at a price per s</w:t>
      </w:r>
      <w:r>
        <w:rPr>
          <w:rFonts w:eastAsia="Times New Roman"/>
          <w:color w:val="000000"/>
          <w:sz w:val="20"/>
          <w:szCs w:val="20"/>
        </w:rPr>
        <w:t>hare that is less than the volume-weighted average price per share of common stock;</w:t>
      </w:r>
    </w:p>
    <w:p w:rsidR="00000000" w:rsidRDefault="006F0EF5">
      <w:pPr>
        <w:jc w:val="center"/>
        <w:divId w:val="1647783547"/>
        <w:rPr>
          <w:rFonts w:eastAsia="Times New Roman"/>
        </w:rPr>
      </w:pPr>
      <w:r>
        <w:rPr>
          <w:rFonts w:eastAsia="Times New Roman"/>
          <w:color w:val="000000"/>
          <w:sz w:val="20"/>
          <w:szCs w:val="20"/>
        </w:rPr>
        <w:t>113</w:t>
      </w:r>
    </w:p>
    <w:p w:rsidR="00000000" w:rsidRDefault="006F0EF5">
      <w:pPr>
        <w:rPr>
          <w:rFonts w:eastAsia="Times New Roman"/>
        </w:rPr>
      </w:pPr>
      <w:r>
        <w:rPr>
          <w:rFonts w:eastAsia="Times New Roman"/>
        </w:rPr>
        <w:pict>
          <v:rect id="_x0000_i1142" style="width:0;height:1.5pt" o:hralign="center" o:hrstd="t" o:hr="t" fillcolor="#a0a0a0" stroked="f"/>
        </w:pict>
      </w:r>
    </w:p>
    <w:p w:rsidR="00000000" w:rsidRDefault="006F0EF5">
      <w:pPr>
        <w:divId w:val="1574855331"/>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24277232"/>
        <w:rPr>
          <w:rFonts w:eastAsia="Times New Roman"/>
        </w:rPr>
      </w:pPr>
      <w:r>
        <w:rPr>
          <w:rFonts w:eastAsia="Times New Roman"/>
          <w:b/>
          <w:bCs/>
          <w:color w:val="000000"/>
          <w:sz w:val="20"/>
          <w:szCs w:val="20"/>
        </w:rPr>
        <w:t>NCR Corporation</w:t>
      </w:r>
    </w:p>
    <w:p w:rsidR="00000000" w:rsidRDefault="006F0EF5">
      <w:pPr>
        <w:jc w:val="center"/>
        <w:divId w:val="124277232"/>
        <w:rPr>
          <w:rFonts w:eastAsia="Times New Roman"/>
        </w:rPr>
      </w:pPr>
      <w:r>
        <w:rPr>
          <w:rFonts w:eastAsia="Times New Roman"/>
          <w:b/>
          <w:bCs/>
          <w:color w:val="000000"/>
          <w:sz w:val="20"/>
          <w:szCs w:val="20"/>
        </w:rPr>
        <w:t>Notes to Consolidated Financial Statements-(Continued)</w:t>
      </w:r>
    </w:p>
    <w:p w:rsidR="00000000" w:rsidRDefault="006F0EF5">
      <w:pPr>
        <w:jc w:val="center"/>
        <w:divId w:val="124277232"/>
        <w:rPr>
          <w:rFonts w:eastAsia="Times New Roman"/>
        </w:rPr>
      </w:pPr>
    </w:p>
    <w:p w:rsidR="00000000" w:rsidRDefault="006F0EF5">
      <w:pPr>
        <w:jc w:val="center"/>
        <w:divId w:val="124277232"/>
        <w:rPr>
          <w:rFonts w:eastAsia="Times New Roman"/>
        </w:rPr>
      </w:pPr>
    </w:p>
    <w:p w:rsidR="00000000" w:rsidRDefault="006F0EF5">
      <w:pPr>
        <w:divId w:val="753092733"/>
        <w:rPr>
          <w:rFonts w:eastAsia="Times New Roman"/>
        </w:rPr>
      </w:pPr>
    </w:p>
    <w:p w:rsidR="00000000" w:rsidRDefault="006F0EF5">
      <w:pPr>
        <w:ind w:hanging="360"/>
        <w:jc w:val="both"/>
        <w:rPr>
          <w:rFonts w:eastAsia="Times New Roman"/>
        </w:rPr>
      </w:pPr>
      <w:r>
        <w:rPr>
          <w:rFonts w:eastAsia="Times New Roman"/>
          <w:color w:val="000000"/>
          <w:sz w:val="20"/>
          <w:szCs w:val="20"/>
        </w:rPr>
        <w:t xml:space="preserve">•the completion of a tender offer or exchange offer of shares of common stock at a premium to the volume-weighted average price per share of common stock and certain other above-market purchases </w:t>
      </w:r>
      <w:r>
        <w:rPr>
          <w:rFonts w:eastAsia="Times New Roman"/>
          <w:color w:val="000000"/>
          <w:sz w:val="20"/>
          <w:szCs w:val="20"/>
        </w:rPr>
        <w:t>of common stock;</w:t>
      </w:r>
    </w:p>
    <w:p w:rsidR="00000000" w:rsidRDefault="006F0EF5">
      <w:pPr>
        <w:ind w:hanging="360"/>
        <w:jc w:val="both"/>
        <w:rPr>
          <w:rFonts w:eastAsia="Times New Roman"/>
        </w:rPr>
      </w:pPr>
      <w:r>
        <w:rPr>
          <w:rFonts w:eastAsia="Times New Roman"/>
          <w:color w:val="000000"/>
          <w:sz w:val="20"/>
          <w:szCs w:val="20"/>
        </w:rPr>
        <w:t>•the issuance of a dividend or similar distribution in-kind, which can include shares of any class of capital stock, evidences of the Company's indebtedness, assets or other property or securities, to holders of common stock;</w:t>
      </w:r>
    </w:p>
    <w:p w:rsidR="00000000" w:rsidRDefault="006F0EF5">
      <w:pPr>
        <w:ind w:hanging="360"/>
        <w:jc w:val="both"/>
        <w:rPr>
          <w:rFonts w:eastAsia="Times New Roman"/>
        </w:rPr>
      </w:pPr>
      <w:r>
        <w:rPr>
          <w:rFonts w:eastAsia="Times New Roman"/>
          <w:color w:val="000000"/>
          <w:sz w:val="20"/>
          <w:szCs w:val="20"/>
        </w:rPr>
        <w:t>•a transactio</w:t>
      </w:r>
      <w:r>
        <w:rPr>
          <w:rFonts w:eastAsia="Times New Roman"/>
          <w:color w:val="000000"/>
          <w:sz w:val="20"/>
          <w:szCs w:val="20"/>
        </w:rPr>
        <w:t>n in which a subsidiary of the Company ceases to be a subsidiary of the Company as a result of the distribution of the equity interests of the subsidiary to the holders of the Company’s common stock; and</w:t>
      </w:r>
    </w:p>
    <w:p w:rsidR="00000000" w:rsidRDefault="006F0EF5">
      <w:pPr>
        <w:ind w:hanging="360"/>
        <w:jc w:val="both"/>
        <w:rPr>
          <w:rFonts w:eastAsia="Times New Roman"/>
        </w:rPr>
      </w:pPr>
      <w:r>
        <w:rPr>
          <w:rFonts w:eastAsia="Times New Roman"/>
          <w:color w:val="000000"/>
          <w:sz w:val="20"/>
          <w:szCs w:val="20"/>
        </w:rPr>
        <w:t>•the payment of a cash dividend to the holders of co</w:t>
      </w:r>
      <w:r>
        <w:rPr>
          <w:rFonts w:eastAsia="Times New Roman"/>
          <w:color w:val="000000"/>
          <w:sz w:val="20"/>
          <w:szCs w:val="20"/>
        </w:rPr>
        <w:t>mmon stock.</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At any time after December 4, 2018, all outstanding shares of Series A Convertible Preferred Stock are convertible at the option of the Company if the volume-weighted average price of the common stock exceeds $54.00 for at least 30 trading da</w:t>
      </w:r>
      <w:r>
        <w:rPr>
          <w:rFonts w:eastAsia="Times New Roman"/>
          <w:color w:val="000000"/>
          <w:sz w:val="20"/>
          <w:szCs w:val="20"/>
        </w:rPr>
        <w:t>ys in any period of 45 consecutive trading days. The $54.00 may be adjusted pursuant to the anti-dilution provisions above.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Series A Convertible Preferred Stock, and the associated dividends for the first sixteen payments, did not generate a benefici</w:t>
      </w:r>
      <w:r>
        <w:rPr>
          <w:rFonts w:eastAsia="Times New Roman"/>
          <w:color w:val="000000"/>
          <w:sz w:val="20"/>
          <w:szCs w:val="20"/>
        </w:rPr>
        <w:t>al conversion feature (“BCF”) upon issuance as the fair value of the Company's common stock was greater than the conversion price. The Company will determine and, if required, measure a BCF based on the fair value of our stock price on the date dividends a</w:t>
      </w:r>
      <w:r>
        <w:rPr>
          <w:rFonts w:eastAsia="Times New Roman"/>
          <w:color w:val="000000"/>
          <w:sz w:val="20"/>
          <w:szCs w:val="20"/>
        </w:rPr>
        <w:t>re declared subsequent to the sixteenth dividend. If a BCF is recognized, a reduction to retained earnings and the Series A Convertible Preferred Stock will be recorded, and then subsequently accreted through the first redemption date.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Additionally, the </w:t>
      </w:r>
      <w:r>
        <w:rPr>
          <w:rFonts w:eastAsia="Times New Roman"/>
          <w:color w:val="000000"/>
          <w:sz w:val="20"/>
          <w:szCs w:val="20"/>
        </w:rPr>
        <w:t>Company determined that the nature of the Series A Convertible Preferred Stock was more akin to an equity instrument and that the economic characteristics and risks of the embedded conversion options were clearly and closely related to the Series A Convert</w:t>
      </w:r>
      <w:r>
        <w:rPr>
          <w:rFonts w:eastAsia="Times New Roman"/>
          <w:color w:val="000000"/>
          <w:sz w:val="20"/>
          <w:szCs w:val="20"/>
        </w:rPr>
        <w:t xml:space="preserve">ible Preferred Stock. As such, the conversion options were not required to be bifurcated from the host under ASC 815, </w:t>
      </w:r>
      <w:r>
        <w:rPr>
          <w:rFonts w:eastAsia="Times New Roman"/>
          <w:i/>
          <w:iCs/>
          <w:color w:val="000000"/>
          <w:sz w:val="20"/>
          <w:szCs w:val="20"/>
        </w:rPr>
        <w:t>Derivatives and Hedging.</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Redemption Rights</w:t>
      </w:r>
      <w:r>
        <w:rPr>
          <w:rFonts w:eastAsia="Times New Roman"/>
          <w:color w:val="000000"/>
          <w:sz w:val="20"/>
          <w:szCs w:val="20"/>
        </w:rPr>
        <w:t xml:space="preserve"> On any date during the three months commencing on and immediately following March 16, 2024 an</w:t>
      </w:r>
      <w:r>
        <w:rPr>
          <w:rFonts w:eastAsia="Times New Roman"/>
          <w:color w:val="000000"/>
          <w:sz w:val="20"/>
          <w:szCs w:val="20"/>
        </w:rPr>
        <w:t>d the three months commencing on and immediately following every third anniversary of March 16, 2024, holders of Series A Convertible Preferred Stock have the right to require the Company to repurchase all or any portion of the Series A Convertible Preferr</w:t>
      </w:r>
      <w:r>
        <w:rPr>
          <w:rFonts w:eastAsia="Times New Roman"/>
          <w:color w:val="000000"/>
          <w:sz w:val="20"/>
          <w:szCs w:val="20"/>
        </w:rPr>
        <w:t>ed Stock at 100% of the liquidation preference thereof plus all accrued but unpaid dividends. Upon certain change of control events involving the Company, holders of Series A Convertible Preferred Stock can require the Company to repurchase, subject to cer</w:t>
      </w:r>
      <w:r>
        <w:rPr>
          <w:rFonts w:eastAsia="Times New Roman"/>
          <w:color w:val="000000"/>
          <w:sz w:val="20"/>
          <w:szCs w:val="20"/>
        </w:rPr>
        <w:t>tain exceptions, all or any portion of the Series A Convertible Preferred Stock at the greater of (1) an amount in cash equal to 100% of the liquidation preference thereof plus all accrued but unpaid dividends and (2) the consideration the holders would ha</w:t>
      </w:r>
      <w:r>
        <w:rPr>
          <w:rFonts w:eastAsia="Times New Roman"/>
          <w:color w:val="000000"/>
          <w:sz w:val="20"/>
          <w:szCs w:val="20"/>
        </w:rPr>
        <w:t>ve received if they had converted their shares of Series A Convertible Preferred Stock into common stock immediately prior to the change of control event.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 has the right, upon certain change of control events involving the Company, to redeem t</w:t>
      </w:r>
      <w:r>
        <w:rPr>
          <w:rFonts w:eastAsia="Times New Roman"/>
          <w:color w:val="000000"/>
          <w:sz w:val="20"/>
          <w:szCs w:val="20"/>
        </w:rPr>
        <w:t>he Series A Convertible Preferred Stock at the greater of (1) an amount in cash equal to the sum of the liquidation preference of the Series A Convertible Preferred Stock, all accrued but unpaid dividends and the present value, discounted at a rate of 10%,</w:t>
      </w:r>
      <w:r>
        <w:rPr>
          <w:rFonts w:eastAsia="Times New Roman"/>
          <w:color w:val="000000"/>
          <w:sz w:val="20"/>
          <w:szCs w:val="20"/>
        </w:rPr>
        <w:t xml:space="preserve"> of any remaining scheduled dividends through the fifth anniversary of the first dividend payment date, assuming the Company chose to pay such dividends in cash (the “make-whole provision”) and (2) the consideration the holders would have received if they </w:t>
      </w:r>
      <w:r>
        <w:rPr>
          <w:rFonts w:eastAsia="Times New Roman"/>
          <w:color w:val="000000"/>
          <w:sz w:val="20"/>
          <w:szCs w:val="20"/>
        </w:rPr>
        <w:t>had converted their shares of Series A Convertible Preferred Stock into common stock immediately prior to the change of control event.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Since the redemption of the Series A Convertible Preferred Stock is contingently or optionally redeemable and therefore</w:t>
      </w:r>
      <w:r>
        <w:rPr>
          <w:rFonts w:eastAsia="Times New Roman"/>
          <w:color w:val="000000"/>
          <w:sz w:val="20"/>
          <w:szCs w:val="20"/>
        </w:rPr>
        <w:t xml:space="preserve"> not certain to occur, the Series A Convertible Preferred Stock is not required to be classified as a liability under ASC 480, </w:t>
      </w:r>
      <w:r>
        <w:rPr>
          <w:rFonts w:eastAsia="Times New Roman"/>
          <w:i/>
          <w:iCs/>
          <w:color w:val="000000"/>
          <w:sz w:val="20"/>
          <w:szCs w:val="20"/>
        </w:rPr>
        <w:t>Distinguishing Liabilities from Equity</w:t>
      </w:r>
      <w:r>
        <w:rPr>
          <w:rFonts w:eastAsia="Times New Roman"/>
          <w:color w:val="000000"/>
          <w:sz w:val="20"/>
          <w:szCs w:val="20"/>
        </w:rPr>
        <w:t>. As the Series A Convertible Preferred Stock is redeemable in certain circumstances at the</w:t>
      </w:r>
      <w:r>
        <w:rPr>
          <w:rFonts w:eastAsia="Times New Roman"/>
          <w:color w:val="000000"/>
          <w:sz w:val="20"/>
          <w:szCs w:val="20"/>
        </w:rPr>
        <w:t xml:space="preserve"> option of the holder and is redeemable in certain circumstances upon the occurrence of an event that is not solely within our control, we have classified the Series A Convertible Preferred Stock in mezzanine equity in the Consolidated Balance Sheets.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As</w:t>
      </w:r>
      <w:r>
        <w:rPr>
          <w:rFonts w:eastAsia="Times New Roman"/>
          <w:color w:val="000000"/>
          <w:sz w:val="20"/>
          <w:szCs w:val="20"/>
        </w:rPr>
        <w:t xml:space="preserve"> noted above, the Company determined that the nature of the Series A Convertible Preferred Stock was more akin to an equity instrument. However, the Company determined that the economic characteristics and risks of the embedded put options, call option and</w:t>
      </w:r>
      <w:r>
        <w:rPr>
          <w:rFonts w:eastAsia="Times New Roman"/>
          <w:color w:val="000000"/>
          <w:sz w:val="20"/>
          <w:szCs w:val="20"/>
        </w:rPr>
        <w:t xml:space="preserve"> make-whole provision were not clearly and closely related to the Series A Convertible Preferred Stock. Therefore, the Company assessed the put and call options further, and determined they did not meet the definition of a derivative under ASC 815, </w:t>
      </w:r>
      <w:r>
        <w:rPr>
          <w:rFonts w:eastAsia="Times New Roman"/>
          <w:i/>
          <w:iCs/>
          <w:color w:val="000000"/>
          <w:sz w:val="20"/>
          <w:szCs w:val="20"/>
        </w:rPr>
        <w:t>Derivat</w:t>
      </w:r>
      <w:r>
        <w:rPr>
          <w:rFonts w:eastAsia="Times New Roman"/>
          <w:i/>
          <w:iCs/>
          <w:color w:val="000000"/>
          <w:sz w:val="20"/>
          <w:szCs w:val="20"/>
        </w:rPr>
        <w:t>ives and Hedging.</w:t>
      </w:r>
      <w:r>
        <w:rPr>
          <w:rFonts w:eastAsia="Times New Roman"/>
          <w:color w:val="000000"/>
          <w:sz w:val="20"/>
          <w:szCs w:val="20"/>
        </w:rPr>
        <w:t xml:space="preserve"> Under the same analysis, the Company determined the make-whole provision did meet the definition of a derivative, but that the value of the derivative was minimal due to the expectations surrounding the scenarios under which the call opti</w:t>
      </w:r>
      <w:r>
        <w:rPr>
          <w:rFonts w:eastAsia="Times New Roman"/>
          <w:color w:val="000000"/>
          <w:sz w:val="20"/>
          <w:szCs w:val="20"/>
        </w:rPr>
        <w:t>on and make-whole provision would be exercised.</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Voting Rights</w:t>
      </w:r>
      <w:r>
        <w:rPr>
          <w:rFonts w:eastAsia="Times New Roman"/>
          <w:color w:val="000000"/>
          <w:sz w:val="20"/>
          <w:szCs w:val="20"/>
        </w:rPr>
        <w:t xml:space="preserve"> Holders of Series A Convertible Preferred Stock are entitled to vote with the holders of the common stock on an as-converted basis. Holders of Series A Convertible Preferred Stock are entitled</w:t>
      </w:r>
      <w:r>
        <w:rPr>
          <w:rFonts w:eastAsia="Times New Roman"/>
          <w:color w:val="000000"/>
          <w:sz w:val="20"/>
          <w:szCs w:val="20"/>
        </w:rPr>
        <w:t xml:space="preserve"> to a separate class vote with respect to </w:t>
      </w:r>
    </w:p>
    <w:p w:rsidR="00000000" w:rsidRDefault="006F0EF5">
      <w:pPr>
        <w:jc w:val="center"/>
        <w:divId w:val="285819910"/>
        <w:rPr>
          <w:rFonts w:eastAsia="Times New Roman"/>
        </w:rPr>
      </w:pPr>
      <w:r>
        <w:rPr>
          <w:rFonts w:eastAsia="Times New Roman"/>
          <w:color w:val="000000"/>
          <w:sz w:val="20"/>
          <w:szCs w:val="20"/>
        </w:rPr>
        <w:t>114</w:t>
      </w:r>
    </w:p>
    <w:p w:rsidR="00000000" w:rsidRDefault="006F0EF5">
      <w:pPr>
        <w:rPr>
          <w:rFonts w:eastAsia="Times New Roman"/>
        </w:rPr>
      </w:pPr>
      <w:r>
        <w:rPr>
          <w:rFonts w:eastAsia="Times New Roman"/>
        </w:rPr>
        <w:pict>
          <v:rect id="_x0000_i1143" style="width:0;height:1.5pt" o:hralign="center" o:hrstd="t" o:hr="t" fillcolor="#a0a0a0" stroked="f"/>
        </w:pict>
      </w:r>
    </w:p>
    <w:p w:rsidR="00000000" w:rsidRDefault="006F0EF5">
      <w:pPr>
        <w:divId w:val="77872022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32272492"/>
        <w:rPr>
          <w:rFonts w:eastAsia="Times New Roman"/>
        </w:rPr>
      </w:pPr>
      <w:r>
        <w:rPr>
          <w:rFonts w:eastAsia="Times New Roman"/>
          <w:b/>
          <w:bCs/>
          <w:color w:val="000000"/>
          <w:sz w:val="20"/>
          <w:szCs w:val="20"/>
        </w:rPr>
        <w:t>NCR Corporation</w:t>
      </w:r>
    </w:p>
    <w:p w:rsidR="00000000" w:rsidRDefault="006F0EF5">
      <w:pPr>
        <w:jc w:val="center"/>
        <w:divId w:val="32272492"/>
        <w:rPr>
          <w:rFonts w:eastAsia="Times New Roman"/>
        </w:rPr>
      </w:pPr>
      <w:r>
        <w:rPr>
          <w:rFonts w:eastAsia="Times New Roman"/>
          <w:b/>
          <w:bCs/>
          <w:color w:val="000000"/>
          <w:sz w:val="20"/>
          <w:szCs w:val="20"/>
        </w:rPr>
        <w:t>Notes to Consolidated Financial Statements-(Continued)</w:t>
      </w:r>
    </w:p>
    <w:p w:rsidR="00000000" w:rsidRDefault="006F0EF5">
      <w:pPr>
        <w:jc w:val="center"/>
        <w:divId w:val="32272492"/>
        <w:rPr>
          <w:rFonts w:eastAsia="Times New Roman"/>
        </w:rPr>
      </w:pPr>
    </w:p>
    <w:p w:rsidR="00000000" w:rsidRDefault="006F0EF5">
      <w:pPr>
        <w:jc w:val="center"/>
        <w:divId w:val="32272492"/>
        <w:rPr>
          <w:rFonts w:eastAsia="Times New Roman"/>
        </w:rPr>
      </w:pPr>
    </w:p>
    <w:p w:rsidR="00000000" w:rsidRDefault="006F0EF5">
      <w:pPr>
        <w:divId w:val="2075809204"/>
        <w:rPr>
          <w:rFonts w:eastAsia="Times New Roman"/>
        </w:rPr>
      </w:pPr>
    </w:p>
    <w:p w:rsidR="00000000" w:rsidRDefault="006F0EF5">
      <w:pPr>
        <w:jc w:val="both"/>
        <w:rPr>
          <w:rFonts w:eastAsia="Times New Roman"/>
        </w:rPr>
      </w:pPr>
      <w:r>
        <w:rPr>
          <w:rFonts w:eastAsia="Times New Roman"/>
          <w:color w:val="000000"/>
          <w:sz w:val="20"/>
          <w:szCs w:val="20"/>
        </w:rPr>
        <w:t>amendments to the Company’</w:t>
      </w:r>
      <w:r>
        <w:rPr>
          <w:rFonts w:eastAsia="Times New Roman"/>
          <w:color w:val="000000"/>
          <w:sz w:val="20"/>
          <w:szCs w:val="20"/>
        </w:rPr>
        <w:t>s organizational documents that have an adverse effect on the Series A Convertible Preferred Stock and issuances by the Company of securities that are senior to, or equal in priority with, the Series A Convertible Preferred Stock.</w:t>
      </w:r>
    </w:p>
    <w:p w:rsidR="00000000" w:rsidRDefault="006F0EF5">
      <w:pPr>
        <w:jc w:val="both"/>
        <w:rPr>
          <w:rFonts w:eastAsia="Times New Roman"/>
        </w:rPr>
      </w:pPr>
    </w:p>
    <w:p w:rsidR="00000000" w:rsidRDefault="006F0EF5">
      <w:pPr>
        <w:divId w:val="457115826"/>
        <w:rPr>
          <w:rFonts w:eastAsia="Times New Roman"/>
        </w:rPr>
      </w:pPr>
      <w:r>
        <w:rPr>
          <w:rFonts w:eastAsia="Times New Roman"/>
          <w:b/>
          <w:bCs/>
          <w:color w:val="7ACE05"/>
          <w:sz w:val="20"/>
          <w:szCs w:val="20"/>
        </w:rPr>
        <w:t>13. DERIVATIVES AND HED</w:t>
      </w:r>
      <w:r>
        <w:rPr>
          <w:rFonts w:eastAsia="Times New Roman"/>
          <w:b/>
          <w:bCs/>
          <w:color w:val="7ACE05"/>
          <w:sz w:val="20"/>
          <w:szCs w:val="20"/>
        </w:rPr>
        <w:t xml:space="preserve">GING INSTRUMENTS </w:t>
      </w:r>
    </w:p>
    <w:p w:rsidR="00000000" w:rsidRDefault="006F0EF5">
      <w:pPr>
        <w:divId w:val="443765458"/>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NCR is exposed to certain risks arising from both our business operations and economic conditions. We principally manage exposures to a wide variety of business and operational risk through management of core business activities. We man</w:t>
      </w:r>
      <w:r>
        <w:rPr>
          <w:rFonts w:eastAsia="Times New Roman"/>
          <w:color w:val="000000"/>
          <w:sz w:val="20"/>
          <w:szCs w:val="20"/>
          <w:shd w:val="clear" w:color="auto" w:fill="FFFFFF"/>
        </w:rPr>
        <w:t>age interest rate risk associated with our vault cash rental obligations and floating rate-debt by managing the amount, sources, and duration of debt funding and the use of derivative financial instruments. To manage differences in the amount, timing and d</w:t>
      </w:r>
      <w:r>
        <w:rPr>
          <w:rFonts w:eastAsia="Times New Roman"/>
          <w:color w:val="000000"/>
          <w:sz w:val="20"/>
          <w:szCs w:val="20"/>
          <w:shd w:val="clear" w:color="auto" w:fill="FFFFFF"/>
        </w:rPr>
        <w:t xml:space="preserve">uration of known or expected cash payments related to our existing Term Loan A and vault cash agreements, we entered into interest rate cap agreements in the third quarter of 2021.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Further, a substantial portion of our operations and revenue occur outsi</w:t>
      </w:r>
      <w:r>
        <w:rPr>
          <w:rFonts w:eastAsia="Times New Roman"/>
          <w:color w:val="000000"/>
          <w:sz w:val="20"/>
          <w:szCs w:val="20"/>
          <w:shd w:val="clear" w:color="auto" w:fill="FFFFFF"/>
        </w:rPr>
        <w:t>de the United States and, as such, NCR has exposure to approximately 50 functional currencies. Our results can be significantly impacted, both positively and negatively, by changes in foreign currency exchange rates. The Company seeks to mitigate such impa</w:t>
      </w:r>
      <w:r>
        <w:rPr>
          <w:rFonts w:eastAsia="Times New Roman"/>
          <w:color w:val="000000"/>
          <w:sz w:val="20"/>
          <w:szCs w:val="20"/>
          <w:shd w:val="clear" w:color="auto" w:fill="FFFFFF"/>
        </w:rPr>
        <w:t>ct by hedging its foreign currency transaction exposure using foreign currency forward and option contracts. We do not enter into hedges for speculative purposes.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shd w:val="clear" w:color="auto" w:fill="FFFFFF"/>
        </w:rPr>
        <w:t xml:space="preserve">Foreign Currency Exchange Risk </w:t>
      </w:r>
      <w:r>
        <w:rPr>
          <w:rFonts w:eastAsia="Times New Roman"/>
          <w:color w:val="000000"/>
          <w:sz w:val="20"/>
          <w:szCs w:val="20"/>
          <w:shd w:val="clear" w:color="auto" w:fill="FFFFFF"/>
        </w:rPr>
        <w:t>The accounting guidance for derivatives and hedging requires</w:t>
      </w:r>
      <w:r>
        <w:rPr>
          <w:rFonts w:eastAsia="Times New Roman"/>
          <w:color w:val="000000"/>
          <w:sz w:val="20"/>
          <w:szCs w:val="20"/>
          <w:shd w:val="clear" w:color="auto" w:fill="FFFFFF"/>
        </w:rPr>
        <w:t xml:space="preserve"> companies to recognize all derivative instruments as either assets or liabilities at fair value in the Consolidated Balance Sheets. The Company designates foreign exchange contracts as cash flow hedges of forecasted transactions when they are determined t</w:t>
      </w:r>
      <w:r>
        <w:rPr>
          <w:rFonts w:eastAsia="Times New Roman"/>
          <w:color w:val="000000"/>
          <w:sz w:val="20"/>
          <w:szCs w:val="20"/>
          <w:shd w:val="clear" w:color="auto" w:fill="FFFFFF"/>
        </w:rPr>
        <w:t>o be highly effective at inception.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Our risk management strategy includes hedging, on behalf of certain subsidiaries, a portion of our forecasted, non-functional currency denominated cash flows for a period of up to 15 months. As a result, some of the im</w:t>
      </w:r>
      <w:r>
        <w:rPr>
          <w:rFonts w:eastAsia="Times New Roman"/>
          <w:color w:val="000000"/>
          <w:sz w:val="20"/>
          <w:szCs w:val="20"/>
          <w:shd w:val="clear" w:color="auto" w:fill="FFFFFF"/>
        </w:rPr>
        <w:t>pact of currency fluctuations on non-functional currency denominated transactions (and hence on subsidiary operating income, as stated in the functional currency), is mitigated in the near term. In the longer term (greater than 15 months), the subsidiaries</w:t>
      </w:r>
      <w:r>
        <w:rPr>
          <w:rFonts w:eastAsia="Times New Roman"/>
          <w:color w:val="000000"/>
          <w:sz w:val="20"/>
          <w:szCs w:val="20"/>
          <w:shd w:val="clear" w:color="auto" w:fill="FFFFFF"/>
        </w:rPr>
        <w:t xml:space="preserve"> are still subject to the effect of translating the functional currency results to United States Dollars. To manage our exposures and mitigate the impact of currency fluctuations on the operations of our foreign subsidiaries, we hedge our main transactiona</w:t>
      </w:r>
      <w:r>
        <w:rPr>
          <w:rFonts w:eastAsia="Times New Roman"/>
          <w:color w:val="000000"/>
          <w:sz w:val="20"/>
          <w:szCs w:val="20"/>
          <w:shd w:val="clear" w:color="auto" w:fill="FFFFFF"/>
        </w:rPr>
        <w:t xml:space="preserve">l exposures through the use of foreign exchange forward and option contracts. This is primarily done through the hedging of foreign currency denominated inter-company inventory purchases by NCR’s marketing units and the foreign currency denominated inputs </w:t>
      </w:r>
      <w:r>
        <w:rPr>
          <w:rFonts w:eastAsia="Times New Roman"/>
          <w:color w:val="000000"/>
          <w:sz w:val="20"/>
          <w:szCs w:val="20"/>
          <w:shd w:val="clear" w:color="auto" w:fill="FFFFFF"/>
        </w:rPr>
        <w:t>to our manufacturing units. If the hedge is designated as a highly effective cash flow hedge, the gains or losses are deferred into accumulated other comprehensive income (</w:t>
      </w:r>
      <w:r>
        <w:rPr>
          <w:rFonts w:eastAsia="Times New Roman"/>
          <w:color w:val="000000"/>
          <w:sz w:val="20"/>
          <w:szCs w:val="20"/>
        </w:rPr>
        <w:t>“</w:t>
      </w:r>
      <w:r>
        <w:rPr>
          <w:rFonts w:eastAsia="Times New Roman"/>
          <w:color w:val="000000"/>
          <w:sz w:val="20"/>
          <w:szCs w:val="20"/>
          <w:shd w:val="clear" w:color="auto" w:fill="FFFFFF"/>
        </w:rPr>
        <w:t>AOCI</w:t>
      </w:r>
      <w:r>
        <w:rPr>
          <w:rFonts w:eastAsia="Times New Roman"/>
          <w:color w:val="000000"/>
          <w:sz w:val="20"/>
          <w:szCs w:val="20"/>
        </w:rPr>
        <w:t>”</w:t>
      </w:r>
      <w:r>
        <w:rPr>
          <w:rFonts w:eastAsia="Times New Roman"/>
          <w:color w:val="000000"/>
          <w:sz w:val="20"/>
          <w:szCs w:val="20"/>
          <w:shd w:val="clear" w:color="auto" w:fill="FFFFFF"/>
        </w:rPr>
        <w:t>). The gains or losses from derivative contracts that are designated as highly</w:t>
      </w:r>
      <w:r>
        <w:rPr>
          <w:rFonts w:eastAsia="Times New Roman"/>
          <w:color w:val="000000"/>
          <w:sz w:val="20"/>
          <w:szCs w:val="20"/>
          <w:shd w:val="clear" w:color="auto" w:fill="FFFFFF"/>
        </w:rPr>
        <w:t xml:space="preserve"> effective cash flow hedges related to inventory purchases are recorded in cost of products when the inventory is sold to an unrelated third party. Otherwise, they are recorded in earnings when the exchange rates change. As of December 31, 2021, the balanc</w:t>
      </w:r>
      <w:r>
        <w:rPr>
          <w:rFonts w:eastAsia="Times New Roman"/>
          <w:color w:val="000000"/>
          <w:sz w:val="20"/>
          <w:szCs w:val="20"/>
          <w:shd w:val="clear" w:color="auto" w:fill="FFFFFF"/>
        </w:rPr>
        <w:t xml:space="preserve">e in AOCI related to foreign exchange derivative contracts was </w:t>
      </w:r>
      <w:r>
        <w:rPr>
          <w:rFonts w:eastAsia="Times New Roman"/>
          <w:color w:val="000000"/>
          <w:sz w:val="20"/>
          <w:szCs w:val="20"/>
        </w:rPr>
        <w:t xml:space="preserve">zero.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also utilize foreign exchange contracts to hedge our exposure of assets and liabilities denominated in non-functional currencies. We recognize the gains and losses on these types of</w:t>
      </w:r>
      <w:r>
        <w:rPr>
          <w:rFonts w:eastAsia="Times New Roman"/>
          <w:color w:val="000000"/>
          <w:sz w:val="20"/>
          <w:szCs w:val="20"/>
        </w:rPr>
        <w:t xml:space="preserve"> hedges in earnings as exchange rates change.</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 xml:space="preserve">Interest Rate Risk </w:t>
      </w:r>
      <w:r>
        <w:rPr>
          <w:rFonts w:eastAsia="Times New Roman"/>
          <w:color w:val="000000"/>
          <w:sz w:val="20"/>
          <w:szCs w:val="20"/>
        </w:rPr>
        <w:t>The Company designates interest rate contracts as cash flow hedges of forecasted transactions when they are determined to be highly effective at inception.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utilize interest rate cap ag</w:t>
      </w:r>
      <w:r>
        <w:rPr>
          <w:rFonts w:eastAsia="Times New Roman"/>
          <w:color w:val="000000"/>
          <w:sz w:val="20"/>
          <w:szCs w:val="20"/>
        </w:rPr>
        <w:t>reements to add stability to interest expense and to manage exposure to interest rate movements as part of our interest rate risk management strategy. Interest rate cap contracts outstanding as of December 31, 2021 mature in July 2024. Payments and receipt</w:t>
      </w:r>
      <w:r>
        <w:rPr>
          <w:rFonts w:eastAsia="Times New Roman"/>
          <w:color w:val="000000"/>
          <w:sz w:val="20"/>
          <w:szCs w:val="20"/>
        </w:rPr>
        <w:t xml:space="preserve">s related to interest rate cap agreements are included in cash flows from operating activities in the Consolidated Statements of Cash Flows.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At December 31, 2021, each of our outstanding interest rate cap agreements were determined to be highly effectiv</w:t>
      </w:r>
      <w:r>
        <w:rPr>
          <w:rFonts w:eastAsia="Times New Roman"/>
          <w:color w:val="000000"/>
          <w:sz w:val="20"/>
          <w:szCs w:val="20"/>
        </w:rPr>
        <w:t>e. Amounts reported in Accumulated other comprehensive income related to these derivatives will be reclassified to Interest expense and Cost of products as payments are made on the Company’s variable-rate debt and vault cash rental obligations, respectivel</w:t>
      </w:r>
      <w:r>
        <w:rPr>
          <w:rFonts w:eastAsia="Times New Roman"/>
          <w:color w:val="000000"/>
          <w:sz w:val="20"/>
          <w:szCs w:val="20"/>
        </w:rPr>
        <w:t>y. As of December 31, 2021, the balance in AOCI related to interest rate derivatives was $8 million. We elected to amortize the premium paid for the interest rate cap agreements straight-line over the life of the interest rate contracts.</w:t>
      </w:r>
    </w:p>
    <w:p w:rsidR="00000000" w:rsidRDefault="006F0EF5">
      <w:pPr>
        <w:jc w:val="center"/>
        <w:divId w:val="1634673639"/>
        <w:rPr>
          <w:rFonts w:eastAsia="Times New Roman"/>
        </w:rPr>
      </w:pPr>
      <w:r>
        <w:rPr>
          <w:rFonts w:eastAsia="Times New Roman"/>
          <w:color w:val="000000"/>
          <w:sz w:val="20"/>
          <w:szCs w:val="20"/>
        </w:rPr>
        <w:t>115</w:t>
      </w:r>
    </w:p>
    <w:p w:rsidR="00000000" w:rsidRDefault="006F0EF5">
      <w:pPr>
        <w:rPr>
          <w:rFonts w:eastAsia="Times New Roman"/>
        </w:rPr>
      </w:pPr>
      <w:r>
        <w:rPr>
          <w:rFonts w:eastAsia="Times New Roman"/>
        </w:rPr>
        <w:pict>
          <v:rect id="_x0000_i1144" style="width:0;height:1.5pt" o:hralign="center" o:hrstd="t" o:hr="t" fillcolor="#a0a0a0" stroked="f"/>
        </w:pict>
      </w:r>
    </w:p>
    <w:p w:rsidR="00000000" w:rsidRDefault="006F0EF5">
      <w:pPr>
        <w:divId w:val="184570941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671496235"/>
        <w:rPr>
          <w:rFonts w:eastAsia="Times New Roman"/>
        </w:rPr>
      </w:pPr>
      <w:r>
        <w:rPr>
          <w:rFonts w:eastAsia="Times New Roman"/>
          <w:b/>
          <w:bCs/>
          <w:color w:val="000000"/>
          <w:sz w:val="20"/>
          <w:szCs w:val="20"/>
        </w:rPr>
        <w:t>NCR Corporation</w:t>
      </w:r>
    </w:p>
    <w:p w:rsidR="00000000" w:rsidRDefault="006F0EF5">
      <w:pPr>
        <w:jc w:val="center"/>
        <w:divId w:val="671496235"/>
        <w:rPr>
          <w:rFonts w:eastAsia="Times New Roman"/>
        </w:rPr>
      </w:pPr>
      <w:r>
        <w:rPr>
          <w:rFonts w:eastAsia="Times New Roman"/>
          <w:b/>
          <w:bCs/>
          <w:color w:val="000000"/>
          <w:sz w:val="20"/>
          <w:szCs w:val="20"/>
        </w:rPr>
        <w:t>Notes to Consolidated Financial Statements-(Continued)</w:t>
      </w:r>
    </w:p>
    <w:p w:rsidR="00000000" w:rsidRDefault="006F0EF5">
      <w:pPr>
        <w:jc w:val="center"/>
        <w:divId w:val="671496235"/>
        <w:rPr>
          <w:rFonts w:eastAsia="Times New Roman"/>
        </w:rPr>
      </w:pPr>
    </w:p>
    <w:p w:rsidR="00000000" w:rsidRDefault="006F0EF5">
      <w:pPr>
        <w:jc w:val="center"/>
        <w:divId w:val="671496235"/>
        <w:rPr>
          <w:rFonts w:eastAsia="Times New Roman"/>
        </w:rPr>
      </w:pPr>
    </w:p>
    <w:p w:rsidR="00000000" w:rsidRDefault="006F0EF5">
      <w:pPr>
        <w:divId w:val="502822427"/>
        <w:rPr>
          <w:rFonts w:eastAsia="Times New Roman"/>
        </w:rPr>
      </w:pPr>
    </w:p>
    <w:p w:rsidR="00000000" w:rsidRDefault="006F0EF5">
      <w:pPr>
        <w:jc w:val="both"/>
        <w:divId w:val="1908759597"/>
        <w:rPr>
          <w:rFonts w:eastAsia="Times New Roman"/>
        </w:rPr>
      </w:pPr>
      <w:r>
        <w:rPr>
          <w:rFonts w:eastAsia="Times New Roman"/>
          <w:color w:val="000000"/>
          <w:sz w:val="20"/>
          <w:szCs w:val="20"/>
        </w:rPr>
        <w:t>The following tables provide information on the location and amounts of derivative fair values in the Consolidated Balance Sheets:</w:t>
      </w:r>
    </w:p>
    <w:tbl>
      <w:tblPr>
        <w:tblW w:w="4978" w:type="pct"/>
        <w:tblCellMar>
          <w:top w:w="15" w:type="dxa"/>
          <w:left w:w="15" w:type="dxa"/>
          <w:bottom w:w="15" w:type="dxa"/>
          <w:right w:w="15" w:type="dxa"/>
        </w:tblCellMar>
        <w:tblLook w:val="04A0" w:firstRow="1" w:lastRow="0" w:firstColumn="1" w:lastColumn="0" w:noHBand="0" w:noVBand="1"/>
      </w:tblPr>
      <w:tblGrid>
        <w:gridCol w:w="38"/>
        <w:gridCol w:w="2274"/>
        <w:gridCol w:w="36"/>
        <w:gridCol w:w="53"/>
        <w:gridCol w:w="1384"/>
        <w:gridCol w:w="36"/>
        <w:gridCol w:w="36"/>
        <w:gridCol w:w="36"/>
        <w:gridCol w:w="36"/>
        <w:gridCol w:w="120"/>
        <w:gridCol w:w="500"/>
        <w:gridCol w:w="36"/>
        <w:gridCol w:w="36"/>
        <w:gridCol w:w="36"/>
        <w:gridCol w:w="36"/>
        <w:gridCol w:w="121"/>
        <w:gridCol w:w="357"/>
        <w:gridCol w:w="36"/>
        <w:gridCol w:w="36"/>
        <w:gridCol w:w="36"/>
        <w:gridCol w:w="36"/>
        <w:gridCol w:w="46"/>
        <w:gridCol w:w="1454"/>
        <w:gridCol w:w="36"/>
        <w:gridCol w:w="36"/>
        <w:gridCol w:w="36"/>
        <w:gridCol w:w="36"/>
        <w:gridCol w:w="121"/>
        <w:gridCol w:w="531"/>
        <w:gridCol w:w="36"/>
        <w:gridCol w:w="36"/>
        <w:gridCol w:w="36"/>
        <w:gridCol w:w="36"/>
        <w:gridCol w:w="121"/>
        <w:gridCol w:w="357"/>
        <w:gridCol w:w="36"/>
      </w:tblGrid>
      <w:tr w:rsidR="00000000">
        <w:trPr>
          <w:divId w:val="254171611"/>
        </w:trPr>
        <w:tc>
          <w:tcPr>
            <w:tcW w:w="50" w:type="pct"/>
            <w:vAlign w:val="center"/>
            <w:hideMark/>
          </w:tcPr>
          <w:p w:rsidR="00000000" w:rsidRDefault="006F0EF5">
            <w:pPr>
              <w:jc w:val="both"/>
              <w:rPr>
                <w:rFonts w:eastAsia="Times New Roman"/>
              </w:rPr>
            </w:pPr>
          </w:p>
        </w:tc>
        <w:tc>
          <w:tcPr>
            <w:tcW w:w="142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9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0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03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0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54171611"/>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Values of Derivative Instruments</w:t>
            </w:r>
          </w:p>
        </w:tc>
      </w:tr>
      <w:tr w:rsidR="00000000">
        <w:trPr>
          <w:divId w:val="254171611"/>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r>
      <w:tr w:rsidR="00000000">
        <w:trPr>
          <w:divId w:val="254171611"/>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divId w:val="1570262341"/>
              <w:rPr>
                <w:rFonts w:eastAsia="Times New Roman"/>
              </w:rPr>
            </w:pPr>
            <w:r>
              <w:rPr>
                <w:rFonts w:eastAsia="Times New Roman"/>
                <w:b/>
                <w:bCs/>
                <w:color w:val="000000"/>
                <w:sz w:val="16"/>
                <w:szCs w:val="16"/>
              </w:rPr>
              <w:t>Balance Sheet</w:t>
            </w:r>
          </w:p>
          <w:p w:rsidR="00000000" w:rsidRDefault="006F0EF5">
            <w:pPr>
              <w:spacing w:after="100"/>
              <w:jc w:val="center"/>
              <w:divId w:val="1969628871"/>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divId w:val="730814595"/>
              <w:rPr>
                <w:rFonts w:eastAsia="Times New Roman"/>
              </w:rPr>
            </w:pPr>
            <w:r>
              <w:rPr>
                <w:rFonts w:eastAsia="Times New Roman"/>
                <w:b/>
                <w:bCs/>
                <w:color w:val="000000"/>
                <w:sz w:val="16"/>
                <w:szCs w:val="16"/>
              </w:rPr>
              <w:t>Balance Sheet</w:t>
            </w:r>
          </w:p>
          <w:p w:rsidR="00000000" w:rsidRDefault="006F0EF5">
            <w:pPr>
              <w:spacing w:after="100"/>
              <w:jc w:val="center"/>
              <w:divId w:val="1318999405"/>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254171611"/>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54171611"/>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254171611"/>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xml:space="preserve">Interest rate contracts </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assets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54171611"/>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254171611"/>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54171611"/>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54171611"/>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54171611"/>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54171611"/>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54171611"/>
          <w:trHeight w:val="280"/>
        </w:trPr>
        <w:tc>
          <w:tcPr>
            <w:tcW w:w="0" w:type="auto"/>
            <w:gridSpan w:val="3"/>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54171611"/>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Values of Derivative Instruments</w:t>
            </w:r>
          </w:p>
        </w:tc>
      </w:tr>
      <w:tr w:rsidR="00000000">
        <w:trPr>
          <w:divId w:val="254171611"/>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r>
      <w:tr w:rsidR="00000000">
        <w:trPr>
          <w:divId w:val="254171611"/>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divId w:val="1704818385"/>
              <w:rPr>
                <w:rFonts w:eastAsia="Times New Roman"/>
              </w:rPr>
            </w:pPr>
            <w:r>
              <w:rPr>
                <w:rFonts w:eastAsia="Times New Roman"/>
                <w:b/>
                <w:bCs/>
                <w:color w:val="000000"/>
                <w:sz w:val="16"/>
                <w:szCs w:val="16"/>
              </w:rPr>
              <w:t>Balance Sheet</w:t>
            </w:r>
          </w:p>
          <w:p w:rsidR="00000000" w:rsidRDefault="006F0EF5">
            <w:pPr>
              <w:spacing w:after="100"/>
              <w:jc w:val="center"/>
              <w:divId w:val="1543126866"/>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divId w:val="1502308436"/>
              <w:rPr>
                <w:rFonts w:eastAsia="Times New Roman"/>
              </w:rPr>
            </w:pPr>
            <w:r>
              <w:rPr>
                <w:rFonts w:eastAsia="Times New Roman"/>
                <w:b/>
                <w:bCs/>
                <w:color w:val="000000"/>
                <w:sz w:val="16"/>
                <w:szCs w:val="16"/>
              </w:rPr>
              <w:t>Balance Sheet</w:t>
            </w:r>
          </w:p>
          <w:p w:rsidR="00000000" w:rsidRDefault="006F0EF5">
            <w:pPr>
              <w:spacing w:after="100"/>
              <w:jc w:val="center"/>
              <w:divId w:val="321467431"/>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254171611"/>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54171611"/>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254171611"/>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Foreign exchange contracts</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54171611"/>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54171611"/>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54171611"/>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54171611"/>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54171611"/>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358700872"/>
        <w:rPr>
          <w:rFonts w:eastAsia="Times New Roman"/>
        </w:rPr>
      </w:pPr>
    </w:p>
    <w:p w:rsidR="00000000" w:rsidRDefault="006F0EF5">
      <w:pPr>
        <w:divId w:val="1367677641"/>
        <w:rPr>
          <w:rFonts w:eastAsia="Times New Roman"/>
        </w:rPr>
      </w:pPr>
    </w:p>
    <w:p w:rsidR="00000000" w:rsidRDefault="006F0EF5">
      <w:pPr>
        <w:divId w:val="691994801"/>
        <w:rPr>
          <w:rFonts w:eastAsia="Times New Roman"/>
        </w:rPr>
      </w:pPr>
    </w:p>
    <w:p w:rsidR="00000000" w:rsidRDefault="006F0EF5">
      <w:pPr>
        <w:divId w:val="2094812324"/>
        <w:rPr>
          <w:rFonts w:eastAsia="Times New Roman"/>
        </w:rPr>
      </w:pPr>
    </w:p>
    <w:p w:rsidR="00000000" w:rsidRDefault="006F0EF5">
      <w:pPr>
        <w:divId w:val="1127506821"/>
        <w:rPr>
          <w:rFonts w:eastAsia="Times New Roman"/>
        </w:rPr>
      </w:pPr>
    </w:p>
    <w:p w:rsidR="00000000" w:rsidRDefault="006F0EF5">
      <w:pPr>
        <w:divId w:val="324212440"/>
        <w:rPr>
          <w:rFonts w:eastAsia="Times New Roman"/>
        </w:rPr>
      </w:pPr>
    </w:p>
    <w:p w:rsidR="00000000" w:rsidRDefault="006F0EF5">
      <w:pPr>
        <w:divId w:val="1978802698"/>
        <w:rPr>
          <w:rFonts w:eastAsia="Times New Roman"/>
        </w:rPr>
      </w:pPr>
    </w:p>
    <w:p w:rsidR="00000000" w:rsidRDefault="006F0EF5">
      <w:pPr>
        <w:divId w:val="2096707323"/>
        <w:rPr>
          <w:rFonts w:eastAsia="Times New Roman"/>
        </w:rPr>
      </w:pPr>
    </w:p>
    <w:p w:rsidR="00000000" w:rsidRDefault="006F0EF5">
      <w:pPr>
        <w:divId w:val="1250509036"/>
        <w:rPr>
          <w:rFonts w:eastAsia="Times New Roman"/>
        </w:rPr>
      </w:pPr>
    </w:p>
    <w:p w:rsidR="00000000" w:rsidRDefault="006F0EF5">
      <w:pPr>
        <w:jc w:val="center"/>
        <w:divId w:val="1123109445"/>
        <w:rPr>
          <w:rFonts w:eastAsia="Times New Roman"/>
        </w:rPr>
      </w:pPr>
      <w:r>
        <w:rPr>
          <w:rFonts w:eastAsia="Times New Roman"/>
          <w:color w:val="000000"/>
          <w:sz w:val="20"/>
          <w:szCs w:val="20"/>
        </w:rPr>
        <w:t>116</w:t>
      </w:r>
    </w:p>
    <w:p w:rsidR="00000000" w:rsidRDefault="006F0EF5">
      <w:pPr>
        <w:rPr>
          <w:rFonts w:eastAsia="Times New Roman"/>
        </w:rPr>
      </w:pPr>
      <w:r>
        <w:rPr>
          <w:rFonts w:eastAsia="Times New Roman"/>
        </w:rPr>
        <w:pict>
          <v:rect id="_x0000_i1145" style="width:0;height:1.5pt" o:hralign="center" o:hrstd="t" o:hr="t" fillcolor="#a0a0a0" stroked="f"/>
        </w:pict>
      </w:r>
    </w:p>
    <w:p w:rsidR="00000000" w:rsidRDefault="006F0EF5">
      <w:pPr>
        <w:divId w:val="165487441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885680503"/>
        <w:rPr>
          <w:rFonts w:eastAsia="Times New Roman"/>
        </w:rPr>
      </w:pPr>
      <w:r>
        <w:rPr>
          <w:rFonts w:eastAsia="Times New Roman"/>
          <w:b/>
          <w:bCs/>
          <w:color w:val="000000"/>
          <w:sz w:val="20"/>
          <w:szCs w:val="20"/>
        </w:rPr>
        <w:t>NCR Corporation</w:t>
      </w:r>
    </w:p>
    <w:p w:rsidR="00000000" w:rsidRDefault="006F0EF5">
      <w:pPr>
        <w:jc w:val="center"/>
        <w:divId w:val="885680503"/>
        <w:rPr>
          <w:rFonts w:eastAsia="Times New Roman"/>
        </w:rPr>
      </w:pPr>
      <w:r>
        <w:rPr>
          <w:rFonts w:eastAsia="Times New Roman"/>
          <w:b/>
          <w:bCs/>
          <w:color w:val="000000"/>
          <w:sz w:val="20"/>
          <w:szCs w:val="20"/>
        </w:rPr>
        <w:t>Notes to Consolidated Financial Statements-(Continued)</w:t>
      </w:r>
    </w:p>
    <w:p w:rsidR="00000000" w:rsidRDefault="006F0EF5">
      <w:pPr>
        <w:jc w:val="center"/>
        <w:divId w:val="885680503"/>
        <w:rPr>
          <w:rFonts w:eastAsia="Times New Roman"/>
        </w:rPr>
      </w:pPr>
    </w:p>
    <w:p w:rsidR="00000000" w:rsidRDefault="006F0EF5">
      <w:pPr>
        <w:jc w:val="center"/>
        <w:divId w:val="885680503"/>
        <w:rPr>
          <w:rFonts w:eastAsia="Times New Roman"/>
        </w:rPr>
      </w:pPr>
    </w:p>
    <w:p w:rsidR="00000000" w:rsidRDefault="006F0EF5">
      <w:pPr>
        <w:divId w:val="235437870"/>
        <w:rPr>
          <w:rFonts w:eastAsia="Times New Roman"/>
        </w:rPr>
      </w:pPr>
    </w:p>
    <w:p w:rsidR="00000000" w:rsidRDefault="006F0EF5">
      <w:pPr>
        <w:divId w:val="504175459"/>
        <w:rPr>
          <w:rFonts w:eastAsia="Times New Roman"/>
        </w:rPr>
      </w:pPr>
    </w:p>
    <w:p w:rsidR="00000000" w:rsidRDefault="006F0EF5">
      <w:pPr>
        <w:jc w:val="both"/>
        <w:rPr>
          <w:rFonts w:eastAsia="Times New Roman"/>
        </w:rPr>
      </w:pPr>
      <w:r>
        <w:rPr>
          <w:rFonts w:eastAsia="Times New Roman"/>
          <w:color w:val="000000"/>
          <w:sz w:val="20"/>
          <w:szCs w:val="20"/>
        </w:rPr>
        <w:t>The effects of derivative instruments on the Consolidated Statements of Operations for the years ended December 31 were as follows:</w:t>
      </w:r>
    </w:p>
    <w:tbl>
      <w:tblPr>
        <w:tblW w:w="5000" w:type="pct"/>
        <w:tblCellMar>
          <w:top w:w="15" w:type="dxa"/>
          <w:left w:w="15" w:type="dxa"/>
          <w:bottom w:w="15" w:type="dxa"/>
          <w:right w:w="15" w:type="dxa"/>
        </w:tblCellMar>
        <w:tblLook w:val="04A0" w:firstRow="1" w:lastRow="0" w:firstColumn="1" w:lastColumn="0" w:noHBand="0" w:noVBand="1"/>
      </w:tblPr>
      <w:tblGrid>
        <w:gridCol w:w="72"/>
        <w:gridCol w:w="886"/>
        <w:gridCol w:w="36"/>
        <w:gridCol w:w="121"/>
        <w:gridCol w:w="660"/>
        <w:gridCol w:w="37"/>
        <w:gridCol w:w="865"/>
        <w:gridCol w:w="121"/>
        <w:gridCol w:w="660"/>
        <w:gridCol w:w="37"/>
        <w:gridCol w:w="46"/>
        <w:gridCol w:w="122"/>
        <w:gridCol w:w="658"/>
        <w:gridCol w:w="38"/>
        <w:gridCol w:w="51"/>
        <w:gridCol w:w="1055"/>
        <w:gridCol w:w="37"/>
        <w:gridCol w:w="121"/>
        <w:gridCol w:w="702"/>
        <w:gridCol w:w="37"/>
        <w:gridCol w:w="36"/>
        <w:gridCol w:w="36"/>
        <w:gridCol w:w="36"/>
        <w:gridCol w:w="121"/>
        <w:gridCol w:w="712"/>
        <w:gridCol w:w="36"/>
        <w:gridCol w:w="36"/>
        <w:gridCol w:w="36"/>
        <w:gridCol w:w="36"/>
        <w:gridCol w:w="121"/>
        <w:gridCol w:w="702"/>
        <w:gridCol w:w="36"/>
      </w:tblGrid>
      <w:tr w:rsidR="00000000">
        <w:trPr>
          <w:divId w:val="1920943396"/>
        </w:trPr>
        <w:tc>
          <w:tcPr>
            <w:tcW w:w="50" w:type="pct"/>
            <w:vAlign w:val="center"/>
            <w:hideMark/>
          </w:tcPr>
          <w:p w:rsidR="00000000" w:rsidRDefault="006F0EF5">
            <w:pPr>
              <w:jc w:val="both"/>
              <w:rPr>
                <w:rFonts w:eastAsia="Times New Roman"/>
              </w:rPr>
            </w:pPr>
          </w:p>
        </w:tc>
        <w:tc>
          <w:tcPr>
            <w:tcW w:w="62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9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9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7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87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920943396"/>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7"/>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 xml:space="preserve">Amount of Gain (Loss) Recognized in Other Comprehensive Income (OCI) on Derivative </w:t>
            </w:r>
            <w:r>
              <w:rPr>
                <w:rFonts w:eastAsia="Times New Roman"/>
                <w:b/>
                <w:bCs/>
                <w:color w:val="000000"/>
                <w:sz w:val="16"/>
                <w:szCs w:val="16"/>
              </w:rPr>
              <w:br/>
              <w:t>(Effective Portion)</w:t>
            </w:r>
          </w:p>
        </w:tc>
        <w:tc>
          <w:tcPr>
            <w:tcW w:w="0" w:type="auto"/>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 xml:space="preserve">Amount of (Gain) Loss Reclassified from AOCI into the Consolidated Statements of Operations </w:t>
            </w:r>
            <w:r>
              <w:rPr>
                <w:rFonts w:eastAsia="Times New Roman"/>
                <w:b/>
                <w:bCs/>
                <w:color w:val="000000"/>
                <w:sz w:val="16"/>
                <w:szCs w:val="16"/>
              </w:rPr>
              <w:br/>
              <w:t>(Effective Portion)</w:t>
            </w: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r>
      <w:tr w:rsidR="00000000">
        <w:trPr>
          <w:divId w:val="1920943396"/>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Derivatives in Cash Flow Hedging Relationships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2021</w:t>
            </w:r>
          </w:p>
        </w:tc>
        <w:tc>
          <w:tcPr>
            <w:tcW w:w="0" w:type="auto"/>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2020</w:t>
            </w:r>
          </w:p>
        </w:tc>
        <w:tc>
          <w:tcPr>
            <w:tcW w:w="0" w:type="auto"/>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2019</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Location of (Gain) Loss Reclassified from AOCI into the Consolidated Statements of Operations (Effective Portion)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2021</w:t>
            </w:r>
          </w:p>
        </w:tc>
        <w:tc>
          <w:tcPr>
            <w:tcW w:w="0" w:type="auto"/>
            <w:gridSpan w:val="3"/>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2020</w:t>
            </w:r>
          </w:p>
        </w:tc>
        <w:tc>
          <w:tcPr>
            <w:tcW w:w="0" w:type="auto"/>
            <w:gridSpan w:val="3"/>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2019</w:t>
            </w:r>
          </w:p>
        </w:tc>
      </w:tr>
      <w:tr w:rsidR="00000000">
        <w:trPr>
          <w:divId w:val="1920943396"/>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Interest rate contracts</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 xml:space="preserve">Cost of product </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920943396"/>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Foreign exchange contracts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920943396"/>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bl>
    <w:p w:rsidR="00000000" w:rsidRDefault="006F0EF5">
      <w:pPr>
        <w:divId w:val="414204169"/>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2454"/>
        <w:gridCol w:w="36"/>
        <w:gridCol w:w="41"/>
        <w:gridCol w:w="2308"/>
        <w:gridCol w:w="36"/>
        <w:gridCol w:w="36"/>
        <w:gridCol w:w="36"/>
        <w:gridCol w:w="36"/>
        <w:gridCol w:w="121"/>
        <w:gridCol w:w="850"/>
        <w:gridCol w:w="37"/>
        <w:gridCol w:w="36"/>
        <w:gridCol w:w="36"/>
        <w:gridCol w:w="36"/>
        <w:gridCol w:w="121"/>
        <w:gridCol w:w="850"/>
        <w:gridCol w:w="37"/>
        <w:gridCol w:w="36"/>
        <w:gridCol w:w="36"/>
        <w:gridCol w:w="36"/>
        <w:gridCol w:w="121"/>
        <w:gridCol w:w="879"/>
        <w:gridCol w:w="37"/>
      </w:tblGrid>
      <w:tr w:rsidR="00000000">
        <w:trPr>
          <w:divId w:val="1365446595"/>
        </w:trPr>
        <w:tc>
          <w:tcPr>
            <w:tcW w:w="50" w:type="pct"/>
            <w:vAlign w:val="center"/>
            <w:hideMark/>
          </w:tcPr>
          <w:p w:rsidR="00000000" w:rsidRDefault="006F0EF5">
            <w:pPr>
              <w:rPr>
                <w:rFonts w:eastAsia="Times New Roman"/>
              </w:rPr>
            </w:pPr>
          </w:p>
        </w:tc>
        <w:tc>
          <w:tcPr>
            <w:tcW w:w="150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41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5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5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6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365446595"/>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Amount of Gain (Loss) Recognized in the</w:t>
            </w:r>
            <w:r>
              <w:rPr>
                <w:rFonts w:eastAsia="Times New Roman"/>
                <w:b/>
                <w:bCs/>
                <w:color w:val="000000"/>
                <w:sz w:val="16"/>
                <w:szCs w:val="16"/>
              </w:rPr>
              <w:br/>
              <w:t>Consolidated Statements of Operations</w:t>
            </w:r>
          </w:p>
        </w:tc>
      </w:tr>
      <w:tr w:rsidR="00000000">
        <w:trPr>
          <w:divId w:val="1365446595"/>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Derivatives not Designated as Hedging Instruments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Location of Gain (Loss) Recognized in the Consolidated Statements of Operations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2019</w:t>
            </w:r>
          </w:p>
        </w:tc>
      </w:tr>
      <w:tr w:rsidR="00000000">
        <w:trPr>
          <w:divId w:val="1365446595"/>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divId w:val="628902392"/>
        <w:rPr>
          <w:rFonts w:eastAsia="Times New Roman"/>
        </w:rPr>
      </w:pPr>
      <w:r>
        <w:rPr>
          <w:rFonts w:eastAsia="Times New Roman"/>
          <w:color w:val="000000"/>
          <w:sz w:val="20"/>
          <w:szCs w:val="20"/>
        </w:rPr>
        <w:t>Refer to Note 14, “Fair Value of Assets and Liabilities”, for further information on derivative assets and liabilities recorded at fair value on a recurring basis.</w:t>
      </w:r>
    </w:p>
    <w:p w:rsidR="00000000" w:rsidRDefault="006F0EF5">
      <w:pPr>
        <w:jc w:val="both"/>
        <w:divId w:val="993535446"/>
        <w:rPr>
          <w:rFonts w:eastAsia="Times New Roman"/>
        </w:rPr>
      </w:pPr>
      <w:r>
        <w:rPr>
          <w:rFonts w:eastAsia="Times New Roman"/>
          <w:b/>
          <w:bCs/>
          <w:i/>
          <w:iCs/>
          <w:color w:val="000000"/>
          <w:sz w:val="20"/>
          <w:szCs w:val="20"/>
        </w:rPr>
        <w:t>Concentrati</w:t>
      </w:r>
      <w:r>
        <w:rPr>
          <w:rFonts w:eastAsia="Times New Roman"/>
          <w:b/>
          <w:bCs/>
          <w:i/>
          <w:iCs/>
          <w:color w:val="000000"/>
          <w:sz w:val="20"/>
          <w:szCs w:val="20"/>
        </w:rPr>
        <w:t>on of Credit Risk</w:t>
      </w:r>
    </w:p>
    <w:p w:rsidR="00000000" w:rsidRDefault="006F0EF5">
      <w:pPr>
        <w:jc w:val="both"/>
        <w:divId w:val="513763562"/>
        <w:rPr>
          <w:rFonts w:eastAsia="Times New Roman"/>
        </w:rPr>
      </w:pPr>
      <w:r>
        <w:rPr>
          <w:rFonts w:eastAsia="Times New Roman"/>
          <w:color w:val="000000"/>
          <w:sz w:val="20"/>
          <w:szCs w:val="20"/>
        </w:rPr>
        <w:t>NCR is potentially subject to concentrations of credit risk on accounts receivable and financial instruments such as hedging instruments and cash and cash equivalents. Credit risk includes the risk of nonperformance by counterparties. The</w:t>
      </w:r>
      <w:r>
        <w:rPr>
          <w:rFonts w:eastAsia="Times New Roman"/>
          <w:color w:val="000000"/>
          <w:sz w:val="20"/>
          <w:szCs w:val="20"/>
        </w:rPr>
        <w:t xml:space="preserve"> maximum potential loss may exceed the amount recognized on the Consolidated Balance Sheets. Exposure to credit risk is managed through credit approvals, credit limits, selecting major international financial institutions as counterparties to hedging trans</w:t>
      </w:r>
      <w:r>
        <w:rPr>
          <w:rFonts w:eastAsia="Times New Roman"/>
          <w:color w:val="000000"/>
          <w:sz w:val="20"/>
          <w:szCs w:val="20"/>
        </w:rPr>
        <w:t>actions and monitoring procedures. NCR’s business often involves large transactions with customers, and if one or more of those customers were to default on its obligations under applicable contractual arrangements, the Company could be exposed to potentia</w:t>
      </w:r>
      <w:r>
        <w:rPr>
          <w:rFonts w:eastAsia="Times New Roman"/>
          <w:color w:val="000000"/>
          <w:sz w:val="20"/>
          <w:szCs w:val="20"/>
        </w:rPr>
        <w:t>lly significant losses. However, management believes that the reserves for potential losses are adequate. As of December 31, 2021 and 2020, NCR did not have any major concentration of credit risk related to financial instruments.</w:t>
      </w:r>
    </w:p>
    <w:p w:rsidR="00000000" w:rsidRDefault="006F0EF5">
      <w:pPr>
        <w:divId w:val="71512777"/>
        <w:rPr>
          <w:rFonts w:eastAsia="Times New Roman"/>
        </w:rPr>
      </w:pPr>
    </w:p>
    <w:p w:rsidR="00000000" w:rsidRDefault="006F0EF5">
      <w:pPr>
        <w:jc w:val="center"/>
        <w:divId w:val="1303541589"/>
        <w:rPr>
          <w:rFonts w:eastAsia="Times New Roman"/>
        </w:rPr>
      </w:pPr>
      <w:r>
        <w:rPr>
          <w:rFonts w:eastAsia="Times New Roman"/>
          <w:color w:val="000000"/>
          <w:sz w:val="20"/>
          <w:szCs w:val="20"/>
        </w:rPr>
        <w:t>117</w:t>
      </w:r>
    </w:p>
    <w:p w:rsidR="00000000" w:rsidRDefault="006F0EF5">
      <w:pPr>
        <w:rPr>
          <w:rFonts w:eastAsia="Times New Roman"/>
        </w:rPr>
      </w:pPr>
      <w:r>
        <w:rPr>
          <w:rFonts w:eastAsia="Times New Roman"/>
        </w:rPr>
        <w:pict>
          <v:rect id="_x0000_i1146" style="width:0;height:1.5pt" o:hralign="center" o:hrstd="t" o:hr="t" fillcolor="#a0a0a0" stroked="f"/>
        </w:pict>
      </w:r>
    </w:p>
    <w:p w:rsidR="00000000" w:rsidRDefault="006F0EF5">
      <w:pPr>
        <w:divId w:val="46486014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974407308"/>
        <w:rPr>
          <w:rFonts w:eastAsia="Times New Roman"/>
        </w:rPr>
      </w:pPr>
      <w:r>
        <w:rPr>
          <w:rFonts w:eastAsia="Times New Roman"/>
          <w:b/>
          <w:bCs/>
          <w:color w:val="000000"/>
          <w:sz w:val="20"/>
          <w:szCs w:val="20"/>
        </w:rPr>
        <w:t>NCR Corporation</w:t>
      </w:r>
    </w:p>
    <w:p w:rsidR="00000000" w:rsidRDefault="006F0EF5">
      <w:pPr>
        <w:jc w:val="center"/>
        <w:divId w:val="974407308"/>
        <w:rPr>
          <w:rFonts w:eastAsia="Times New Roman"/>
        </w:rPr>
      </w:pPr>
      <w:r>
        <w:rPr>
          <w:rFonts w:eastAsia="Times New Roman"/>
          <w:b/>
          <w:bCs/>
          <w:color w:val="000000"/>
          <w:sz w:val="20"/>
          <w:szCs w:val="20"/>
        </w:rPr>
        <w:t>Notes to Consolidated Financial Statements-(Continued)</w:t>
      </w:r>
    </w:p>
    <w:p w:rsidR="00000000" w:rsidRDefault="006F0EF5">
      <w:pPr>
        <w:jc w:val="center"/>
        <w:divId w:val="974407308"/>
        <w:rPr>
          <w:rFonts w:eastAsia="Times New Roman"/>
        </w:rPr>
      </w:pPr>
    </w:p>
    <w:p w:rsidR="00000000" w:rsidRDefault="006F0EF5">
      <w:pPr>
        <w:jc w:val="center"/>
        <w:divId w:val="974407308"/>
        <w:rPr>
          <w:rFonts w:eastAsia="Times New Roman"/>
        </w:rPr>
      </w:pPr>
    </w:p>
    <w:p w:rsidR="00000000" w:rsidRDefault="006F0EF5">
      <w:pPr>
        <w:divId w:val="1446845333"/>
        <w:rPr>
          <w:rFonts w:eastAsia="Times New Roman"/>
        </w:rPr>
      </w:pPr>
    </w:p>
    <w:p w:rsidR="00000000" w:rsidRDefault="006F0EF5">
      <w:pPr>
        <w:jc w:val="both"/>
        <w:rPr>
          <w:rFonts w:eastAsia="Times New Roman"/>
        </w:rPr>
      </w:pPr>
      <w:r>
        <w:rPr>
          <w:rFonts w:eastAsia="Times New Roman"/>
          <w:b/>
          <w:bCs/>
          <w:color w:val="7ACE05"/>
          <w:sz w:val="20"/>
          <w:szCs w:val="20"/>
        </w:rPr>
        <w:t xml:space="preserve">14. FAIR VALUE OF ASSETS AND LIABILITIES </w:t>
      </w:r>
    </w:p>
    <w:p w:rsidR="00000000" w:rsidRDefault="006F0EF5">
      <w:pPr>
        <w:jc w:val="both"/>
        <w:divId w:val="2118325246"/>
        <w:rPr>
          <w:rFonts w:eastAsia="Times New Roman"/>
        </w:rPr>
      </w:pPr>
      <w:r>
        <w:rPr>
          <w:rFonts w:eastAsia="Times New Roman"/>
          <w:b/>
          <w:bCs/>
          <w:i/>
          <w:iCs/>
          <w:color w:val="000000"/>
          <w:sz w:val="20"/>
          <w:szCs w:val="20"/>
        </w:rPr>
        <w:t>Assets and Liabilities Measured at Fair Value on a Recurring Basis</w:t>
      </w:r>
    </w:p>
    <w:p w:rsidR="00000000" w:rsidRDefault="006F0EF5">
      <w:pPr>
        <w:jc w:val="both"/>
        <w:divId w:val="2101175372"/>
        <w:rPr>
          <w:rFonts w:eastAsia="Times New Roman"/>
        </w:rPr>
      </w:pPr>
      <w:r>
        <w:rPr>
          <w:rFonts w:eastAsia="Times New Roman"/>
          <w:color w:val="000000"/>
          <w:sz w:val="20"/>
          <w:szCs w:val="20"/>
        </w:rPr>
        <w:t>Assets and liabilities recorded at fair value on a recurring basis as of December 31, 2021 and 2020 are set forth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955"/>
        <w:gridCol w:w="39"/>
        <w:gridCol w:w="121"/>
        <w:gridCol w:w="631"/>
        <w:gridCol w:w="36"/>
        <w:gridCol w:w="36"/>
        <w:gridCol w:w="190"/>
        <w:gridCol w:w="910"/>
        <w:gridCol w:w="58"/>
        <w:gridCol w:w="57"/>
        <w:gridCol w:w="190"/>
        <w:gridCol w:w="1143"/>
        <w:gridCol w:w="57"/>
        <w:gridCol w:w="46"/>
        <w:gridCol w:w="141"/>
        <w:gridCol w:w="1353"/>
        <w:gridCol w:w="36"/>
        <w:gridCol w:w="36"/>
        <w:gridCol w:w="36"/>
        <w:gridCol w:w="36"/>
        <w:gridCol w:w="190"/>
        <w:gridCol w:w="632"/>
        <w:gridCol w:w="58"/>
        <w:gridCol w:w="57"/>
        <w:gridCol w:w="190"/>
        <w:gridCol w:w="910"/>
        <w:gridCol w:w="58"/>
        <w:gridCol w:w="36"/>
        <w:gridCol w:w="36"/>
        <w:gridCol w:w="36"/>
        <w:gridCol w:w="150"/>
        <w:gridCol w:w="1143"/>
        <w:gridCol w:w="36"/>
        <w:gridCol w:w="36"/>
        <w:gridCol w:w="36"/>
        <w:gridCol w:w="36"/>
        <w:gridCol w:w="145"/>
        <w:gridCol w:w="1309"/>
        <w:gridCol w:w="36"/>
      </w:tblGrid>
      <w:tr w:rsidR="00000000">
        <w:trPr>
          <w:divId w:val="1823034921"/>
          <w:jc w:val="center"/>
        </w:trPr>
        <w:tc>
          <w:tcPr>
            <w:tcW w:w="50" w:type="pct"/>
            <w:vAlign w:val="center"/>
            <w:hideMark/>
          </w:tcPr>
          <w:p w:rsidR="00000000" w:rsidRDefault="006F0EF5">
            <w:pPr>
              <w:jc w:val="both"/>
              <w:rPr>
                <w:rFonts w:eastAsia="Times New Roman"/>
              </w:rPr>
            </w:pPr>
          </w:p>
        </w:tc>
        <w:tc>
          <w:tcPr>
            <w:tcW w:w="100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8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38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5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823034921"/>
          <w:jc w:val="center"/>
        </w:trPr>
        <w:tc>
          <w:tcPr>
            <w:tcW w:w="0" w:type="auto"/>
            <w:gridSpan w:val="3"/>
            <w:tcMar>
              <w:top w:w="30" w:type="dxa"/>
              <w:left w:w="20" w:type="dxa"/>
              <w:bottom w:w="30" w:type="dxa"/>
              <w:right w:w="20" w:type="dxa"/>
            </w:tcMar>
            <w:vAlign w:val="bottom"/>
            <w:hideMark/>
          </w:tcPr>
          <w:p w:rsidR="00000000" w:rsidRDefault="006F0EF5">
            <w:pPr>
              <w:spacing w:after="100"/>
              <w:divId w:val="1600598065"/>
              <w:rPr>
                <w:rFonts w:eastAsia="Times New Roman"/>
              </w:rPr>
            </w:pPr>
            <w:r>
              <w:rPr>
                <w:rFonts w:eastAsia="Times New Roman"/>
                <w:color w:val="000000"/>
                <w:sz w:val="20"/>
                <w:szCs w:val="20"/>
              </w:rPr>
              <w:t> </w:t>
            </w: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vAlign w:val="center"/>
            <w:hideMark/>
          </w:tcPr>
          <w:p w:rsidR="00000000" w:rsidRDefault="006F0EF5">
            <w:pPr>
              <w:spacing w:after="100"/>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 xml:space="preserve">December 31, 2021 </w:t>
            </w:r>
          </w:p>
        </w:tc>
        <w:tc>
          <w:tcPr>
            <w:tcW w:w="0" w:type="auto"/>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 xml:space="preserve">December 31, 2020 </w:t>
            </w: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r>
      <w:tr w:rsidR="00000000">
        <w:trPr>
          <w:divId w:val="1823034921"/>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 Measurements Using</w:t>
            </w:r>
          </w:p>
        </w:tc>
        <w:tc>
          <w:tcPr>
            <w:tcW w:w="0" w:type="auto"/>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Fair Value Measurements Using</w:t>
            </w: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r>
      <w:tr w:rsidR="00000000">
        <w:trPr>
          <w:divId w:val="1823034921"/>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Quoted Prices</w:t>
            </w:r>
            <w:r>
              <w:rPr>
                <w:rFonts w:eastAsia="Times New Roman"/>
                <w:b/>
                <w:bCs/>
                <w:color w:val="000000"/>
                <w:sz w:val="16"/>
                <w:szCs w:val="16"/>
              </w:rPr>
              <w:br/>
              <w:t>in Active</w:t>
            </w:r>
            <w:r>
              <w:rPr>
                <w:rFonts w:eastAsia="Times New Roman"/>
                <w:b/>
                <w:bCs/>
                <w:color w:val="000000"/>
                <w:sz w:val="16"/>
                <w:szCs w:val="16"/>
              </w:rPr>
              <w:br/>
            </w:r>
            <w:r>
              <w:rPr>
                <w:rFonts w:eastAsia="Times New Roman"/>
                <w:b/>
                <w:bCs/>
                <w:color w:val="000000"/>
                <w:sz w:val="16"/>
                <w:szCs w:val="16"/>
              </w:rPr>
              <w:t>Markets</w:t>
            </w:r>
            <w:r>
              <w:rPr>
                <w:rFonts w:eastAsia="Times New Roman"/>
                <w:b/>
                <w:bCs/>
                <w:color w:val="000000"/>
                <w:sz w:val="16"/>
                <w:szCs w:val="16"/>
              </w:rPr>
              <w:br/>
              <w:t>for Identical Assets</w:t>
            </w:r>
            <w:r>
              <w:rPr>
                <w:rFonts w:eastAsia="Times New Roman"/>
                <w:b/>
                <w:bCs/>
                <w:color w:val="000000"/>
                <w:sz w:val="16"/>
                <w:szCs w:val="16"/>
              </w:rPr>
              <w:br/>
              <w:t>(Level 1)</w:t>
            </w:r>
          </w:p>
        </w:tc>
        <w:tc>
          <w:tcPr>
            <w:tcW w:w="0" w:type="auto"/>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Quoted Prices</w:t>
            </w:r>
            <w:r>
              <w:rPr>
                <w:rFonts w:eastAsia="Times New Roman"/>
                <w:b/>
                <w:bCs/>
                <w:color w:val="000000"/>
                <w:sz w:val="16"/>
                <w:szCs w:val="16"/>
              </w:rPr>
              <w:br/>
              <w:t>in Active</w:t>
            </w:r>
            <w:r>
              <w:rPr>
                <w:rFonts w:eastAsia="Times New Roman"/>
                <w:b/>
                <w:bCs/>
                <w:color w:val="000000"/>
                <w:sz w:val="16"/>
                <w:szCs w:val="16"/>
              </w:rPr>
              <w:br/>
              <w:t>Markets</w:t>
            </w:r>
            <w:r>
              <w:rPr>
                <w:rFonts w:eastAsia="Times New Roman"/>
                <w:b/>
                <w:bCs/>
                <w:color w:val="000000"/>
                <w:sz w:val="16"/>
                <w:szCs w:val="16"/>
              </w:rPr>
              <w:br/>
              <w:t>for Identical Assets</w:t>
            </w:r>
            <w:r>
              <w:rPr>
                <w:rFonts w:eastAsia="Times New Roman"/>
                <w:b/>
                <w:bCs/>
                <w:color w:val="000000"/>
                <w:sz w:val="16"/>
                <w:szCs w:val="16"/>
              </w:rPr>
              <w:br/>
              <w:t>(Level 1)</w:t>
            </w:r>
          </w:p>
        </w:tc>
        <w:tc>
          <w:tcPr>
            <w:tcW w:w="0" w:type="auto"/>
            <w:gridSpan w:val="3"/>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r>
            <w:r>
              <w:rPr>
                <w:rFonts w:eastAsia="Times New Roman"/>
                <w:b/>
                <w:bCs/>
                <w:color w:val="000000"/>
                <w:sz w:val="16"/>
                <w:szCs w:val="16"/>
              </w:rPr>
              <w:t>Observable Inputs</w:t>
            </w:r>
            <w:r>
              <w:rPr>
                <w:rFonts w:eastAsia="Times New Roman"/>
                <w:b/>
                <w:bCs/>
                <w:color w:val="000000"/>
                <w:sz w:val="16"/>
                <w:szCs w:val="16"/>
              </w:rPr>
              <w:br/>
              <w:t>(Level 2)</w:t>
            </w:r>
          </w:p>
        </w:tc>
        <w:tc>
          <w:tcPr>
            <w:tcW w:w="0" w:type="auto"/>
            <w:gridSpan w:val="3"/>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trPr>
          <w:divId w:val="1823034921"/>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6F0EF5">
        <w:trPr>
          <w:divId w:val="1823034921"/>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divId w:val="1564442575"/>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23034921"/>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divId w:val="1280987560"/>
              <w:rPr>
                <w:rFonts w:eastAsia="Times New Roman"/>
              </w:rPr>
            </w:pPr>
            <w:r>
              <w:rPr>
                <w:rFonts w:eastAsia="Times New Roman"/>
                <w:color w:val="000000"/>
                <w:sz w:val="20"/>
                <w:szCs w:val="20"/>
              </w:rPr>
              <w:t>Foreign Investments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23034921"/>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divId w:val="1018198475"/>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23034921"/>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divId w:val="212155616"/>
              <w:rPr>
                <w:rFonts w:eastAsia="Times New Roman"/>
              </w:rPr>
            </w:pPr>
            <w:r>
              <w:rPr>
                <w:rFonts w:eastAsia="Times New Roman"/>
                <w:color w:val="000000"/>
                <w:sz w:val="20"/>
                <w:szCs w:val="20"/>
              </w:rPr>
              <w:t>Interest rate cap agreements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b/>
                <w:bCs/>
                <w:color w:val="000000"/>
                <w:sz w:val="20"/>
                <w:szCs w:val="20"/>
              </w:rPr>
              <w:t>18</w:t>
            </w:r>
          </w:p>
        </w:tc>
        <w:tc>
          <w:tcPr>
            <w:tcW w:w="0" w:type="auto"/>
            <w:vAlign w:val="center"/>
            <w:hideMark/>
          </w:tcPr>
          <w:p w:rsidR="00000000" w:rsidRDefault="006F0EF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divId w:val="1823034921"/>
          <w:jc w:val="center"/>
        </w:trPr>
        <w:tc>
          <w:tcPr>
            <w:tcW w:w="0" w:type="auto"/>
            <w:gridSpan w:val="3"/>
            <w:shd w:val="clear" w:color="auto" w:fill="CCEEFF"/>
            <w:tcMar>
              <w:top w:w="30" w:type="dxa"/>
              <w:left w:w="38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23034921"/>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823034921"/>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divId w:val="24447317"/>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(4</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6F0EF5">
        <w:trPr>
          <w:divId w:val="1823034921"/>
          <w:jc w:val="center"/>
        </w:trPr>
        <w:tc>
          <w:tcPr>
            <w:tcW w:w="0" w:type="auto"/>
            <w:gridSpan w:val="3"/>
            <w:shd w:val="clear" w:color="auto" w:fill="FFFFFF"/>
            <w:tcMar>
              <w:top w:w="30" w:type="dxa"/>
              <w:left w:w="38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505439106"/>
        <w:rPr>
          <w:rFonts w:eastAsia="Times New Roman"/>
        </w:rPr>
      </w:pPr>
    </w:p>
    <w:p w:rsidR="00000000" w:rsidRDefault="006F0EF5">
      <w:pPr>
        <w:divId w:val="448865989"/>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Included in Cash and cash equivalents in the Consolidated Balance Sheets.</w:t>
      </w:r>
    </w:p>
    <w:p w:rsidR="00000000" w:rsidRDefault="006F0EF5">
      <w:pPr>
        <w:divId w:val="1615869663"/>
        <w:rPr>
          <w:rFonts w:eastAsia="Times New Roman"/>
        </w:rPr>
      </w:pPr>
      <w:r>
        <w:rPr>
          <w:rFonts w:eastAsia="Times New Roman"/>
          <w:color w:val="000000"/>
          <w:sz w:val="9"/>
          <w:szCs w:val="9"/>
        </w:rPr>
        <w:t>(2</w:t>
      </w:r>
      <w:r>
        <w:rPr>
          <w:rFonts w:eastAsia="Times New Roman"/>
          <w:color w:val="000000"/>
          <w:sz w:val="9"/>
          <w:szCs w:val="9"/>
        </w:rPr>
        <w:t>)</w:t>
      </w:r>
      <w:r>
        <w:rPr>
          <w:rFonts w:eastAsia="Times New Roman"/>
          <w:color w:val="000000"/>
          <w:sz w:val="14"/>
          <w:szCs w:val="14"/>
        </w:rPr>
        <w:t>    </w:t>
      </w:r>
      <w:r>
        <w:rPr>
          <w:rFonts w:eastAsia="Times New Roman"/>
          <w:color w:val="000000"/>
          <w:sz w:val="14"/>
          <w:szCs w:val="14"/>
        </w:rPr>
        <w:t>Included in Other current assets in the Consolidated Balance Sheets.</w:t>
      </w:r>
    </w:p>
    <w:p w:rsidR="00000000" w:rsidRDefault="006F0EF5">
      <w:pPr>
        <w:divId w:val="530462088"/>
        <w:rPr>
          <w:rFonts w:eastAsia="Times New Roman"/>
        </w:rPr>
      </w:pPr>
      <w:r>
        <w:rPr>
          <w:rFonts w:eastAsia="Times New Roman"/>
          <w:color w:val="000000"/>
          <w:sz w:val="9"/>
          <w:szCs w:val="9"/>
        </w:rPr>
        <w:t>(3</w:t>
      </w:r>
      <w:r>
        <w:rPr>
          <w:rFonts w:eastAsia="Times New Roman"/>
          <w:color w:val="000000"/>
          <w:sz w:val="9"/>
          <w:szCs w:val="9"/>
        </w:rPr>
        <w:t>)</w:t>
      </w:r>
      <w:r>
        <w:rPr>
          <w:rFonts w:eastAsia="Times New Roman"/>
          <w:color w:val="000000"/>
          <w:sz w:val="14"/>
          <w:szCs w:val="14"/>
        </w:rPr>
        <w:t>    Included in Other current assets and Other assets in the Consolidated Balance Sheets.</w:t>
      </w:r>
    </w:p>
    <w:p w:rsidR="00000000" w:rsidRDefault="006F0EF5">
      <w:pPr>
        <w:divId w:val="1129011363"/>
        <w:rPr>
          <w:rFonts w:eastAsia="Times New Roman"/>
        </w:rPr>
      </w:pPr>
      <w:r>
        <w:rPr>
          <w:rFonts w:eastAsia="Times New Roman"/>
          <w:color w:val="000000"/>
          <w:sz w:val="9"/>
          <w:szCs w:val="9"/>
        </w:rPr>
        <w:t>(4</w:t>
      </w:r>
      <w:r>
        <w:rPr>
          <w:rFonts w:eastAsia="Times New Roman"/>
          <w:color w:val="000000"/>
          <w:sz w:val="9"/>
          <w:szCs w:val="9"/>
        </w:rPr>
        <w:t>)</w:t>
      </w:r>
      <w:r>
        <w:rPr>
          <w:rFonts w:eastAsia="Times New Roman"/>
          <w:color w:val="000000"/>
          <w:sz w:val="14"/>
          <w:szCs w:val="14"/>
        </w:rPr>
        <w:t>    Included in Other current liabilities in the Consolidated Balance Sheets.</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Deposits He</w:t>
      </w:r>
      <w:r>
        <w:rPr>
          <w:rFonts w:eastAsia="Times New Roman"/>
          <w:i/>
          <w:iCs/>
          <w:color w:val="000000"/>
          <w:sz w:val="20"/>
          <w:szCs w:val="20"/>
        </w:rPr>
        <w:t xml:space="preserve">ld in Money Market Mutual Funds </w:t>
      </w:r>
      <w:r>
        <w:rPr>
          <w:rFonts w:eastAsia="Times New Roman"/>
          <w:color w:val="000000"/>
          <w:sz w:val="20"/>
          <w:szCs w:val="20"/>
        </w:rPr>
        <w:t>A portion of the Company’s excess cash is held in money market mutual funds that generate interest income based on prevailing market rates. Money market mutual fund holdings are measured at fair value using quoted market pri</w:t>
      </w:r>
      <w:r>
        <w:rPr>
          <w:rFonts w:eastAsia="Times New Roman"/>
          <w:color w:val="000000"/>
          <w:sz w:val="20"/>
          <w:szCs w:val="20"/>
        </w:rPr>
        <w:t>ces and are classified within Level 1 of the valuation hierarchy.</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 xml:space="preserve">Foreign Investments </w:t>
      </w:r>
      <w:r>
        <w:rPr>
          <w:rFonts w:eastAsia="Times New Roman"/>
          <w:color w:val="000000"/>
          <w:sz w:val="20"/>
          <w:szCs w:val="20"/>
        </w:rPr>
        <w:t>As a result of our acquisition of Origami, as noted within Note 3, “Business Combinations and Divestitures”, we acquired investments held in Brazil. The investments inc</w:t>
      </w:r>
      <w:r>
        <w:rPr>
          <w:rFonts w:eastAsia="Times New Roman"/>
          <w:color w:val="000000"/>
          <w:sz w:val="20"/>
          <w:szCs w:val="20"/>
        </w:rPr>
        <w:t>lude an investment fund similar to a mutual fund. The investments are valued using observable, either directly or indirectly, inputs for substantially the full term of the assets and are classified within Level 2 of the valuation hierarchy.</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Foreign Excha</w:t>
      </w:r>
      <w:r>
        <w:rPr>
          <w:rFonts w:eastAsia="Times New Roman"/>
          <w:i/>
          <w:iCs/>
          <w:color w:val="000000"/>
          <w:sz w:val="20"/>
          <w:szCs w:val="20"/>
        </w:rPr>
        <w:t xml:space="preserve">nge Contracts </w:t>
      </w:r>
      <w:r>
        <w:rPr>
          <w:rFonts w:eastAsia="Times New Roman"/>
          <w:color w:val="000000"/>
          <w:sz w:val="20"/>
          <w:szCs w:val="20"/>
        </w:rPr>
        <w:t>As a result of our global operating activities, we are exposed to risks from changes in foreign currency exchange rates, which may adversely affect our financial condition. To manage our exposures and mitigate the impact of currency fluctuati</w:t>
      </w:r>
      <w:r>
        <w:rPr>
          <w:rFonts w:eastAsia="Times New Roman"/>
          <w:color w:val="000000"/>
          <w:sz w:val="20"/>
          <w:szCs w:val="20"/>
        </w:rPr>
        <w:t>ons on our financial results, we hedge our primary transactional exposures through the use of foreign exchange forward and option contracts. The foreign exchange contracts are valued using the market approach based on observable market transactions of forw</w:t>
      </w:r>
      <w:r>
        <w:rPr>
          <w:rFonts w:eastAsia="Times New Roman"/>
          <w:color w:val="000000"/>
          <w:sz w:val="20"/>
          <w:szCs w:val="20"/>
        </w:rPr>
        <w:t>ard rates and are classified within Level 2 of the valuation hierarchy.</w:t>
      </w:r>
    </w:p>
    <w:p w:rsidR="00000000" w:rsidRDefault="006F0EF5">
      <w:pPr>
        <w:jc w:val="both"/>
        <w:rPr>
          <w:rFonts w:eastAsia="Times New Roman"/>
        </w:rPr>
      </w:pPr>
    </w:p>
    <w:p w:rsidR="00000000" w:rsidRDefault="006F0EF5">
      <w:pPr>
        <w:jc w:val="both"/>
        <w:rPr>
          <w:rFonts w:eastAsia="Times New Roman"/>
        </w:rPr>
      </w:pPr>
      <w:r>
        <w:rPr>
          <w:rFonts w:eastAsia="Times New Roman"/>
          <w:i/>
          <w:iCs/>
          <w:color w:val="000000"/>
          <w:sz w:val="20"/>
          <w:szCs w:val="20"/>
        </w:rPr>
        <w:t>Interest Rate Cap Agreements</w:t>
      </w:r>
      <w:r>
        <w:rPr>
          <w:rFonts w:eastAsia="Times New Roman"/>
          <w:color w:val="000000"/>
          <w:sz w:val="20"/>
          <w:szCs w:val="20"/>
        </w:rPr>
        <w:t xml:space="preserve"> In order to add stability to interest expense and operating costs and to manage exposure to interest rate movements, the Company utilizes interest rate c</w:t>
      </w:r>
      <w:r>
        <w:rPr>
          <w:rFonts w:eastAsia="Times New Roman"/>
          <w:color w:val="000000"/>
          <w:sz w:val="20"/>
          <w:szCs w:val="20"/>
        </w:rPr>
        <w:t>ap agreements as part of its interest rate risk management strategy. The interest rate cap agreements are valued using the market standard methodology of discounting the future expected cash receipts that would occur if variable interest rates rise above t</w:t>
      </w:r>
      <w:r>
        <w:rPr>
          <w:rFonts w:eastAsia="Times New Roman"/>
          <w:color w:val="000000"/>
          <w:sz w:val="20"/>
          <w:szCs w:val="20"/>
        </w:rPr>
        <w:t>he strike rate of the caps. The variable interest rates used in the calculation of projected receipts on the cap are based on an expectation of future interest rates derived from observable market interest rate curves and volatilities. As such, the interes</w:t>
      </w:r>
      <w:r>
        <w:rPr>
          <w:rFonts w:eastAsia="Times New Roman"/>
          <w:color w:val="000000"/>
          <w:sz w:val="20"/>
          <w:szCs w:val="20"/>
        </w:rPr>
        <w:t>t rate cap agreements are classified in Level 2 of the fair value hierarchy.</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incorporate credit valuation adjustments to appropriately reflect both our own nonperformance risk and the respective counterparty’s nonperformance risk in the fair value mea</w:t>
      </w:r>
      <w:r>
        <w:rPr>
          <w:rFonts w:eastAsia="Times New Roman"/>
          <w:color w:val="000000"/>
          <w:sz w:val="20"/>
          <w:szCs w:val="20"/>
        </w:rPr>
        <w:t xml:space="preserve">surements. In adjusting the fair value of our derivative contracts for the effect of nonperformance risk, we consider the impact of netting and any applicable credit enhancements. We measure the </w:t>
      </w:r>
    </w:p>
    <w:p w:rsidR="00000000" w:rsidRDefault="006F0EF5">
      <w:pPr>
        <w:jc w:val="center"/>
        <w:divId w:val="79066363"/>
        <w:rPr>
          <w:rFonts w:eastAsia="Times New Roman"/>
        </w:rPr>
      </w:pPr>
      <w:r>
        <w:rPr>
          <w:rFonts w:eastAsia="Times New Roman"/>
          <w:color w:val="000000"/>
          <w:sz w:val="20"/>
          <w:szCs w:val="20"/>
        </w:rPr>
        <w:t>118</w:t>
      </w:r>
    </w:p>
    <w:p w:rsidR="00000000" w:rsidRDefault="006F0EF5">
      <w:pPr>
        <w:rPr>
          <w:rFonts w:eastAsia="Times New Roman"/>
        </w:rPr>
      </w:pPr>
      <w:r>
        <w:rPr>
          <w:rFonts w:eastAsia="Times New Roman"/>
        </w:rPr>
        <w:pict>
          <v:rect id="_x0000_i1147" style="width:0;height:1.5pt" o:hralign="center" o:hrstd="t" o:hr="t" fillcolor="#a0a0a0" stroked="f"/>
        </w:pict>
      </w:r>
    </w:p>
    <w:p w:rsidR="00000000" w:rsidRDefault="006F0EF5">
      <w:pPr>
        <w:divId w:val="1968076700"/>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510097170"/>
        <w:rPr>
          <w:rFonts w:eastAsia="Times New Roman"/>
        </w:rPr>
      </w:pPr>
      <w:r>
        <w:rPr>
          <w:rFonts w:eastAsia="Times New Roman"/>
          <w:b/>
          <w:bCs/>
          <w:color w:val="000000"/>
          <w:sz w:val="20"/>
          <w:szCs w:val="20"/>
        </w:rPr>
        <w:t>NCR Corporation</w:t>
      </w:r>
    </w:p>
    <w:p w:rsidR="00000000" w:rsidRDefault="006F0EF5">
      <w:pPr>
        <w:jc w:val="center"/>
        <w:divId w:val="1510097170"/>
        <w:rPr>
          <w:rFonts w:eastAsia="Times New Roman"/>
        </w:rPr>
      </w:pPr>
      <w:r>
        <w:rPr>
          <w:rFonts w:eastAsia="Times New Roman"/>
          <w:b/>
          <w:bCs/>
          <w:color w:val="000000"/>
          <w:sz w:val="20"/>
          <w:szCs w:val="20"/>
        </w:rPr>
        <w:t>Notes to Consolidated Financial Statements-(Continued)</w:t>
      </w:r>
    </w:p>
    <w:p w:rsidR="00000000" w:rsidRDefault="006F0EF5">
      <w:pPr>
        <w:jc w:val="center"/>
        <w:divId w:val="1510097170"/>
        <w:rPr>
          <w:rFonts w:eastAsia="Times New Roman"/>
        </w:rPr>
      </w:pPr>
    </w:p>
    <w:p w:rsidR="00000000" w:rsidRDefault="006F0EF5">
      <w:pPr>
        <w:jc w:val="center"/>
        <w:divId w:val="1510097170"/>
        <w:rPr>
          <w:rFonts w:eastAsia="Times New Roman"/>
        </w:rPr>
      </w:pPr>
    </w:p>
    <w:p w:rsidR="00000000" w:rsidRDefault="006F0EF5">
      <w:pPr>
        <w:divId w:val="1473907665"/>
        <w:rPr>
          <w:rFonts w:eastAsia="Times New Roman"/>
        </w:rPr>
      </w:pPr>
    </w:p>
    <w:p w:rsidR="00000000" w:rsidRDefault="006F0EF5">
      <w:pPr>
        <w:jc w:val="both"/>
        <w:rPr>
          <w:rFonts w:eastAsia="Times New Roman"/>
        </w:rPr>
      </w:pPr>
      <w:r>
        <w:rPr>
          <w:rFonts w:eastAsia="Times New Roman"/>
          <w:color w:val="000000"/>
          <w:sz w:val="20"/>
          <w:szCs w:val="20"/>
        </w:rPr>
        <w:t xml:space="preserve">credit risk of our derivative financial instruments that are subject to master netting agreements on a net basis by counterparty portfolio.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shd w:val="clear" w:color="auto" w:fill="FFFFFF"/>
        </w:rPr>
        <w:t xml:space="preserve">Although we have determined that the majority of the inputs used to value our derivatives fall within Level 2 of </w:t>
      </w:r>
      <w:r>
        <w:rPr>
          <w:rFonts w:eastAsia="Times New Roman"/>
          <w:color w:val="000000"/>
          <w:sz w:val="20"/>
          <w:szCs w:val="20"/>
          <w:shd w:val="clear" w:color="auto" w:fill="FFFFFF"/>
        </w:rPr>
        <w:t xml:space="preserve">the fair value hierarchy, the credit valuation adjustments utilize Level 3 inputs to evaluate the likelihood of both our own default and counterparty default. As of </w:t>
      </w:r>
      <w:r>
        <w:rPr>
          <w:rFonts w:eastAsia="Times New Roman"/>
          <w:color w:val="000000"/>
          <w:sz w:val="20"/>
          <w:szCs w:val="20"/>
        </w:rPr>
        <w:t>December 31, 2021</w:t>
      </w:r>
      <w:r>
        <w:rPr>
          <w:rFonts w:eastAsia="Times New Roman"/>
          <w:color w:val="000000"/>
          <w:sz w:val="20"/>
          <w:szCs w:val="20"/>
          <w:shd w:val="clear" w:color="auto" w:fill="FFFFFF"/>
        </w:rPr>
        <w:t xml:space="preserve">, we determined that the credit valuation adjustments are not significant </w:t>
      </w:r>
      <w:r>
        <w:rPr>
          <w:rFonts w:eastAsia="Times New Roman"/>
          <w:color w:val="000000"/>
          <w:sz w:val="20"/>
          <w:szCs w:val="20"/>
          <w:shd w:val="clear" w:color="auto" w:fill="FFFFFF"/>
        </w:rPr>
        <w:t>to the overall valuation of our derivatives and therefore, the valuations are classified in Level 2 of the fair value hierarchy.</w:t>
      </w:r>
    </w:p>
    <w:p w:rsidR="00000000" w:rsidRDefault="006F0EF5">
      <w:pPr>
        <w:jc w:val="both"/>
        <w:rPr>
          <w:rFonts w:eastAsia="Times New Roman"/>
        </w:rPr>
      </w:pPr>
    </w:p>
    <w:p w:rsidR="00000000" w:rsidRDefault="006F0EF5">
      <w:pPr>
        <w:jc w:val="both"/>
        <w:rPr>
          <w:rFonts w:eastAsia="Times New Roman"/>
        </w:rPr>
      </w:pPr>
      <w:r>
        <w:rPr>
          <w:rFonts w:eastAsia="Times New Roman"/>
          <w:b/>
          <w:bCs/>
          <w:i/>
          <w:iCs/>
          <w:color w:val="000000"/>
          <w:sz w:val="20"/>
          <w:szCs w:val="20"/>
        </w:rPr>
        <w:t>Assets Measured at Fair Value on a Non-recurring Basis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From time to time, certain assets are measured at fair value on a nonrecurring basis using significant unobservable inputs (Level 3). NCR measures certain assets, including intangible assets and cost and equity method investments, at fair value on a non-re</w:t>
      </w:r>
      <w:r>
        <w:rPr>
          <w:rFonts w:eastAsia="Times New Roman"/>
          <w:color w:val="000000"/>
          <w:sz w:val="20"/>
          <w:szCs w:val="20"/>
        </w:rPr>
        <w:t>curring basis. These assets are recognized at fair value when initially valued and when deemed to be impaired. Additionally, NCR reviews the carrying values of investments when events and circumstances warrant and considers all available evidence in evalua</w:t>
      </w:r>
      <w:r>
        <w:rPr>
          <w:rFonts w:eastAsia="Times New Roman"/>
          <w:color w:val="000000"/>
          <w:sz w:val="20"/>
          <w:szCs w:val="20"/>
        </w:rPr>
        <w:t>ting when declines in fair value are other-than-temporary declines. NCR carries equity investments in privately-held companies at cost or at fair value when NCR recognizes an other-than-temporary impairment charge. In the year ended December 31, 2020, we r</w:t>
      </w:r>
      <w:r>
        <w:rPr>
          <w:rFonts w:eastAsia="Times New Roman"/>
          <w:color w:val="000000"/>
          <w:sz w:val="20"/>
          <w:szCs w:val="20"/>
        </w:rPr>
        <w:t>ecorded an other-than-temporary impairment charge of $7 million in Other income (expense), net within the Consolidated Statements of Operations related to the write-off of an equity method investment. No material impairment charges or non-recurring fair va</w:t>
      </w:r>
      <w:r>
        <w:rPr>
          <w:rFonts w:eastAsia="Times New Roman"/>
          <w:color w:val="000000"/>
          <w:sz w:val="20"/>
          <w:szCs w:val="20"/>
        </w:rPr>
        <w:t xml:space="preserve">lue adjustments were recorded during the years ended December 31, 2021 and December 31, 2019. </w:t>
      </w:r>
    </w:p>
    <w:p w:rsidR="00000000" w:rsidRDefault="006F0EF5">
      <w:pPr>
        <w:jc w:val="both"/>
        <w:rPr>
          <w:rFonts w:eastAsia="Times New Roman"/>
        </w:rPr>
      </w:pPr>
    </w:p>
    <w:p w:rsidR="00000000" w:rsidRDefault="006F0EF5">
      <w:pPr>
        <w:divId w:val="1497720812"/>
        <w:rPr>
          <w:rFonts w:eastAsia="Times New Roman"/>
        </w:rPr>
      </w:pPr>
    </w:p>
    <w:p w:rsidR="00000000" w:rsidRDefault="006F0EF5">
      <w:pPr>
        <w:jc w:val="both"/>
        <w:rPr>
          <w:rFonts w:eastAsia="Times New Roman"/>
        </w:rPr>
      </w:pPr>
      <w:r>
        <w:rPr>
          <w:rFonts w:eastAsia="Times New Roman"/>
          <w:b/>
          <w:bCs/>
          <w:color w:val="7ACE05"/>
          <w:sz w:val="20"/>
          <w:szCs w:val="20"/>
        </w:rPr>
        <w:t xml:space="preserve">15. ACCUMULATED OTHER COMPREHENSIVE INCOME </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Changes in Accumulated Other Comprehensive Income (“AOCI”) by Component</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changes in AOCI for the years end</w:t>
      </w:r>
      <w:r>
        <w:rPr>
          <w:rFonts w:eastAsia="Times New Roman"/>
          <w:color w:val="000000"/>
          <w:sz w:val="20"/>
          <w:szCs w:val="20"/>
        </w:rPr>
        <w:t>ed December 31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89"/>
        <w:gridCol w:w="37"/>
        <w:gridCol w:w="121"/>
        <w:gridCol w:w="1009"/>
        <w:gridCol w:w="36"/>
        <w:gridCol w:w="36"/>
        <w:gridCol w:w="36"/>
        <w:gridCol w:w="36"/>
        <w:gridCol w:w="121"/>
        <w:gridCol w:w="1003"/>
        <w:gridCol w:w="36"/>
        <w:gridCol w:w="36"/>
        <w:gridCol w:w="36"/>
        <w:gridCol w:w="36"/>
        <w:gridCol w:w="121"/>
        <w:gridCol w:w="992"/>
        <w:gridCol w:w="36"/>
        <w:gridCol w:w="36"/>
        <w:gridCol w:w="36"/>
        <w:gridCol w:w="36"/>
        <w:gridCol w:w="120"/>
        <w:gridCol w:w="786"/>
        <w:gridCol w:w="36"/>
      </w:tblGrid>
      <w:tr w:rsidR="00000000">
        <w:trPr>
          <w:divId w:val="2002157541"/>
          <w:jc w:val="center"/>
        </w:trPr>
        <w:tc>
          <w:tcPr>
            <w:tcW w:w="50" w:type="pct"/>
            <w:vAlign w:val="center"/>
            <w:hideMark/>
          </w:tcPr>
          <w:p w:rsidR="00000000" w:rsidRDefault="006F0EF5">
            <w:pPr>
              <w:jc w:val="both"/>
              <w:rPr>
                <w:rFonts w:eastAsia="Times New Roman"/>
              </w:rPr>
            </w:pPr>
          </w:p>
        </w:tc>
        <w:tc>
          <w:tcPr>
            <w:tcW w:w="213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2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002157541"/>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Currency Translation Adjustments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Changes in Employee Benefit Plans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Changes in Fair Value of Effective Cash Flow Hedges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w:t>
            </w:r>
          </w:p>
        </w:tc>
      </w:tr>
      <w:tr w:rsidR="00000000">
        <w:trPr>
          <w:divId w:val="2002157541"/>
          <w:jc w:val="center"/>
        </w:trPr>
        <w:tc>
          <w:tcPr>
            <w:tcW w:w="0" w:type="auto"/>
            <w:gridSpan w:val="3"/>
            <w:vAlign w:val="center"/>
            <w:hideMark/>
          </w:tcPr>
          <w:p w:rsidR="00000000" w:rsidRDefault="006F0EF5">
            <w:pPr>
              <w:spacing w:after="100"/>
              <w:jc w:val="center"/>
              <w:rPr>
                <w:rFonts w:eastAsia="Times New Roman"/>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2002157541"/>
          <w:jc w:val="center"/>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2002157541"/>
          <w:jc w:val="center"/>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2002157541"/>
          <w:jc w:val="center"/>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2002157541"/>
          <w:jc w:val="center"/>
        </w:trPr>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200215754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Balance at December 31, 2018</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comprehensive (loss) income before reclassifications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current period other comprehensive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Balance at December 31,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comprehensive (loss) income before reclassifications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current period other comprehensive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Balance at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comprehensive (loss) income before reclassifications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Net current period other comprehensive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002157541"/>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Balance at December 31, 2021</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(275)</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(291)</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473067771"/>
        <w:rPr>
          <w:rFonts w:eastAsia="Times New Roman"/>
        </w:rPr>
      </w:pPr>
    </w:p>
    <w:p w:rsidR="00000000" w:rsidRDefault="006F0EF5">
      <w:pPr>
        <w:jc w:val="both"/>
        <w:rPr>
          <w:rFonts w:eastAsia="Times New Roman"/>
        </w:rPr>
      </w:pPr>
    </w:p>
    <w:p w:rsidR="00000000" w:rsidRDefault="006F0EF5">
      <w:pPr>
        <w:divId w:val="2066369868"/>
        <w:rPr>
          <w:rFonts w:eastAsia="Times New Roman"/>
        </w:rPr>
      </w:pPr>
      <w:r>
        <w:rPr>
          <w:rFonts w:eastAsia="Times New Roman"/>
          <w:b/>
          <w:bCs/>
          <w:color w:val="000000"/>
          <w:sz w:val="20"/>
          <w:szCs w:val="20"/>
        </w:rPr>
        <w:t>Reclassifications Out of AOCI</w:t>
      </w:r>
    </w:p>
    <w:p w:rsidR="00000000" w:rsidRDefault="006F0EF5">
      <w:pPr>
        <w:divId w:val="50278062"/>
        <w:rPr>
          <w:rFonts w:eastAsia="Times New Roman"/>
        </w:rPr>
      </w:pPr>
    </w:p>
    <w:p w:rsidR="00000000" w:rsidRDefault="006F0EF5">
      <w:pPr>
        <w:divId w:val="1810825626"/>
        <w:rPr>
          <w:rFonts w:eastAsia="Times New Roman"/>
        </w:rPr>
      </w:pPr>
      <w:r>
        <w:rPr>
          <w:rFonts w:eastAsia="Times New Roman"/>
          <w:color w:val="000000"/>
          <w:sz w:val="20"/>
          <w:szCs w:val="20"/>
        </w:rPr>
        <w:t>The reclassifications ou</w:t>
      </w:r>
      <w:r>
        <w:rPr>
          <w:rFonts w:eastAsia="Times New Roman"/>
          <w:color w:val="000000"/>
          <w:sz w:val="20"/>
          <w:szCs w:val="20"/>
        </w:rPr>
        <w:t>t of AOCI for the years ended December 31 are as follows:</w:t>
      </w:r>
    </w:p>
    <w:p w:rsidR="00000000" w:rsidRDefault="006F0EF5">
      <w:pPr>
        <w:jc w:val="center"/>
        <w:divId w:val="1792548464"/>
        <w:rPr>
          <w:rFonts w:eastAsia="Times New Roman"/>
        </w:rPr>
      </w:pPr>
      <w:r>
        <w:rPr>
          <w:rFonts w:eastAsia="Times New Roman"/>
          <w:color w:val="000000"/>
          <w:sz w:val="20"/>
          <w:szCs w:val="20"/>
        </w:rPr>
        <w:t>119</w:t>
      </w:r>
    </w:p>
    <w:p w:rsidR="00000000" w:rsidRDefault="006F0EF5">
      <w:pPr>
        <w:rPr>
          <w:rFonts w:eastAsia="Times New Roman"/>
        </w:rPr>
      </w:pPr>
      <w:r>
        <w:rPr>
          <w:rFonts w:eastAsia="Times New Roman"/>
        </w:rPr>
        <w:pict>
          <v:rect id="_x0000_i1148" style="width:0;height:1.5pt" o:hralign="center" o:hrstd="t" o:hr="t" fillcolor="#a0a0a0" stroked="f"/>
        </w:pict>
      </w:r>
    </w:p>
    <w:p w:rsidR="00000000" w:rsidRDefault="006F0EF5">
      <w:pPr>
        <w:divId w:val="12111422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512986480"/>
        <w:rPr>
          <w:rFonts w:eastAsia="Times New Roman"/>
        </w:rPr>
      </w:pPr>
      <w:r>
        <w:rPr>
          <w:rFonts w:eastAsia="Times New Roman"/>
          <w:b/>
          <w:bCs/>
          <w:color w:val="000000"/>
          <w:sz w:val="20"/>
          <w:szCs w:val="20"/>
        </w:rPr>
        <w:t>NCR Corporation</w:t>
      </w:r>
    </w:p>
    <w:p w:rsidR="00000000" w:rsidRDefault="006F0EF5">
      <w:pPr>
        <w:jc w:val="center"/>
        <w:divId w:val="1512986480"/>
        <w:rPr>
          <w:rFonts w:eastAsia="Times New Roman"/>
        </w:rPr>
      </w:pPr>
      <w:r>
        <w:rPr>
          <w:rFonts w:eastAsia="Times New Roman"/>
          <w:b/>
          <w:bCs/>
          <w:color w:val="000000"/>
          <w:sz w:val="20"/>
          <w:szCs w:val="20"/>
        </w:rPr>
        <w:t>Notes to Consolidated Financial Statements-(Continued)</w:t>
      </w:r>
    </w:p>
    <w:p w:rsidR="00000000" w:rsidRDefault="006F0EF5">
      <w:pPr>
        <w:jc w:val="center"/>
        <w:divId w:val="1512986480"/>
        <w:rPr>
          <w:rFonts w:eastAsia="Times New Roman"/>
        </w:rPr>
      </w:pPr>
    </w:p>
    <w:p w:rsidR="00000000" w:rsidRDefault="006F0EF5">
      <w:pPr>
        <w:jc w:val="center"/>
        <w:divId w:val="1512986480"/>
        <w:rPr>
          <w:rFonts w:eastAsia="Times New Roman"/>
        </w:rPr>
      </w:pPr>
    </w:p>
    <w:p w:rsidR="00000000" w:rsidRDefault="006F0EF5">
      <w:pPr>
        <w:divId w:val="90198361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8"/>
        <w:gridCol w:w="37"/>
        <w:gridCol w:w="38"/>
        <w:gridCol w:w="3933"/>
        <w:gridCol w:w="38"/>
        <w:gridCol w:w="121"/>
        <w:gridCol w:w="829"/>
        <w:gridCol w:w="36"/>
        <w:gridCol w:w="36"/>
        <w:gridCol w:w="36"/>
        <w:gridCol w:w="36"/>
        <w:gridCol w:w="121"/>
        <w:gridCol w:w="866"/>
        <w:gridCol w:w="36"/>
        <w:gridCol w:w="36"/>
        <w:gridCol w:w="36"/>
        <w:gridCol w:w="36"/>
        <w:gridCol w:w="121"/>
        <w:gridCol w:w="739"/>
        <w:gridCol w:w="36"/>
        <w:gridCol w:w="36"/>
        <w:gridCol w:w="36"/>
        <w:gridCol w:w="36"/>
        <w:gridCol w:w="121"/>
        <w:gridCol w:w="784"/>
        <w:gridCol w:w="37"/>
      </w:tblGrid>
      <w:tr w:rsidR="00000000">
        <w:trPr>
          <w:divId w:val="69158120"/>
          <w:jc w:val="center"/>
        </w:trPr>
        <w:tc>
          <w:tcPr>
            <w:tcW w:w="5" w:type="pct"/>
            <w:vAlign w:val="center"/>
            <w:hideMark/>
          </w:tcPr>
          <w:p w:rsidR="00000000" w:rsidRDefault="006F0EF5">
            <w:pPr>
              <w:rPr>
                <w:rFonts w:eastAsia="Times New Roman"/>
              </w:rPr>
            </w:pPr>
          </w:p>
        </w:tc>
        <w:tc>
          <w:tcPr>
            <w:tcW w:w="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41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6915812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2021</w:t>
            </w:r>
          </w:p>
        </w:tc>
      </w:tr>
      <w:tr w:rsidR="00000000">
        <w:trPr>
          <w:divId w:val="69158120"/>
          <w:jc w:val="center"/>
        </w:trPr>
        <w:tc>
          <w:tcPr>
            <w:tcW w:w="0" w:type="auto"/>
            <w:gridSpan w:val="6"/>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69158120"/>
          <w:jc w:val="center"/>
        </w:trPr>
        <w:tc>
          <w:tcPr>
            <w:tcW w:w="0" w:type="auto"/>
            <w:gridSpan w:val="6"/>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Actuarial Losses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Effective Cash Flow Hedges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w:t>
            </w:r>
          </w:p>
        </w:tc>
      </w:tr>
      <w:tr w:rsidR="00000000">
        <w:trPr>
          <w:divId w:val="69158120"/>
          <w:jc w:val="center"/>
        </w:trPr>
        <w:tc>
          <w:tcPr>
            <w:tcW w:w="0" w:type="auto"/>
            <w:gridSpan w:val="6"/>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Affected line in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6915812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69158120"/>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6915812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69158120"/>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69158120"/>
          <w:jc w:val="center"/>
        </w:trPr>
        <w:tc>
          <w:tcPr>
            <w:tcW w:w="0" w:type="auto"/>
            <w:gridSpan w:val="3"/>
            <w:vAlign w:val="center"/>
            <w:hideMark/>
          </w:tcPr>
          <w:p w:rsidR="00000000" w:rsidRDefault="006F0EF5">
            <w:pPr>
              <w:spacing w:after="100"/>
              <w:jc w:val="right"/>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c>
          <w:tcPr>
            <w:tcW w:w="0" w:type="auto"/>
            <w:gridSpan w:val="3"/>
            <w:vAlign w:val="center"/>
            <w:hideMark/>
          </w:tcPr>
          <w:p w:rsidR="00000000" w:rsidRDefault="006F0EF5">
            <w:pPr>
              <w:spacing w:after="100"/>
              <w:rPr>
                <w:rFonts w:eastAsia="Times New Roman"/>
                <w:sz w:val="20"/>
                <w:szCs w:val="20"/>
              </w:rPr>
            </w:pPr>
          </w:p>
        </w:tc>
      </w:tr>
      <w:tr w:rsidR="00000000">
        <w:trPr>
          <w:divId w:val="6915812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69158120"/>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6915812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tbl>
      <w:tblPr>
        <w:tblW w:w="4985" w:type="pct"/>
        <w:jc w:val="center"/>
        <w:tblCellMar>
          <w:top w:w="15" w:type="dxa"/>
          <w:left w:w="15" w:type="dxa"/>
          <w:bottom w:w="15" w:type="dxa"/>
          <w:right w:w="15" w:type="dxa"/>
        </w:tblCellMar>
        <w:tblLook w:val="04A0" w:firstRow="1" w:lastRow="0" w:firstColumn="1" w:lastColumn="0" w:noHBand="0" w:noVBand="1"/>
      </w:tblPr>
      <w:tblGrid>
        <w:gridCol w:w="144"/>
        <w:gridCol w:w="144"/>
        <w:gridCol w:w="144"/>
        <w:gridCol w:w="144"/>
        <w:gridCol w:w="3951"/>
        <w:gridCol w:w="144"/>
        <w:gridCol w:w="144"/>
        <w:gridCol w:w="891"/>
        <w:gridCol w:w="144"/>
        <w:gridCol w:w="144"/>
        <w:gridCol w:w="144"/>
        <w:gridCol w:w="144"/>
        <w:gridCol w:w="144"/>
        <w:gridCol w:w="891"/>
        <w:gridCol w:w="144"/>
        <w:gridCol w:w="144"/>
        <w:gridCol w:w="144"/>
        <w:gridCol w:w="144"/>
        <w:gridCol w:w="144"/>
        <w:gridCol w:w="891"/>
        <w:gridCol w:w="144"/>
        <w:gridCol w:w="144"/>
        <w:gridCol w:w="144"/>
        <w:gridCol w:w="144"/>
        <w:gridCol w:w="144"/>
        <w:gridCol w:w="892"/>
        <w:gridCol w:w="144"/>
      </w:tblGrid>
      <w:tr w:rsidR="00000000">
        <w:trPr>
          <w:jc w:val="center"/>
        </w:trPr>
        <w:tc>
          <w:tcPr>
            <w:tcW w:w="5" w:type="pct"/>
            <w:vAlign w:val="center"/>
            <w:hideMark/>
          </w:tcPr>
          <w:p w:rsidR="00000000" w:rsidRDefault="006F0EF5">
            <w:pPr>
              <w:jc w:val="center"/>
              <w:rPr>
                <w:rFonts w:eastAsia="Times New Roman"/>
              </w:rPr>
            </w:pPr>
          </w:p>
        </w:tc>
        <w:tc>
          <w:tcPr>
            <w:tcW w:w="4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38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4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2020</w:t>
            </w:r>
          </w:p>
        </w:tc>
      </w:tr>
      <w:tr w:rsidR="00000000">
        <w:trPr>
          <w:jc w:val="center"/>
        </w:trPr>
        <w:tc>
          <w:tcPr>
            <w:tcW w:w="0" w:type="auto"/>
            <w:gridSpan w:val="6"/>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Actuarial Losses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Effective Cash Flow Hedges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Affected line in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center"/>
        <w:divId w:val="273513230"/>
        <w:rPr>
          <w:rFonts w:eastAsia="Times New Roman"/>
          <w:vanish/>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89"/>
        <w:gridCol w:w="36"/>
        <w:gridCol w:w="38"/>
        <w:gridCol w:w="3849"/>
        <w:gridCol w:w="38"/>
        <w:gridCol w:w="121"/>
        <w:gridCol w:w="841"/>
        <w:gridCol w:w="36"/>
        <w:gridCol w:w="36"/>
        <w:gridCol w:w="36"/>
        <w:gridCol w:w="36"/>
        <w:gridCol w:w="121"/>
        <w:gridCol w:w="867"/>
        <w:gridCol w:w="36"/>
        <w:gridCol w:w="36"/>
        <w:gridCol w:w="36"/>
        <w:gridCol w:w="36"/>
        <w:gridCol w:w="121"/>
        <w:gridCol w:w="725"/>
        <w:gridCol w:w="36"/>
        <w:gridCol w:w="36"/>
        <w:gridCol w:w="36"/>
        <w:gridCol w:w="36"/>
        <w:gridCol w:w="120"/>
        <w:gridCol w:w="797"/>
        <w:gridCol w:w="36"/>
      </w:tblGrid>
      <w:tr w:rsidR="00000000">
        <w:trPr>
          <w:divId w:val="273513230"/>
          <w:jc w:val="center"/>
        </w:trPr>
        <w:tc>
          <w:tcPr>
            <w:tcW w:w="5" w:type="pct"/>
            <w:vAlign w:val="center"/>
            <w:hideMark/>
          </w:tcPr>
          <w:p w:rsidR="00000000" w:rsidRDefault="006F0EF5">
            <w:pPr>
              <w:jc w:val="center"/>
              <w:rPr>
                <w:rFonts w:eastAsia="Times New Roman"/>
              </w:rPr>
            </w:pPr>
          </w:p>
        </w:tc>
        <w:tc>
          <w:tcPr>
            <w:tcW w:w="8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36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3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27351323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For the year ended December 31, 2019</w:t>
            </w:r>
          </w:p>
        </w:tc>
      </w:tr>
      <w:tr w:rsidR="00000000">
        <w:trPr>
          <w:divId w:val="273513230"/>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73513230"/>
          <w:jc w:val="center"/>
        </w:trPr>
        <w:tc>
          <w:tcPr>
            <w:tcW w:w="0" w:type="auto"/>
            <w:gridSpan w:val="6"/>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Actuarial Losses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Effective Cash Flow Hedges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Total</w:t>
            </w:r>
          </w:p>
        </w:tc>
      </w:tr>
      <w:tr w:rsidR="00000000">
        <w:trPr>
          <w:divId w:val="273513230"/>
          <w:jc w:val="center"/>
        </w:trPr>
        <w:tc>
          <w:tcPr>
            <w:tcW w:w="0" w:type="auto"/>
            <w:gridSpan w:val="6"/>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Affected line in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27351323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73513230"/>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7351323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73513230"/>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7351323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73513230"/>
          <w:jc w:val="center"/>
        </w:trPr>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27351323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843743473"/>
        <w:rPr>
          <w:rFonts w:eastAsia="Times New Roman"/>
        </w:rPr>
      </w:pPr>
    </w:p>
    <w:p w:rsidR="00000000" w:rsidRDefault="006F0EF5">
      <w:pPr>
        <w:jc w:val="center"/>
        <w:divId w:val="340930803"/>
        <w:rPr>
          <w:rFonts w:eastAsia="Times New Roman"/>
        </w:rPr>
      </w:pPr>
      <w:r>
        <w:rPr>
          <w:rFonts w:eastAsia="Times New Roman"/>
          <w:color w:val="000000"/>
          <w:sz w:val="20"/>
          <w:szCs w:val="20"/>
        </w:rPr>
        <w:t>120</w:t>
      </w:r>
    </w:p>
    <w:p w:rsidR="00000000" w:rsidRDefault="006F0EF5">
      <w:pPr>
        <w:rPr>
          <w:rFonts w:eastAsia="Times New Roman"/>
        </w:rPr>
      </w:pPr>
      <w:r>
        <w:rPr>
          <w:rFonts w:eastAsia="Times New Roman"/>
        </w:rPr>
        <w:pict>
          <v:rect id="_x0000_i1149" style="width:0;height:1.5pt" o:hralign="center" o:hrstd="t" o:hr="t" fillcolor="#a0a0a0" stroked="f"/>
        </w:pict>
      </w:r>
    </w:p>
    <w:p w:rsidR="00000000" w:rsidRDefault="006F0EF5">
      <w:pPr>
        <w:divId w:val="1960068829"/>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jc w:val="center"/>
        <w:divId w:val="1279532291"/>
        <w:rPr>
          <w:rFonts w:eastAsia="Times New Roman"/>
        </w:rPr>
      </w:pPr>
      <w:r>
        <w:rPr>
          <w:rFonts w:eastAsia="Times New Roman"/>
          <w:b/>
          <w:bCs/>
          <w:color w:val="000000"/>
          <w:sz w:val="20"/>
          <w:szCs w:val="20"/>
        </w:rPr>
        <w:t>NCR Corporation</w:t>
      </w:r>
    </w:p>
    <w:p w:rsidR="00000000" w:rsidRDefault="006F0EF5">
      <w:pPr>
        <w:jc w:val="center"/>
        <w:divId w:val="1279532291"/>
        <w:rPr>
          <w:rFonts w:eastAsia="Times New Roman"/>
        </w:rPr>
      </w:pPr>
      <w:r>
        <w:rPr>
          <w:rFonts w:eastAsia="Times New Roman"/>
          <w:b/>
          <w:bCs/>
          <w:color w:val="000000"/>
          <w:sz w:val="20"/>
          <w:szCs w:val="20"/>
        </w:rPr>
        <w:t>Notes to Consolidated Financial Statements-(Continued)</w:t>
      </w:r>
    </w:p>
    <w:p w:rsidR="00000000" w:rsidRDefault="006F0EF5">
      <w:pPr>
        <w:jc w:val="center"/>
        <w:divId w:val="1279532291"/>
        <w:rPr>
          <w:rFonts w:eastAsia="Times New Roman"/>
        </w:rPr>
      </w:pPr>
    </w:p>
    <w:p w:rsidR="00000000" w:rsidRDefault="006F0EF5">
      <w:pPr>
        <w:jc w:val="center"/>
        <w:divId w:val="1279532291"/>
        <w:rPr>
          <w:rFonts w:eastAsia="Times New Roman"/>
        </w:rPr>
      </w:pPr>
    </w:p>
    <w:p w:rsidR="00000000" w:rsidRDefault="006F0EF5">
      <w:pPr>
        <w:divId w:val="832062130"/>
        <w:rPr>
          <w:rFonts w:eastAsia="Times New Roman"/>
        </w:rPr>
      </w:pPr>
    </w:p>
    <w:p w:rsidR="00000000" w:rsidRDefault="006F0EF5">
      <w:pPr>
        <w:divId w:val="422607719"/>
        <w:rPr>
          <w:rFonts w:eastAsia="Times New Roman"/>
        </w:rPr>
      </w:pPr>
      <w:r>
        <w:rPr>
          <w:rFonts w:eastAsia="Times New Roman"/>
          <w:b/>
          <w:bCs/>
          <w:color w:val="7ACE05"/>
          <w:sz w:val="20"/>
          <w:szCs w:val="20"/>
        </w:rPr>
        <w:t>16. SUPPLEMENTAL FINANCIAL INFORMATION</w:t>
      </w:r>
      <w:r>
        <w:rPr>
          <w:rFonts w:eastAsia="Times New Roman"/>
          <w:b/>
          <w:bCs/>
          <w:color w:val="000000"/>
          <w:sz w:val="20"/>
          <w:szCs w:val="20"/>
        </w:rPr>
        <w:t xml:space="preserve"> </w:t>
      </w:r>
    </w:p>
    <w:p w:rsidR="00000000" w:rsidRDefault="006F0EF5">
      <w:pPr>
        <w:jc w:val="both"/>
        <w:divId w:val="1302232574"/>
        <w:rPr>
          <w:rFonts w:eastAsia="Times New Roman"/>
        </w:rPr>
      </w:pPr>
      <w:r>
        <w:rPr>
          <w:rFonts w:eastAsia="Times New Roman"/>
          <w:color w:val="000000"/>
          <w:sz w:val="20"/>
          <w:szCs w:val="20"/>
        </w:rPr>
        <w:t>The components of other income (expense), net are summarized as follows for the years ended December 31:</w:t>
      </w:r>
    </w:p>
    <w:tbl>
      <w:tblPr>
        <w:tblW w:w="4809" w:type="pct"/>
        <w:jc w:val="center"/>
        <w:tblCellMar>
          <w:top w:w="15" w:type="dxa"/>
          <w:left w:w="15" w:type="dxa"/>
          <w:bottom w:w="15" w:type="dxa"/>
          <w:right w:w="15" w:type="dxa"/>
        </w:tblCellMar>
        <w:tblLook w:val="04A0" w:firstRow="1" w:lastRow="0" w:firstColumn="1" w:lastColumn="0" w:noHBand="0" w:noVBand="1"/>
      </w:tblPr>
      <w:tblGrid>
        <w:gridCol w:w="39"/>
        <w:gridCol w:w="4958"/>
        <w:gridCol w:w="37"/>
        <w:gridCol w:w="36"/>
        <w:gridCol w:w="36"/>
        <w:gridCol w:w="36"/>
        <w:gridCol w:w="120"/>
        <w:gridCol w:w="721"/>
        <w:gridCol w:w="36"/>
        <w:gridCol w:w="36"/>
        <w:gridCol w:w="36"/>
        <w:gridCol w:w="36"/>
        <w:gridCol w:w="120"/>
        <w:gridCol w:w="721"/>
        <w:gridCol w:w="36"/>
        <w:gridCol w:w="36"/>
        <w:gridCol w:w="36"/>
        <w:gridCol w:w="36"/>
        <w:gridCol w:w="120"/>
        <w:gridCol w:w="721"/>
        <w:gridCol w:w="36"/>
      </w:tblGrid>
      <w:tr w:rsidR="00000000">
        <w:trPr>
          <w:divId w:val="1812478747"/>
          <w:jc w:val="center"/>
        </w:trPr>
        <w:tc>
          <w:tcPr>
            <w:tcW w:w="50" w:type="pct"/>
            <w:vAlign w:val="center"/>
            <w:hideMark/>
          </w:tcPr>
          <w:p w:rsidR="00000000" w:rsidRDefault="006F0EF5">
            <w:pPr>
              <w:jc w:val="both"/>
              <w:rPr>
                <w:rFonts w:eastAsia="Times New Roman"/>
              </w:rPr>
            </w:pPr>
          </w:p>
        </w:tc>
        <w:tc>
          <w:tcPr>
            <w:tcW w:w="313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1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1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1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812478747"/>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2019</w:t>
            </w:r>
          </w:p>
        </w:tc>
      </w:tr>
      <w:tr w:rsidR="00000000">
        <w:trPr>
          <w:divId w:val="1812478747"/>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812478747"/>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2478747"/>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Foreign currency fluctuations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2478747"/>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divId w:val="634062388"/>
              <w:rPr>
                <w:rFonts w:eastAsia="Times New Roman"/>
              </w:rPr>
            </w:pPr>
            <w:r>
              <w:rPr>
                <w:rFonts w:eastAsia="Times New Roman"/>
                <w:color w:val="000000"/>
                <w:sz w:val="20"/>
                <w:szCs w:val="20"/>
              </w:rPr>
              <w:t>Employee benefit plan</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2478747"/>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Bank-related fees</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2478747"/>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Gain on equity liquidations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2478747"/>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Impairment of equity investment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2478747"/>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Bargain purchase gain on acquisition</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2478747"/>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Other, net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2478747"/>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ind w:hanging="180"/>
        <w:jc w:val="both"/>
        <w:divId w:val="468282469"/>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Actuarial gain related to the remeasurement of our pension plan assets and liabilities was $118 million for the fourth quarter ended and year ended December</w:t>
      </w:r>
      <w:r>
        <w:rPr>
          <w:rFonts w:eastAsia="Times New Roman"/>
          <w:color w:val="000000"/>
          <w:sz w:val="14"/>
          <w:szCs w:val="14"/>
        </w:rPr>
        <w:t xml:space="preserve"> 31, 2021.</w:t>
      </w:r>
    </w:p>
    <w:p w:rsidR="00000000" w:rsidRDefault="006F0EF5">
      <w:pPr>
        <w:ind w:hanging="180"/>
        <w:jc w:val="both"/>
        <w:divId w:val="42947922"/>
        <w:rPr>
          <w:rFonts w:eastAsia="Times New Roman"/>
        </w:rPr>
      </w:pPr>
    </w:p>
    <w:p w:rsidR="00000000" w:rsidRDefault="006F0EF5">
      <w:pPr>
        <w:jc w:val="both"/>
        <w:divId w:val="1311667507"/>
        <w:rPr>
          <w:rFonts w:eastAsia="Times New Roman"/>
        </w:rPr>
      </w:pPr>
      <w:r>
        <w:rPr>
          <w:rFonts w:eastAsia="Times New Roman"/>
          <w:color w:val="000000"/>
          <w:sz w:val="20"/>
          <w:szCs w:val="20"/>
        </w:rPr>
        <w:t>The components of accounts receivable are summarized as follows:</w:t>
      </w:r>
    </w:p>
    <w:tbl>
      <w:tblPr>
        <w:tblW w:w="4830" w:type="pct"/>
        <w:jc w:val="center"/>
        <w:tblCellMar>
          <w:top w:w="15" w:type="dxa"/>
          <w:left w:w="15" w:type="dxa"/>
          <w:bottom w:w="15" w:type="dxa"/>
          <w:right w:w="15" w:type="dxa"/>
        </w:tblCellMar>
        <w:tblLook w:val="04A0" w:firstRow="1" w:lastRow="0" w:firstColumn="1" w:lastColumn="0" w:noHBand="0" w:noVBand="1"/>
      </w:tblPr>
      <w:tblGrid>
        <w:gridCol w:w="38"/>
        <w:gridCol w:w="5438"/>
        <w:gridCol w:w="36"/>
        <w:gridCol w:w="121"/>
        <w:gridCol w:w="1052"/>
        <w:gridCol w:w="36"/>
        <w:gridCol w:w="36"/>
        <w:gridCol w:w="36"/>
        <w:gridCol w:w="36"/>
        <w:gridCol w:w="121"/>
        <w:gridCol w:w="1038"/>
        <w:gridCol w:w="36"/>
      </w:tblGrid>
      <w:tr w:rsidR="00000000">
        <w:trPr>
          <w:divId w:val="1816214880"/>
          <w:jc w:val="center"/>
        </w:trPr>
        <w:tc>
          <w:tcPr>
            <w:tcW w:w="50" w:type="pct"/>
            <w:vAlign w:val="center"/>
            <w:hideMark/>
          </w:tcPr>
          <w:p w:rsidR="00000000" w:rsidRDefault="006F0EF5">
            <w:pPr>
              <w:jc w:val="both"/>
              <w:rPr>
                <w:rFonts w:eastAsia="Times New Roman"/>
              </w:rPr>
            </w:pPr>
          </w:p>
        </w:tc>
        <w:tc>
          <w:tcPr>
            <w:tcW w:w="341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8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9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816214880"/>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r>
      <w:tr w:rsidR="00000000">
        <w:trPr>
          <w:divId w:val="1816214880"/>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Accounts receivable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816214880"/>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Trade</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1,120 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6214880"/>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6214880"/>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Accounts receivable,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983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6214880"/>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Less: allowance for credit losses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816214880"/>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accounts receivable,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959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1,117 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jc w:val="both"/>
        <w:divId w:val="639457203"/>
        <w:rPr>
          <w:rFonts w:eastAsia="Times New Roman"/>
        </w:rPr>
      </w:pPr>
      <w:r>
        <w:rPr>
          <w:rFonts w:eastAsia="Times New Roman"/>
          <w:color w:val="000000"/>
          <w:sz w:val="20"/>
          <w:szCs w:val="20"/>
        </w:rPr>
        <w:t>The components of inventory are summarized as follows:</w:t>
      </w:r>
    </w:p>
    <w:tbl>
      <w:tblPr>
        <w:tblW w:w="4830" w:type="pct"/>
        <w:jc w:val="center"/>
        <w:tblCellMar>
          <w:top w:w="15" w:type="dxa"/>
          <w:left w:w="15" w:type="dxa"/>
          <w:bottom w:w="15" w:type="dxa"/>
          <w:right w:w="15" w:type="dxa"/>
        </w:tblCellMar>
        <w:tblLook w:val="04A0" w:firstRow="1" w:lastRow="0" w:firstColumn="1" w:lastColumn="0" w:noHBand="0" w:noVBand="1"/>
      </w:tblPr>
      <w:tblGrid>
        <w:gridCol w:w="38"/>
        <w:gridCol w:w="5438"/>
        <w:gridCol w:w="36"/>
        <w:gridCol w:w="121"/>
        <w:gridCol w:w="1052"/>
        <w:gridCol w:w="36"/>
        <w:gridCol w:w="36"/>
        <w:gridCol w:w="36"/>
        <w:gridCol w:w="36"/>
        <w:gridCol w:w="121"/>
        <w:gridCol w:w="1038"/>
        <w:gridCol w:w="36"/>
      </w:tblGrid>
      <w:tr w:rsidR="00000000">
        <w:trPr>
          <w:divId w:val="732854467"/>
          <w:jc w:val="center"/>
        </w:trPr>
        <w:tc>
          <w:tcPr>
            <w:tcW w:w="50" w:type="pct"/>
            <w:vAlign w:val="center"/>
            <w:hideMark/>
          </w:tcPr>
          <w:p w:rsidR="00000000" w:rsidRDefault="006F0EF5">
            <w:pPr>
              <w:jc w:val="both"/>
              <w:rPr>
                <w:rFonts w:eastAsia="Times New Roman"/>
              </w:rPr>
            </w:pPr>
          </w:p>
        </w:tc>
        <w:tc>
          <w:tcPr>
            <w:tcW w:w="341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83"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9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732854467"/>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r>
      <w:tr w:rsidR="00000000">
        <w:trPr>
          <w:divId w:val="732854467"/>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732854467"/>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Work in process and raw materials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732854467"/>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732854467"/>
          <w:jc w:val="center"/>
        </w:trPr>
        <w:tc>
          <w:tcPr>
            <w:tcW w:w="0" w:type="auto"/>
            <w:gridSpan w:val="3"/>
            <w:shd w:val="clear" w:color="auto" w:fill="FFFFFF"/>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Service parts</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333 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732854467"/>
          <w:jc w:val="center"/>
        </w:trPr>
        <w:tc>
          <w:tcPr>
            <w:tcW w:w="0" w:type="auto"/>
            <w:gridSpan w:val="3"/>
            <w:shd w:val="clear" w:color="auto" w:fill="CCEEFF"/>
            <w:tcMar>
              <w:top w:w="30" w:type="dxa"/>
              <w:left w:w="20" w:type="dxa"/>
              <w:bottom w:w="30" w:type="dxa"/>
              <w:right w:w="20" w:type="dxa"/>
            </w:tcMar>
            <w:hideMark/>
          </w:tcPr>
          <w:p w:rsidR="00000000" w:rsidRDefault="006F0EF5">
            <w:pPr>
              <w:spacing w:after="100"/>
              <w:rPr>
                <w:rFonts w:eastAsia="Times New Roman"/>
              </w:rPr>
            </w:pPr>
            <w:r>
              <w:rPr>
                <w:rFonts w:eastAsia="Times New Roman"/>
                <w:b/>
                <w:bCs/>
                <w:color w:val="000000"/>
                <w:sz w:val="20"/>
                <w:szCs w:val="20"/>
              </w:rPr>
              <w:t>Total inventories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color w:val="000000"/>
                <w:sz w:val="20"/>
                <w:szCs w:val="20"/>
              </w:rPr>
              <w:t>601 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bl>
    <w:p w:rsidR="00000000" w:rsidRDefault="006F0EF5">
      <w:pPr>
        <w:divId w:val="1823812662"/>
        <w:rPr>
          <w:rFonts w:eastAsia="Times New Roman"/>
        </w:rPr>
      </w:pPr>
    </w:p>
    <w:p w:rsidR="00000000" w:rsidRDefault="006F0EF5">
      <w:pPr>
        <w:divId w:val="527255163"/>
        <w:rPr>
          <w:rFonts w:eastAsia="Times New Roman"/>
        </w:rPr>
      </w:pPr>
      <w:r>
        <w:rPr>
          <w:rFonts w:eastAsia="Times New Roman"/>
          <w:color w:val="000000"/>
          <w:sz w:val="20"/>
          <w:szCs w:val="20"/>
        </w:rPr>
        <w:t>The components of property, plant and equipment, net are summarized as follows:</w:t>
      </w:r>
    </w:p>
    <w:tbl>
      <w:tblPr>
        <w:tblW w:w="4823" w:type="pct"/>
        <w:jc w:val="center"/>
        <w:tblCellMar>
          <w:top w:w="15" w:type="dxa"/>
          <w:left w:w="15" w:type="dxa"/>
          <w:bottom w:w="15" w:type="dxa"/>
          <w:right w:w="15" w:type="dxa"/>
        </w:tblCellMar>
        <w:tblLook w:val="04A0" w:firstRow="1" w:lastRow="0" w:firstColumn="1" w:lastColumn="0" w:noHBand="0" w:noVBand="1"/>
      </w:tblPr>
      <w:tblGrid>
        <w:gridCol w:w="39"/>
        <w:gridCol w:w="5401"/>
        <w:gridCol w:w="37"/>
        <w:gridCol w:w="121"/>
        <w:gridCol w:w="1075"/>
        <w:gridCol w:w="36"/>
        <w:gridCol w:w="36"/>
        <w:gridCol w:w="36"/>
        <w:gridCol w:w="36"/>
        <w:gridCol w:w="121"/>
        <w:gridCol w:w="1038"/>
        <w:gridCol w:w="36"/>
      </w:tblGrid>
      <w:tr w:rsidR="00000000">
        <w:trPr>
          <w:divId w:val="1786773829"/>
          <w:jc w:val="center"/>
        </w:trPr>
        <w:tc>
          <w:tcPr>
            <w:tcW w:w="50" w:type="pct"/>
            <w:vAlign w:val="center"/>
            <w:hideMark/>
          </w:tcPr>
          <w:p w:rsidR="00000000" w:rsidRDefault="006F0EF5">
            <w:pPr>
              <w:rPr>
                <w:rFonts w:eastAsia="Times New Roman"/>
              </w:rPr>
            </w:pPr>
          </w:p>
        </w:tc>
        <w:tc>
          <w:tcPr>
            <w:tcW w:w="340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9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69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786773829"/>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December 31, 2020</w:t>
            </w:r>
          </w:p>
        </w:tc>
      </w:tr>
      <w:tr w:rsidR="00000000">
        <w:trPr>
          <w:divId w:val="178677382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Property, plant and equipment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78677382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Land and improvements</w:t>
            </w: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8677382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Buildings and improvements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279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8677382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Machinery and other equipment</w:t>
            </w: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1,142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8677382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Finance lease assets</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8677382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Property, plant and equipment,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1,505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1,049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86773829"/>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Less: accumulated depreciation</w:t>
            </w: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(802)</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(676)</w:t>
            </w:r>
          </w:p>
        </w:tc>
        <w:tc>
          <w:tcPr>
            <w:tcW w:w="0" w:type="auto"/>
            <w:shd w:val="clear" w:color="auto" w:fill="CCEE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86773829"/>
          <w:jc w:val="center"/>
        </w:trPr>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20"/>
                <w:szCs w:val="20"/>
              </w:rPr>
              <w:t>Total property, plant and equipment, net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703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F0EF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F0EF5">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F0EF5">
            <w:pPr>
              <w:spacing w:after="100"/>
              <w:jc w:val="right"/>
              <w:rPr>
                <w:rFonts w:eastAsia="Times New Roman"/>
              </w:rPr>
            </w:pPr>
          </w:p>
        </w:tc>
      </w:tr>
      <w:tr w:rsidR="00000000">
        <w:trPr>
          <w:divId w:val="1786773829"/>
          <w:trHeight w:val="300"/>
          <w:jc w:val="center"/>
        </w:trPr>
        <w:tc>
          <w:tcPr>
            <w:tcW w:w="0" w:type="auto"/>
            <w:gridSpan w:val="3"/>
            <w:tcMar>
              <w:top w:w="0" w:type="dxa"/>
              <w:left w:w="20" w:type="dxa"/>
              <w:bottom w:w="0" w:type="dxa"/>
              <w:right w:w="20" w:type="dxa"/>
            </w:tcMar>
            <w:vAlign w:val="center"/>
            <w:hideMark/>
          </w:tcPr>
          <w:p w:rsidR="00000000" w:rsidRDefault="006F0EF5">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divId w:val="1269459967"/>
        <w:rPr>
          <w:rFonts w:eastAsia="Times New Roman"/>
        </w:rPr>
      </w:pPr>
    </w:p>
    <w:p w:rsidR="00000000" w:rsidRDefault="006F0EF5">
      <w:pPr>
        <w:jc w:val="center"/>
        <w:divId w:val="1254120105"/>
        <w:rPr>
          <w:rFonts w:eastAsia="Times New Roman"/>
        </w:rPr>
      </w:pPr>
      <w:r>
        <w:rPr>
          <w:rFonts w:eastAsia="Times New Roman"/>
          <w:color w:val="000000"/>
          <w:sz w:val="20"/>
          <w:szCs w:val="20"/>
        </w:rPr>
        <w:t>121</w:t>
      </w:r>
    </w:p>
    <w:p w:rsidR="00000000" w:rsidRDefault="006F0EF5">
      <w:pPr>
        <w:rPr>
          <w:rFonts w:eastAsia="Times New Roman"/>
        </w:rPr>
      </w:pPr>
      <w:r>
        <w:rPr>
          <w:rFonts w:eastAsia="Times New Roman"/>
        </w:rPr>
        <w:pict>
          <v:rect id="_x0000_i1150" style="width:0;height:1.5pt" o:hralign="center" o:hrstd="t" o:hr="t" fillcolor="#a0a0a0" stroked="f"/>
        </w:pict>
      </w:r>
    </w:p>
    <w:p w:rsidR="00000000" w:rsidRDefault="006F0EF5">
      <w:pPr>
        <w:divId w:val="163120421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2032489722"/>
        <w:rPr>
          <w:rFonts w:eastAsia="Times New Roman"/>
        </w:rPr>
      </w:pPr>
    </w:p>
    <w:p w:rsidR="00000000" w:rsidRDefault="006F0EF5">
      <w:pPr>
        <w:ind w:hanging="1080"/>
        <w:divId w:val="1635057678"/>
        <w:rPr>
          <w:rFonts w:eastAsia="Times New Roman"/>
        </w:rPr>
      </w:pPr>
      <w:r>
        <w:rPr>
          <w:rFonts w:eastAsia="Times New Roman"/>
          <w:b/>
          <w:bCs/>
          <w:color w:val="000000"/>
          <w:sz w:val="20"/>
          <w:szCs w:val="20"/>
        </w:rPr>
        <w:t>Item 9.    </w:t>
      </w:r>
      <w:r>
        <w:rPr>
          <w:rFonts w:eastAsia="Times New Roman"/>
          <w:b/>
          <w:bCs/>
          <w:color w:val="000000"/>
          <w:sz w:val="20"/>
          <w:szCs w:val="20"/>
        </w:rPr>
        <w:t>CHANGES IN AND DISAGREEMENTS WITH ACCOUNTANTS ON ACCOUNTING AND FINANCIAL DISCLOSURE</w:t>
      </w:r>
    </w:p>
    <w:p w:rsidR="00000000" w:rsidRDefault="006F0EF5">
      <w:pPr>
        <w:divId w:val="489715166"/>
        <w:rPr>
          <w:rFonts w:eastAsia="Times New Roman"/>
        </w:rPr>
      </w:pPr>
    </w:p>
    <w:p w:rsidR="00000000" w:rsidRDefault="006F0EF5">
      <w:pPr>
        <w:divId w:val="1705055384"/>
        <w:rPr>
          <w:rFonts w:eastAsia="Times New Roman"/>
        </w:rPr>
      </w:pPr>
      <w:r>
        <w:rPr>
          <w:rFonts w:eastAsia="Times New Roman"/>
          <w:color w:val="000000"/>
          <w:sz w:val="20"/>
          <w:szCs w:val="20"/>
        </w:rPr>
        <w:t xml:space="preserve">None. </w:t>
      </w:r>
    </w:p>
    <w:p w:rsidR="00000000" w:rsidRDefault="006F0EF5">
      <w:pPr>
        <w:divId w:val="226961121"/>
        <w:rPr>
          <w:rFonts w:eastAsia="Times New Roman"/>
        </w:rPr>
      </w:pPr>
    </w:p>
    <w:p w:rsidR="00000000" w:rsidRDefault="006F0EF5">
      <w:pPr>
        <w:jc w:val="center"/>
        <w:divId w:val="467816876"/>
        <w:rPr>
          <w:rFonts w:eastAsia="Times New Roman"/>
        </w:rPr>
      </w:pPr>
      <w:r>
        <w:rPr>
          <w:rFonts w:eastAsia="Times New Roman"/>
          <w:color w:val="000000"/>
          <w:sz w:val="20"/>
          <w:szCs w:val="20"/>
        </w:rPr>
        <w:t>122</w:t>
      </w:r>
    </w:p>
    <w:p w:rsidR="00000000" w:rsidRDefault="006F0EF5">
      <w:pPr>
        <w:rPr>
          <w:rFonts w:eastAsia="Times New Roman"/>
        </w:rPr>
      </w:pPr>
      <w:r>
        <w:rPr>
          <w:rFonts w:eastAsia="Times New Roman"/>
        </w:rPr>
        <w:pict>
          <v:rect id="_x0000_i1151" style="width:0;height:1.5pt" o:hralign="center" o:hrstd="t" o:hr="t" fillcolor="#a0a0a0" stroked="f"/>
        </w:pict>
      </w:r>
    </w:p>
    <w:p w:rsidR="00000000" w:rsidRDefault="006F0EF5">
      <w:pPr>
        <w:divId w:val="457527679"/>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204341249"/>
        <w:rPr>
          <w:rFonts w:eastAsia="Times New Roman"/>
        </w:rPr>
      </w:pPr>
    </w:p>
    <w:p w:rsidR="00000000" w:rsidRDefault="006F0EF5">
      <w:pPr>
        <w:ind w:hanging="1170"/>
        <w:jc w:val="both"/>
        <w:rPr>
          <w:rFonts w:eastAsia="Times New Roman"/>
        </w:rPr>
      </w:pPr>
      <w:r>
        <w:rPr>
          <w:rFonts w:eastAsia="Times New Roman"/>
          <w:b/>
          <w:bCs/>
          <w:color w:val="000000"/>
          <w:sz w:val="20"/>
          <w:szCs w:val="20"/>
        </w:rPr>
        <w:t>Item 9A.    CONTROLS AND PROCEDURES</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Eva</w:t>
      </w:r>
      <w:r>
        <w:rPr>
          <w:rFonts w:eastAsia="Times New Roman"/>
          <w:b/>
          <w:bCs/>
          <w:color w:val="000000"/>
          <w:sz w:val="20"/>
          <w:szCs w:val="20"/>
        </w:rPr>
        <w:t>luation of Disclosure Controls and Procedures</w:t>
      </w:r>
    </w:p>
    <w:p w:rsidR="00000000" w:rsidRDefault="006F0EF5">
      <w:pPr>
        <w:jc w:val="both"/>
        <w:divId w:val="1770352976"/>
        <w:rPr>
          <w:rFonts w:eastAsia="Times New Roman"/>
        </w:rPr>
      </w:pPr>
      <w:r>
        <w:rPr>
          <w:rFonts w:eastAsia="Times New Roman"/>
          <w:color w:val="000000"/>
          <w:sz w:val="20"/>
          <w:szCs w:val="20"/>
        </w:rPr>
        <w:t xml:space="preserve">NCR has established disclosure controls and procedures (as defined in Rules 13a-15(e) and 15d-15(e) of the Securities Exchange Act of 1934 (the “Exchange Act”)) to provide reasonable assurance that information </w:t>
      </w:r>
      <w:r>
        <w:rPr>
          <w:rFonts w:eastAsia="Times New Roman"/>
          <w:color w:val="000000"/>
          <w:sz w:val="20"/>
          <w:szCs w:val="20"/>
        </w:rPr>
        <w:t>required to be disclosed by NCR in the reports that it files or submits under the Exchange Act is recorded, processed, summarized and reported within the time periods specified in the SEC’s rules and forms. Disclosure controls and procedures include, witho</w:t>
      </w:r>
      <w:r>
        <w:rPr>
          <w:rFonts w:eastAsia="Times New Roman"/>
          <w:color w:val="000000"/>
          <w:sz w:val="20"/>
          <w:szCs w:val="20"/>
        </w:rPr>
        <w:t>ut limitation, controls and procedures designed to provide reasonable assurance that information required to be disclosed by NCR in the reports that it files or submits under the Exchange Act is accumulated and communicated to NCR’s management, including i</w:t>
      </w:r>
      <w:r>
        <w:rPr>
          <w:rFonts w:eastAsia="Times New Roman"/>
          <w:color w:val="000000"/>
          <w:sz w:val="20"/>
          <w:szCs w:val="20"/>
        </w:rPr>
        <w:t>ts Chief Executive and Chief Financial Officers, as appropriate to allow timely decisions regarding required disclosure. Based on their evaluation as of December 31, 2021, conducted under their supervision and with the participation of management, the Comp</w:t>
      </w:r>
      <w:r>
        <w:rPr>
          <w:rFonts w:eastAsia="Times New Roman"/>
          <w:color w:val="000000"/>
          <w:sz w:val="20"/>
          <w:szCs w:val="20"/>
        </w:rPr>
        <w:t>any’s Chief Executive and Chief Financial Officers have concluded that NCR’s disclosure controls and procedures are effective to meet such objectives and that NCR’s disclosure controls and procedures adequately alert them on a timely basis to material info</w:t>
      </w:r>
      <w:r>
        <w:rPr>
          <w:rFonts w:eastAsia="Times New Roman"/>
          <w:color w:val="000000"/>
          <w:sz w:val="20"/>
          <w:szCs w:val="20"/>
        </w:rPr>
        <w:t xml:space="preserve">rmation relating to the Company (including its consolidated subsidiaries) required to be included in NCR’s Exchange Act filings. </w:t>
      </w:r>
    </w:p>
    <w:p w:rsidR="00000000" w:rsidRDefault="006F0EF5">
      <w:pPr>
        <w:jc w:val="both"/>
        <w:divId w:val="583034223"/>
        <w:rPr>
          <w:rFonts w:eastAsia="Times New Roman"/>
        </w:rPr>
      </w:pPr>
    </w:p>
    <w:p w:rsidR="00000000" w:rsidRDefault="006F0EF5">
      <w:pPr>
        <w:jc w:val="both"/>
        <w:divId w:val="1882353732"/>
        <w:rPr>
          <w:rFonts w:eastAsia="Times New Roman"/>
        </w:rPr>
      </w:pPr>
      <w:r>
        <w:rPr>
          <w:rFonts w:eastAsia="Times New Roman"/>
          <w:color w:val="000000"/>
          <w:sz w:val="20"/>
          <w:szCs w:val="20"/>
        </w:rPr>
        <w:t>We completed the Cardtronics acquisition on June 21, 2021 (see Note 3, “Business Combinations and Divestitures”, of the Notes to Consolidated Financial Statements). The scope of management’s assessment of the effectiveness of the Company’s disclosure contr</w:t>
      </w:r>
      <w:r>
        <w:rPr>
          <w:rFonts w:eastAsia="Times New Roman"/>
          <w:color w:val="000000"/>
          <w:sz w:val="20"/>
          <w:szCs w:val="20"/>
        </w:rPr>
        <w:t>ols and procedures did not include the internal controls over financial reporting of Cardtronics. This exclusion is in accordance with the SEC Staff’s general guidance that an assessment of a recently acquired business may be omitted from the scope of mana</w:t>
      </w:r>
      <w:r>
        <w:rPr>
          <w:rFonts w:eastAsia="Times New Roman"/>
          <w:color w:val="000000"/>
          <w:sz w:val="20"/>
          <w:szCs w:val="20"/>
        </w:rPr>
        <w:t>gement’s assessment for one year following the acquisition. Cardtronics represented approximately 9% of our gross revenue for the twelve months ended December 31, 2021. Total assets of the acquired business as of December 31, 2021 represented approximately</w:t>
      </w:r>
      <w:r>
        <w:rPr>
          <w:rFonts w:eastAsia="Times New Roman"/>
          <w:color w:val="000000"/>
          <w:sz w:val="20"/>
          <w:szCs w:val="20"/>
        </w:rPr>
        <w:t xml:space="preserve"> 8% of total consolidated assets, excluding goodwill and other intangible assets.</w:t>
      </w:r>
    </w:p>
    <w:p w:rsidR="00000000" w:rsidRDefault="006F0EF5">
      <w:pPr>
        <w:ind w:firstLine="225"/>
        <w:jc w:val="both"/>
        <w:rPr>
          <w:rFonts w:eastAsia="Times New Roman"/>
        </w:rPr>
      </w:pPr>
    </w:p>
    <w:p w:rsidR="00000000" w:rsidRDefault="006F0EF5">
      <w:pPr>
        <w:jc w:val="both"/>
        <w:rPr>
          <w:rFonts w:eastAsia="Times New Roman"/>
        </w:rPr>
      </w:pPr>
      <w:r>
        <w:rPr>
          <w:rFonts w:eastAsia="Times New Roman"/>
          <w:b/>
          <w:bCs/>
          <w:color w:val="000000"/>
          <w:sz w:val="20"/>
          <w:szCs w:val="20"/>
        </w:rPr>
        <w:t>Changes in Internal Control over Financial Reporting</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There have been no changes in our internal control over financial reporting that occurred during the last fiscal quar</w:t>
      </w:r>
      <w:r>
        <w:rPr>
          <w:rFonts w:eastAsia="Times New Roman"/>
          <w:color w:val="000000"/>
          <w:sz w:val="20"/>
          <w:szCs w:val="20"/>
        </w:rPr>
        <w:t>ter that have materially affected, or are reasonably likely to materially affect, our internal control over financial reporting.</w:t>
      </w:r>
    </w:p>
    <w:p w:rsidR="00000000" w:rsidRDefault="006F0EF5">
      <w:pPr>
        <w:jc w:val="both"/>
        <w:rPr>
          <w:rFonts w:eastAsia="Times New Roman"/>
        </w:rPr>
      </w:pPr>
    </w:p>
    <w:p w:rsidR="00000000" w:rsidRDefault="006F0EF5">
      <w:pPr>
        <w:jc w:val="both"/>
        <w:rPr>
          <w:rFonts w:eastAsia="Times New Roman"/>
        </w:rPr>
      </w:pPr>
      <w:r>
        <w:rPr>
          <w:rFonts w:eastAsia="Times New Roman"/>
          <w:b/>
          <w:bCs/>
          <w:color w:val="000000"/>
          <w:sz w:val="20"/>
          <w:szCs w:val="20"/>
        </w:rPr>
        <w:t>Management’s Report on Internal Control over Financial Reporting</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Management is responsible for establishing and maintaining</w:t>
      </w:r>
      <w:r>
        <w:rPr>
          <w:rFonts w:eastAsia="Times New Roman"/>
          <w:color w:val="000000"/>
          <w:sz w:val="20"/>
          <w:szCs w:val="20"/>
        </w:rPr>
        <w:t xml:space="preserve"> effective internal control over financial reporting as defined in Rules 13a-15(f) and 15d-15(f) under the Exchange Act. The Company’s internal control over financial reporting is a process designed to provide reasonable assurance regarding the reliability</w:t>
      </w:r>
      <w:r>
        <w:rPr>
          <w:rFonts w:eastAsia="Times New Roman"/>
          <w:color w:val="000000"/>
          <w:sz w:val="20"/>
          <w:szCs w:val="20"/>
        </w:rPr>
        <w:t xml:space="preserve"> of financial reporting and the preparation of financial statements for external purposes in accordance with generally accepted accounting principles. A company’s internal control over financial reporting includes those policies and procedures that (i) per</w:t>
      </w:r>
      <w:r>
        <w:rPr>
          <w:rFonts w:eastAsia="Times New Roman"/>
          <w:color w:val="000000"/>
          <w:sz w:val="20"/>
          <w:szCs w:val="20"/>
        </w:rPr>
        <w:t>tain to the maintenance of records that, in reasonable detail, accurately and fairly reflect the transactions and dispositions of the assets of the company; (ii) provide reasonable assurance that transactions are recorded as necessary to permit preparation</w:t>
      </w:r>
      <w:r>
        <w:rPr>
          <w:rFonts w:eastAsia="Times New Roman"/>
          <w:color w:val="000000"/>
          <w:sz w:val="20"/>
          <w:szCs w:val="20"/>
        </w:rPr>
        <w:t xml:space="preserve"> of financial statements in accordance with generally accepted accounting principles, and that receipts and expenditures of the company are being made only in accordance with authorizations of management and directors of the company; and (iii) provide reas</w:t>
      </w:r>
      <w:r>
        <w:rPr>
          <w:rFonts w:eastAsia="Times New Roman"/>
          <w:color w:val="000000"/>
          <w:sz w:val="20"/>
          <w:szCs w:val="20"/>
        </w:rPr>
        <w:t>onable assurance regarding prevention or timely detection of unauthorized acquisition, use, or disposition of the company’s assets that could have a material effect on the financial statements.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Because of its inherent limitations due to, for example, the</w:t>
      </w:r>
      <w:r>
        <w:rPr>
          <w:rFonts w:eastAsia="Times New Roman"/>
          <w:color w:val="000000"/>
          <w:sz w:val="20"/>
          <w:szCs w:val="20"/>
        </w:rPr>
        <w:t xml:space="preserve"> potential for human error or circumvention of controls, internal control over financial reporting may not prevent or detect misstatements. Also, projections of any evaluation of effectiveness to future periods are subject to the risk that controls may bec</w:t>
      </w:r>
      <w:r>
        <w:rPr>
          <w:rFonts w:eastAsia="Times New Roman"/>
          <w:color w:val="000000"/>
          <w:sz w:val="20"/>
          <w:szCs w:val="20"/>
        </w:rPr>
        <w:t>ome inadequate because of changes in conditions, or that the degree of compliance with the policies or procedures may deteriorate.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Company’s management assessed the effectiveness of the Company’s internal control over financial reporting as of Decemb</w:t>
      </w:r>
      <w:r>
        <w:rPr>
          <w:rFonts w:eastAsia="Times New Roman"/>
          <w:color w:val="000000"/>
          <w:sz w:val="20"/>
          <w:szCs w:val="20"/>
        </w:rPr>
        <w:t>er 31, 2021. In making this assessment, we used the criteria set forth by the Committee of Sponsoring Organizations of the Treadway Commission (“COSO”) in the 2013 Internal Control-Integrated Framework. Based on our assessment, we determined that, as of De</w:t>
      </w:r>
      <w:r>
        <w:rPr>
          <w:rFonts w:eastAsia="Times New Roman"/>
          <w:color w:val="000000"/>
          <w:sz w:val="20"/>
          <w:szCs w:val="20"/>
        </w:rPr>
        <w:t>cember 31, 2021, the Company’s internal control over financial reporting was effective based on those criteria.</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In June 2021, we completed our acquisition of Cardtronics plc (“Cardtronics”). Based upon Securities and Exchange Commission staff guidance, c</w:t>
      </w:r>
      <w:r>
        <w:rPr>
          <w:rFonts w:eastAsia="Times New Roman"/>
          <w:color w:val="000000"/>
          <w:sz w:val="20"/>
          <w:szCs w:val="20"/>
        </w:rPr>
        <w:t>ompanies are permitted to exclude acquisitions from their assessment of internal control over financial reporting for the first year of acquisition. We have excluded Cardtronics from our assessment of internal control over financial reporting as of Decembe</w:t>
      </w:r>
      <w:r>
        <w:rPr>
          <w:rFonts w:eastAsia="Times New Roman"/>
          <w:color w:val="000000"/>
          <w:sz w:val="20"/>
          <w:szCs w:val="20"/>
        </w:rPr>
        <w:t xml:space="preserve">r 31, 2021. Cardtronics is a wholly-owned subsidiary whose total revenue and assets, excluding goodwill and intangibles, represented approximately 9% of our total consolidated revenue and 8% of our consolidated assets for the year ended and as of December </w:t>
      </w:r>
      <w:r>
        <w:rPr>
          <w:rFonts w:eastAsia="Times New Roman"/>
          <w:color w:val="000000"/>
          <w:sz w:val="20"/>
          <w:szCs w:val="20"/>
        </w:rPr>
        <w:t>31, 2021.</w:t>
      </w:r>
    </w:p>
    <w:p w:rsidR="00000000" w:rsidRDefault="006F0EF5">
      <w:pPr>
        <w:jc w:val="center"/>
        <w:divId w:val="36318157"/>
        <w:rPr>
          <w:rFonts w:eastAsia="Times New Roman"/>
        </w:rPr>
      </w:pPr>
      <w:r>
        <w:rPr>
          <w:rFonts w:eastAsia="Times New Roman"/>
          <w:color w:val="000000"/>
          <w:sz w:val="20"/>
          <w:szCs w:val="20"/>
        </w:rPr>
        <w:t>123</w:t>
      </w:r>
    </w:p>
    <w:p w:rsidR="00000000" w:rsidRDefault="006F0EF5">
      <w:pPr>
        <w:rPr>
          <w:rFonts w:eastAsia="Times New Roman"/>
        </w:rPr>
      </w:pPr>
      <w:r>
        <w:rPr>
          <w:rFonts w:eastAsia="Times New Roman"/>
        </w:rPr>
        <w:pict>
          <v:rect id="_x0000_i1152" style="width:0;height:1.5pt" o:hralign="center" o:hrstd="t" o:hr="t" fillcolor="#a0a0a0" stroked="f"/>
        </w:pict>
      </w:r>
    </w:p>
    <w:p w:rsidR="00000000" w:rsidRDefault="006F0EF5">
      <w:pPr>
        <w:divId w:val="208472150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483620537"/>
        <w:rPr>
          <w:rFonts w:eastAsia="Times New Roman"/>
        </w:rPr>
      </w:pP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PricewaterhouseCoopers LLP, our independent registered public accounting firm, has audited the effectiveness of the Company’s</w:t>
      </w:r>
      <w:r>
        <w:rPr>
          <w:rFonts w:eastAsia="Times New Roman"/>
          <w:color w:val="000000"/>
          <w:sz w:val="20"/>
          <w:szCs w:val="20"/>
        </w:rPr>
        <w:t xml:space="preserve"> internal control over financial reporting as of December 31, 2021 as stated in their report which appears in Item 8 of this Report.</w:t>
      </w:r>
    </w:p>
    <w:p w:rsidR="00000000" w:rsidRDefault="006F0EF5">
      <w:pPr>
        <w:jc w:val="both"/>
        <w:rPr>
          <w:rFonts w:eastAsia="Times New Roman"/>
        </w:rPr>
      </w:pPr>
    </w:p>
    <w:p w:rsidR="00000000" w:rsidRDefault="006F0EF5">
      <w:pPr>
        <w:divId w:val="692464904"/>
        <w:rPr>
          <w:rFonts w:eastAsia="Times New Roman"/>
        </w:rPr>
      </w:pPr>
      <w:r>
        <w:rPr>
          <w:rFonts w:eastAsia="Times New Roman"/>
          <w:b/>
          <w:bCs/>
          <w:color w:val="000000"/>
          <w:sz w:val="20"/>
          <w:szCs w:val="20"/>
        </w:rPr>
        <w:t>Item 9B.    OTHER INFORMATION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None. </w:t>
      </w:r>
    </w:p>
    <w:p w:rsidR="00000000" w:rsidRDefault="006F0EF5">
      <w:pPr>
        <w:jc w:val="both"/>
        <w:rPr>
          <w:rFonts w:eastAsia="Times New Roman"/>
        </w:rPr>
      </w:pPr>
      <w:r>
        <w:rPr>
          <w:rFonts w:eastAsia="Times New Roman"/>
          <w:b/>
          <w:bCs/>
          <w:color w:val="000000"/>
          <w:sz w:val="20"/>
          <w:szCs w:val="20"/>
        </w:rPr>
        <w:t>Item 9C. DISCLOSURE REGARDING FOREIGN JURISDICTIONS THAT PREVENT INSPECTIONS</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None.</w:t>
      </w:r>
    </w:p>
    <w:p w:rsidR="00000000" w:rsidRDefault="006F0EF5">
      <w:pPr>
        <w:jc w:val="center"/>
        <w:rPr>
          <w:rFonts w:eastAsia="Times New Roman"/>
        </w:rPr>
      </w:pPr>
    </w:p>
    <w:p w:rsidR="00000000" w:rsidRDefault="006F0EF5">
      <w:pPr>
        <w:jc w:val="center"/>
        <w:rPr>
          <w:rFonts w:eastAsia="Times New Roman"/>
        </w:rPr>
      </w:pPr>
    </w:p>
    <w:p w:rsidR="00000000" w:rsidRDefault="006F0EF5">
      <w:pPr>
        <w:jc w:val="center"/>
        <w:divId w:val="797188999"/>
        <w:rPr>
          <w:rFonts w:eastAsia="Times New Roman"/>
        </w:rPr>
      </w:pPr>
      <w:r>
        <w:rPr>
          <w:rFonts w:eastAsia="Times New Roman"/>
          <w:color w:val="000000"/>
          <w:sz w:val="20"/>
          <w:szCs w:val="20"/>
        </w:rPr>
        <w:t>124</w:t>
      </w:r>
    </w:p>
    <w:p w:rsidR="00000000" w:rsidRDefault="006F0EF5">
      <w:pPr>
        <w:rPr>
          <w:rFonts w:eastAsia="Times New Roman"/>
        </w:rPr>
      </w:pPr>
      <w:r>
        <w:rPr>
          <w:rFonts w:eastAsia="Times New Roman"/>
        </w:rPr>
        <w:pict>
          <v:rect id="_x0000_i1153" style="width:0;height:1.5pt" o:hralign="center" o:hrstd="t" o:hr="t" fillcolor="#a0a0a0" stroked="f"/>
        </w:pict>
      </w:r>
    </w:p>
    <w:p w:rsidR="00000000" w:rsidRDefault="006F0EF5">
      <w:pPr>
        <w:divId w:val="350448247"/>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2027749912"/>
        <w:rPr>
          <w:rFonts w:eastAsia="Times New Roman"/>
        </w:rPr>
      </w:pPr>
    </w:p>
    <w:p w:rsidR="00000000" w:rsidRDefault="006F0EF5">
      <w:pPr>
        <w:jc w:val="center"/>
        <w:rPr>
          <w:rFonts w:eastAsia="Times New Roman"/>
        </w:rPr>
      </w:pPr>
      <w:r>
        <w:rPr>
          <w:rFonts w:eastAsia="Times New Roman"/>
          <w:b/>
          <w:bCs/>
          <w:color w:val="000000"/>
          <w:sz w:val="20"/>
          <w:szCs w:val="20"/>
        </w:rPr>
        <w:t>PART III</w:t>
      </w:r>
    </w:p>
    <w:p w:rsidR="00000000" w:rsidRDefault="006F0EF5">
      <w:pPr>
        <w:divId w:val="915438692"/>
        <w:rPr>
          <w:rFonts w:eastAsia="Times New Roman"/>
        </w:rPr>
      </w:pPr>
    </w:p>
    <w:p w:rsidR="00000000" w:rsidRDefault="006F0EF5">
      <w:pPr>
        <w:ind w:hanging="1170"/>
        <w:jc w:val="both"/>
        <w:rPr>
          <w:rFonts w:eastAsia="Times New Roman"/>
        </w:rPr>
      </w:pPr>
    </w:p>
    <w:p w:rsidR="00000000" w:rsidRDefault="006F0EF5">
      <w:pPr>
        <w:ind w:hanging="1170"/>
        <w:jc w:val="both"/>
        <w:rPr>
          <w:rFonts w:eastAsia="Times New Roman"/>
        </w:rPr>
      </w:pPr>
      <w:r>
        <w:rPr>
          <w:rFonts w:eastAsia="Times New Roman"/>
          <w:b/>
          <w:bCs/>
          <w:color w:val="000000"/>
          <w:sz w:val="20"/>
          <w:szCs w:val="20"/>
        </w:rPr>
        <w:t>Item 10.    </w:t>
      </w:r>
      <w:r>
        <w:rPr>
          <w:rFonts w:eastAsia="Times New Roman"/>
          <w:b/>
          <w:bCs/>
          <w:color w:val="000000"/>
          <w:sz w:val="20"/>
          <w:szCs w:val="20"/>
        </w:rPr>
        <w:t>DIRECTORS, EXECUTIVE OFFICERS AND CORPORATE GOVERNANCE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Except as set forth in the following paragraphs of this Item 10, the information required by this Item 10 will be set forth under the headings “Election of Directors,” “Delinquent Section 16(a) Repor</w:t>
      </w:r>
      <w:r>
        <w:rPr>
          <w:rFonts w:eastAsia="Times New Roman"/>
          <w:color w:val="000000"/>
          <w:sz w:val="20"/>
          <w:szCs w:val="20"/>
        </w:rPr>
        <w:t>ts” (if applicable) and “Committees of the Board” in the Definitive Proxy Statement for our 2022 Annual Meeting of Stockholders to be filed with the SEC within 120 days after the end of our fiscal 2021 year, and is incorporated herein by reference. The inf</w:t>
      </w:r>
      <w:r>
        <w:rPr>
          <w:rFonts w:eastAsia="Times New Roman"/>
          <w:color w:val="000000"/>
          <w:sz w:val="20"/>
          <w:szCs w:val="20"/>
        </w:rPr>
        <w:t xml:space="preserve">ormation required by this Item 10 regarding our executive officers is set forth under the heading “Executive Officers of the Registrant” in Part I of this Form 10-K and is incorporated herein by reference.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We have not materially changed the procedures b</w:t>
      </w:r>
      <w:r>
        <w:rPr>
          <w:rFonts w:eastAsia="Times New Roman"/>
          <w:color w:val="000000"/>
          <w:sz w:val="20"/>
          <w:szCs w:val="20"/>
        </w:rPr>
        <w:t xml:space="preserve">y which stockholders may recommend nominees to the Company’s Board of Directors.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We have a Code of Conduct that sets the standard for ethics and compliance for all of our directors and employees, including our principal executive officer, our principal </w:t>
      </w:r>
      <w:r>
        <w:rPr>
          <w:rFonts w:eastAsia="Times New Roman"/>
          <w:color w:val="000000"/>
          <w:sz w:val="20"/>
          <w:szCs w:val="20"/>
        </w:rPr>
        <w:t>financial officer and our principal accounting officer. Our Code of Conduct is available on the Corporate Governance page at our website at http://www.ncr.com/company/corporate-governance/code-of-conduct under the heading “Code of Conduct.” We intend to di</w:t>
      </w:r>
      <w:r>
        <w:rPr>
          <w:rFonts w:eastAsia="Times New Roman"/>
          <w:color w:val="000000"/>
          <w:sz w:val="20"/>
          <w:szCs w:val="20"/>
        </w:rPr>
        <w:t>sclose any amendments to or waivers of the Code of Conduct with respect to any director as well as our principal executive officer, principal financial officer, and principal accounting officer, on the Corporate Governance page of our website promptly foll</w:t>
      </w:r>
      <w:r>
        <w:rPr>
          <w:rFonts w:eastAsia="Times New Roman"/>
          <w:color w:val="000000"/>
          <w:sz w:val="20"/>
          <w:szCs w:val="20"/>
        </w:rPr>
        <w:t xml:space="preserve">owing the date of such amendment or waiver. </w:t>
      </w:r>
    </w:p>
    <w:p w:rsidR="00000000" w:rsidRDefault="006F0EF5">
      <w:pPr>
        <w:divId w:val="1022442603"/>
        <w:rPr>
          <w:rFonts w:eastAsia="Times New Roman"/>
        </w:rPr>
      </w:pPr>
    </w:p>
    <w:p w:rsidR="00000000" w:rsidRDefault="006F0EF5">
      <w:pPr>
        <w:ind w:hanging="1170"/>
        <w:jc w:val="both"/>
        <w:rPr>
          <w:rFonts w:eastAsia="Times New Roman"/>
        </w:rPr>
      </w:pPr>
      <w:r>
        <w:rPr>
          <w:rFonts w:eastAsia="Times New Roman"/>
          <w:b/>
          <w:bCs/>
          <w:color w:val="000000"/>
          <w:sz w:val="20"/>
          <w:szCs w:val="20"/>
        </w:rPr>
        <w:t>Item 11.    EXECUTIVE COMPENSATION</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The information required by this Item 11 will be set forth under the headings “Executive Compensation - Compensation Discussion &amp; Analysis,” “Compensation and Human Resourc</w:t>
      </w:r>
      <w:r>
        <w:rPr>
          <w:rFonts w:eastAsia="Times New Roman"/>
          <w:color w:val="000000"/>
          <w:sz w:val="20"/>
          <w:szCs w:val="20"/>
        </w:rPr>
        <w:t>e Committee,” “Director Compensation,” and “Board and Compensation and Human Resource Committee Report on Executive Compensation” in the Definitive Proxy Statement for our 2022 Annual Meeting of Stockholders to be filed with the SEC within 120 days after t</w:t>
      </w:r>
      <w:r>
        <w:rPr>
          <w:rFonts w:eastAsia="Times New Roman"/>
          <w:color w:val="000000"/>
          <w:sz w:val="20"/>
          <w:szCs w:val="20"/>
        </w:rPr>
        <w:t xml:space="preserve">he end of our fiscal 2021 year, and is incorporated herein by reference. </w:t>
      </w:r>
    </w:p>
    <w:p w:rsidR="00000000" w:rsidRDefault="006F0EF5">
      <w:pPr>
        <w:divId w:val="1918400616"/>
        <w:rPr>
          <w:rFonts w:eastAsia="Times New Roman"/>
        </w:rPr>
      </w:pPr>
    </w:p>
    <w:p w:rsidR="00000000" w:rsidRDefault="006F0EF5">
      <w:pPr>
        <w:ind w:hanging="1170"/>
        <w:divId w:val="1279142504"/>
        <w:rPr>
          <w:rFonts w:eastAsia="Times New Roman"/>
        </w:rPr>
      </w:pPr>
      <w:r>
        <w:rPr>
          <w:rFonts w:eastAsia="Times New Roman"/>
          <w:b/>
          <w:bCs/>
          <w:color w:val="000000"/>
          <w:sz w:val="20"/>
          <w:szCs w:val="20"/>
        </w:rPr>
        <w:t>Item 12.    SECURITY OWNERSHIPS OF CERTAIN BENEFICIAL OWNERS AND MANAGEMENT AND RELATED STOCKHOLDER MATTERS</w:t>
      </w:r>
    </w:p>
    <w:p w:rsidR="00000000" w:rsidRDefault="006F0EF5">
      <w:pPr>
        <w:divId w:val="2075926994"/>
        <w:rPr>
          <w:rFonts w:eastAsia="Times New Roman"/>
        </w:rPr>
      </w:pPr>
    </w:p>
    <w:p w:rsidR="00000000" w:rsidRDefault="006F0EF5">
      <w:pPr>
        <w:jc w:val="both"/>
        <w:rPr>
          <w:rFonts w:eastAsia="Times New Roman"/>
        </w:rPr>
      </w:pPr>
      <w:r>
        <w:rPr>
          <w:rFonts w:eastAsia="Times New Roman"/>
          <w:color w:val="000000"/>
          <w:sz w:val="20"/>
          <w:szCs w:val="20"/>
        </w:rPr>
        <w:t>The information required by this Item 12 will be set forth under the h</w:t>
      </w:r>
      <w:r>
        <w:rPr>
          <w:rFonts w:eastAsia="Times New Roman"/>
          <w:color w:val="000000"/>
          <w:sz w:val="20"/>
          <w:szCs w:val="20"/>
        </w:rPr>
        <w:t>eadings “Security Ownership of Certain Beneficial Owners and Management” and “Equity Compensation Plan Information Table” in the Definitive Proxy Statement for our 2022 Annual Meeting of Stockholders to be filed with the SEC within 120 days after the end o</w:t>
      </w:r>
      <w:r>
        <w:rPr>
          <w:rFonts w:eastAsia="Times New Roman"/>
          <w:color w:val="000000"/>
          <w:sz w:val="20"/>
          <w:szCs w:val="20"/>
        </w:rPr>
        <w:t xml:space="preserve">f our fiscal 2021 year, and is incorporated herein by reference. </w:t>
      </w:r>
    </w:p>
    <w:p w:rsidR="00000000" w:rsidRDefault="006F0EF5">
      <w:pPr>
        <w:divId w:val="2092504505"/>
        <w:rPr>
          <w:rFonts w:eastAsia="Times New Roman"/>
        </w:rPr>
      </w:pPr>
    </w:p>
    <w:p w:rsidR="00000000" w:rsidRDefault="006F0EF5">
      <w:pPr>
        <w:divId w:val="2067560608"/>
        <w:rPr>
          <w:rFonts w:eastAsia="Times New Roman"/>
        </w:rPr>
      </w:pPr>
    </w:p>
    <w:p w:rsidR="00000000" w:rsidRDefault="006F0EF5">
      <w:pPr>
        <w:ind w:hanging="1440"/>
        <w:divId w:val="851531496"/>
        <w:rPr>
          <w:rFonts w:eastAsia="Times New Roman"/>
        </w:rPr>
      </w:pPr>
      <w:r>
        <w:rPr>
          <w:rFonts w:eastAsia="Times New Roman"/>
          <w:b/>
          <w:bCs/>
          <w:color w:val="000000"/>
          <w:sz w:val="20"/>
          <w:szCs w:val="20"/>
        </w:rPr>
        <w:t>Item 13.    CERTAIN RELATIONSHIPS AND RELATED TRANSACTIONS AND DIRECTOR INDEPENDENCE</w:t>
      </w:r>
    </w:p>
    <w:p w:rsidR="00000000" w:rsidRDefault="006F0EF5">
      <w:pPr>
        <w:divId w:val="616765024"/>
        <w:rPr>
          <w:rFonts w:eastAsia="Times New Roman"/>
        </w:rPr>
      </w:pPr>
    </w:p>
    <w:p w:rsidR="00000000" w:rsidRDefault="006F0EF5">
      <w:pPr>
        <w:jc w:val="both"/>
        <w:divId w:val="1952518032"/>
        <w:rPr>
          <w:rFonts w:eastAsia="Times New Roman"/>
        </w:rPr>
      </w:pPr>
      <w:r>
        <w:rPr>
          <w:rFonts w:eastAsia="Times New Roman"/>
          <w:color w:val="000000"/>
          <w:sz w:val="20"/>
          <w:szCs w:val="20"/>
        </w:rPr>
        <w:t>The information required by this Item 13 will be set forth under the headings “Related Person Transactions” and “Corporate Governance” in the Definitive Proxy Statement for our 2022 Annual Meeting of Stockholders to be filed with the SEC within 120 days af</w:t>
      </w:r>
      <w:r>
        <w:rPr>
          <w:rFonts w:eastAsia="Times New Roman"/>
          <w:color w:val="000000"/>
          <w:sz w:val="20"/>
          <w:szCs w:val="20"/>
        </w:rPr>
        <w:t xml:space="preserve">ter the end of our fiscal 2021 year, and is incorporated herein by reference. </w:t>
      </w:r>
    </w:p>
    <w:p w:rsidR="00000000" w:rsidRDefault="006F0EF5">
      <w:pPr>
        <w:divId w:val="514878276"/>
        <w:rPr>
          <w:rFonts w:eastAsia="Times New Roman"/>
        </w:rPr>
      </w:pPr>
    </w:p>
    <w:p w:rsidR="00000000" w:rsidRDefault="006F0EF5">
      <w:pPr>
        <w:divId w:val="1239828296"/>
        <w:rPr>
          <w:rFonts w:eastAsia="Times New Roman"/>
        </w:rPr>
      </w:pPr>
      <w:r>
        <w:rPr>
          <w:rFonts w:eastAsia="Times New Roman"/>
          <w:b/>
          <w:bCs/>
          <w:color w:val="000000"/>
          <w:sz w:val="20"/>
          <w:szCs w:val="20"/>
        </w:rPr>
        <w:t>Item 14.        PRINCIPAL ACCOUNTANT FEES AND SERVICES</w:t>
      </w:r>
    </w:p>
    <w:p w:rsidR="00000000" w:rsidRDefault="006F0EF5">
      <w:pPr>
        <w:divId w:val="1038819520"/>
        <w:rPr>
          <w:rFonts w:eastAsia="Times New Roman"/>
        </w:rPr>
      </w:pPr>
    </w:p>
    <w:p w:rsidR="00000000" w:rsidRDefault="006F0EF5">
      <w:pPr>
        <w:jc w:val="both"/>
        <w:divId w:val="55203809"/>
        <w:rPr>
          <w:rFonts w:eastAsia="Times New Roman"/>
        </w:rPr>
      </w:pPr>
      <w:r>
        <w:rPr>
          <w:rFonts w:eastAsia="Times New Roman"/>
          <w:color w:val="000000"/>
          <w:sz w:val="20"/>
          <w:szCs w:val="20"/>
        </w:rPr>
        <w:t>The information required by this Item 14 will be set forth under the heading “Fees Paid to Independent Registered Publ</w:t>
      </w:r>
      <w:r>
        <w:rPr>
          <w:rFonts w:eastAsia="Times New Roman"/>
          <w:color w:val="000000"/>
          <w:sz w:val="20"/>
          <w:szCs w:val="20"/>
        </w:rPr>
        <w:t xml:space="preserve">ic Accounting Firm” in the Definitive Proxy Statement for our 2022 Annual Meeting of Stockholders to be filed with the SEC within 120 days after the end of our fiscal 2021 year, and is incorporated herein by reference. </w:t>
      </w:r>
    </w:p>
    <w:p w:rsidR="00000000" w:rsidRDefault="006F0EF5">
      <w:pPr>
        <w:divId w:val="84763864"/>
        <w:rPr>
          <w:rFonts w:eastAsia="Times New Roman"/>
        </w:rPr>
      </w:pPr>
    </w:p>
    <w:p w:rsidR="00000000" w:rsidRDefault="006F0EF5">
      <w:pPr>
        <w:jc w:val="center"/>
        <w:rPr>
          <w:rFonts w:eastAsia="Times New Roman"/>
        </w:rPr>
      </w:pPr>
    </w:p>
    <w:p w:rsidR="00000000" w:rsidRDefault="006F0EF5">
      <w:pPr>
        <w:jc w:val="center"/>
        <w:divId w:val="1302151900"/>
        <w:rPr>
          <w:rFonts w:eastAsia="Times New Roman"/>
        </w:rPr>
      </w:pPr>
      <w:r>
        <w:rPr>
          <w:rFonts w:eastAsia="Times New Roman"/>
          <w:color w:val="000000"/>
          <w:sz w:val="20"/>
          <w:szCs w:val="20"/>
        </w:rPr>
        <w:t>125</w:t>
      </w:r>
    </w:p>
    <w:p w:rsidR="00000000" w:rsidRDefault="006F0EF5">
      <w:pPr>
        <w:rPr>
          <w:rFonts w:eastAsia="Times New Roman"/>
        </w:rPr>
      </w:pPr>
      <w:r>
        <w:rPr>
          <w:rFonts w:eastAsia="Times New Roman"/>
        </w:rPr>
        <w:pict>
          <v:rect id="_x0000_i1154" style="width:0;height:1.5pt" o:hralign="center" o:hrstd="t" o:hr="t" fillcolor="#a0a0a0" stroked="f"/>
        </w:pict>
      </w:r>
    </w:p>
    <w:p w:rsidR="00000000" w:rsidRDefault="006F0EF5">
      <w:pPr>
        <w:divId w:val="668413403"/>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148328603"/>
        <w:rPr>
          <w:rFonts w:eastAsia="Times New Roman"/>
        </w:rPr>
      </w:pPr>
    </w:p>
    <w:p w:rsidR="00000000" w:rsidRDefault="006F0EF5">
      <w:pPr>
        <w:jc w:val="center"/>
        <w:rPr>
          <w:rFonts w:eastAsia="Times New Roman"/>
        </w:rPr>
      </w:pPr>
      <w:r>
        <w:rPr>
          <w:rFonts w:eastAsia="Times New Roman"/>
          <w:b/>
          <w:bCs/>
          <w:color w:val="000000"/>
          <w:sz w:val="20"/>
          <w:szCs w:val="20"/>
        </w:rPr>
        <w:t>PART IV</w:t>
      </w:r>
    </w:p>
    <w:p w:rsidR="00000000" w:rsidRDefault="006F0EF5">
      <w:pPr>
        <w:divId w:val="1697777634"/>
        <w:rPr>
          <w:rFonts w:eastAsia="Times New Roman"/>
        </w:rPr>
      </w:pPr>
    </w:p>
    <w:p w:rsidR="00000000" w:rsidRDefault="006F0EF5">
      <w:pPr>
        <w:ind w:hanging="1170"/>
        <w:jc w:val="both"/>
        <w:rPr>
          <w:rFonts w:eastAsia="Times New Roman"/>
        </w:rPr>
      </w:pPr>
      <w:r>
        <w:rPr>
          <w:rFonts w:eastAsia="Times New Roman"/>
          <w:b/>
          <w:bCs/>
          <w:color w:val="000000"/>
          <w:sz w:val="20"/>
          <w:szCs w:val="20"/>
        </w:rPr>
        <w:t>Item 15.     EXHIBITS AND FINANCIAL STATEMENT SCHEDULE</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(a)(1) </w:t>
      </w:r>
      <w:r>
        <w:rPr>
          <w:rFonts w:eastAsia="Times New Roman"/>
          <w:i/>
          <w:iCs/>
          <w:color w:val="000000"/>
          <w:sz w:val="20"/>
          <w:szCs w:val="20"/>
        </w:rPr>
        <w:t>Financial Statements</w:t>
      </w:r>
      <w:r>
        <w:rPr>
          <w:rFonts w:eastAsia="Times New Roman"/>
          <w:color w:val="000000"/>
          <w:sz w:val="20"/>
          <w:szCs w:val="20"/>
        </w:rPr>
        <w:t>: The following is an index of the consolidated financial statements of the</w:t>
      </w:r>
      <w:r>
        <w:rPr>
          <w:rFonts w:eastAsia="Times New Roman"/>
          <w:color w:val="000000"/>
          <w:sz w:val="20"/>
          <w:szCs w:val="20"/>
        </w:rPr>
        <w:t xml:space="preserve"> Company and the Report of Independent Registered Public Accounting Firm filed as part of this Form 10-K: </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262"/>
        <w:gridCol w:w="38"/>
        <w:gridCol w:w="69"/>
        <w:gridCol w:w="833"/>
        <w:gridCol w:w="36"/>
      </w:tblGrid>
      <w:tr w:rsidR="00000000">
        <w:trPr>
          <w:jc w:val="center"/>
        </w:trPr>
        <w:tc>
          <w:tcPr>
            <w:tcW w:w="50" w:type="pct"/>
            <w:vAlign w:val="center"/>
            <w:hideMark/>
          </w:tcPr>
          <w:p w:rsidR="00000000" w:rsidRDefault="006F0EF5">
            <w:pPr>
              <w:jc w:val="both"/>
              <w:rPr>
                <w:rFonts w:eastAsia="Times New Roman"/>
              </w:rPr>
            </w:pPr>
          </w:p>
        </w:tc>
        <w:tc>
          <w:tcPr>
            <w:tcW w:w="438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51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Page of Form 10-K</w:t>
            </w: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2044481880"/>
              <w:rPr>
                <w:rFonts w:eastAsia="Times New Roman"/>
              </w:rPr>
            </w:pPr>
            <w:hyperlink w:anchor="i820834c26f61401cb1d426994ba52a61_136" w:history="1">
              <w:r>
                <w:rPr>
                  <w:rStyle w:val="a3"/>
                  <w:rFonts w:eastAsia="Times New Roman"/>
                  <w:sz w:val="20"/>
                  <w:szCs w:val="20"/>
                </w:rPr>
                <w:t>Report of Independent Registered Public Accounting Firm</w:t>
              </w:r>
            </w:hyperlink>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hyperlink w:anchor="i820834c26f61401cb1d426994ba52a61_136" w:history="1">
              <w:r>
                <w:rPr>
                  <w:rStyle w:val="a3"/>
                  <w:rFonts w:eastAsia="Times New Roman"/>
                  <w:sz w:val="20"/>
                  <w:szCs w:val="20"/>
                </w:rPr>
                <w:t>51</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1299843220"/>
              <w:rPr>
                <w:rFonts w:eastAsia="Times New Roman"/>
              </w:rPr>
            </w:pPr>
            <w:hyperlink w:anchor="i820834c26f61401cb1d426994ba52a61_139" w:history="1">
              <w:r>
                <w:rPr>
                  <w:rStyle w:val="a3"/>
                  <w:rFonts w:eastAsia="Times New Roman"/>
                  <w:sz w:val="20"/>
                  <w:szCs w:val="20"/>
                </w:rPr>
                <w:t>Consolidated Statements of Operations for the years ended December 31, 2</w:t>
              </w:r>
              <w:r>
                <w:rPr>
                  <w:rStyle w:val="a3"/>
                  <w:rFonts w:eastAsia="Times New Roman"/>
                  <w:sz w:val="20"/>
                  <w:szCs w:val="20"/>
                </w:rPr>
                <w:t>021, 2020, and 2019</w:t>
              </w:r>
            </w:hyperlink>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hyperlink w:anchor="i820834c26f61401cb1d426994ba52a61_139" w:history="1">
              <w:r>
                <w:rPr>
                  <w:rStyle w:val="a3"/>
                  <w:rFonts w:eastAsia="Times New Roman"/>
                  <w:sz w:val="20"/>
                  <w:szCs w:val="20"/>
                </w:rPr>
                <w:t>54</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646321461"/>
              <w:rPr>
                <w:rFonts w:eastAsia="Times New Roman"/>
              </w:rPr>
            </w:pPr>
            <w:hyperlink w:anchor="i820834c26f61401cb1d426994ba52a61_142" w:history="1">
              <w:r>
                <w:rPr>
                  <w:rStyle w:val="a3"/>
                  <w:rFonts w:eastAsia="Times New Roman"/>
                  <w:sz w:val="20"/>
                  <w:szCs w:val="20"/>
                </w:rPr>
                <w:t>Consolidated Statements of Comprehensive Income (Loss) for the years ended December 31, 2021, 2020, and 2019</w:t>
              </w:r>
            </w:hyperlink>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hyperlink w:anchor="i820834c26f61401cb1d426994ba52a61_142" w:history="1">
              <w:r>
                <w:rPr>
                  <w:rStyle w:val="a3"/>
                  <w:rFonts w:eastAsia="Times New Roman"/>
                  <w:sz w:val="20"/>
                  <w:szCs w:val="20"/>
                </w:rPr>
                <w:t>55</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312375077"/>
              <w:rPr>
                <w:rFonts w:eastAsia="Times New Roman"/>
              </w:rPr>
            </w:pPr>
            <w:hyperlink w:anchor="i820834c26f61401cb1d426994ba52a61_145" w:history="1">
              <w:r>
                <w:rPr>
                  <w:rStyle w:val="a3"/>
                  <w:rFonts w:eastAsia="Times New Roman"/>
                  <w:sz w:val="20"/>
                  <w:szCs w:val="20"/>
                </w:rPr>
                <w:t>Consolidated Balanc</w:t>
              </w:r>
              <w:r>
                <w:rPr>
                  <w:rStyle w:val="a3"/>
                  <w:rFonts w:eastAsia="Times New Roman"/>
                  <w:sz w:val="20"/>
                  <w:szCs w:val="20"/>
                </w:rPr>
                <w:t>e Sheets at December 31, 2021 and 2020</w:t>
              </w:r>
            </w:hyperlink>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hyperlink w:anchor="i820834c26f61401cb1d426994ba52a61_145" w:history="1">
              <w:r>
                <w:rPr>
                  <w:rStyle w:val="a3"/>
                  <w:rFonts w:eastAsia="Times New Roman"/>
                  <w:sz w:val="20"/>
                  <w:szCs w:val="20"/>
                </w:rPr>
                <w:t>56</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1932883812"/>
              <w:rPr>
                <w:rFonts w:eastAsia="Times New Roman"/>
              </w:rPr>
            </w:pPr>
            <w:hyperlink w:anchor="i820834c26f61401cb1d426994ba52a61_148" w:history="1">
              <w:r>
                <w:rPr>
                  <w:rStyle w:val="a3"/>
                  <w:rFonts w:eastAsia="Times New Roman"/>
                  <w:sz w:val="20"/>
                  <w:szCs w:val="20"/>
                </w:rPr>
                <w:t>Consolidated Statements of Cash Flows for the years ended December 31, 2021, 2020, and 20</w:t>
              </w:r>
              <w:r>
                <w:rPr>
                  <w:rStyle w:val="a3"/>
                  <w:rFonts w:eastAsia="Times New Roman"/>
                  <w:sz w:val="20"/>
                  <w:szCs w:val="20"/>
                </w:rPr>
                <w:t>19</w:t>
              </w:r>
            </w:hyperlink>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hyperlink w:anchor="i820834c26f61401cb1d426994ba52a61_148" w:history="1">
              <w:r>
                <w:rPr>
                  <w:rStyle w:val="a3"/>
                  <w:rFonts w:eastAsia="Times New Roman"/>
                  <w:sz w:val="20"/>
                  <w:szCs w:val="20"/>
                </w:rPr>
                <w:t>57</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1929576771"/>
              <w:rPr>
                <w:rFonts w:eastAsia="Times New Roman"/>
              </w:rPr>
            </w:pPr>
            <w:hyperlink w:anchor="i820834c26f61401cb1d426994ba52a61_151" w:history="1">
              <w:r>
                <w:rPr>
                  <w:rStyle w:val="a3"/>
                  <w:rFonts w:eastAsia="Times New Roman"/>
                  <w:sz w:val="20"/>
                  <w:szCs w:val="20"/>
                </w:rPr>
                <w:t>Consolidated Statements of Changes in Stockholders' Equity for the years ended December 31, 2021, 2020, and 2019</w:t>
              </w:r>
            </w:hyperlink>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hyperlink w:anchor="i820834c26f61401cb1d426994ba52a61_151" w:history="1">
              <w:r>
                <w:rPr>
                  <w:rStyle w:val="a3"/>
                  <w:rFonts w:eastAsia="Times New Roman"/>
                  <w:sz w:val="20"/>
                  <w:szCs w:val="20"/>
                </w:rPr>
                <w:t>58</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divId w:val="2131702540"/>
              <w:rPr>
                <w:rFonts w:eastAsia="Times New Roman"/>
              </w:rPr>
            </w:pPr>
            <w:hyperlink w:anchor="i820834c26f61401cb1d426994ba52a61_154"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hyperlink w:anchor="i820834c26f61401cb1d426994ba52a61_154" w:history="1">
              <w:r>
                <w:rPr>
                  <w:rStyle w:val="a3"/>
                  <w:rFonts w:eastAsia="Times New Roman"/>
                  <w:sz w:val="20"/>
                  <w:szCs w:val="20"/>
                </w:rPr>
                <w:t>59</w:t>
              </w:r>
            </w:hyperlink>
          </w:p>
        </w:tc>
      </w:tr>
    </w:tbl>
    <w:p w:rsidR="00000000" w:rsidRDefault="006F0EF5">
      <w:pPr>
        <w:divId w:val="783614404"/>
        <w:rPr>
          <w:rFonts w:eastAsia="Times New Roman"/>
        </w:rPr>
      </w:pPr>
    </w:p>
    <w:p w:rsidR="00000000" w:rsidRDefault="006F0EF5">
      <w:pPr>
        <w:jc w:val="both"/>
        <w:rPr>
          <w:rFonts w:eastAsia="Times New Roman"/>
        </w:rPr>
      </w:pPr>
      <w:r>
        <w:rPr>
          <w:rFonts w:eastAsia="Times New Roman"/>
          <w:color w:val="000000"/>
          <w:sz w:val="20"/>
          <w:szCs w:val="20"/>
        </w:rPr>
        <w:t xml:space="preserve">(2) </w:t>
      </w:r>
      <w:r>
        <w:rPr>
          <w:rFonts w:eastAsia="Times New Roman"/>
          <w:i/>
          <w:iCs/>
          <w:color w:val="000000"/>
          <w:sz w:val="20"/>
          <w:szCs w:val="20"/>
        </w:rPr>
        <w:t>Financial Statement Schedule</w:t>
      </w:r>
      <w:r>
        <w:rPr>
          <w:rFonts w:eastAsia="Times New Roman"/>
          <w:color w:val="000000"/>
          <w:sz w:val="20"/>
          <w:szCs w:val="20"/>
        </w:rPr>
        <w:t>: Financial Statement Schedule II—</w:t>
      </w:r>
      <w:r>
        <w:rPr>
          <w:rFonts w:eastAsia="Times New Roman"/>
          <w:color w:val="000000"/>
          <w:sz w:val="20"/>
          <w:szCs w:val="20"/>
        </w:rPr>
        <w:t xml:space="preserve">Valuation and Qualifying Accounts for the years ended December 31, 2021, 2020, and 2019 is included in this Form 10-K on page 131. All other schedules are not required under the related instructions or are not applicable. </w:t>
      </w:r>
    </w:p>
    <w:p w:rsidR="00000000" w:rsidRDefault="006F0EF5">
      <w:pPr>
        <w:jc w:val="both"/>
        <w:rPr>
          <w:rFonts w:eastAsia="Times New Roman"/>
        </w:rPr>
      </w:pPr>
    </w:p>
    <w:p w:rsidR="00000000" w:rsidRDefault="006F0EF5">
      <w:pPr>
        <w:jc w:val="both"/>
        <w:rPr>
          <w:rFonts w:eastAsia="Times New Roman"/>
        </w:rPr>
      </w:pPr>
      <w:r>
        <w:rPr>
          <w:rFonts w:eastAsia="Times New Roman"/>
          <w:color w:val="000000"/>
          <w:sz w:val="20"/>
          <w:szCs w:val="20"/>
        </w:rPr>
        <w:t xml:space="preserve">(3) </w:t>
      </w:r>
      <w:r>
        <w:rPr>
          <w:rFonts w:eastAsia="Times New Roman"/>
          <w:i/>
          <w:iCs/>
          <w:color w:val="000000"/>
          <w:sz w:val="20"/>
          <w:szCs w:val="20"/>
        </w:rPr>
        <w:t>Exhibits</w:t>
      </w:r>
      <w:r>
        <w:rPr>
          <w:rFonts w:eastAsia="Times New Roman"/>
          <w:color w:val="000000"/>
          <w:sz w:val="20"/>
          <w:szCs w:val="20"/>
        </w:rPr>
        <w:t>: See Index of Exhi</w:t>
      </w:r>
      <w:r>
        <w:rPr>
          <w:rFonts w:eastAsia="Times New Roman"/>
          <w:color w:val="000000"/>
          <w:sz w:val="20"/>
          <w:szCs w:val="20"/>
        </w:rPr>
        <w:t>bits below for a listing of all exhibits to this Form 10-K. The management contracts and compensatory plans or arrangements required to be filed as an exhibit to this Form 10-K are identified in the Index of Exhibits by an asterisk (*).</w:t>
      </w:r>
    </w:p>
    <w:p w:rsidR="00000000" w:rsidRDefault="006F0EF5">
      <w:pPr>
        <w:divId w:val="874194089"/>
        <w:rPr>
          <w:rFonts w:eastAsia="Times New Roman"/>
        </w:rPr>
      </w:pPr>
    </w:p>
    <w:p w:rsidR="00000000" w:rsidRDefault="006F0EF5">
      <w:pPr>
        <w:jc w:val="both"/>
        <w:rPr>
          <w:rFonts w:eastAsia="Times New Roman"/>
        </w:rPr>
      </w:pPr>
      <w:r>
        <w:rPr>
          <w:rFonts w:eastAsia="Times New Roman"/>
          <w:color w:val="000000"/>
          <w:sz w:val="20"/>
          <w:szCs w:val="20"/>
        </w:rPr>
        <w:t>(b) The following</w:t>
      </w:r>
      <w:r>
        <w:rPr>
          <w:rFonts w:eastAsia="Times New Roman"/>
          <w:color w:val="000000"/>
          <w:sz w:val="20"/>
          <w:szCs w:val="20"/>
        </w:rPr>
        <w:t xml:space="preserve"> is an index of all exhibits to this Form 10-K. Exhibits identified in parentheses in the index below, on file with the SEC, are incorporated herein by reference as exhibits hereto. </w:t>
      </w:r>
    </w:p>
    <w:tbl>
      <w:tblPr>
        <w:tblW w:w="5000" w:type="pct"/>
        <w:tblCellMar>
          <w:top w:w="15" w:type="dxa"/>
          <w:left w:w="15" w:type="dxa"/>
          <w:bottom w:w="15" w:type="dxa"/>
          <w:right w:w="15" w:type="dxa"/>
        </w:tblCellMar>
        <w:tblLook w:val="04A0" w:firstRow="1" w:lastRow="0" w:firstColumn="1" w:lastColumn="0" w:noHBand="0" w:noVBand="1"/>
      </w:tblPr>
      <w:tblGrid>
        <w:gridCol w:w="60"/>
        <w:gridCol w:w="671"/>
        <w:gridCol w:w="36"/>
        <w:gridCol w:w="36"/>
        <w:gridCol w:w="113"/>
        <w:gridCol w:w="36"/>
        <w:gridCol w:w="61"/>
        <w:gridCol w:w="7256"/>
        <w:gridCol w:w="37"/>
      </w:tblGrid>
      <w:tr w:rsidR="00000000">
        <w:tc>
          <w:tcPr>
            <w:tcW w:w="50" w:type="pct"/>
            <w:vAlign w:val="center"/>
            <w:hideMark/>
          </w:tcPr>
          <w:p w:rsidR="00000000" w:rsidRDefault="006F0EF5">
            <w:pPr>
              <w:jc w:val="both"/>
              <w:rPr>
                <w:rFonts w:eastAsia="Times New Roman"/>
              </w:rPr>
            </w:pPr>
          </w:p>
        </w:tc>
        <w:tc>
          <w:tcPr>
            <w:tcW w:w="4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8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759207657"/>
              <w:rPr>
                <w:rFonts w:eastAsia="Times New Roman"/>
              </w:rPr>
            </w:pPr>
            <w:hyperlink r:id="rId6"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 xml:space="preserve">Agreement and Plan of Merger, dated as of October 19, 2018, among JetPay Corporation, NCR Corporation and Orwell Acquisition Corporation (Exhibit 2.1 </w:t>
            </w:r>
            <w:r>
              <w:rPr>
                <w:rFonts w:eastAsia="Times New Roman"/>
                <w:color w:val="000000"/>
                <w:sz w:val="20"/>
                <w:szCs w:val="20"/>
              </w:rPr>
              <w:t>to the Current Report on Form 8-K of NCR Corporation dated October 22, 2018).</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940991778"/>
              <w:rPr>
                <w:rFonts w:eastAsia="Times New Roman"/>
              </w:rPr>
            </w:pPr>
            <w:hyperlink r:id="rId7" w:history="1">
              <w:r>
                <w:rPr>
                  <w:rStyle w:val="a3"/>
                  <w:rFonts w:eastAsia="Times New Roman"/>
                  <w:sz w:val="20"/>
                  <w:szCs w:val="20"/>
                </w:rPr>
                <w:t>2.2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Acquisition Agreement, dated as of January 25, 2021, among Cardtronics plc, NCR Corporation and Cardtronics USA, Inc. (Exhibit 2.1 to the Current Repo</w:t>
            </w:r>
            <w:r>
              <w:rPr>
                <w:rFonts w:eastAsia="Times New Roman"/>
                <w:color w:val="000000"/>
                <w:sz w:val="20"/>
                <w:szCs w:val="20"/>
              </w:rPr>
              <w:t>rt on Form 8-K of NCR Corporation dated January 25, 2021).</w:t>
            </w:r>
          </w:p>
        </w:tc>
      </w:tr>
      <w:tr w:rsidR="00000000">
        <w:trPr>
          <w:trHeight w:val="34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979772877"/>
              <w:rPr>
                <w:rFonts w:eastAsia="Times New Roman"/>
              </w:rPr>
            </w:pPr>
            <w:hyperlink r:id="rId8"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Articles of Amendment and Restatement of NCR Corporation (Exhibit 3.1 to the NCR Corporation Quarterly Report on Form 10-Q for the quarter ended June 30, 2019 (the “Second Quarter 2019 Quarterly Report”)).</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796067807"/>
              <w:rPr>
                <w:rFonts w:eastAsia="Times New Roman"/>
              </w:rPr>
            </w:pPr>
            <w:hyperlink r:id="rId9"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Bylaws of NCR Corporation, amended and restated effective July 21, 2021 (Exhibit 3.1 to the Current Report on Form 8-K of NCR Corporation dated July 21, 2021).</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Common Stock Certificate of NCR Corporation (Exhibit 4.1 to the NCR Corporation Annual Report on Form 10-K for the year ended December 31, 1999).</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29177335"/>
              <w:rPr>
                <w:rFonts w:eastAsia="Times New Roman"/>
              </w:rPr>
            </w:pPr>
            <w:hyperlink r:id="rId10" w:history="1">
              <w:r>
                <w:rPr>
                  <w:rStyle w:val="a3"/>
                  <w:rFonts w:eastAsia="Times New Roman"/>
                  <w:sz w:val="20"/>
                  <w:szCs w:val="20"/>
                </w:rPr>
                <w:t>4.2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 xml:space="preserve">Indenture, dated as of August 21, 2019, among NCR Corporation, NCR International, Inc. and Wells Fargo Bank, National Association (Exhibit 4.1 to the </w:t>
            </w:r>
            <w:r>
              <w:rPr>
                <w:rFonts w:eastAsia="Times New Roman"/>
                <w:color w:val="000000"/>
                <w:sz w:val="20"/>
                <w:szCs w:val="20"/>
              </w:rPr>
              <w:t>Current Report on Form 8-K of NCR Corporation dated August 21, 2019 (the “August 21, 2019 Form 8-K”)).</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469329901"/>
              <w:rPr>
                <w:rFonts w:eastAsia="Times New Roman"/>
              </w:rPr>
            </w:pPr>
            <w:hyperlink r:id="rId11" w:history="1">
              <w:r>
                <w:rPr>
                  <w:rStyle w:val="a3"/>
                  <w:rFonts w:eastAsia="Times New Roman"/>
                  <w:sz w:val="20"/>
                  <w:szCs w:val="20"/>
                </w:rPr>
                <w:t>4.2.1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Supplemental Indenture, dated as of October 14, 2021 (relating to the Indenture dated as of August 21, 2019), among ATM National, LLC, Cardtronics Holdings, LLC, Cardtronics, Inc., Cardtronics USA, Inc., CATM Holdings LLC, NCR Corporation, NCR Internationa</w:t>
            </w:r>
            <w:r>
              <w:rPr>
                <w:rFonts w:eastAsia="Times New Roman"/>
                <w:color w:val="000000"/>
                <w:sz w:val="20"/>
                <w:szCs w:val="20"/>
              </w:rPr>
              <w:t>l, Inc., and Wells Fargo Bank, National Association.</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jc w:val="center"/>
        <w:divId w:val="539049115"/>
        <w:rPr>
          <w:rFonts w:eastAsia="Times New Roman"/>
        </w:rPr>
      </w:pPr>
      <w:r>
        <w:rPr>
          <w:rFonts w:eastAsia="Times New Roman"/>
          <w:color w:val="000000"/>
          <w:sz w:val="20"/>
          <w:szCs w:val="20"/>
        </w:rPr>
        <w:t>126</w:t>
      </w:r>
    </w:p>
    <w:p w:rsidR="00000000" w:rsidRDefault="006F0EF5">
      <w:pPr>
        <w:rPr>
          <w:rFonts w:eastAsia="Times New Roman"/>
        </w:rPr>
      </w:pPr>
      <w:r>
        <w:rPr>
          <w:rFonts w:eastAsia="Times New Roman"/>
        </w:rPr>
        <w:pict>
          <v:rect id="_x0000_i1155" style="width:0;height:1.5pt" o:hralign="center" o:hrstd="t" o:hr="t" fillcolor="#a0a0a0" stroked="f"/>
        </w:pict>
      </w:r>
    </w:p>
    <w:p w:rsidR="00000000" w:rsidRDefault="006F0EF5">
      <w:pPr>
        <w:divId w:val="79949108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4686707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672"/>
        <w:gridCol w:w="36"/>
        <w:gridCol w:w="36"/>
        <w:gridCol w:w="113"/>
        <w:gridCol w:w="36"/>
        <w:gridCol w:w="61"/>
        <w:gridCol w:w="7256"/>
        <w:gridCol w:w="36"/>
      </w:tblGrid>
      <w:tr w:rsidR="00000000">
        <w:tc>
          <w:tcPr>
            <w:tcW w:w="50" w:type="pct"/>
            <w:vAlign w:val="center"/>
            <w:hideMark/>
          </w:tcPr>
          <w:p w:rsidR="00000000" w:rsidRDefault="006F0EF5">
            <w:pPr>
              <w:rPr>
                <w:rFonts w:eastAsia="Times New Roman"/>
              </w:rPr>
            </w:pPr>
          </w:p>
        </w:tc>
        <w:tc>
          <w:tcPr>
            <w:tcW w:w="4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8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607735109"/>
              <w:rPr>
                <w:rFonts w:eastAsia="Times New Roman"/>
              </w:rPr>
            </w:pPr>
            <w:hyperlink r:id="rId12" w:history="1">
              <w:r>
                <w:rPr>
                  <w:rStyle w:val="a3"/>
                  <w:rFonts w:eastAsia="Times New Roman"/>
                  <w:sz w:val="20"/>
                  <w:szCs w:val="20"/>
                </w:rPr>
                <w:t>4.3</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 xml:space="preserve">Indenture, dated as of August 21, 2019, among NCR Corporation, NCR International, Inc. and Wells Fargo Bank, National Association (Exhibit 4.3 to the </w:t>
            </w:r>
            <w:r>
              <w:rPr>
                <w:rFonts w:eastAsia="Times New Roman"/>
                <w:color w:val="000000"/>
                <w:sz w:val="20"/>
                <w:szCs w:val="20"/>
              </w:rPr>
              <w:t>August 21, 2019 Form 8-K).</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379428441"/>
              <w:rPr>
                <w:rFonts w:eastAsia="Times New Roman"/>
              </w:rPr>
            </w:pPr>
            <w:hyperlink r:id="rId13" w:history="1">
              <w:r>
                <w:rPr>
                  <w:rStyle w:val="a3"/>
                  <w:rFonts w:eastAsia="Times New Roman"/>
                  <w:sz w:val="20"/>
                  <w:szCs w:val="20"/>
                </w:rPr>
                <w:t>4.3.1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Supplemental Indenture, dated as of October 14, 2021 (relating to the Indenture dated as of August 21, 2019), among ATM National, LLC, Cardtronics Holdings, LLC, Cardtronics, Inc., Cardtronics USA, Inc., CATM Holdings LLC, NCR Corporation, NCR Internationa</w:t>
            </w:r>
            <w:r>
              <w:rPr>
                <w:rFonts w:eastAsia="Times New Roman"/>
                <w:color w:val="000000"/>
                <w:sz w:val="20"/>
                <w:szCs w:val="20"/>
              </w:rPr>
              <w:t>l, Inc., and Wells Fargo Bank, National Association.</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847133293"/>
              <w:rPr>
                <w:rFonts w:eastAsia="Times New Roman"/>
              </w:rPr>
            </w:pPr>
            <w:hyperlink r:id="rId14" w:history="1">
              <w:r>
                <w:rPr>
                  <w:rStyle w:val="a3"/>
                  <w:rFonts w:eastAsia="Times New Roman"/>
                  <w:sz w:val="20"/>
                  <w:szCs w:val="20"/>
                </w:rPr>
                <w:t>4.4</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Indenture, dated as of August 20, 2020, among NCR Corporation, NCR International, Inc. and Wells Fargo Bank, National Association (Exhibit 4.1 to Current Report on Form 8-K of NCR Corporation dated August 20, 2020 (the “August 20, 2020 Form 8-K”)).</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2118913312"/>
              <w:rPr>
                <w:rFonts w:eastAsia="Times New Roman"/>
              </w:rPr>
            </w:pPr>
            <w:hyperlink r:id="rId15" w:history="1">
              <w:r>
                <w:rPr>
                  <w:rStyle w:val="a3"/>
                  <w:rFonts w:eastAsia="Times New Roman"/>
                  <w:sz w:val="20"/>
                  <w:szCs w:val="20"/>
                </w:rPr>
                <w:t>4.4.1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Supplemental Indenture, dated as of October 14, 2021 (relating to the Indenture dated as of August 20, 2020), among ATM National, LLC, Cardtronics Holdings, LLC, Cardtronics, Inc., Cardtronics USA, Inc., CATM Holdings LLC, NCR Corporation, NCR Internationa</w:t>
            </w:r>
            <w:r>
              <w:rPr>
                <w:rFonts w:eastAsia="Times New Roman"/>
                <w:color w:val="000000"/>
                <w:sz w:val="20"/>
                <w:szCs w:val="20"/>
              </w:rPr>
              <w:t>l, Inc., and Wells Fargo Bank, National Association, as trustee.</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20464314"/>
              <w:rPr>
                <w:rFonts w:eastAsia="Times New Roman"/>
              </w:rPr>
            </w:pPr>
            <w:hyperlink r:id="rId16" w:history="1">
              <w:r>
                <w:rPr>
                  <w:rStyle w:val="a3"/>
                  <w:rFonts w:eastAsia="Times New Roman"/>
                  <w:sz w:val="20"/>
                  <w:szCs w:val="20"/>
                </w:rPr>
                <w:t>4.5</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Indenture, dated as of August 20, 2020, among NCR Corporation, NCR International, Inc. and Wells Fargo Bank, National Association (Exhibit 4.3 to the August 20, 2020 Form 8-K).</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965237139"/>
              <w:rPr>
                <w:rFonts w:eastAsia="Times New Roman"/>
              </w:rPr>
            </w:pPr>
            <w:hyperlink r:id="rId17" w:history="1">
              <w:r>
                <w:rPr>
                  <w:rStyle w:val="a3"/>
                  <w:rFonts w:eastAsia="Times New Roman"/>
                  <w:sz w:val="20"/>
                  <w:szCs w:val="20"/>
                </w:rPr>
                <w:t>4.5.1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Supplemental Indenture, dated as of October 14, 2021 (relating to the Indenture dated as of August 20, 2020), among ATM National, LLC, Cardtronics Holdings, LLC, Cardtronics, Inc., Cardtronics USA, Inc., CATM Holdings LLC, NCR Corporation, NCR Internationa</w:t>
            </w:r>
            <w:r>
              <w:rPr>
                <w:rFonts w:eastAsia="Times New Roman"/>
                <w:color w:val="000000"/>
                <w:sz w:val="20"/>
                <w:szCs w:val="20"/>
              </w:rPr>
              <w:t>l, Inc., and Wells Fargo Bank, National Association, as trustee.</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25240991"/>
              <w:rPr>
                <w:rFonts w:eastAsia="Times New Roman"/>
              </w:rPr>
            </w:pPr>
            <w:hyperlink r:id="rId18" w:history="1">
              <w:r>
                <w:rPr>
                  <w:rStyle w:val="a3"/>
                  <w:rFonts w:eastAsia="Times New Roman"/>
                  <w:sz w:val="20"/>
                  <w:szCs w:val="20"/>
                </w:rPr>
                <w:t>4.6</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Indenture, dated as of April 6, 2021, among NCR Corporation, NCR Interna</w:t>
            </w:r>
            <w:r>
              <w:rPr>
                <w:rFonts w:eastAsia="Times New Roman"/>
                <w:color w:val="000000"/>
                <w:sz w:val="20"/>
                <w:szCs w:val="20"/>
              </w:rPr>
              <w:t>tional, Inc. and U.S. Bank National Association (Exhibit 4.1 to Current Report on Form 8-K of NCR Corporation dated April 6, 2021).</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321158777"/>
              <w:rPr>
                <w:rFonts w:eastAsia="Times New Roman"/>
              </w:rPr>
            </w:pPr>
            <w:hyperlink r:id="rId19" w:history="1">
              <w:r>
                <w:rPr>
                  <w:rStyle w:val="a3"/>
                  <w:rFonts w:eastAsia="Times New Roman"/>
                  <w:sz w:val="20"/>
                  <w:szCs w:val="20"/>
                </w:rPr>
                <w:t>4.6.1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Supplemental Indenture, dated as of October 14, 2021 (relating to the Indenture dated as of April 6, 2021), among ATM National, LLC, Cardtronics Holdings, LLC, Cardtronics, Inc., Cardtronics USA, Inc., CATM Holdings LLC, NCR International, Inc., and U.S. B</w:t>
            </w:r>
            <w:r>
              <w:rPr>
                <w:rFonts w:eastAsia="Times New Roman"/>
                <w:color w:val="000000"/>
                <w:sz w:val="20"/>
                <w:szCs w:val="20"/>
              </w:rPr>
              <w:t>ank National Association, as trustee.</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F0EF5">
            <w:pPr>
              <w:spacing w:after="100"/>
              <w:divId w:val="293097149"/>
              <w:rPr>
                <w:rFonts w:eastAsia="Times New Roman"/>
              </w:rPr>
            </w:pPr>
            <w:hyperlink r:id="rId20" w:history="1">
              <w:r>
                <w:rPr>
                  <w:rStyle w:val="a3"/>
                  <w:rFonts w:eastAsia="Times New Roman"/>
                  <w:sz w:val="20"/>
                  <w:szCs w:val="20"/>
                </w:rPr>
                <w:t>4.7</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Description of NCR Corporation Securities Registered Under Section 12 of the Exchange Act.</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444424125"/>
              <w:rPr>
                <w:rFonts w:eastAsia="Times New Roman"/>
              </w:rPr>
            </w:pPr>
            <w:hyperlink r:id="rId21"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NCR Corporation 2011 Amended and Restated Stock Incentive Plan (formerly the NCR 2006 Stock Incentive Plan, as amended and restated effective as of Decembe</w:t>
            </w:r>
            <w:r>
              <w:rPr>
                <w:rFonts w:eastAsia="Times New Roman"/>
                <w:color w:val="000000"/>
                <w:sz w:val="20"/>
                <w:szCs w:val="20"/>
              </w:rPr>
              <w:t>r 31, 2008) (the “2011 Stock Incentive Plan”) (Exhibit 10.1 to the Current Report on Form 8-K of NCR Corporation dated April 27, 2011). *</w:t>
            </w:r>
          </w:p>
        </w:tc>
      </w:tr>
      <w:tr w:rsidR="00000000">
        <w:trPr>
          <w:trHeight w:val="1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185442213"/>
              <w:rPr>
                <w:rFonts w:eastAsia="Times New Roman"/>
              </w:rPr>
            </w:pPr>
            <w:hyperlink r:id="rId22"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Form of 2011 Stock Option Agreement under the 2011 Stock Incentive Plan (Exhibit 10.1 to the NCR Corporation Quarterly Report on Form 10-Q for the quarter ended March 31, 2011). *</w:t>
            </w:r>
          </w:p>
        </w:tc>
      </w:tr>
      <w:tr w:rsidR="00000000">
        <w:trPr>
          <w:trHeight w:val="1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278607591"/>
              <w:rPr>
                <w:rFonts w:eastAsia="Times New Roman"/>
              </w:rPr>
            </w:pPr>
            <w:hyperlink r:id="rId23" w:history="1">
              <w:r>
                <w:rPr>
                  <w:rStyle w:val="a3"/>
                  <w:rFonts w:eastAsia="Times New Roman"/>
                  <w:sz w:val="20"/>
                  <w:szCs w:val="20"/>
                </w:rPr>
                <w:t>10.2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Amended and Restated NCR Change in Control Severance Plan effective December 31, 2008 (Exhibit 10.24.2 to the NCR Corporation Annual Report on Form 10-K for the year ended December 31, 2008 (the “2008 Annual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241334674"/>
              <w:rPr>
                <w:rFonts w:eastAsia="Times New Roman"/>
              </w:rPr>
            </w:pPr>
            <w:hyperlink r:id="rId24" w:history="1">
              <w:r>
                <w:rPr>
                  <w:rStyle w:val="a3"/>
                  <w:rFonts w:eastAsia="Times New Roman"/>
                  <w:sz w:val="20"/>
                  <w:szCs w:val="20"/>
                </w:rPr>
                <w:t>10.2.1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First Amendment to the Amended and Restated NCR Change in Control Severance Plan (Exhibit 10.6 to the NCR Corporation Quarterly Report on Form 10-Q for the q</w:t>
            </w:r>
            <w:r>
              <w:rPr>
                <w:rFonts w:eastAsia="Times New Roman"/>
                <w:color w:val="000000"/>
                <w:sz w:val="20"/>
                <w:szCs w:val="20"/>
              </w:rPr>
              <w:t>uarter ended September 30, 2011).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315722198"/>
              <w:rPr>
                <w:rFonts w:eastAsia="Times New Roman"/>
              </w:rPr>
            </w:pPr>
            <w:hyperlink r:id="rId25" w:history="1">
              <w:r>
                <w:rPr>
                  <w:rStyle w:val="a3"/>
                  <w:rFonts w:eastAsia="Times New Roman"/>
                  <w:sz w:val="20"/>
                  <w:szCs w:val="20"/>
                </w:rPr>
                <w:t>10.2.2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Second Amendment to the Amended and Restated NCR Change in Control Severance Plan (Exhibit 10.11.2 to the 2017 Annual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394812038"/>
              <w:rPr>
                <w:rFonts w:eastAsia="Times New Roman"/>
              </w:rPr>
            </w:pPr>
            <w:hyperlink r:id="rId26" w:history="1">
              <w:r>
                <w:rPr>
                  <w:rStyle w:val="a3"/>
                  <w:rFonts w:eastAsia="Times New Roman"/>
                  <w:sz w:val="20"/>
                  <w:szCs w:val="20"/>
                </w:rPr>
                <w:t>10.3</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Employment Agreement with William Nuti, dated July 29, 2005 (Exhibit 10.1 to the Current Report on Form 8-K of NCR Corporation dated July 27, 2005).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037392455"/>
              <w:rPr>
                <w:rFonts w:eastAsia="Times New Roman"/>
              </w:rPr>
            </w:pPr>
            <w:hyperlink r:id="rId27" w:history="1">
              <w:r>
                <w:rPr>
                  <w:rStyle w:val="a3"/>
                  <w:rFonts w:eastAsia="Times New Roman"/>
                  <w:sz w:val="20"/>
                  <w:szCs w:val="20"/>
                </w:rPr>
                <w:t>10.3.1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Letter Agreement, dated July 26, 2006, with William Nuti (Exhibit 10.4 to the Current Report on Form 8-K of NCR Corporation dated July 25, 2006).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jc w:val="center"/>
        <w:divId w:val="2038041910"/>
        <w:rPr>
          <w:rFonts w:eastAsia="Times New Roman"/>
        </w:rPr>
      </w:pPr>
      <w:r>
        <w:rPr>
          <w:rFonts w:eastAsia="Times New Roman"/>
          <w:color w:val="000000"/>
          <w:sz w:val="20"/>
          <w:szCs w:val="20"/>
        </w:rPr>
        <w:t>127</w:t>
      </w:r>
    </w:p>
    <w:p w:rsidR="00000000" w:rsidRDefault="006F0EF5">
      <w:pPr>
        <w:rPr>
          <w:rFonts w:eastAsia="Times New Roman"/>
        </w:rPr>
      </w:pPr>
      <w:r>
        <w:rPr>
          <w:rFonts w:eastAsia="Times New Roman"/>
        </w:rPr>
        <w:pict>
          <v:rect id="_x0000_i1156" style="width:0;height:1.5pt" o:hralign="center" o:hrstd="t" o:hr="t" fillcolor="#a0a0a0" stroked="f"/>
        </w:pict>
      </w:r>
    </w:p>
    <w:p w:rsidR="00000000" w:rsidRDefault="006F0EF5">
      <w:pPr>
        <w:divId w:val="160237844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51920095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3"/>
        <w:gridCol w:w="658"/>
        <w:gridCol w:w="36"/>
        <w:gridCol w:w="36"/>
        <w:gridCol w:w="113"/>
        <w:gridCol w:w="36"/>
        <w:gridCol w:w="61"/>
        <w:gridCol w:w="7256"/>
        <w:gridCol w:w="37"/>
      </w:tblGrid>
      <w:tr w:rsidR="00000000">
        <w:tc>
          <w:tcPr>
            <w:tcW w:w="50" w:type="pct"/>
            <w:vAlign w:val="center"/>
            <w:hideMark/>
          </w:tcPr>
          <w:p w:rsidR="00000000" w:rsidRDefault="006F0EF5">
            <w:pPr>
              <w:rPr>
                <w:rFonts w:eastAsia="Times New Roman"/>
              </w:rPr>
            </w:pPr>
          </w:p>
        </w:tc>
        <w:tc>
          <w:tcPr>
            <w:tcW w:w="4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8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160543016"/>
              <w:rPr>
                <w:rFonts w:eastAsia="Times New Roman"/>
              </w:rPr>
            </w:pPr>
            <w:hyperlink r:id="rId28" w:history="1">
              <w:r>
                <w:rPr>
                  <w:rStyle w:val="a3"/>
                  <w:rFonts w:eastAsia="Times New Roman"/>
                  <w:sz w:val="20"/>
                  <w:szCs w:val="20"/>
                </w:rPr>
                <w:t>10.3.2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Second Amendment, effective as of December 12, 2008, to Letter Agreement with William Nuti dated July 29, 2005, as amended July 26, 2006 (Exhibit 10.30</w:t>
            </w:r>
            <w:r>
              <w:rPr>
                <w:rFonts w:eastAsia="Times New Roman"/>
                <w:color w:val="000000"/>
                <w:sz w:val="20"/>
                <w:szCs w:val="20"/>
              </w:rPr>
              <w:t>.2 to the 2008 Annual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635522355"/>
              <w:rPr>
                <w:rFonts w:eastAsia="Times New Roman"/>
              </w:rPr>
            </w:pPr>
            <w:hyperlink r:id="rId29" w:history="1">
              <w:r>
                <w:rPr>
                  <w:rStyle w:val="a3"/>
                  <w:rFonts w:eastAsia="Times New Roman"/>
                  <w:sz w:val="20"/>
                  <w:szCs w:val="20"/>
                </w:rPr>
                <w:t>10.3.3</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Letter Agreement, dated March 11, 2015, between NCR Corporation and William Nuti (Exhibit 10.5 to the NCR Corporation Quarterly Repor</w:t>
            </w:r>
            <w:r>
              <w:rPr>
                <w:rFonts w:eastAsia="Times New Roman"/>
                <w:color w:val="000000"/>
                <w:sz w:val="20"/>
                <w:szCs w:val="20"/>
              </w:rPr>
              <w:t>t on Form 10-Q for the quarter ended March 31, 2015).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284241839"/>
              <w:rPr>
                <w:rFonts w:eastAsia="Times New Roman"/>
              </w:rPr>
            </w:pPr>
            <w:hyperlink r:id="rId30" w:history="1">
              <w:r>
                <w:rPr>
                  <w:rStyle w:val="a3"/>
                  <w:rFonts w:eastAsia="Times New Roman"/>
                  <w:sz w:val="20"/>
                  <w:szCs w:val="20"/>
                </w:rPr>
                <w:t>10.4</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 xml:space="preserve">NCR Corporation 2013 Stock Incentive Plan (the “2013 Stock Incentive Plan”) (Appendix A to the NCR Corporation Proxy Statement on Schedule 14A for </w:t>
            </w:r>
            <w:r>
              <w:rPr>
                <w:rFonts w:eastAsia="Times New Roman"/>
                <w:color w:val="000000"/>
                <w:sz w:val="20"/>
                <w:szCs w:val="20"/>
              </w:rPr>
              <w:t>the NCR Corporation 2013 Annual Meeting of Stockholders).*</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905793214"/>
              <w:rPr>
                <w:rFonts w:eastAsia="Times New Roman"/>
              </w:rPr>
            </w:pPr>
            <w:hyperlink r:id="rId31" w:history="1">
              <w:r>
                <w:rPr>
                  <w:rStyle w:val="a3"/>
                  <w:rFonts w:eastAsia="Times New Roman"/>
                  <w:sz w:val="20"/>
                  <w:szCs w:val="20"/>
                </w:rPr>
                <w:t>10.5</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Agreement between NCR and the Trustees of the NCR Pension Plan (UK), dated November 14, 2013 (Exhibit 10.1 to the Current Report on Form 8-K of NCR Corporation dated November 14, 2013).</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361198314"/>
              <w:rPr>
                <w:rFonts w:eastAsia="Times New Roman"/>
              </w:rPr>
            </w:pPr>
            <w:hyperlink r:id="rId32" w:history="1">
              <w:r>
                <w:rPr>
                  <w:rStyle w:val="a3"/>
                  <w:rFonts w:eastAsia="Times New Roman"/>
                  <w:sz w:val="20"/>
                  <w:szCs w:val="20"/>
                </w:rPr>
                <w:t>10.6</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Amended and Restated NCR Executive Severance Plan (Exhibit 10.1 to the NCR Corporation Quarterly Report on Form 10-Q for the quarter ended June 30, 2015 (the “Second Quarter 2015 Quarterly Rep</w:t>
            </w:r>
            <w:r>
              <w:rPr>
                <w:rFonts w:eastAsia="Times New Roman"/>
                <w:color w:val="000000"/>
                <w:sz w:val="20"/>
                <w:szCs w:val="20"/>
              </w:rPr>
              <w:t>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960255764"/>
              <w:rPr>
                <w:rFonts w:eastAsia="Times New Roman"/>
              </w:rPr>
            </w:pPr>
            <w:hyperlink r:id="rId33" w:history="1">
              <w:r>
                <w:rPr>
                  <w:rStyle w:val="a3"/>
                  <w:rFonts w:eastAsia="Times New Roman"/>
                  <w:sz w:val="20"/>
                  <w:szCs w:val="20"/>
                </w:rPr>
                <w:t>10.</w:t>
              </w:r>
            </w:hyperlink>
            <w:hyperlink r:id="rId34" w:history="1">
              <w:r>
                <w:rPr>
                  <w:rStyle w:val="a3"/>
                  <w:rFonts w:eastAsia="Times New Roman"/>
                  <w:sz w:val="20"/>
                  <w:szCs w:val="20"/>
                </w:rPr>
                <w:t>6</w:t>
              </w:r>
            </w:hyperlink>
            <w:hyperlink r:id="rId35"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First Amendment to the Amended and Restated NCR Executive Severance Plan (Exhibit 10.21.1 to the 2017 Annual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35276399"/>
              <w:rPr>
                <w:rFonts w:eastAsia="Times New Roman"/>
              </w:rPr>
            </w:pPr>
            <w:hyperlink r:id="rId36" w:history="1">
              <w:r>
                <w:rPr>
                  <w:rStyle w:val="a3"/>
                  <w:rFonts w:eastAsia="Times New Roman"/>
                  <w:sz w:val="20"/>
                  <w:szCs w:val="20"/>
                </w:rPr>
                <w:t>10.7</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NCR Director Compensation Program effective April 23, 2013, as amended effective February 24, 2014 (the “2013 NCR Director Compensation</w:t>
            </w:r>
            <w:r>
              <w:rPr>
                <w:rFonts w:eastAsia="Times New Roman"/>
                <w:color w:val="000000"/>
                <w:sz w:val="20"/>
                <w:szCs w:val="20"/>
              </w:rPr>
              <w:t xml:space="preserve"> Program”) (Exhibit 10.42 to the 2014 Annual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699624662"/>
              <w:rPr>
                <w:rFonts w:eastAsia="Times New Roman"/>
              </w:rPr>
            </w:pPr>
            <w:hyperlink r:id="rId37" w:history="1">
              <w:r>
                <w:rPr>
                  <w:rStyle w:val="a3"/>
                  <w:rFonts w:eastAsia="Times New Roman"/>
                  <w:sz w:val="20"/>
                  <w:szCs w:val="20"/>
                </w:rPr>
                <w:t>10.</w:t>
              </w:r>
            </w:hyperlink>
            <w:hyperlink r:id="rId38" w:history="1">
              <w:r>
                <w:rPr>
                  <w:rStyle w:val="a3"/>
                  <w:rFonts w:eastAsia="Times New Roman"/>
                  <w:sz w:val="20"/>
                  <w:szCs w:val="20"/>
                </w:rPr>
                <w:t>7</w:t>
              </w:r>
            </w:hyperlink>
            <w:hyperlink r:id="rId39"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2014 Director Restricted Stock Unit Grant Statement under the 2013 NCR Director Compensation Program (Exhibit 10.42.1 to the 2014 Annual Report).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90660810"/>
              <w:rPr>
                <w:rFonts w:eastAsia="Times New Roman"/>
              </w:rPr>
            </w:pPr>
            <w:hyperlink r:id="rId40" w:history="1">
              <w:r>
                <w:rPr>
                  <w:rStyle w:val="a3"/>
                  <w:rFonts w:eastAsia="Times New Roman"/>
                  <w:sz w:val="20"/>
                  <w:szCs w:val="20"/>
                </w:rPr>
                <w:t>10.</w:t>
              </w:r>
            </w:hyperlink>
            <w:hyperlink r:id="rId41" w:history="1">
              <w:r>
                <w:rPr>
                  <w:rStyle w:val="a3"/>
                  <w:rFonts w:eastAsia="Times New Roman"/>
                  <w:sz w:val="20"/>
                  <w:szCs w:val="20"/>
                </w:rPr>
                <w:t>7</w:t>
              </w:r>
            </w:hyperlink>
            <w:hyperlink r:id="rId42"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2015 Director Restricted Stock Unit Grant Statement under the 2013 NCR Director Compensation Program (Exhibit 10.3 to the Second Quarter 2015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574467773"/>
              <w:rPr>
                <w:rFonts w:eastAsia="Times New Roman"/>
              </w:rPr>
            </w:pPr>
            <w:hyperlink r:id="rId43" w:history="1">
              <w:r>
                <w:rPr>
                  <w:rStyle w:val="a3"/>
                  <w:rFonts w:eastAsia="Times New Roman"/>
                  <w:sz w:val="20"/>
                  <w:szCs w:val="20"/>
                </w:rPr>
                <w:t>10.</w:t>
              </w:r>
            </w:hyperlink>
            <w:hyperlink r:id="rId44" w:history="1">
              <w:r>
                <w:rPr>
                  <w:rStyle w:val="a3"/>
                  <w:rFonts w:eastAsia="Times New Roman"/>
                  <w:sz w:val="20"/>
                  <w:szCs w:val="20"/>
                </w:rPr>
                <w:t>7</w:t>
              </w:r>
            </w:hyperlink>
            <w:hyperlink r:id="rId45" w:history="1">
              <w:r>
                <w:rPr>
                  <w:rStyle w:val="a3"/>
                  <w:rFonts w:eastAsia="Times New Roman"/>
                  <w:sz w:val="20"/>
                  <w:szCs w:val="20"/>
                </w:rPr>
                <w:t>.3</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2016 Director Restricted Stock Unit Grant Statement under the 2013 NCR Director Compensation Program (Exhibit 10.2 to the Quarterly Report on Form 10-Q of NCR Corporation for the quarter ended June 30, 2016 (the “Second Quarter 2016 Quarterly Report”)).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223105731"/>
              <w:rPr>
                <w:rFonts w:eastAsia="Times New Roman"/>
              </w:rPr>
            </w:pPr>
            <w:hyperlink r:id="rId46" w:anchor="toc127170_53" w:history="1">
              <w:r>
                <w:rPr>
                  <w:rStyle w:val="a3"/>
                  <w:rFonts w:eastAsia="Times New Roman"/>
                  <w:sz w:val="20"/>
                  <w:szCs w:val="20"/>
                </w:rPr>
                <w:t>10.8</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NCR Employee Stock Purchase Plan, as amended and restated effective January 1, 2017 (Appendix A to the NCR Corporati</w:t>
            </w:r>
            <w:r>
              <w:rPr>
                <w:rFonts w:eastAsia="Times New Roman"/>
                <w:color w:val="000000"/>
                <w:sz w:val="20"/>
                <w:szCs w:val="20"/>
              </w:rPr>
              <w:t xml:space="preserve">on Proxy Statement on Schedule 14A for the NCR Corporation 2016 Annual Meeting of Stockholders). *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749621328"/>
              <w:rPr>
                <w:rFonts w:eastAsia="Times New Roman"/>
              </w:rPr>
            </w:pPr>
            <w:hyperlink r:id="rId47" w:history="1">
              <w:r>
                <w:rPr>
                  <w:rStyle w:val="a3"/>
                  <w:rFonts w:eastAsia="Times New Roman"/>
                  <w:sz w:val="20"/>
                  <w:szCs w:val="20"/>
                </w:rPr>
                <w:t>10.9</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Incremental Revolving Facility Agreement (TLA-2 Conversion), dated as of June 24, 2021, among NCR Corporation, the Foreign Borrowers thereto, the Su</w:t>
            </w:r>
            <w:r>
              <w:rPr>
                <w:rFonts w:eastAsia="Times New Roman"/>
                <w:color w:val="000000"/>
                <w:sz w:val="20"/>
                <w:szCs w:val="20"/>
              </w:rPr>
              <w:t>bsidiary Loan Parties thereto, the Incremental Revolving Lenders thereto, and JPMorgan Chase Bank, N.A., as Administrative Agent, including, as Exhibit A thereto, the Amended Credit Agreement, dated as of June 24, 2021, among NCR Corporation, the Foreign B</w:t>
            </w:r>
            <w:r>
              <w:rPr>
                <w:rFonts w:eastAsia="Times New Roman"/>
                <w:color w:val="000000"/>
                <w:sz w:val="20"/>
                <w:szCs w:val="20"/>
              </w:rPr>
              <w:t>orrowers party thereto, the Lenders party thereto and JPMorgan Chase Bank, N.A., as Administrative Agent (Exhibit 10.1 to Current Report on Form 8-K of NCR Corporation dated June 21, 2021 (the “June 21, 2021 Form 8-K”)).</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613558062"/>
              <w:rPr>
                <w:rFonts w:eastAsia="Times New Roman"/>
              </w:rPr>
            </w:pPr>
            <w:hyperlink r:id="rId48" w:history="1">
              <w:r>
                <w:rPr>
                  <w:rStyle w:val="a3"/>
                  <w:rFonts w:eastAsia="Times New Roman"/>
                  <w:sz w:val="20"/>
                  <w:szCs w:val="20"/>
                </w:rPr>
                <w:t>10.9.1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Reaffirmation Agreement, dated as of June 21, 2021, among NCR Corporation, certain foreign and domestic subsidiaries of NCR Corporation party ther</w:t>
            </w:r>
            <w:r>
              <w:rPr>
                <w:rFonts w:eastAsia="Times New Roman"/>
                <w:color w:val="000000"/>
                <w:sz w:val="20"/>
                <w:szCs w:val="20"/>
              </w:rPr>
              <w:t>eto and JPMorgan Chase Bank, N.A., as Administrative Agent (Exhibit 10.2 to the June 21, 2021 Form 8-K).</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348530563"/>
              <w:rPr>
                <w:rFonts w:eastAsia="Times New Roman"/>
              </w:rPr>
            </w:pPr>
            <w:hyperlink r:id="rId49" w:history="1">
              <w:r>
                <w:rPr>
                  <w:rStyle w:val="a3"/>
                  <w:rFonts w:eastAsia="Times New Roman"/>
                  <w:sz w:val="20"/>
                  <w:szCs w:val="20"/>
                </w:rPr>
                <w:t>10.9.2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Amended and Restated Guarantee and Collateral Agreement, dated as of August 22, 2011, as amended and restated as of January 6, 2014, as further am</w:t>
            </w:r>
            <w:r>
              <w:rPr>
                <w:rFonts w:eastAsia="Times New Roman"/>
                <w:color w:val="000000"/>
                <w:sz w:val="20"/>
                <w:szCs w:val="20"/>
              </w:rPr>
              <w:t>ended and restated as of March 31, 2016, by and among NCR Corporation, the Foreign Borrowers party thereto, the subsidiaries of NCR Corporation identified therein and JPMorgan Chase Bank, N.A., as Administrative Agent (Exhibit 10.2 to the April 4, 2016 For</w:t>
            </w:r>
            <w:r>
              <w:rPr>
                <w:rFonts w:eastAsia="Times New Roman"/>
                <w:color w:val="000000"/>
                <w:sz w:val="20"/>
                <w:szCs w:val="20"/>
              </w:rPr>
              <w:t>m 8-K).</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791432626"/>
              <w:rPr>
                <w:rFonts w:eastAsia="Times New Roman"/>
              </w:rPr>
            </w:pPr>
            <w:hyperlink r:id="rId50" w:history="1">
              <w:r>
                <w:rPr>
                  <w:rStyle w:val="a3"/>
                  <w:rFonts w:eastAsia="Times New Roman"/>
                  <w:sz w:val="20"/>
                  <w:szCs w:val="20"/>
                </w:rPr>
                <w:t>10.9.2.1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Supplement No. 1, dated as of September 30, 2021, to the Amended and Restated Guarantee and Collateral Agreement, dated as of August 22, 2011, as amended and restated as of January 6, 2014, as further amended and restated as of March 31, 2016, among NCR Co</w:t>
            </w:r>
            <w:r>
              <w:rPr>
                <w:rFonts w:eastAsia="Times New Roman"/>
                <w:color w:val="000000"/>
                <w:sz w:val="20"/>
                <w:szCs w:val="20"/>
              </w:rPr>
              <w:t>rporation, the Foreign Borrowers from time to time party thereto, the Subsidiary Loan Parties from time to time party thereto and JPMorgan Chase Bank, N.A., as Administrative Agent (Exhibit 10.5 to the Quarterly Report on Form 10-Q of NCR Corporation for t</w:t>
            </w:r>
            <w:r>
              <w:rPr>
                <w:rFonts w:eastAsia="Times New Roman"/>
                <w:color w:val="000000"/>
                <w:sz w:val="20"/>
                <w:szCs w:val="20"/>
              </w:rPr>
              <w:t>he quarter ended September 30, 2021).</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jc w:val="center"/>
        <w:divId w:val="1277834146"/>
        <w:rPr>
          <w:rFonts w:eastAsia="Times New Roman"/>
        </w:rPr>
      </w:pPr>
      <w:r>
        <w:rPr>
          <w:rFonts w:eastAsia="Times New Roman"/>
          <w:color w:val="000000"/>
          <w:sz w:val="20"/>
          <w:szCs w:val="20"/>
        </w:rPr>
        <w:t>128</w:t>
      </w:r>
    </w:p>
    <w:p w:rsidR="00000000" w:rsidRDefault="006F0EF5">
      <w:pPr>
        <w:rPr>
          <w:rFonts w:eastAsia="Times New Roman"/>
        </w:rPr>
      </w:pPr>
      <w:r>
        <w:rPr>
          <w:rFonts w:eastAsia="Times New Roman"/>
        </w:rPr>
        <w:pict>
          <v:rect id="_x0000_i1157" style="width:0;height:1.5pt" o:hralign="center" o:hrstd="t" o:hr="t" fillcolor="#a0a0a0" stroked="f"/>
        </w:pict>
      </w:r>
    </w:p>
    <w:p w:rsidR="00000000" w:rsidRDefault="006F0EF5">
      <w:pPr>
        <w:divId w:val="1522090455"/>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212699603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9"/>
        <w:gridCol w:w="654"/>
        <w:gridCol w:w="36"/>
        <w:gridCol w:w="36"/>
        <w:gridCol w:w="111"/>
        <w:gridCol w:w="36"/>
        <w:gridCol w:w="61"/>
        <w:gridCol w:w="7256"/>
        <w:gridCol w:w="37"/>
      </w:tblGrid>
      <w:tr w:rsidR="00000000">
        <w:tc>
          <w:tcPr>
            <w:tcW w:w="50" w:type="pct"/>
            <w:vAlign w:val="center"/>
            <w:hideMark/>
          </w:tcPr>
          <w:p w:rsidR="00000000" w:rsidRDefault="006F0EF5">
            <w:pPr>
              <w:rPr>
                <w:rFonts w:eastAsia="Times New Roman"/>
              </w:rPr>
            </w:pPr>
          </w:p>
        </w:tc>
        <w:tc>
          <w:tcPr>
            <w:tcW w:w="4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8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365178112"/>
              <w:rPr>
                <w:rFonts w:eastAsia="Times New Roman"/>
              </w:rPr>
            </w:pPr>
            <w:hyperlink r:id="rId51" w:history="1">
              <w:r>
                <w:rPr>
                  <w:rStyle w:val="a3"/>
                  <w:rFonts w:eastAsia="Times New Roman"/>
                  <w:sz w:val="20"/>
                  <w:szCs w:val="20"/>
                </w:rPr>
                <w:t>10.9.3</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Annex A to Credit Agreement dated as of August 22, 2011, as amended and restated as of July 25, 2013, as further amended and restated as of March 31, 2016, among NCR Corporation, the Foreign Borrowers party thereto, the Lenders party thereto and JPMorgan C</w:t>
            </w:r>
            <w:r>
              <w:rPr>
                <w:rFonts w:eastAsia="Times New Roman"/>
                <w:color w:val="000000"/>
                <w:sz w:val="20"/>
                <w:szCs w:val="20"/>
              </w:rPr>
              <w:t>hase Bank, N.A. (Exhibit 10.1 to the Second Quarter 2016 Quarterly Report).</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935701917"/>
              <w:rPr>
                <w:rFonts w:eastAsia="Times New Roman"/>
              </w:rPr>
            </w:pPr>
            <w:hyperlink r:id="rId52" w:anchor="toc294010_123" w:history="1">
              <w:r>
                <w:rPr>
                  <w:rStyle w:val="a3"/>
                  <w:rFonts w:eastAsia="Times New Roman"/>
                  <w:sz w:val="20"/>
                  <w:szCs w:val="20"/>
                </w:rPr>
                <w:t>10.10</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Second Amended and Restated NCR Management Incentive Plan (Appendix A to the NCR Corporation Proxy Statement on Schedule 14A for the NCR Corporation 2017 Annual Meeting of Stockholders (the “2017 Proxy Statement”).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2458148"/>
              <w:rPr>
                <w:rFonts w:eastAsia="Times New Roman"/>
              </w:rPr>
            </w:pPr>
            <w:hyperlink r:id="rId53" w:anchor="toc294010_126"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NCR Corporation 2017 Stock Incentive Plan (the “2017 Stock Incentive Plan”) (Appendix B to the 2017 Proxy Statement).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736270703"/>
              <w:rPr>
                <w:rFonts w:eastAsia="Times New Roman"/>
              </w:rPr>
            </w:pPr>
            <w:hyperlink r:id="rId54" w:history="1">
              <w:r>
                <w:rPr>
                  <w:rStyle w:val="a3"/>
                  <w:rFonts w:eastAsia="Times New Roman"/>
                  <w:sz w:val="20"/>
                  <w:szCs w:val="20"/>
                </w:rPr>
                <w:t>10.11.1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Form of 2017 Director Restricted Stock Unit Grant Statement under the 2013 Stock Incentive Plan and 2017 Stock Incentive Plan (Exhib</w:t>
            </w:r>
            <w:r>
              <w:rPr>
                <w:rFonts w:eastAsia="Times New Roman"/>
                <w:color w:val="000000"/>
                <w:sz w:val="20"/>
                <w:szCs w:val="20"/>
              </w:rPr>
              <w:t>it 10.1 to the Quarterly Report on Form 10-Q of NCR Corporation for the quarter ended June 30, 2017).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901478982"/>
              <w:rPr>
                <w:rFonts w:eastAsia="Times New Roman"/>
              </w:rPr>
            </w:pPr>
            <w:hyperlink r:id="rId55" w:history="1">
              <w:r>
                <w:rPr>
                  <w:rStyle w:val="a3"/>
                  <w:rFonts w:eastAsia="Times New Roman"/>
                  <w:sz w:val="20"/>
                  <w:szCs w:val="20"/>
                </w:rPr>
                <w:t>10.11.2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Form of 2018 Director Restricted Stock Unit Grant Statement under the 2017 Stock Incentive Plan (Exhibit 10.3 to the Quarterly Repor</w:t>
            </w:r>
            <w:r>
              <w:rPr>
                <w:rFonts w:eastAsia="Times New Roman"/>
                <w:color w:val="000000"/>
                <w:sz w:val="20"/>
                <w:szCs w:val="20"/>
              </w:rPr>
              <w:t>t on Form 10-Q of NCR Corporation for the quarter ended June 30, 2018 (the “Second Quarter 2018 Quarterly Report”)).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2091850822"/>
              <w:rPr>
                <w:rFonts w:eastAsia="Times New Roman"/>
              </w:rPr>
            </w:pPr>
            <w:hyperlink r:id="rId56" w:history="1">
              <w:r>
                <w:rPr>
                  <w:rStyle w:val="a3"/>
                  <w:rFonts w:eastAsia="Times New Roman"/>
                  <w:sz w:val="20"/>
                  <w:szCs w:val="20"/>
                </w:rPr>
                <w:t>10.11.3</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Form of 2018 Stock Option Award Agreement under the NCR Corporation 2017 Stock Incentive Plan (the “2017 Stock Incentive Plan”) (Exhibit 10.1 to the Quarterly Report on Form 10-Q of NCR Corporation for the quarter ended March 31, 2018).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773481327"/>
              <w:rPr>
                <w:rFonts w:eastAsia="Times New Roman"/>
              </w:rPr>
            </w:pPr>
            <w:hyperlink r:id="rId57" w:history="1">
              <w:r>
                <w:rPr>
                  <w:rStyle w:val="a3"/>
                  <w:rFonts w:eastAsia="Times New Roman"/>
                  <w:sz w:val="20"/>
                  <w:szCs w:val="20"/>
                </w:rPr>
                <w:t>10.11.4</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Form of 2019 Director Restricted Stock Unit Grant Statement under the NCR Corporation 2017 Stock Incentive Plan (Exhibit 10.1 to the Second Quarter 2019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761757280"/>
              <w:rPr>
                <w:rFonts w:eastAsia="Times New Roman"/>
              </w:rPr>
            </w:pPr>
            <w:hyperlink r:id="rId58" w:history="1">
              <w:r>
                <w:rPr>
                  <w:rStyle w:val="a3"/>
                  <w:rFonts w:eastAsia="Times New Roman"/>
                  <w:sz w:val="20"/>
                  <w:szCs w:val="20"/>
                </w:rPr>
                <w:t>10.11.5</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Form of 2019 Stock Option Award Agreement under the 2017 Stock Incentive Plan (Exhibit 10.1 to the Quarterly Report on Form 10-Q of NCR Corporation for the quarter ended March 31, 2019 (the “First Quarter 2019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174301659"/>
              <w:rPr>
                <w:rFonts w:eastAsia="Times New Roman"/>
              </w:rPr>
            </w:pPr>
            <w:hyperlink r:id="rId59" w:history="1">
              <w:r>
                <w:rPr>
                  <w:rStyle w:val="a3"/>
                  <w:rFonts w:eastAsia="Times New Roman"/>
                  <w:sz w:val="20"/>
                  <w:szCs w:val="20"/>
                </w:rPr>
                <w:t>10.11.6</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Form of 2019 Performance-Based Restricted Stock Unit Award Agreement under the 2017 Stock Incentive Plan (Exhibit 10.3 to the First Quarter 2019 Q</w:t>
            </w:r>
            <w:r>
              <w:rPr>
                <w:rFonts w:eastAsia="Times New Roman"/>
                <w:color w:val="000000"/>
                <w:sz w:val="20"/>
                <w:szCs w:val="20"/>
              </w:rPr>
              <w:t>uarterly Report). *</w:t>
            </w:r>
          </w:p>
          <w:p w:rsidR="00000000" w:rsidRDefault="006F0EF5">
            <w:pPr>
              <w:spacing w:after="100"/>
              <w:jc w:val="both"/>
              <w:rPr>
                <w:rFonts w:eastAsia="Times New Roman"/>
              </w:rPr>
            </w:pP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219049077"/>
              <w:rPr>
                <w:rFonts w:eastAsia="Times New Roman"/>
              </w:rPr>
            </w:pPr>
            <w:hyperlink r:id="rId60" w:history="1">
              <w:r>
                <w:rPr>
                  <w:rStyle w:val="a3"/>
                  <w:rFonts w:eastAsia="Times New Roman"/>
                  <w:sz w:val="20"/>
                  <w:szCs w:val="20"/>
                </w:rPr>
                <w:t>10.11.7</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Form of 2020 Premium-Priced Option Award Agreement under the 2017 Stock Incentive Plan (Exhibit 10.1 to the Quarterly Report on Form 10-Q of NCR Corporation for the quarter ended March 31, 2020 (the “First Quarter 2020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051342360"/>
              <w:rPr>
                <w:rFonts w:eastAsia="Times New Roman"/>
              </w:rPr>
            </w:pPr>
            <w:hyperlink r:id="rId61" w:history="1">
              <w:r>
                <w:rPr>
                  <w:rStyle w:val="a3"/>
                  <w:rFonts w:eastAsia="Times New Roman"/>
                  <w:sz w:val="20"/>
                  <w:szCs w:val="20"/>
                </w:rPr>
                <w:t>10.11.8</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Form of 2020 Premium-Priced Option Award Agreement under the 2017 Stock Incentive Plan (Executive Chairman; President and Chief Executiv</w:t>
            </w:r>
            <w:r>
              <w:rPr>
                <w:rFonts w:eastAsia="Times New Roman"/>
                <w:color w:val="000000"/>
                <w:sz w:val="20"/>
                <w:szCs w:val="20"/>
              </w:rPr>
              <w:t>e Officer) (Exhibit 10.2 to the First Quarter 2020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208879881"/>
              <w:rPr>
                <w:rFonts w:eastAsia="Times New Roman"/>
              </w:rPr>
            </w:pPr>
            <w:hyperlink r:id="rId62" w:history="1">
              <w:r>
                <w:rPr>
                  <w:rStyle w:val="a3"/>
                  <w:rFonts w:eastAsia="Times New Roman"/>
                  <w:sz w:val="20"/>
                  <w:szCs w:val="20"/>
                </w:rPr>
                <w:t>10.11.9</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 xml:space="preserve">Form of 2020 Senior Executive Team Performance-Based Restricted Stock Unit Award Agreement under the 2017 Stock Incentive Plan (Exhibit </w:t>
            </w:r>
            <w:r>
              <w:rPr>
                <w:rFonts w:eastAsia="Times New Roman"/>
                <w:color w:val="000000"/>
                <w:sz w:val="20"/>
                <w:szCs w:val="20"/>
              </w:rPr>
              <w:t>10.3 to the First Quarter 2020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888491134"/>
              <w:rPr>
                <w:rFonts w:eastAsia="Times New Roman"/>
              </w:rPr>
            </w:pPr>
            <w:hyperlink r:id="rId63" w:history="1">
              <w:r>
                <w:rPr>
                  <w:rStyle w:val="a3"/>
                  <w:rFonts w:eastAsia="Times New Roman"/>
                  <w:sz w:val="20"/>
                  <w:szCs w:val="20"/>
                </w:rPr>
                <w:t>10.11.10</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Form of 2020 Senior Executive Team Performance-Based Restricted Stock Unit Award Agreement under the 2017 Stock Incentive Plan (Executive Chairman; President and Chief Executive Officer) (Exhibit 10.4 to the First Quarter 2020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616717698"/>
              <w:rPr>
                <w:rFonts w:eastAsia="Times New Roman"/>
              </w:rPr>
            </w:pPr>
            <w:hyperlink r:id="rId64" w:history="1">
              <w:r>
                <w:rPr>
                  <w:rStyle w:val="a3"/>
                  <w:rFonts w:eastAsia="Times New Roman"/>
                  <w:sz w:val="20"/>
                  <w:szCs w:val="20"/>
                </w:rPr>
                <w:t>10.11.11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Form of 2020 Key Employee Performance-Based Restricted Stock Unit Award Agreement under the 2017 Stock Incentive Plan (Exhibit 10.5 to the First Quarter 2020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111514517"/>
              <w:rPr>
                <w:rFonts w:eastAsia="Times New Roman"/>
              </w:rPr>
            </w:pPr>
            <w:hyperlink r:id="rId65" w:history="1">
              <w:r>
                <w:rPr>
                  <w:rStyle w:val="a3"/>
                  <w:rFonts w:eastAsia="Times New Roman"/>
                  <w:sz w:val="20"/>
                  <w:szCs w:val="20"/>
                </w:rPr>
                <w:t>10.11.12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Form of 2020 Time-Based Restricted Stock Unit Award Agreement under the 2017 Stock Incentive Plan (Exhibit 10.6 to the First Quarter 2020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343315411"/>
              <w:rPr>
                <w:rFonts w:eastAsia="Times New Roman"/>
              </w:rPr>
            </w:pPr>
            <w:hyperlink r:id="rId66" w:history="1">
              <w:r>
                <w:rPr>
                  <w:rStyle w:val="a3"/>
                  <w:rFonts w:eastAsia="Times New Roman"/>
                  <w:sz w:val="20"/>
                  <w:szCs w:val="20"/>
                </w:rPr>
                <w:t>10.11.13</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Form of 2020 Director Restricted Stock Unit Grant Statement under the 2017 Stock Incentive Plan (Exhibit 10.1 to the Quarterly Report o</w:t>
            </w:r>
            <w:r>
              <w:rPr>
                <w:rFonts w:eastAsia="Times New Roman"/>
                <w:color w:val="000000"/>
                <w:sz w:val="20"/>
                <w:szCs w:val="20"/>
              </w:rPr>
              <w:t xml:space="preserve">n Form 10-Q of NCR Corporation for the quarter ended June 30, 2020 (the “Second Quarter 2020 Quarterly Report”)). * </w:t>
            </w:r>
          </w:p>
        </w:tc>
      </w:tr>
    </w:tbl>
    <w:p w:rsidR="00000000" w:rsidRDefault="006F0EF5">
      <w:pPr>
        <w:jc w:val="center"/>
        <w:divId w:val="1688671589"/>
        <w:rPr>
          <w:rFonts w:eastAsia="Times New Roman"/>
        </w:rPr>
      </w:pPr>
      <w:r>
        <w:rPr>
          <w:rFonts w:eastAsia="Times New Roman"/>
          <w:color w:val="000000"/>
          <w:sz w:val="20"/>
          <w:szCs w:val="20"/>
        </w:rPr>
        <w:t>129</w:t>
      </w:r>
    </w:p>
    <w:p w:rsidR="00000000" w:rsidRDefault="006F0EF5">
      <w:pPr>
        <w:rPr>
          <w:rFonts w:eastAsia="Times New Roman"/>
        </w:rPr>
      </w:pPr>
      <w:r>
        <w:rPr>
          <w:rFonts w:eastAsia="Times New Roman"/>
        </w:rPr>
        <w:pict>
          <v:rect id="_x0000_i1158" style="width:0;height:1.5pt" o:hralign="center" o:hrstd="t" o:hr="t" fillcolor="#a0a0a0" stroked="f"/>
        </w:pict>
      </w:r>
    </w:p>
    <w:p w:rsidR="00000000" w:rsidRDefault="006F0EF5">
      <w:pPr>
        <w:divId w:val="147772435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21955920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786"/>
        <w:gridCol w:w="36"/>
        <w:gridCol w:w="36"/>
        <w:gridCol w:w="63"/>
        <w:gridCol w:w="36"/>
        <w:gridCol w:w="38"/>
        <w:gridCol w:w="7179"/>
        <w:gridCol w:w="37"/>
      </w:tblGrid>
      <w:tr w:rsidR="00000000">
        <w:tc>
          <w:tcPr>
            <w:tcW w:w="50" w:type="pct"/>
            <w:vAlign w:val="center"/>
            <w:hideMark/>
          </w:tcPr>
          <w:p w:rsidR="00000000" w:rsidRDefault="006F0EF5">
            <w:pPr>
              <w:rPr>
                <w:rFonts w:eastAsia="Times New Roman"/>
              </w:rPr>
            </w:pPr>
          </w:p>
        </w:tc>
        <w:tc>
          <w:tcPr>
            <w:tcW w:w="4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8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852451569"/>
              <w:rPr>
                <w:rFonts w:eastAsia="Times New Roman"/>
              </w:rPr>
            </w:pPr>
            <w:hyperlink r:id="rId67" w:history="1">
              <w:r>
                <w:rPr>
                  <w:rStyle w:val="a3"/>
                  <w:rFonts w:eastAsia="Times New Roman"/>
                  <w:sz w:val="20"/>
                  <w:szCs w:val="20"/>
                </w:rPr>
                <w:t>10.11.14</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 xml:space="preserve">Form of Senior Executive Team Performance Share Restricted Stock Unit Award Agreement under the 2017 Stock Incentive Plan (Exhibit </w:t>
            </w:r>
            <w:r>
              <w:rPr>
                <w:rFonts w:eastAsia="Times New Roman"/>
                <w:color w:val="000000"/>
                <w:sz w:val="20"/>
                <w:szCs w:val="20"/>
              </w:rPr>
              <w:t>10.13.19 to the NCR Corporation Annual Report on Form 10-K for the year ended December 31, 2020 (the “2020 Annual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977299529"/>
              <w:rPr>
                <w:rFonts w:eastAsia="Times New Roman"/>
              </w:rPr>
            </w:pPr>
            <w:hyperlink r:id="rId68" w:history="1">
              <w:r>
                <w:rPr>
                  <w:rStyle w:val="a3"/>
                  <w:rFonts w:eastAsia="Times New Roman"/>
                  <w:sz w:val="20"/>
                  <w:szCs w:val="20"/>
                </w:rPr>
                <w:t>10.11.14.1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Amendment to 2020 Senior Executive Team Market Stock Unit Award Agreement under the NCR Corporation 2017 Stock Incentive Plan (Exhibit 10.1 to the Current Report on Form 8-K of NCR Corporation dated August 11, 2021).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646058501"/>
              <w:rPr>
                <w:rFonts w:eastAsia="Times New Roman"/>
              </w:rPr>
            </w:pPr>
            <w:hyperlink r:id="rId69" w:anchor="toc825867_87" w:history="1">
              <w:r>
                <w:rPr>
                  <w:rStyle w:val="a3"/>
                  <w:rFonts w:eastAsia="Times New Roman"/>
                  <w:sz w:val="20"/>
                  <w:szCs w:val="20"/>
                </w:rPr>
                <w:t>10.11.15</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First Amendment to the 2017 Stock Incentive Plan (Appendix A to the NCR Corporation Proxy Statement on Schedule 14A for the NCR Corporation 2020 Annual Meeting of Stockholders).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365865097"/>
              <w:rPr>
                <w:rFonts w:eastAsia="Times New Roman"/>
              </w:rPr>
            </w:pPr>
            <w:hyperlink r:id="rId70" w:history="1">
              <w:r>
                <w:rPr>
                  <w:rStyle w:val="a3"/>
                  <w:rFonts w:eastAsia="Times New Roman"/>
                  <w:sz w:val="20"/>
                  <w:szCs w:val="20"/>
                </w:rPr>
                <w:t>10.11.16</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Form of Senior Executive Team Fitness Plan Restricted Stock Unit Award Agreement under the NCR Corporation 2017 Stock Incentive Plan. (E</w:t>
            </w:r>
            <w:r>
              <w:rPr>
                <w:rFonts w:eastAsia="Times New Roman"/>
                <w:color w:val="000000"/>
                <w:sz w:val="20"/>
                <w:szCs w:val="20"/>
              </w:rPr>
              <w:t>xhibit 10.1 to the Quarterly Report on Form 10-Q of NCR Corporation for the quarter ended March 31, 2021 (the “First Quarter 2021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89733357"/>
              <w:rPr>
                <w:rFonts w:eastAsia="Times New Roman"/>
              </w:rPr>
            </w:pPr>
            <w:hyperlink r:id="rId71" w:history="1">
              <w:r>
                <w:rPr>
                  <w:rStyle w:val="a3"/>
                  <w:rFonts w:eastAsia="Times New Roman"/>
                  <w:sz w:val="20"/>
                  <w:szCs w:val="20"/>
                </w:rPr>
                <w:t>10.12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 xml:space="preserve">NCR Director Compensation Program effective May 1, 2017 (Exhibit 10.1 to the Quarterly Report on Form 10-Q of NCR Corporation for the </w:t>
            </w:r>
            <w:r>
              <w:rPr>
                <w:rFonts w:eastAsia="Times New Roman"/>
                <w:color w:val="000000"/>
                <w:sz w:val="20"/>
                <w:szCs w:val="20"/>
              </w:rPr>
              <w:t>quarter ended September 30, 2017). *</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695233132"/>
              <w:rPr>
                <w:rFonts w:eastAsia="Times New Roman"/>
              </w:rPr>
            </w:pPr>
            <w:hyperlink r:id="rId72"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Master Manufacturing Agreement, dated April 23, 2018, by and between Jabil Inc. and NCR Corporation (Exhibit 10.1 to the Second Quarte</w:t>
            </w:r>
            <w:r>
              <w:rPr>
                <w:rFonts w:eastAsia="Times New Roman"/>
                <w:color w:val="000000"/>
                <w:sz w:val="20"/>
                <w:szCs w:val="20"/>
              </w:rPr>
              <w:t>r 2018 Quarterly Report).</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216502787"/>
              <w:rPr>
                <w:rFonts w:eastAsia="Times New Roman"/>
              </w:rPr>
            </w:pPr>
            <w:hyperlink r:id="rId73"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Master Hardware Supply Agreement, dated June 28, 2018, between Universal Global Scientific Industrial Co., Ltd. and NCR Corporation (Exhibit 10.2 to the Second Quarter 2018 Quarterly Report).</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22436809"/>
              <w:rPr>
                <w:rFonts w:eastAsia="Times New Roman"/>
              </w:rPr>
            </w:pPr>
            <w:hyperlink r:id="rId74" w:history="1">
              <w:r>
                <w:rPr>
                  <w:rStyle w:val="a3"/>
                  <w:rFonts w:eastAsia="Times New Roman"/>
                  <w:sz w:val="20"/>
                  <w:szCs w:val="20"/>
                </w:rPr>
                <w:t>10.15</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Employment Agreement, dated April 27, 2018, between Michael Hayford and NCR Corporation (Exhibit 10.4 to the Second Quarter 2018 Quarterly Report). *</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182355848"/>
              <w:rPr>
                <w:rFonts w:eastAsia="Times New Roman"/>
              </w:rPr>
            </w:pPr>
            <w:hyperlink r:id="rId75"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Employment Agreement, dated April 27, 2018, between Frank Martire and NCR Corporation (Exhibit 10.5 to the Second Quarter 2018 Quarterly Report). *</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824808811"/>
              <w:rPr>
                <w:rFonts w:eastAsia="Times New Roman"/>
              </w:rPr>
            </w:pPr>
            <w:hyperlink r:id="rId76"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 xml:space="preserve">Letter Agreement, dated April 30, 2018 between William R. Nuti and NCR Corporation (Exhibit 10.6 to the Second Quarter 2018 Quarterly </w:t>
            </w:r>
            <w:r>
              <w:rPr>
                <w:rFonts w:eastAsia="Times New Roman"/>
                <w:color w:val="000000"/>
                <w:sz w:val="20"/>
                <w:szCs w:val="20"/>
              </w:rPr>
              <w:t>Report). *</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873613548"/>
              <w:rPr>
                <w:rFonts w:eastAsia="Times New Roman"/>
              </w:rPr>
            </w:pPr>
            <w:hyperlink r:id="rId77"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Employment Agreement, dated July 18, 2018, between Owen Sullivan and NCR Corporation (Exhibit 10.1 to the Quarterly Report on Form 10-Q of NCR Corporation for the quarter ended September 30, 2018 (the “Third Quarter 2018 Quarterly Report”)). *</w:t>
            </w:r>
          </w:p>
        </w:tc>
      </w:tr>
      <w:tr w:rsidR="00000000">
        <w:trPr>
          <w:trHeight w:val="16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461777178"/>
              <w:rPr>
                <w:rFonts w:eastAsia="Times New Roman"/>
              </w:rPr>
            </w:pPr>
            <w:hyperlink r:id="rId78"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 xml:space="preserve">Employment Agreement, dated August 27, 2018, between Andre J. Fernandez and NCR Corporation (Exhibit 10.3 to the Third Quarter 2018 </w:t>
            </w:r>
            <w:r>
              <w:rPr>
                <w:rFonts w:eastAsia="Times New Roman"/>
                <w:color w:val="000000"/>
                <w:sz w:val="20"/>
                <w:szCs w:val="20"/>
              </w:rPr>
              <w:t>Quarterly Report).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298801816"/>
              <w:rPr>
                <w:rFonts w:eastAsia="Times New Roman"/>
              </w:rPr>
            </w:pPr>
            <w:hyperlink r:id="rId79" w:history="1">
              <w:r>
                <w:rPr>
                  <w:rStyle w:val="a3"/>
                  <w:rFonts w:eastAsia="Times New Roman"/>
                  <w:sz w:val="20"/>
                  <w:szCs w:val="20"/>
                </w:rPr>
                <w:t>10.20</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Employment Agreement, dated June 15, 2020, between Timothy Oliver and NCR Corporation (Exhibit 10.4 to the Second Quarter 2020 Quarterly Report).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857304927"/>
              <w:rPr>
                <w:rFonts w:eastAsia="Times New Roman"/>
              </w:rPr>
            </w:pPr>
            <w:hyperlink r:id="rId80" w:history="1">
              <w:r>
                <w:rPr>
                  <w:rStyle w:val="a3"/>
                  <w:rFonts w:eastAsia="Times New Roman"/>
                  <w:sz w:val="20"/>
                  <w:szCs w:val="20"/>
                </w:rPr>
                <w:t>10.21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 xml:space="preserve">Separation Agreement, dated July 8, 2020, between Andre J. Fernandez and NCR Corporation (Exhibit 10.1 to the </w:t>
            </w:r>
            <w:r>
              <w:rPr>
                <w:rFonts w:eastAsia="Times New Roman"/>
                <w:color w:val="000000"/>
                <w:sz w:val="20"/>
                <w:szCs w:val="20"/>
              </w:rPr>
              <w:t xml:space="preserve">Quarterly Report on Form 10-Q of NCR Corporation for the quarter ended September 30, 2020). *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213584711"/>
              <w:rPr>
                <w:rFonts w:eastAsia="Times New Roman"/>
              </w:rPr>
            </w:pPr>
            <w:hyperlink r:id="rId81" w:history="1">
              <w:r>
                <w:rPr>
                  <w:rStyle w:val="a3"/>
                  <w:rFonts w:eastAsia="Times New Roman"/>
                  <w:sz w:val="20"/>
                  <w:szCs w:val="20"/>
                </w:rPr>
                <w:t>10.22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NCR Corporation Deferred C</w:t>
            </w:r>
            <w:r>
              <w:rPr>
                <w:rFonts w:eastAsia="Times New Roman"/>
                <w:color w:val="000000"/>
                <w:sz w:val="20"/>
                <w:szCs w:val="20"/>
              </w:rPr>
              <w:t>ompensation Plan. (Exhibit 10.30 to 2020 Annual Report).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877938043"/>
              <w:rPr>
                <w:rFonts w:eastAsia="Times New Roman"/>
              </w:rPr>
            </w:pPr>
            <w:hyperlink r:id="rId82" w:history="1">
              <w:r>
                <w:rPr>
                  <w:rStyle w:val="a3"/>
                  <w:rFonts w:eastAsia="Times New Roman"/>
                  <w:sz w:val="20"/>
                  <w:szCs w:val="20"/>
                </w:rPr>
                <w:t>10.23</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both"/>
              <w:rPr>
                <w:rFonts w:eastAsia="Times New Roman"/>
              </w:rPr>
            </w:pPr>
            <w:r>
              <w:rPr>
                <w:rFonts w:eastAsia="Times New Roman"/>
                <w:color w:val="000000"/>
                <w:sz w:val="20"/>
                <w:szCs w:val="20"/>
              </w:rPr>
              <w:t>Letter Agreement, dated December 28, 2017, between Daniel W. Campbell and NCR Corporation (Exhibit 10.2 to the First Quarter 2021 Qua</w:t>
            </w:r>
            <w:r>
              <w:rPr>
                <w:rFonts w:eastAsia="Times New Roman"/>
                <w:color w:val="000000"/>
                <w:sz w:val="20"/>
                <w:szCs w:val="20"/>
              </w:rPr>
              <w:t>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275910531"/>
              <w:rPr>
                <w:rFonts w:eastAsia="Times New Roman"/>
              </w:rPr>
            </w:pPr>
            <w:hyperlink r:id="rId83" w:history="1">
              <w:r>
                <w:rPr>
                  <w:rStyle w:val="a3"/>
                  <w:rFonts w:eastAsia="Times New Roman"/>
                  <w:sz w:val="20"/>
                  <w:szCs w:val="20"/>
                </w:rPr>
                <w:t>10.24</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Letter Agreement, dated January 8, 2018, between Adrian Button and NCR Corporation (Exhibit 10.3 to the First Quarter 2021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bl>
    <w:p w:rsidR="00000000" w:rsidRDefault="006F0EF5">
      <w:pPr>
        <w:jc w:val="center"/>
        <w:divId w:val="696857819"/>
        <w:rPr>
          <w:rFonts w:eastAsia="Times New Roman"/>
        </w:rPr>
      </w:pPr>
      <w:r>
        <w:rPr>
          <w:rFonts w:eastAsia="Times New Roman"/>
          <w:color w:val="000000"/>
          <w:sz w:val="20"/>
          <w:szCs w:val="20"/>
        </w:rPr>
        <w:t>130</w:t>
      </w:r>
    </w:p>
    <w:p w:rsidR="00000000" w:rsidRDefault="006F0EF5">
      <w:pPr>
        <w:rPr>
          <w:rFonts w:eastAsia="Times New Roman"/>
        </w:rPr>
      </w:pPr>
      <w:r>
        <w:rPr>
          <w:rFonts w:eastAsia="Times New Roman"/>
        </w:rPr>
        <w:pict>
          <v:rect id="_x0000_i1159" style="width:0;height:1.5pt" o:hralign="center" o:hrstd="t" o:hr="t" fillcolor="#a0a0a0" stroked="f"/>
        </w:pict>
      </w:r>
    </w:p>
    <w:p w:rsidR="00000000" w:rsidRDefault="006F0EF5">
      <w:pPr>
        <w:divId w:val="605770294"/>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206826365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663"/>
        <w:gridCol w:w="36"/>
        <w:gridCol w:w="36"/>
        <w:gridCol w:w="113"/>
        <w:gridCol w:w="36"/>
        <w:gridCol w:w="61"/>
        <w:gridCol w:w="7256"/>
        <w:gridCol w:w="37"/>
      </w:tblGrid>
      <w:tr w:rsidR="00000000">
        <w:tc>
          <w:tcPr>
            <w:tcW w:w="50" w:type="pct"/>
            <w:vAlign w:val="center"/>
            <w:hideMark/>
          </w:tcPr>
          <w:p w:rsidR="00000000" w:rsidRDefault="006F0EF5">
            <w:pPr>
              <w:rPr>
                <w:rFonts w:eastAsia="Times New Roman"/>
              </w:rPr>
            </w:pPr>
          </w:p>
        </w:tc>
        <w:tc>
          <w:tcPr>
            <w:tcW w:w="4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81"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380"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22630859"/>
              <w:rPr>
                <w:rFonts w:eastAsia="Times New Roman"/>
              </w:rPr>
            </w:pPr>
            <w:hyperlink r:id="rId84" w:history="1">
              <w:r>
                <w:rPr>
                  <w:rStyle w:val="a3"/>
                  <w:rFonts w:eastAsia="Times New Roman"/>
                  <w:sz w:val="20"/>
                  <w:szCs w:val="20"/>
                </w:rPr>
                <w:t>10.25</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Receivables Purchase Agreement, dated as of September 30, 2021, by and among NCR Receivables LLC, as seller, NCR Canada Receivables LP, as guaranto</w:t>
            </w:r>
            <w:r>
              <w:rPr>
                <w:rFonts w:eastAsia="Times New Roman"/>
                <w:color w:val="000000"/>
                <w:sz w:val="20"/>
                <w:szCs w:val="20"/>
              </w:rPr>
              <w:t>r, NCR Corporation, as servicer, NCR Canada Corp., as servicer, PNC Bank, National Association, as administrative agent, and PNC Bank, National Association, MUFG Bank, Ltd., Victory Receivables Corporation and the other purchasers from time to time party t</w:t>
            </w:r>
            <w:r>
              <w:rPr>
                <w:rFonts w:eastAsia="Times New Roman"/>
                <w:color w:val="000000"/>
                <w:sz w:val="20"/>
                <w:szCs w:val="20"/>
              </w:rPr>
              <w:t>hereto, as purchasers (Exhibit 10.1 to the Current Report on Form 8-K of NCR Corporation dated September 30, 2021 (the “September 30, 2021 Form 8-K”)).</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2115515025"/>
              <w:rPr>
                <w:rFonts w:eastAsia="Times New Roman"/>
              </w:rPr>
            </w:pPr>
            <w:hyperlink r:id="rId85" w:history="1">
              <w:r>
                <w:rPr>
                  <w:rStyle w:val="a3"/>
                  <w:rFonts w:eastAsia="Times New Roman"/>
                  <w:sz w:val="20"/>
                  <w:szCs w:val="20"/>
                </w:rPr>
                <w:t>10.25.1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Amended and Restated Purchase and Sale Agreement, dated as of September 30, 2021, among NCR Receivables LLC, as buyer, and NCR Corporation, Cardt</w:t>
            </w:r>
            <w:r>
              <w:rPr>
                <w:rFonts w:eastAsia="Times New Roman"/>
                <w:color w:val="000000"/>
                <w:sz w:val="20"/>
                <w:szCs w:val="20"/>
              </w:rPr>
              <w:t>ronics USA, Inc., ATM National, LLC and the other originators from time to time party thereto, as originators (Exhibit 10.2 to the September 30, 2021 Form 8-K).</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903902292"/>
              <w:rPr>
                <w:rFonts w:eastAsia="Times New Roman"/>
              </w:rPr>
            </w:pPr>
            <w:hyperlink r:id="rId86" w:history="1">
              <w:r>
                <w:rPr>
                  <w:rStyle w:val="a3"/>
                  <w:rFonts w:eastAsia="Times New Roman"/>
                  <w:sz w:val="20"/>
                  <w:szCs w:val="20"/>
                </w:rPr>
                <w:t>10.25.2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Canadian Purchase and Sale Agreement, dated as of September 30, 2021, among NCR Canada Receivables LP, as buyer, and NCR Canada Corp. and the other originator originators from time to time party thereto, as originators (Exhibit 10.3 to the September 30, 20</w:t>
            </w:r>
            <w:r>
              <w:rPr>
                <w:rFonts w:eastAsia="Times New Roman"/>
                <w:color w:val="000000"/>
                <w:sz w:val="20"/>
                <w:szCs w:val="20"/>
              </w:rPr>
              <w:t>21 Form 8-K).</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794761054"/>
              <w:rPr>
                <w:rFonts w:eastAsia="Times New Roman"/>
              </w:rPr>
            </w:pPr>
            <w:hyperlink r:id="rId87" w:history="1">
              <w:r>
                <w:rPr>
                  <w:rStyle w:val="a3"/>
                  <w:rFonts w:eastAsia="Times New Roman"/>
                  <w:sz w:val="20"/>
                  <w:szCs w:val="20"/>
                </w:rPr>
                <w:t>10.25.3</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 xml:space="preserve">Performance Guaranty, dated as of September 30, 2021, by NCR Corporation, as performance guarantor, and PNC Bank, National Association, as administrative agent (Exhibit 10.4 to the September 30, 2021 Form 8-K). </w:t>
            </w:r>
          </w:p>
        </w:tc>
      </w:tr>
      <w:tr w:rsidR="00000000">
        <w:trPr>
          <w:trHeight w:val="18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34279250"/>
              <w:rPr>
                <w:rFonts w:eastAsia="Times New Roman"/>
              </w:rPr>
            </w:pPr>
            <w:hyperlink r:id="rId88"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Subsidiaries of NCR Corporation.</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498495502"/>
              <w:rPr>
                <w:rFonts w:eastAsia="Times New Roman"/>
              </w:rPr>
            </w:pPr>
            <w:hyperlink r:id="rId89" w:history="1">
              <w:r>
                <w:rPr>
                  <w:rStyle w:val="a3"/>
                  <w:rFonts w:eastAsia="Times New Roman"/>
                  <w:sz w:val="20"/>
                  <w:szCs w:val="20"/>
                </w:rPr>
                <w:t>23.1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Consent of Independent Registered Public Accounting Firm.</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1202941274"/>
              <w:rPr>
                <w:rFonts w:eastAsia="Times New Roman"/>
              </w:rPr>
            </w:pPr>
            <w:hyperlink r:id="rId90"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970869676"/>
              <w:rPr>
                <w:rFonts w:eastAsia="Times New Roman"/>
              </w:rPr>
            </w:pPr>
            <w:hyperlink r:id="rId91"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divId w:val="588388948"/>
              <w:rPr>
                <w:rFonts w:eastAsia="Times New Roman"/>
              </w:rPr>
            </w:pPr>
            <w:hyperlink r:id="rId92"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Certification pursuant to 18 U.S.C. Section 1350 as adopted pursuant to Section 906 of the Sarbanes-Oxley Act of 2002.</w:t>
            </w: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The following materials from NCR Corporation’</w:t>
            </w:r>
            <w:r>
              <w:rPr>
                <w:rFonts w:eastAsia="Times New Roman"/>
                <w:color w:val="000000"/>
                <w:sz w:val="20"/>
                <w:szCs w:val="20"/>
              </w:rPr>
              <w:t xml:space="preserve">s Annual Report on Form 10-K for the year ended December 31, 2021, formatted in iXBRL (Inline Extensible Business Reporting Language): (i) consolidated statements of operations for the fiscal years ended December 31, 2021, 2020 and 2019; (ii) consolidated </w:t>
            </w:r>
            <w:r>
              <w:rPr>
                <w:rFonts w:eastAsia="Times New Roman"/>
                <w:color w:val="000000"/>
                <w:sz w:val="20"/>
                <w:szCs w:val="20"/>
              </w:rPr>
              <w:t>statements of comprehensive income for the fiscal years ended December 31, 2021, 2020 and 2019; (iii) consolidated balance sheets as of December 31, 2021 and 2020; (iv) consolidated statements of cash flows for the fiscal year ended December 31, 2021, 2020</w:t>
            </w:r>
            <w:r>
              <w:rPr>
                <w:rFonts w:eastAsia="Times New Roman"/>
                <w:color w:val="000000"/>
                <w:sz w:val="20"/>
                <w:szCs w:val="20"/>
              </w:rPr>
              <w:t xml:space="preserve"> and 2019; (v) consolidated statements of changes in stockholders’ equity for fiscal years ended December 31, 2021, 2020 and 2019; and (vi) the notes to the consolidated financial statements.</w:t>
            </w:r>
          </w:p>
          <w:p w:rsidR="00000000" w:rsidRDefault="006F0EF5">
            <w:pPr>
              <w:spacing w:after="100"/>
              <w:jc w:val="both"/>
              <w:rPr>
                <w:rFonts w:eastAsia="Times New Roman"/>
              </w:rPr>
            </w:pPr>
          </w:p>
        </w:tc>
      </w:tr>
      <w:tr w:rsidR="00000000">
        <w:trPr>
          <w:trHeight w:val="220"/>
        </w:trPr>
        <w:tc>
          <w:tcPr>
            <w:tcW w:w="0" w:type="auto"/>
            <w:gridSpan w:val="3"/>
            <w:tcMar>
              <w:top w:w="0" w:type="dxa"/>
              <w:left w:w="20" w:type="dxa"/>
              <w:bottom w:w="0" w:type="dxa"/>
              <w:right w:w="20" w:type="dxa"/>
            </w:tcMar>
            <w:vAlign w:val="center"/>
            <w:hideMark/>
          </w:tcPr>
          <w:p w:rsidR="00000000" w:rsidRDefault="006F0EF5">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hideMark/>
          </w:tcPr>
          <w:p w:rsidR="00000000" w:rsidRDefault="006F0EF5">
            <w:pPr>
              <w:spacing w:after="100"/>
              <w:jc w:val="both"/>
              <w:rPr>
                <w:rFonts w:eastAsia="Times New Roman"/>
              </w:rPr>
            </w:pPr>
            <w:r>
              <w:rPr>
                <w:rFonts w:eastAsia="Times New Roman"/>
                <w:color w:val="000000"/>
                <w:sz w:val="20"/>
                <w:szCs w:val="20"/>
              </w:rPr>
              <w:t>Cover Page Interactive Data File, format</w:t>
            </w:r>
            <w:r>
              <w:rPr>
                <w:rFonts w:eastAsia="Times New Roman"/>
                <w:color w:val="000000"/>
                <w:sz w:val="20"/>
                <w:szCs w:val="20"/>
              </w:rPr>
              <w:t>ted in inline XBRL and contained in Exhibit 101.</w:t>
            </w:r>
          </w:p>
          <w:p w:rsidR="00000000" w:rsidRDefault="006F0EF5">
            <w:pPr>
              <w:spacing w:after="100"/>
              <w:jc w:val="both"/>
              <w:rPr>
                <w:rFonts w:eastAsia="Times New Roman"/>
              </w:rPr>
            </w:pPr>
          </w:p>
        </w:tc>
      </w:tr>
    </w:tbl>
    <w:p w:rsidR="00000000" w:rsidRDefault="006F0EF5">
      <w:pPr>
        <w:divId w:val="1884755531"/>
        <w:rPr>
          <w:rFonts w:eastAsia="Times New Roman"/>
        </w:rPr>
      </w:pPr>
    </w:p>
    <w:p w:rsidR="00000000" w:rsidRDefault="006F0EF5">
      <w:pPr>
        <w:jc w:val="both"/>
        <w:rPr>
          <w:rFonts w:eastAsia="Times New Roman"/>
        </w:rPr>
      </w:pPr>
      <w:r>
        <w:rPr>
          <w:rFonts w:eastAsia="Times New Roman"/>
          <w:color w:val="000000"/>
          <w:sz w:val="20"/>
          <w:szCs w:val="20"/>
        </w:rPr>
        <w:t>* Management contracts or compensatory plans/arrangements.</w:t>
      </w:r>
    </w:p>
    <w:p w:rsidR="00000000" w:rsidRDefault="006F0EF5">
      <w:pPr>
        <w:jc w:val="center"/>
        <w:divId w:val="1151286054"/>
        <w:rPr>
          <w:rFonts w:eastAsia="Times New Roman"/>
        </w:rPr>
      </w:pPr>
      <w:r>
        <w:rPr>
          <w:rFonts w:eastAsia="Times New Roman"/>
          <w:color w:val="000000"/>
          <w:sz w:val="20"/>
          <w:szCs w:val="20"/>
        </w:rPr>
        <w:t>131</w:t>
      </w:r>
    </w:p>
    <w:p w:rsidR="00000000" w:rsidRDefault="006F0EF5">
      <w:pPr>
        <w:rPr>
          <w:rFonts w:eastAsia="Times New Roman"/>
        </w:rPr>
      </w:pPr>
      <w:r>
        <w:rPr>
          <w:rFonts w:eastAsia="Times New Roman"/>
        </w:rPr>
        <w:pict>
          <v:rect id="_x0000_i1160" style="width:0;height:1.5pt" o:hralign="center" o:hrstd="t" o:hr="t" fillcolor="#a0a0a0" stroked="f"/>
        </w:pict>
      </w:r>
    </w:p>
    <w:p w:rsidR="00000000" w:rsidRDefault="006F0EF5">
      <w:pPr>
        <w:divId w:val="144199277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344330638"/>
        <w:rPr>
          <w:rFonts w:eastAsia="Times New Roman"/>
        </w:rPr>
      </w:pPr>
    </w:p>
    <w:p w:rsidR="00000000" w:rsidRDefault="006F0EF5">
      <w:pPr>
        <w:ind w:hanging="1170"/>
        <w:divId w:val="1965499543"/>
        <w:rPr>
          <w:rFonts w:eastAsia="Times New Roman"/>
        </w:rPr>
      </w:pPr>
      <w:r>
        <w:rPr>
          <w:rFonts w:eastAsia="Times New Roman"/>
          <w:b/>
          <w:bCs/>
          <w:color w:val="000000"/>
          <w:sz w:val="20"/>
          <w:szCs w:val="20"/>
        </w:rPr>
        <w:t>Item 16.     FORM 10-K SUMMARY</w:t>
      </w:r>
    </w:p>
    <w:p w:rsidR="00000000" w:rsidRDefault="006F0EF5">
      <w:pPr>
        <w:divId w:val="1399404038"/>
        <w:rPr>
          <w:rFonts w:eastAsia="Times New Roman"/>
        </w:rPr>
      </w:pPr>
    </w:p>
    <w:p w:rsidR="00000000" w:rsidRDefault="006F0EF5">
      <w:pPr>
        <w:divId w:val="770591406"/>
        <w:rPr>
          <w:rFonts w:eastAsia="Times New Roman"/>
        </w:rPr>
      </w:pPr>
      <w:r>
        <w:rPr>
          <w:rFonts w:eastAsia="Times New Roman"/>
          <w:color w:val="000000"/>
          <w:sz w:val="20"/>
          <w:szCs w:val="20"/>
        </w:rPr>
        <w:t>None.</w:t>
      </w:r>
    </w:p>
    <w:p w:rsidR="00000000" w:rsidRDefault="006F0EF5">
      <w:pPr>
        <w:jc w:val="center"/>
        <w:rPr>
          <w:rFonts w:eastAsia="Times New Roman"/>
        </w:rPr>
      </w:pPr>
      <w:r>
        <w:rPr>
          <w:rFonts w:eastAsia="Times New Roman"/>
          <w:b/>
          <w:bCs/>
          <w:color w:val="000000"/>
          <w:sz w:val="20"/>
          <w:szCs w:val="20"/>
        </w:rPr>
        <w:t>NCR Corporation</w:t>
      </w:r>
    </w:p>
    <w:p w:rsidR="00000000" w:rsidRDefault="006F0EF5">
      <w:pPr>
        <w:jc w:val="center"/>
        <w:rPr>
          <w:rFonts w:eastAsia="Times New Roman"/>
        </w:rPr>
      </w:pPr>
    </w:p>
    <w:p w:rsidR="00000000" w:rsidRDefault="006F0EF5">
      <w:pPr>
        <w:jc w:val="center"/>
        <w:rPr>
          <w:rFonts w:eastAsia="Times New Roman"/>
        </w:rPr>
      </w:pPr>
      <w:r>
        <w:rPr>
          <w:rFonts w:eastAsia="Times New Roman"/>
          <w:b/>
          <w:bCs/>
          <w:color w:val="000000"/>
          <w:sz w:val="20"/>
          <w:szCs w:val="20"/>
        </w:rPr>
        <w:t>SCHEDULE II--VALUATION AND QUALIFYING ACCOUNTS</w:t>
      </w:r>
    </w:p>
    <w:p w:rsidR="00000000" w:rsidRDefault="006F0EF5">
      <w:pPr>
        <w:jc w:val="center"/>
        <w:rPr>
          <w:rFonts w:eastAsia="Times New Roman"/>
        </w:rPr>
      </w:pPr>
      <w:r>
        <w:rPr>
          <w:rFonts w:eastAsia="Times New Roman"/>
          <w:b/>
          <w:bCs/>
          <w:color w:val="000000"/>
          <w:sz w:val="20"/>
          <w:szCs w:val="20"/>
        </w:rPr>
        <w:t>(In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56"/>
        <w:gridCol w:w="3651"/>
        <w:gridCol w:w="37"/>
        <w:gridCol w:w="36"/>
        <w:gridCol w:w="36"/>
        <w:gridCol w:w="36"/>
        <w:gridCol w:w="72"/>
        <w:gridCol w:w="689"/>
        <w:gridCol w:w="37"/>
        <w:gridCol w:w="36"/>
        <w:gridCol w:w="36"/>
        <w:gridCol w:w="36"/>
        <w:gridCol w:w="67"/>
        <w:gridCol w:w="694"/>
        <w:gridCol w:w="37"/>
        <w:gridCol w:w="37"/>
        <w:gridCol w:w="36"/>
        <w:gridCol w:w="36"/>
        <w:gridCol w:w="67"/>
        <w:gridCol w:w="696"/>
        <w:gridCol w:w="36"/>
        <w:gridCol w:w="36"/>
        <w:gridCol w:w="36"/>
        <w:gridCol w:w="36"/>
        <w:gridCol w:w="80"/>
        <w:gridCol w:w="718"/>
        <w:gridCol w:w="36"/>
        <w:gridCol w:w="36"/>
        <w:gridCol w:w="36"/>
        <w:gridCol w:w="36"/>
        <w:gridCol w:w="59"/>
        <w:gridCol w:w="672"/>
        <w:gridCol w:w="36"/>
      </w:tblGrid>
      <w:tr w:rsidR="00000000">
        <w:trPr>
          <w:jc w:val="center"/>
        </w:trPr>
        <w:tc>
          <w:tcPr>
            <w:tcW w:w="50" w:type="pct"/>
            <w:vAlign w:val="center"/>
            <w:hideMark/>
          </w:tcPr>
          <w:p w:rsidR="00000000" w:rsidRDefault="006F0EF5">
            <w:pPr>
              <w:jc w:val="center"/>
              <w:rPr>
                <w:rFonts w:eastAsia="Times New Roman"/>
              </w:rPr>
            </w:pPr>
          </w:p>
        </w:tc>
        <w:tc>
          <w:tcPr>
            <w:tcW w:w="2218"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5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5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5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54"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2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45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rPr>
              <w:t>Column A</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Column B</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Column C</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Column D</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Column E</w:t>
            </w:r>
          </w:p>
        </w:tc>
      </w:tr>
      <w:tr w:rsidR="00000000">
        <w:trPr>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b/>
                <w:bCs/>
                <w:color w:val="000000"/>
                <w:sz w:val="16"/>
                <w:szCs w:val="16"/>
                <w:u w:val="single"/>
              </w:rPr>
              <w:t>Description</w:t>
            </w: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Balance at Beginning of Period</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Charged to Costs &amp; Expenses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Charged to Other Accounts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Deductions</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Balance at End of Period</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Year Ended December 31, 2021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Allowance for doubtful accounts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$51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$29</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$24</w:t>
            </w: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Deferred tax asset valuation allowance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$341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$45</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$21</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$39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$368</w:t>
            </w: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Year Ended December 31, 2020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Allowance for doubtful accounts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$44</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$33</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$26</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$51</w:t>
            </w: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Deferred tax asset valuation allowance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$352</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$26</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$10</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$47</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$341</w:t>
            </w: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Year Ended December 31, 2019</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Allowance for doubtful accounts</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$31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$24</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$11</w:t>
            </w:r>
          </w:p>
        </w:tc>
        <w:tc>
          <w:tcPr>
            <w:tcW w:w="0" w:type="auto"/>
            <w:gridSpan w:val="3"/>
            <w:shd w:val="clear" w:color="auto" w:fill="FFFF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$44</w:t>
            </w: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Deferred tax asset valuation allowance</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$485</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$23</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$156</w:t>
            </w:r>
          </w:p>
        </w:tc>
        <w:tc>
          <w:tcPr>
            <w:tcW w:w="0" w:type="auto"/>
            <w:gridSpan w:val="3"/>
            <w:shd w:val="clear" w:color="auto" w:fill="CCEEFF"/>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$352</w:t>
            </w:r>
          </w:p>
        </w:tc>
      </w:tr>
    </w:tbl>
    <w:p w:rsidR="00000000" w:rsidRDefault="006F0EF5">
      <w:pPr>
        <w:divId w:val="1090472789"/>
        <w:rPr>
          <w:rFonts w:eastAsia="Times New Roman"/>
        </w:rPr>
      </w:pPr>
    </w:p>
    <w:p w:rsidR="00000000" w:rsidRDefault="006F0EF5">
      <w:pPr>
        <w:jc w:val="center"/>
        <w:divId w:val="365108302"/>
        <w:rPr>
          <w:rFonts w:eastAsia="Times New Roman"/>
        </w:rPr>
      </w:pPr>
      <w:r>
        <w:rPr>
          <w:rFonts w:eastAsia="Times New Roman"/>
          <w:color w:val="000000"/>
          <w:sz w:val="20"/>
          <w:szCs w:val="20"/>
        </w:rPr>
        <w:t>132</w:t>
      </w:r>
    </w:p>
    <w:p w:rsidR="00000000" w:rsidRDefault="006F0EF5">
      <w:pPr>
        <w:rPr>
          <w:rFonts w:eastAsia="Times New Roman"/>
        </w:rPr>
      </w:pPr>
      <w:r>
        <w:rPr>
          <w:rFonts w:eastAsia="Times New Roman"/>
        </w:rPr>
        <w:pict>
          <v:rect id="_x0000_i1161" style="width:0;height:1.5pt" o:hralign="center" o:hrstd="t" o:hr="t" fillcolor="#a0a0a0" stroked="f"/>
        </w:pict>
      </w:r>
    </w:p>
    <w:p w:rsidR="00000000" w:rsidRDefault="006F0EF5">
      <w:pPr>
        <w:divId w:val="1553688616"/>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671562500"/>
        <w:rPr>
          <w:rFonts w:eastAsia="Times New Roman"/>
        </w:rPr>
      </w:pPr>
    </w:p>
    <w:p w:rsidR="00000000" w:rsidRDefault="006F0EF5">
      <w:pPr>
        <w:jc w:val="center"/>
        <w:rPr>
          <w:rFonts w:eastAsia="Times New Roman"/>
        </w:rPr>
      </w:pPr>
      <w:r>
        <w:rPr>
          <w:rFonts w:eastAsia="Times New Roman"/>
          <w:b/>
          <w:bCs/>
          <w:color w:val="000000"/>
          <w:sz w:val="20"/>
          <w:szCs w:val="20"/>
        </w:rPr>
        <w:t>SIGNATURES</w:t>
      </w:r>
    </w:p>
    <w:p w:rsidR="00000000" w:rsidRDefault="006F0EF5">
      <w:pPr>
        <w:divId w:val="1303773856"/>
        <w:rPr>
          <w:rFonts w:eastAsia="Times New Roman"/>
        </w:rPr>
      </w:pPr>
      <w:r>
        <w:rPr>
          <w:rFonts w:eastAsia="Times New Roman"/>
          <w:color w:val="000000"/>
          <w:sz w:val="20"/>
          <w:szCs w:val="20"/>
        </w:rPr>
        <w:t>Pursuant to the requirements of Section 13 or 15 (d) of the Securities Exchange Act of 1934, the registr</w:t>
      </w:r>
      <w:r>
        <w:rPr>
          <w:rFonts w:eastAsia="Times New Roman"/>
          <w:color w:val="000000"/>
          <w:sz w:val="20"/>
          <w:szCs w:val="20"/>
        </w:rPr>
        <w:t>ant has duly caused this report to be signed on its behalf by the undersigned, thereunto duly authorized.</w:t>
      </w:r>
    </w:p>
    <w:p w:rsidR="00000000" w:rsidRDefault="006F0EF5">
      <w:pPr>
        <w:divId w:val="1061905484"/>
        <w:rPr>
          <w:rFonts w:eastAsia="Times New Roman"/>
        </w:rPr>
      </w:pPr>
      <w:r>
        <w:rPr>
          <w:rFonts w:eastAsia="Times New Roman"/>
          <w:color w:val="000000"/>
          <w:sz w:val="18"/>
          <w:szCs w:val="18"/>
        </w:rPr>
        <w:t> </w:t>
      </w:r>
    </w:p>
    <w:tbl>
      <w:tblPr>
        <w:tblW w:w="4823" w:type="pct"/>
        <w:tblCellMar>
          <w:top w:w="15" w:type="dxa"/>
          <w:left w:w="15" w:type="dxa"/>
          <w:bottom w:w="15" w:type="dxa"/>
          <w:right w:w="15" w:type="dxa"/>
        </w:tblCellMar>
        <w:tblLook w:val="04A0" w:firstRow="1" w:lastRow="0" w:firstColumn="1" w:lastColumn="0" w:noHBand="0" w:noVBand="1"/>
      </w:tblPr>
      <w:tblGrid>
        <w:gridCol w:w="82"/>
        <w:gridCol w:w="384"/>
        <w:gridCol w:w="36"/>
        <w:gridCol w:w="44"/>
        <w:gridCol w:w="3303"/>
        <w:gridCol w:w="36"/>
        <w:gridCol w:w="81"/>
        <w:gridCol w:w="240"/>
        <w:gridCol w:w="37"/>
        <w:gridCol w:w="37"/>
        <w:gridCol w:w="123"/>
        <w:gridCol w:w="37"/>
        <w:gridCol w:w="44"/>
        <w:gridCol w:w="3492"/>
        <w:gridCol w:w="36"/>
      </w:tblGrid>
      <w:tr w:rsidR="00000000">
        <w:trPr>
          <w:divId w:val="1252353080"/>
        </w:trPr>
        <w:tc>
          <w:tcPr>
            <w:tcW w:w="50" w:type="pct"/>
            <w:vAlign w:val="center"/>
            <w:hideMark/>
          </w:tcPr>
          <w:p w:rsidR="00000000" w:rsidRDefault="006F0EF5">
            <w:pPr>
              <w:rPr>
                <w:rFonts w:eastAsia="Times New Roman"/>
              </w:rPr>
            </w:pPr>
          </w:p>
        </w:tc>
        <w:tc>
          <w:tcPr>
            <w:tcW w:w="237"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082"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4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9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19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divId w:val="1252353080"/>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6F0EF5">
            <w:pPr>
              <w:spacing w:after="100"/>
              <w:rPr>
                <w:rFonts w:eastAsia="Times New Roman"/>
              </w:rPr>
            </w:pPr>
            <w:r>
              <w:rPr>
                <w:rFonts w:eastAsia="Times New Roman"/>
                <w:color w:val="000000"/>
                <w:sz w:val="20"/>
                <w:szCs w:val="20"/>
              </w:rPr>
              <w:t>NCR CORPORATION</w:t>
            </w:r>
          </w:p>
        </w:tc>
      </w:tr>
      <w:tr w:rsidR="00000000">
        <w:trPr>
          <w:divId w:val="1252353080"/>
          <w:trHeight w:val="300"/>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divId w:val="1252353080"/>
        </w:trPr>
        <w:tc>
          <w:tcPr>
            <w:tcW w:w="0" w:type="auto"/>
            <w:gridSpan w:val="3"/>
            <w:tcMar>
              <w:top w:w="30" w:type="dxa"/>
              <w:left w:w="20" w:type="dxa"/>
              <w:bottom w:w="30" w:type="dxa"/>
              <w:right w:w="20" w:type="dxa"/>
            </w:tcMar>
            <w:hideMark/>
          </w:tcPr>
          <w:p w:rsidR="00000000" w:rsidRDefault="006F0EF5">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February 25, 2022</w:t>
            </w:r>
          </w:p>
        </w:tc>
        <w:tc>
          <w:tcPr>
            <w:tcW w:w="0" w:type="auto"/>
            <w:gridSpan w:val="3"/>
            <w:tcMar>
              <w:top w:w="30" w:type="dxa"/>
              <w:left w:w="20" w:type="dxa"/>
              <w:bottom w:w="30" w:type="dxa"/>
              <w:right w:w="20" w:type="dxa"/>
            </w:tcMar>
            <w:hideMark/>
          </w:tcPr>
          <w:p w:rsidR="00000000" w:rsidRDefault="006F0EF5">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6F0EF5">
            <w:pPr>
              <w:spacing w:after="100"/>
              <w:jc w:val="center"/>
              <w:rPr>
                <w:rFonts w:eastAsia="Times New Roman"/>
              </w:rPr>
            </w:pPr>
            <w:r>
              <w:rPr>
                <w:rFonts w:eastAsia="Times New Roman"/>
                <w:color w:val="000000"/>
                <w:sz w:val="20"/>
                <w:szCs w:val="20"/>
              </w:rPr>
              <w:t>    /s/ Timothy C. Oliver</w:t>
            </w:r>
          </w:p>
        </w:tc>
      </w:tr>
      <w:tr w:rsidR="00000000">
        <w:trPr>
          <w:divId w:val="1252353080"/>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16"/>
                <w:szCs w:val="16"/>
              </w:rPr>
              <w:t>Timothy C. Oliver</w:t>
            </w:r>
            <w:r>
              <w:rPr>
                <w:rFonts w:eastAsia="Times New Roman"/>
                <w:b/>
                <w:bCs/>
                <w:color w:val="000000"/>
                <w:sz w:val="16"/>
                <w:szCs w:val="16"/>
              </w:rPr>
              <w:br/>
              <w:t>Senior Executive Vice President and Chief Financial Officer</w:t>
            </w:r>
          </w:p>
        </w:tc>
      </w:tr>
    </w:tbl>
    <w:p w:rsidR="00000000" w:rsidRDefault="006F0EF5">
      <w:pPr>
        <w:divId w:val="1426344178"/>
        <w:rPr>
          <w:rFonts w:eastAsia="Times New Roman"/>
        </w:rPr>
      </w:pPr>
    </w:p>
    <w:p w:rsidR="00000000" w:rsidRDefault="006F0EF5">
      <w:pPr>
        <w:jc w:val="both"/>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 indicated.</w:t>
      </w:r>
    </w:p>
    <w:p w:rsidR="00000000" w:rsidRDefault="006F0EF5">
      <w:pPr>
        <w:jc w:val="both"/>
        <w:rPr>
          <w:rFonts w:eastAsia="Times New Roman"/>
        </w:rPr>
      </w:pPr>
    </w:p>
    <w:p w:rsidR="00000000" w:rsidRDefault="006F0EF5">
      <w:pPr>
        <w:jc w:val="both"/>
        <w:rPr>
          <w:rFonts w:eastAsia="Times New Roman"/>
        </w:rPr>
      </w:pPr>
    </w:p>
    <w:p w:rsidR="00000000" w:rsidRDefault="006F0EF5">
      <w:pPr>
        <w:divId w:val="445344298"/>
        <w:rPr>
          <w:rFonts w:eastAsia="Times New Roman"/>
        </w:rPr>
      </w:pPr>
    </w:p>
    <w:p w:rsidR="00000000" w:rsidRDefault="006F0EF5">
      <w:pPr>
        <w:divId w:val="108744234"/>
        <w:rPr>
          <w:rFonts w:eastAsia="Times New Roman"/>
        </w:rPr>
      </w:pPr>
    </w:p>
    <w:p w:rsidR="00000000" w:rsidRDefault="006F0EF5">
      <w:pPr>
        <w:divId w:val="1022047063"/>
        <w:rPr>
          <w:rFonts w:eastAsia="Times New Roman"/>
        </w:rPr>
      </w:pPr>
    </w:p>
    <w:p w:rsidR="00000000" w:rsidRDefault="006F0EF5">
      <w:pPr>
        <w:divId w:val="839543521"/>
        <w:rPr>
          <w:rFonts w:eastAsia="Times New Roman"/>
        </w:rPr>
      </w:pPr>
    </w:p>
    <w:p w:rsidR="00000000" w:rsidRDefault="006F0EF5">
      <w:pPr>
        <w:divId w:val="1498493010"/>
        <w:rPr>
          <w:rFonts w:eastAsia="Times New Roman"/>
        </w:rPr>
      </w:pPr>
    </w:p>
    <w:p w:rsidR="00000000" w:rsidRDefault="006F0EF5">
      <w:pPr>
        <w:divId w:val="1511411168"/>
        <w:rPr>
          <w:rFonts w:eastAsia="Times New Roman"/>
        </w:rPr>
      </w:pPr>
    </w:p>
    <w:p w:rsidR="00000000" w:rsidRDefault="006F0EF5">
      <w:pPr>
        <w:divId w:val="1013457637"/>
        <w:rPr>
          <w:rFonts w:eastAsia="Times New Roman"/>
        </w:rPr>
      </w:pPr>
    </w:p>
    <w:p w:rsidR="00000000" w:rsidRDefault="006F0EF5">
      <w:pPr>
        <w:divId w:val="1175221010"/>
        <w:rPr>
          <w:rFonts w:eastAsia="Times New Roman"/>
        </w:rPr>
      </w:pPr>
    </w:p>
    <w:p w:rsidR="00000000" w:rsidRDefault="006F0EF5">
      <w:pPr>
        <w:divId w:val="637102559"/>
        <w:rPr>
          <w:rFonts w:eastAsia="Times New Roman"/>
        </w:rPr>
      </w:pPr>
    </w:p>
    <w:p w:rsidR="00000000" w:rsidRDefault="006F0EF5">
      <w:pPr>
        <w:divId w:val="695498621"/>
        <w:rPr>
          <w:rFonts w:eastAsia="Times New Roman"/>
        </w:rPr>
      </w:pPr>
    </w:p>
    <w:p w:rsidR="00000000" w:rsidRDefault="006F0EF5">
      <w:pPr>
        <w:divId w:val="865487517"/>
        <w:rPr>
          <w:rFonts w:eastAsia="Times New Roman"/>
        </w:rPr>
      </w:pPr>
    </w:p>
    <w:p w:rsidR="00000000" w:rsidRDefault="006F0EF5">
      <w:pPr>
        <w:divId w:val="145754625"/>
        <w:rPr>
          <w:rFonts w:eastAsia="Times New Roman"/>
        </w:rPr>
      </w:pPr>
    </w:p>
    <w:p w:rsidR="00000000" w:rsidRDefault="006F0EF5">
      <w:pPr>
        <w:divId w:val="1191651392"/>
        <w:rPr>
          <w:rFonts w:eastAsia="Times New Roman"/>
        </w:rPr>
      </w:pPr>
    </w:p>
    <w:p w:rsidR="00000000" w:rsidRDefault="006F0EF5">
      <w:pPr>
        <w:divId w:val="580260449"/>
        <w:rPr>
          <w:rFonts w:eastAsia="Times New Roman"/>
        </w:rPr>
      </w:pPr>
    </w:p>
    <w:p w:rsidR="00000000" w:rsidRDefault="006F0EF5">
      <w:pPr>
        <w:divId w:val="575867546"/>
        <w:rPr>
          <w:rFonts w:eastAsia="Times New Roman"/>
        </w:rPr>
      </w:pPr>
    </w:p>
    <w:p w:rsidR="00000000" w:rsidRDefault="006F0EF5">
      <w:pPr>
        <w:divId w:val="1055736266"/>
        <w:rPr>
          <w:rFonts w:eastAsia="Times New Roman"/>
        </w:rPr>
      </w:pPr>
    </w:p>
    <w:p w:rsidR="00000000" w:rsidRDefault="006F0EF5">
      <w:pPr>
        <w:divId w:val="216670646"/>
        <w:rPr>
          <w:rFonts w:eastAsia="Times New Roman"/>
        </w:rPr>
      </w:pPr>
    </w:p>
    <w:p w:rsidR="00000000" w:rsidRDefault="006F0EF5">
      <w:pPr>
        <w:divId w:val="1396005238"/>
        <w:rPr>
          <w:rFonts w:eastAsia="Times New Roman"/>
        </w:rPr>
      </w:pPr>
    </w:p>
    <w:p w:rsidR="00000000" w:rsidRDefault="006F0EF5">
      <w:pPr>
        <w:divId w:val="624240096"/>
        <w:rPr>
          <w:rFonts w:eastAsia="Times New Roman"/>
        </w:rPr>
      </w:pPr>
    </w:p>
    <w:p w:rsidR="00000000" w:rsidRDefault="006F0EF5">
      <w:pPr>
        <w:divId w:val="371464966"/>
        <w:rPr>
          <w:rFonts w:eastAsia="Times New Roman"/>
        </w:rPr>
      </w:pPr>
    </w:p>
    <w:p w:rsidR="00000000" w:rsidRDefault="006F0EF5">
      <w:pPr>
        <w:divId w:val="1293947424"/>
        <w:rPr>
          <w:rFonts w:eastAsia="Times New Roman"/>
        </w:rPr>
      </w:pPr>
    </w:p>
    <w:p w:rsidR="00000000" w:rsidRDefault="006F0EF5">
      <w:pPr>
        <w:divId w:val="1815946433"/>
        <w:rPr>
          <w:rFonts w:eastAsia="Times New Roman"/>
        </w:rPr>
      </w:pPr>
    </w:p>
    <w:p w:rsidR="00000000" w:rsidRDefault="006F0EF5">
      <w:pPr>
        <w:divId w:val="198011216"/>
        <w:rPr>
          <w:rFonts w:eastAsia="Times New Roman"/>
        </w:rPr>
      </w:pPr>
    </w:p>
    <w:p w:rsidR="00000000" w:rsidRDefault="006F0EF5">
      <w:pPr>
        <w:divId w:val="1460998133"/>
        <w:rPr>
          <w:rFonts w:eastAsia="Times New Roman"/>
        </w:rPr>
      </w:pPr>
    </w:p>
    <w:p w:rsidR="00000000" w:rsidRDefault="006F0EF5">
      <w:pPr>
        <w:divId w:val="736364143"/>
        <w:rPr>
          <w:rFonts w:eastAsia="Times New Roman"/>
        </w:rPr>
      </w:pPr>
    </w:p>
    <w:p w:rsidR="00000000" w:rsidRDefault="006F0EF5">
      <w:pPr>
        <w:divId w:val="1296259474"/>
        <w:rPr>
          <w:rFonts w:eastAsia="Times New Roman"/>
        </w:rPr>
      </w:pPr>
    </w:p>
    <w:p w:rsidR="00000000" w:rsidRDefault="006F0EF5">
      <w:pPr>
        <w:divId w:val="1777556435"/>
        <w:rPr>
          <w:rFonts w:eastAsia="Times New Roman"/>
        </w:rPr>
      </w:pPr>
    </w:p>
    <w:p w:rsidR="00000000" w:rsidRDefault="006F0EF5">
      <w:pPr>
        <w:divId w:val="1156532467"/>
        <w:rPr>
          <w:rFonts w:eastAsia="Times New Roman"/>
        </w:rPr>
      </w:pPr>
    </w:p>
    <w:p w:rsidR="00000000" w:rsidRDefault="006F0EF5">
      <w:pPr>
        <w:divId w:val="664169693"/>
        <w:rPr>
          <w:rFonts w:eastAsia="Times New Roman"/>
        </w:rPr>
      </w:pPr>
    </w:p>
    <w:p w:rsidR="00000000" w:rsidRDefault="006F0EF5">
      <w:pPr>
        <w:divId w:val="2021271947"/>
        <w:rPr>
          <w:rFonts w:eastAsia="Times New Roman"/>
        </w:rPr>
      </w:pPr>
    </w:p>
    <w:p w:rsidR="00000000" w:rsidRDefault="006F0EF5">
      <w:pPr>
        <w:divId w:val="1312637093"/>
        <w:rPr>
          <w:rFonts w:eastAsia="Times New Roman"/>
        </w:rPr>
      </w:pPr>
    </w:p>
    <w:p w:rsidR="00000000" w:rsidRDefault="006F0EF5">
      <w:pPr>
        <w:divId w:val="443038683"/>
        <w:rPr>
          <w:rFonts w:eastAsia="Times New Roman"/>
        </w:rPr>
      </w:pPr>
    </w:p>
    <w:p w:rsidR="00000000" w:rsidRDefault="006F0EF5">
      <w:pPr>
        <w:divId w:val="1541745447"/>
        <w:rPr>
          <w:rFonts w:eastAsia="Times New Roman"/>
        </w:rPr>
      </w:pPr>
    </w:p>
    <w:p w:rsidR="00000000" w:rsidRDefault="006F0EF5">
      <w:pPr>
        <w:divId w:val="279724993"/>
        <w:rPr>
          <w:rFonts w:eastAsia="Times New Roman"/>
        </w:rPr>
      </w:pPr>
    </w:p>
    <w:p w:rsidR="00000000" w:rsidRDefault="006F0EF5">
      <w:pPr>
        <w:divId w:val="1282033993"/>
        <w:rPr>
          <w:rFonts w:eastAsia="Times New Roman"/>
        </w:rPr>
      </w:pPr>
    </w:p>
    <w:p w:rsidR="00000000" w:rsidRDefault="006F0EF5">
      <w:pPr>
        <w:divId w:val="527909114"/>
        <w:rPr>
          <w:rFonts w:eastAsia="Times New Roman"/>
        </w:rPr>
      </w:pPr>
    </w:p>
    <w:p w:rsidR="00000000" w:rsidRDefault="006F0EF5">
      <w:pPr>
        <w:divId w:val="1068848644"/>
        <w:rPr>
          <w:rFonts w:eastAsia="Times New Roman"/>
        </w:rPr>
      </w:pPr>
    </w:p>
    <w:p w:rsidR="00000000" w:rsidRDefault="006F0EF5">
      <w:pPr>
        <w:divId w:val="70934889"/>
        <w:rPr>
          <w:rFonts w:eastAsia="Times New Roman"/>
        </w:rPr>
      </w:pPr>
    </w:p>
    <w:p w:rsidR="00000000" w:rsidRDefault="006F0EF5">
      <w:pPr>
        <w:divId w:val="676270776"/>
        <w:rPr>
          <w:rFonts w:eastAsia="Times New Roman"/>
        </w:rPr>
      </w:pPr>
    </w:p>
    <w:p w:rsidR="00000000" w:rsidRDefault="006F0EF5">
      <w:pPr>
        <w:divId w:val="512767141"/>
        <w:rPr>
          <w:rFonts w:eastAsia="Times New Roman"/>
        </w:rPr>
      </w:pPr>
    </w:p>
    <w:p w:rsidR="00000000" w:rsidRDefault="006F0EF5">
      <w:pPr>
        <w:divId w:val="978730155"/>
        <w:rPr>
          <w:rFonts w:eastAsia="Times New Roman"/>
        </w:rPr>
      </w:pPr>
    </w:p>
    <w:p w:rsidR="00000000" w:rsidRDefault="006F0EF5">
      <w:pPr>
        <w:divId w:val="360981029"/>
        <w:rPr>
          <w:rFonts w:eastAsia="Times New Roman"/>
        </w:rPr>
      </w:pPr>
    </w:p>
    <w:p w:rsidR="00000000" w:rsidRDefault="006F0EF5">
      <w:pPr>
        <w:jc w:val="center"/>
        <w:divId w:val="1931770195"/>
        <w:rPr>
          <w:rFonts w:eastAsia="Times New Roman"/>
        </w:rPr>
      </w:pPr>
      <w:r>
        <w:rPr>
          <w:rFonts w:eastAsia="Times New Roman"/>
          <w:color w:val="000000"/>
          <w:sz w:val="20"/>
          <w:szCs w:val="20"/>
        </w:rPr>
        <w:t>133</w:t>
      </w:r>
    </w:p>
    <w:p w:rsidR="00000000" w:rsidRDefault="006F0EF5">
      <w:pPr>
        <w:rPr>
          <w:rFonts w:eastAsia="Times New Roman"/>
        </w:rPr>
      </w:pPr>
      <w:r>
        <w:rPr>
          <w:rFonts w:eastAsia="Times New Roman"/>
        </w:rPr>
        <w:pict>
          <v:rect id="_x0000_i1162" style="width:0;height:1.5pt" o:hralign="center" o:hrstd="t" o:hr="t" fillcolor="#a0a0a0" stroked="f"/>
        </w:pict>
      </w:r>
    </w:p>
    <w:p w:rsidR="00000000" w:rsidRDefault="006F0EF5">
      <w:pPr>
        <w:divId w:val="203951052"/>
        <w:rPr>
          <w:rFonts w:eastAsia="Times New Roman"/>
        </w:rPr>
      </w:pPr>
      <w:hyperlink w:anchor="i820834c26f61401cb1d426994ba52a61_10" w:history="1">
        <w:r>
          <w:rPr>
            <w:rStyle w:val="a3"/>
            <w:rFonts w:eastAsia="Times New Roman"/>
            <w:sz w:val="16"/>
            <w:szCs w:val="16"/>
          </w:rPr>
          <w:t>Table of Contents</w:t>
        </w:r>
      </w:hyperlink>
    </w:p>
    <w:p w:rsidR="00000000" w:rsidRDefault="006F0EF5">
      <w:pPr>
        <w:divId w:val="179970477"/>
        <w:rPr>
          <w:rFonts w:eastAsia="Times New Roman"/>
        </w:rPr>
      </w:pPr>
    </w:p>
    <w:p w:rsidR="00000000" w:rsidRDefault="006F0EF5">
      <w:pPr>
        <w:divId w:val="1017149974"/>
        <w:rPr>
          <w:rFonts w:eastAsia="Times New Roman"/>
        </w:rPr>
      </w:pPr>
    </w:p>
    <w:tbl>
      <w:tblPr>
        <w:tblW w:w="3997" w:type="pct"/>
        <w:jc w:val="center"/>
        <w:tblCellMar>
          <w:top w:w="15" w:type="dxa"/>
          <w:left w:w="15" w:type="dxa"/>
          <w:bottom w:w="15" w:type="dxa"/>
          <w:right w:w="15" w:type="dxa"/>
        </w:tblCellMar>
        <w:tblLook w:val="04A0" w:firstRow="1" w:lastRow="0" w:firstColumn="1" w:lastColumn="0" w:noHBand="0" w:noVBand="1"/>
      </w:tblPr>
      <w:tblGrid>
        <w:gridCol w:w="69"/>
        <w:gridCol w:w="399"/>
        <w:gridCol w:w="36"/>
        <w:gridCol w:w="39"/>
        <w:gridCol w:w="2575"/>
        <w:gridCol w:w="37"/>
        <w:gridCol w:w="39"/>
        <w:gridCol w:w="3409"/>
        <w:gridCol w:w="37"/>
      </w:tblGrid>
      <w:tr w:rsidR="00000000">
        <w:trPr>
          <w:jc w:val="center"/>
        </w:trPr>
        <w:tc>
          <w:tcPr>
            <w:tcW w:w="50" w:type="pct"/>
            <w:vAlign w:val="center"/>
            <w:hideMark/>
          </w:tcPr>
          <w:p w:rsidR="00000000" w:rsidRDefault="006F0EF5">
            <w:pPr>
              <w:rPr>
                <w:rFonts w:eastAsia="Times New Roman"/>
              </w:rPr>
            </w:pPr>
          </w:p>
        </w:tc>
        <w:tc>
          <w:tcPr>
            <w:tcW w:w="28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1959"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c>
          <w:tcPr>
            <w:tcW w:w="50" w:type="pct"/>
            <w:vAlign w:val="center"/>
            <w:hideMark/>
          </w:tcPr>
          <w:p w:rsidR="00000000" w:rsidRDefault="006F0EF5">
            <w:pPr>
              <w:spacing w:after="100"/>
              <w:rPr>
                <w:rFonts w:eastAsia="Times New Roman"/>
                <w:sz w:val="20"/>
                <w:szCs w:val="20"/>
              </w:rPr>
            </w:pPr>
          </w:p>
        </w:tc>
        <w:tc>
          <w:tcPr>
            <w:tcW w:w="2586" w:type="pct"/>
            <w:vAlign w:val="center"/>
            <w:hideMark/>
          </w:tcPr>
          <w:p w:rsidR="00000000" w:rsidRDefault="006F0EF5">
            <w:pPr>
              <w:spacing w:after="100"/>
              <w:rPr>
                <w:rFonts w:eastAsia="Times New Roman"/>
                <w:sz w:val="20"/>
                <w:szCs w:val="20"/>
              </w:rPr>
            </w:pPr>
          </w:p>
        </w:tc>
        <w:tc>
          <w:tcPr>
            <w:tcW w:w="5" w:type="pct"/>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Signature</w:t>
            </w: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Title</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/s/  Frank R. Martire</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Executive Chairman</w:t>
            </w: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Frank R. Martire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/s/ </w:t>
            </w:r>
            <w:r>
              <w:rPr>
                <w:rFonts w:eastAsia="Times New Roman"/>
                <w:color w:val="000000"/>
                <w:sz w:val="20"/>
                <w:szCs w:val="20"/>
              </w:rPr>
              <w:t>Michael D. Hayford</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Chief Executive Officer and Director</w:t>
            </w: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Michael D. Hayford</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(Principal Executive Officer)</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/s/ Timothy C. Oliver</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Senior Executive Vice President and Chief Financial Officer</w:t>
            </w: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Timothy C. Oliver</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(Principal Financial Officer)</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/s/ Beth A. Potter</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Chief Accounting Officer</w:t>
            </w: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Beth A. Potter</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(Principal Accounting Officer)</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/s/ Mark W. Begor</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 xml:space="preserve">Mark W. Begor </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/s/ Gregory Blank</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Gregory Blank</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/s/ Catherine L. Burke</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Catherine L. Burke</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/s/ Deborah A. Farrington</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Deborah A. Farrington</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/s/ Georgette D. Kiser</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Georgette D. Kiser</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/s/ Kirk T. Larsen</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Kirk T. Larsen</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color w:val="000000"/>
                <w:sz w:val="20"/>
                <w:szCs w:val="20"/>
              </w:rPr>
              <w:t>/s/ Martin Mucci</w:t>
            </w:r>
          </w:p>
        </w:tc>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F0EF5">
            <w:pPr>
              <w:spacing w:after="100"/>
              <w:jc w:val="center"/>
              <w:rPr>
                <w:rFonts w:eastAsia="Times New Roman"/>
              </w:rPr>
            </w:pPr>
            <w:r>
              <w:rPr>
                <w:rFonts w:eastAsia="Times New Roman"/>
                <w:b/>
                <w:bCs/>
                <w:color w:val="000000"/>
                <w:sz w:val="20"/>
                <w:szCs w:val="20"/>
              </w:rPr>
              <w:t>Martin Mucci</w:t>
            </w:r>
          </w:p>
        </w:tc>
        <w:tc>
          <w:tcPr>
            <w:tcW w:w="0" w:type="auto"/>
            <w:gridSpan w:val="3"/>
            <w:tcMar>
              <w:top w:w="0" w:type="dxa"/>
              <w:left w:w="20" w:type="dxa"/>
              <w:bottom w:w="0" w:type="dxa"/>
              <w:right w:w="20" w:type="dxa"/>
            </w:tcMar>
            <w:vAlign w:val="center"/>
            <w:hideMark/>
          </w:tcPr>
          <w:p w:rsidR="00000000" w:rsidRDefault="006F0EF5">
            <w:pPr>
              <w:spacing w:after="100"/>
              <w:jc w:val="center"/>
              <w:rPr>
                <w:rFonts w:eastAsia="Times New Roman"/>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F0EF5">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F0EF5">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6F0EF5">
            <w:pPr>
              <w:spacing w:after="100"/>
              <w:jc w:val="right"/>
              <w:rPr>
                <w:rFonts w:eastAsia="Times New Roman"/>
              </w:rPr>
            </w:pPr>
            <w:r>
              <w:rPr>
                <w:rFonts w:eastAsia="Times New Roman"/>
                <w:color w:val="000000"/>
                <w:sz w:val="20"/>
                <w:szCs w:val="20"/>
              </w:rPr>
              <w:t>February 25, 2022</w:t>
            </w:r>
          </w:p>
        </w:tc>
        <w:tc>
          <w:tcPr>
            <w:tcW w:w="0" w:type="auto"/>
            <w:gridSpan w:val="3"/>
            <w:tcMar>
              <w:top w:w="0" w:type="dxa"/>
              <w:left w:w="20" w:type="dxa"/>
              <w:bottom w:w="0" w:type="dxa"/>
              <w:right w:w="20" w:type="dxa"/>
            </w:tcMar>
            <w:vAlign w:val="center"/>
            <w:hideMark/>
          </w:tcPr>
          <w:p w:rsidR="00000000" w:rsidRDefault="006F0EF5">
            <w:pPr>
              <w:spacing w:after="100"/>
              <w:jc w:val="right"/>
              <w:rPr>
                <w:rFonts w:eastAsia="Times New Roman"/>
              </w:rPr>
            </w:pPr>
          </w:p>
        </w:tc>
      </w:tr>
    </w:tbl>
    <w:p w:rsidR="00000000" w:rsidRDefault="006F0EF5">
      <w:pPr>
        <w:divId w:val="1149051115"/>
        <w:rPr>
          <w:rFonts w:eastAsia="Times New Roman"/>
        </w:rPr>
      </w:pPr>
    </w:p>
    <w:p w:rsidR="006F0EF5" w:rsidRDefault="006F0EF5">
      <w:pPr>
        <w:jc w:val="center"/>
        <w:divId w:val="1509559273"/>
        <w:rPr>
          <w:rFonts w:eastAsia="Times New Roman"/>
        </w:rPr>
      </w:pPr>
      <w:r>
        <w:rPr>
          <w:rFonts w:eastAsia="Times New Roman"/>
          <w:color w:val="000000"/>
          <w:sz w:val="20"/>
          <w:szCs w:val="20"/>
        </w:rPr>
        <w:t>134</w:t>
      </w:r>
    </w:p>
    <w:sectPr w:rsidR="006F0EF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F0EF5"/>
    <w:rsid w:val="006F0EF5"/>
  </w:rsids>
  <m:mathPr>
    <m:mathFont m:val="Cambria Math"/>
    <m:brkBin m:val="before"/>
    <m:brkBinSub m:val="--"/>
    <m:smallFrac m:val="0"/>
    <m:dispDef/>
    <m:lMargin m:val="0"/>
    <m:rMargin m:val="0"/>
    <m:defJc m:val="centerGroup"/>
    <m:wrapIndent m:val="1440"/>
    <m:intLim m:val="subSup"/>
    <m:naryLim m:val="undOvr"/>
  </m:mathPr>
  <w:attachedSchema w:val="http://fasb.org/srt/2021-01-31"/>
  <w:attachedSchema w:val="http://www.xbrl.org/2003/iso4217"/>
  <w:attachedSchema w:val="http://www.ncr.com/20211231"/>
  <w:attachedSchema w:val="http://www.xbrl.org/2003/linkbase"/>
  <w:attachedSchema w:val="http://www.xbrl.org/inlineXBRL/transformation/2020-02-12"/>
  <w:attachedSchema w:val="http://www.sec.gov/inlineXBRL/transformation/2015-08-31"/>
  <w:attachedSchema w:val="http://www.w3.org/1999/xlink"/>
  <w:attachedSchema w:val="http://xbrl.org/2006/xbrldi"/>
  <w:attachedSchema w:val="http://www.xbrl.org/2013/inlineXBRL"/>
  <w:attachedSchema w:val="http://www.xbrl.org/2003/instance"/>
  <w:attachedSchema w:val="http://www.xbrl.org/2009/utr"/>
  <w:attachedSchema w:val="http://fasb.org/us-gaap/2021-01-31"/>
  <w:attachedSchema w:val="http://xbrl.sec.gov/country/2021"/>
  <w:attachedSchema w:val="http://xbrl.sec.gov/dei/2021q4"/>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8">
      <w:marLeft w:val="0"/>
      <w:marRight w:val="0"/>
      <w:marTop w:val="0"/>
      <w:marBottom w:val="0"/>
      <w:divBdr>
        <w:top w:val="none" w:sz="0" w:space="0" w:color="auto"/>
        <w:left w:val="none" w:sz="0" w:space="0" w:color="auto"/>
        <w:bottom w:val="none" w:sz="0" w:space="0" w:color="auto"/>
        <w:right w:val="none" w:sz="0" w:space="0" w:color="auto"/>
      </w:divBdr>
    </w:div>
    <w:div w:id="815809">
      <w:marLeft w:val="0"/>
      <w:marRight w:val="0"/>
      <w:marTop w:val="100"/>
      <w:marBottom w:val="0"/>
      <w:divBdr>
        <w:top w:val="none" w:sz="0" w:space="0" w:color="auto"/>
        <w:left w:val="none" w:sz="0" w:space="0" w:color="auto"/>
        <w:bottom w:val="none" w:sz="0" w:space="0" w:color="auto"/>
        <w:right w:val="none" w:sz="0" w:space="0" w:color="auto"/>
      </w:divBdr>
    </w:div>
    <w:div w:id="7952303">
      <w:marLeft w:val="0"/>
      <w:marRight w:val="0"/>
      <w:marTop w:val="100"/>
      <w:marBottom w:val="0"/>
      <w:divBdr>
        <w:top w:val="none" w:sz="0" w:space="0" w:color="auto"/>
        <w:left w:val="none" w:sz="0" w:space="0" w:color="auto"/>
        <w:bottom w:val="none" w:sz="0" w:space="0" w:color="auto"/>
        <w:right w:val="none" w:sz="0" w:space="0" w:color="auto"/>
      </w:divBdr>
      <w:divsChild>
        <w:div w:id="749280520">
          <w:marLeft w:val="0"/>
          <w:marRight w:val="0"/>
          <w:marTop w:val="0"/>
          <w:marBottom w:val="0"/>
          <w:divBdr>
            <w:top w:val="none" w:sz="0" w:space="0" w:color="auto"/>
            <w:left w:val="none" w:sz="0" w:space="0" w:color="auto"/>
            <w:bottom w:val="none" w:sz="0" w:space="0" w:color="auto"/>
            <w:right w:val="none" w:sz="0" w:space="0" w:color="auto"/>
          </w:divBdr>
        </w:div>
        <w:div w:id="1317539822">
          <w:marLeft w:val="0"/>
          <w:marRight w:val="0"/>
          <w:marTop w:val="0"/>
          <w:marBottom w:val="0"/>
          <w:divBdr>
            <w:top w:val="none" w:sz="0" w:space="0" w:color="auto"/>
            <w:left w:val="none" w:sz="0" w:space="0" w:color="auto"/>
            <w:bottom w:val="none" w:sz="0" w:space="0" w:color="auto"/>
            <w:right w:val="none" w:sz="0" w:space="0" w:color="auto"/>
          </w:divBdr>
        </w:div>
        <w:div w:id="751202097">
          <w:marLeft w:val="0"/>
          <w:marRight w:val="0"/>
          <w:marTop w:val="0"/>
          <w:marBottom w:val="0"/>
          <w:divBdr>
            <w:top w:val="none" w:sz="0" w:space="0" w:color="auto"/>
            <w:left w:val="none" w:sz="0" w:space="0" w:color="auto"/>
            <w:bottom w:val="none" w:sz="0" w:space="0" w:color="auto"/>
            <w:right w:val="none" w:sz="0" w:space="0" w:color="auto"/>
          </w:divBdr>
        </w:div>
        <w:div w:id="1728333824">
          <w:marLeft w:val="0"/>
          <w:marRight w:val="0"/>
          <w:marTop w:val="0"/>
          <w:marBottom w:val="0"/>
          <w:divBdr>
            <w:top w:val="none" w:sz="0" w:space="0" w:color="auto"/>
            <w:left w:val="none" w:sz="0" w:space="0" w:color="auto"/>
            <w:bottom w:val="none" w:sz="0" w:space="0" w:color="auto"/>
            <w:right w:val="none" w:sz="0" w:space="0" w:color="auto"/>
          </w:divBdr>
        </w:div>
        <w:div w:id="1424567508">
          <w:marLeft w:val="0"/>
          <w:marRight w:val="0"/>
          <w:marTop w:val="0"/>
          <w:marBottom w:val="0"/>
          <w:divBdr>
            <w:top w:val="none" w:sz="0" w:space="0" w:color="auto"/>
            <w:left w:val="none" w:sz="0" w:space="0" w:color="auto"/>
            <w:bottom w:val="none" w:sz="0" w:space="0" w:color="auto"/>
            <w:right w:val="none" w:sz="0" w:space="0" w:color="auto"/>
          </w:divBdr>
        </w:div>
        <w:div w:id="1484470347">
          <w:marLeft w:val="0"/>
          <w:marRight w:val="0"/>
          <w:marTop w:val="0"/>
          <w:marBottom w:val="0"/>
          <w:divBdr>
            <w:top w:val="none" w:sz="0" w:space="0" w:color="auto"/>
            <w:left w:val="none" w:sz="0" w:space="0" w:color="auto"/>
            <w:bottom w:val="none" w:sz="0" w:space="0" w:color="auto"/>
            <w:right w:val="none" w:sz="0" w:space="0" w:color="auto"/>
          </w:divBdr>
        </w:div>
        <w:div w:id="486553447">
          <w:marLeft w:val="0"/>
          <w:marRight w:val="0"/>
          <w:marTop w:val="0"/>
          <w:marBottom w:val="0"/>
          <w:divBdr>
            <w:top w:val="none" w:sz="0" w:space="0" w:color="auto"/>
            <w:left w:val="none" w:sz="0" w:space="0" w:color="auto"/>
            <w:bottom w:val="none" w:sz="0" w:space="0" w:color="auto"/>
            <w:right w:val="none" w:sz="0" w:space="0" w:color="auto"/>
          </w:divBdr>
        </w:div>
        <w:div w:id="2100247404">
          <w:marLeft w:val="0"/>
          <w:marRight w:val="0"/>
          <w:marTop w:val="0"/>
          <w:marBottom w:val="0"/>
          <w:divBdr>
            <w:top w:val="none" w:sz="0" w:space="0" w:color="auto"/>
            <w:left w:val="none" w:sz="0" w:space="0" w:color="auto"/>
            <w:bottom w:val="none" w:sz="0" w:space="0" w:color="auto"/>
            <w:right w:val="none" w:sz="0" w:space="0" w:color="auto"/>
          </w:divBdr>
        </w:div>
        <w:div w:id="852301115">
          <w:marLeft w:val="0"/>
          <w:marRight w:val="0"/>
          <w:marTop w:val="0"/>
          <w:marBottom w:val="0"/>
          <w:divBdr>
            <w:top w:val="none" w:sz="0" w:space="0" w:color="auto"/>
            <w:left w:val="none" w:sz="0" w:space="0" w:color="auto"/>
            <w:bottom w:val="none" w:sz="0" w:space="0" w:color="auto"/>
            <w:right w:val="none" w:sz="0" w:space="0" w:color="auto"/>
          </w:divBdr>
        </w:div>
        <w:div w:id="132872189">
          <w:marLeft w:val="0"/>
          <w:marRight w:val="0"/>
          <w:marTop w:val="0"/>
          <w:marBottom w:val="0"/>
          <w:divBdr>
            <w:top w:val="none" w:sz="0" w:space="0" w:color="auto"/>
            <w:left w:val="none" w:sz="0" w:space="0" w:color="auto"/>
            <w:bottom w:val="none" w:sz="0" w:space="0" w:color="auto"/>
            <w:right w:val="none" w:sz="0" w:space="0" w:color="auto"/>
          </w:divBdr>
        </w:div>
        <w:div w:id="1613436095">
          <w:marLeft w:val="0"/>
          <w:marRight w:val="0"/>
          <w:marTop w:val="0"/>
          <w:marBottom w:val="0"/>
          <w:divBdr>
            <w:top w:val="none" w:sz="0" w:space="0" w:color="auto"/>
            <w:left w:val="none" w:sz="0" w:space="0" w:color="auto"/>
            <w:bottom w:val="none" w:sz="0" w:space="0" w:color="auto"/>
            <w:right w:val="none" w:sz="0" w:space="0" w:color="auto"/>
          </w:divBdr>
        </w:div>
        <w:div w:id="1785808552">
          <w:marLeft w:val="0"/>
          <w:marRight w:val="0"/>
          <w:marTop w:val="0"/>
          <w:marBottom w:val="0"/>
          <w:divBdr>
            <w:top w:val="none" w:sz="0" w:space="0" w:color="auto"/>
            <w:left w:val="none" w:sz="0" w:space="0" w:color="auto"/>
            <w:bottom w:val="none" w:sz="0" w:space="0" w:color="auto"/>
            <w:right w:val="none" w:sz="0" w:space="0" w:color="auto"/>
          </w:divBdr>
        </w:div>
        <w:div w:id="890265141">
          <w:marLeft w:val="0"/>
          <w:marRight w:val="0"/>
          <w:marTop w:val="0"/>
          <w:marBottom w:val="0"/>
          <w:divBdr>
            <w:top w:val="none" w:sz="0" w:space="0" w:color="auto"/>
            <w:left w:val="none" w:sz="0" w:space="0" w:color="auto"/>
            <w:bottom w:val="none" w:sz="0" w:space="0" w:color="auto"/>
            <w:right w:val="none" w:sz="0" w:space="0" w:color="auto"/>
          </w:divBdr>
        </w:div>
        <w:div w:id="970982881">
          <w:marLeft w:val="0"/>
          <w:marRight w:val="0"/>
          <w:marTop w:val="0"/>
          <w:marBottom w:val="0"/>
          <w:divBdr>
            <w:top w:val="none" w:sz="0" w:space="0" w:color="auto"/>
            <w:left w:val="none" w:sz="0" w:space="0" w:color="auto"/>
            <w:bottom w:val="none" w:sz="0" w:space="0" w:color="auto"/>
            <w:right w:val="none" w:sz="0" w:space="0" w:color="auto"/>
          </w:divBdr>
        </w:div>
        <w:div w:id="33429371">
          <w:marLeft w:val="0"/>
          <w:marRight w:val="0"/>
          <w:marTop w:val="0"/>
          <w:marBottom w:val="0"/>
          <w:divBdr>
            <w:top w:val="none" w:sz="0" w:space="0" w:color="auto"/>
            <w:left w:val="none" w:sz="0" w:space="0" w:color="auto"/>
            <w:bottom w:val="none" w:sz="0" w:space="0" w:color="auto"/>
            <w:right w:val="none" w:sz="0" w:space="0" w:color="auto"/>
          </w:divBdr>
        </w:div>
        <w:div w:id="1765570879">
          <w:marLeft w:val="0"/>
          <w:marRight w:val="0"/>
          <w:marTop w:val="0"/>
          <w:marBottom w:val="0"/>
          <w:divBdr>
            <w:top w:val="none" w:sz="0" w:space="0" w:color="auto"/>
            <w:left w:val="none" w:sz="0" w:space="0" w:color="auto"/>
            <w:bottom w:val="none" w:sz="0" w:space="0" w:color="auto"/>
            <w:right w:val="none" w:sz="0" w:space="0" w:color="auto"/>
          </w:divBdr>
        </w:div>
        <w:div w:id="214396561">
          <w:marLeft w:val="0"/>
          <w:marRight w:val="0"/>
          <w:marTop w:val="0"/>
          <w:marBottom w:val="0"/>
          <w:divBdr>
            <w:top w:val="none" w:sz="0" w:space="0" w:color="auto"/>
            <w:left w:val="none" w:sz="0" w:space="0" w:color="auto"/>
            <w:bottom w:val="none" w:sz="0" w:space="0" w:color="auto"/>
            <w:right w:val="none" w:sz="0" w:space="0" w:color="auto"/>
          </w:divBdr>
        </w:div>
        <w:div w:id="1236159985">
          <w:marLeft w:val="0"/>
          <w:marRight w:val="0"/>
          <w:marTop w:val="0"/>
          <w:marBottom w:val="0"/>
          <w:divBdr>
            <w:top w:val="none" w:sz="0" w:space="0" w:color="auto"/>
            <w:left w:val="none" w:sz="0" w:space="0" w:color="auto"/>
            <w:bottom w:val="none" w:sz="0" w:space="0" w:color="auto"/>
            <w:right w:val="none" w:sz="0" w:space="0" w:color="auto"/>
          </w:divBdr>
        </w:div>
        <w:div w:id="1127966486">
          <w:marLeft w:val="0"/>
          <w:marRight w:val="0"/>
          <w:marTop w:val="0"/>
          <w:marBottom w:val="0"/>
          <w:divBdr>
            <w:top w:val="none" w:sz="0" w:space="0" w:color="auto"/>
            <w:left w:val="none" w:sz="0" w:space="0" w:color="auto"/>
            <w:bottom w:val="none" w:sz="0" w:space="0" w:color="auto"/>
            <w:right w:val="none" w:sz="0" w:space="0" w:color="auto"/>
          </w:divBdr>
        </w:div>
        <w:div w:id="1369453472">
          <w:marLeft w:val="0"/>
          <w:marRight w:val="0"/>
          <w:marTop w:val="0"/>
          <w:marBottom w:val="0"/>
          <w:divBdr>
            <w:top w:val="none" w:sz="0" w:space="0" w:color="auto"/>
            <w:left w:val="none" w:sz="0" w:space="0" w:color="auto"/>
            <w:bottom w:val="none" w:sz="0" w:space="0" w:color="auto"/>
            <w:right w:val="none" w:sz="0" w:space="0" w:color="auto"/>
          </w:divBdr>
        </w:div>
        <w:div w:id="437062804">
          <w:marLeft w:val="0"/>
          <w:marRight w:val="0"/>
          <w:marTop w:val="0"/>
          <w:marBottom w:val="0"/>
          <w:divBdr>
            <w:top w:val="none" w:sz="0" w:space="0" w:color="auto"/>
            <w:left w:val="none" w:sz="0" w:space="0" w:color="auto"/>
            <w:bottom w:val="none" w:sz="0" w:space="0" w:color="auto"/>
            <w:right w:val="none" w:sz="0" w:space="0" w:color="auto"/>
          </w:divBdr>
        </w:div>
        <w:div w:id="362361509">
          <w:marLeft w:val="0"/>
          <w:marRight w:val="0"/>
          <w:marTop w:val="0"/>
          <w:marBottom w:val="0"/>
          <w:divBdr>
            <w:top w:val="none" w:sz="0" w:space="0" w:color="auto"/>
            <w:left w:val="none" w:sz="0" w:space="0" w:color="auto"/>
            <w:bottom w:val="none" w:sz="0" w:space="0" w:color="auto"/>
            <w:right w:val="none" w:sz="0" w:space="0" w:color="auto"/>
          </w:divBdr>
        </w:div>
        <w:div w:id="21825360">
          <w:marLeft w:val="0"/>
          <w:marRight w:val="0"/>
          <w:marTop w:val="0"/>
          <w:marBottom w:val="0"/>
          <w:divBdr>
            <w:top w:val="none" w:sz="0" w:space="0" w:color="auto"/>
            <w:left w:val="none" w:sz="0" w:space="0" w:color="auto"/>
            <w:bottom w:val="none" w:sz="0" w:space="0" w:color="auto"/>
            <w:right w:val="none" w:sz="0" w:space="0" w:color="auto"/>
          </w:divBdr>
        </w:div>
      </w:divsChild>
    </w:div>
    <w:div w:id="8216865">
      <w:marLeft w:val="0"/>
      <w:marRight w:val="0"/>
      <w:marTop w:val="0"/>
      <w:marBottom w:val="0"/>
      <w:divBdr>
        <w:top w:val="none" w:sz="0" w:space="0" w:color="auto"/>
        <w:left w:val="none" w:sz="0" w:space="0" w:color="auto"/>
        <w:bottom w:val="none" w:sz="0" w:space="0" w:color="auto"/>
        <w:right w:val="none" w:sz="0" w:space="0" w:color="auto"/>
      </w:divBdr>
      <w:divsChild>
        <w:div w:id="1389066435">
          <w:marLeft w:val="0"/>
          <w:marRight w:val="0"/>
          <w:marTop w:val="0"/>
          <w:marBottom w:val="0"/>
          <w:divBdr>
            <w:top w:val="none" w:sz="0" w:space="0" w:color="auto"/>
            <w:left w:val="none" w:sz="0" w:space="0" w:color="auto"/>
            <w:bottom w:val="none" w:sz="0" w:space="0" w:color="auto"/>
            <w:right w:val="none" w:sz="0" w:space="0" w:color="auto"/>
          </w:divBdr>
        </w:div>
      </w:divsChild>
    </w:div>
    <w:div w:id="12458148">
      <w:marLeft w:val="0"/>
      <w:marRight w:val="0"/>
      <w:marTop w:val="0"/>
      <w:marBottom w:val="0"/>
      <w:divBdr>
        <w:top w:val="none" w:sz="0" w:space="0" w:color="auto"/>
        <w:left w:val="none" w:sz="0" w:space="0" w:color="auto"/>
        <w:bottom w:val="none" w:sz="0" w:space="0" w:color="auto"/>
        <w:right w:val="none" w:sz="0" w:space="0" w:color="auto"/>
      </w:divBdr>
    </w:div>
    <w:div w:id="13581160">
      <w:marLeft w:val="0"/>
      <w:marRight w:val="0"/>
      <w:marTop w:val="100"/>
      <w:marBottom w:val="0"/>
      <w:divBdr>
        <w:top w:val="none" w:sz="0" w:space="0" w:color="auto"/>
        <w:left w:val="none" w:sz="0" w:space="0" w:color="auto"/>
        <w:bottom w:val="none" w:sz="0" w:space="0" w:color="auto"/>
        <w:right w:val="none" w:sz="0" w:space="0" w:color="auto"/>
      </w:divBdr>
    </w:div>
    <w:div w:id="16396934">
      <w:marLeft w:val="0"/>
      <w:marRight w:val="0"/>
      <w:marTop w:val="0"/>
      <w:marBottom w:val="160"/>
      <w:divBdr>
        <w:top w:val="none" w:sz="0" w:space="0" w:color="auto"/>
        <w:left w:val="none" w:sz="0" w:space="0" w:color="auto"/>
        <w:bottom w:val="none" w:sz="0" w:space="0" w:color="auto"/>
        <w:right w:val="none" w:sz="0" w:space="0" w:color="auto"/>
      </w:divBdr>
    </w:div>
    <w:div w:id="16587560">
      <w:marLeft w:val="0"/>
      <w:marRight w:val="0"/>
      <w:marTop w:val="0"/>
      <w:marBottom w:val="0"/>
      <w:divBdr>
        <w:top w:val="none" w:sz="0" w:space="0" w:color="auto"/>
        <w:left w:val="none" w:sz="0" w:space="0" w:color="auto"/>
        <w:bottom w:val="none" w:sz="0" w:space="0" w:color="auto"/>
        <w:right w:val="none" w:sz="0" w:space="0" w:color="auto"/>
      </w:divBdr>
      <w:divsChild>
        <w:div w:id="2146309358">
          <w:marLeft w:val="0"/>
          <w:marRight w:val="0"/>
          <w:marTop w:val="0"/>
          <w:marBottom w:val="0"/>
          <w:divBdr>
            <w:top w:val="none" w:sz="0" w:space="0" w:color="auto"/>
            <w:left w:val="none" w:sz="0" w:space="0" w:color="auto"/>
            <w:bottom w:val="none" w:sz="0" w:space="0" w:color="auto"/>
            <w:right w:val="none" w:sz="0" w:space="0" w:color="auto"/>
          </w:divBdr>
        </w:div>
      </w:divsChild>
    </w:div>
    <w:div w:id="22436809">
      <w:marLeft w:val="0"/>
      <w:marRight w:val="0"/>
      <w:marTop w:val="0"/>
      <w:marBottom w:val="0"/>
      <w:divBdr>
        <w:top w:val="none" w:sz="0" w:space="0" w:color="auto"/>
        <w:left w:val="none" w:sz="0" w:space="0" w:color="auto"/>
        <w:bottom w:val="none" w:sz="0" w:space="0" w:color="auto"/>
        <w:right w:val="none" w:sz="0" w:space="0" w:color="auto"/>
      </w:divBdr>
    </w:div>
    <w:div w:id="22630859">
      <w:marLeft w:val="0"/>
      <w:marRight w:val="0"/>
      <w:marTop w:val="0"/>
      <w:marBottom w:val="0"/>
      <w:divBdr>
        <w:top w:val="none" w:sz="0" w:space="0" w:color="auto"/>
        <w:left w:val="none" w:sz="0" w:space="0" w:color="auto"/>
        <w:bottom w:val="none" w:sz="0" w:space="0" w:color="auto"/>
        <w:right w:val="none" w:sz="0" w:space="0" w:color="auto"/>
      </w:divBdr>
    </w:div>
    <w:div w:id="22900374">
      <w:marLeft w:val="0"/>
      <w:marRight w:val="0"/>
      <w:marTop w:val="0"/>
      <w:marBottom w:val="0"/>
      <w:divBdr>
        <w:top w:val="none" w:sz="0" w:space="0" w:color="auto"/>
        <w:left w:val="none" w:sz="0" w:space="0" w:color="auto"/>
        <w:bottom w:val="none" w:sz="0" w:space="0" w:color="auto"/>
        <w:right w:val="none" w:sz="0" w:space="0" w:color="auto"/>
      </w:divBdr>
      <w:divsChild>
        <w:div w:id="809051849">
          <w:marLeft w:val="0"/>
          <w:marRight w:val="0"/>
          <w:marTop w:val="0"/>
          <w:marBottom w:val="0"/>
          <w:divBdr>
            <w:top w:val="none" w:sz="0" w:space="0" w:color="auto"/>
            <w:left w:val="none" w:sz="0" w:space="0" w:color="auto"/>
            <w:bottom w:val="none" w:sz="0" w:space="0" w:color="auto"/>
            <w:right w:val="none" w:sz="0" w:space="0" w:color="auto"/>
          </w:divBdr>
        </w:div>
      </w:divsChild>
    </w:div>
    <w:div w:id="23094344">
      <w:marLeft w:val="0"/>
      <w:marRight w:val="0"/>
      <w:marTop w:val="0"/>
      <w:marBottom w:val="120"/>
      <w:divBdr>
        <w:top w:val="none" w:sz="0" w:space="0" w:color="auto"/>
        <w:left w:val="none" w:sz="0" w:space="0" w:color="auto"/>
        <w:bottom w:val="none" w:sz="0" w:space="0" w:color="auto"/>
        <w:right w:val="none" w:sz="0" w:space="0" w:color="auto"/>
      </w:divBdr>
    </w:div>
    <w:div w:id="25958486">
      <w:marLeft w:val="0"/>
      <w:marRight w:val="0"/>
      <w:marTop w:val="0"/>
      <w:marBottom w:val="0"/>
      <w:divBdr>
        <w:top w:val="none" w:sz="0" w:space="0" w:color="auto"/>
        <w:left w:val="none" w:sz="0" w:space="0" w:color="auto"/>
        <w:bottom w:val="none" w:sz="0" w:space="0" w:color="auto"/>
        <w:right w:val="none" w:sz="0" w:space="0" w:color="auto"/>
      </w:divBdr>
    </w:div>
    <w:div w:id="26760764">
      <w:marLeft w:val="0"/>
      <w:marRight w:val="0"/>
      <w:marTop w:val="100"/>
      <w:marBottom w:val="0"/>
      <w:divBdr>
        <w:top w:val="none" w:sz="0" w:space="0" w:color="auto"/>
        <w:left w:val="none" w:sz="0" w:space="0" w:color="auto"/>
        <w:bottom w:val="none" w:sz="0" w:space="0" w:color="auto"/>
        <w:right w:val="none" w:sz="0" w:space="0" w:color="auto"/>
      </w:divBdr>
    </w:div>
    <w:div w:id="28648686">
      <w:marLeft w:val="0"/>
      <w:marRight w:val="0"/>
      <w:marTop w:val="0"/>
      <w:marBottom w:val="0"/>
      <w:divBdr>
        <w:top w:val="none" w:sz="0" w:space="0" w:color="auto"/>
        <w:left w:val="none" w:sz="0" w:space="0" w:color="auto"/>
        <w:bottom w:val="none" w:sz="0" w:space="0" w:color="auto"/>
        <w:right w:val="none" w:sz="0" w:space="0" w:color="auto"/>
      </w:divBdr>
    </w:div>
    <w:div w:id="32272492">
      <w:marLeft w:val="0"/>
      <w:marRight w:val="0"/>
      <w:marTop w:val="0"/>
      <w:marBottom w:val="0"/>
      <w:divBdr>
        <w:top w:val="none" w:sz="0" w:space="0" w:color="auto"/>
        <w:left w:val="none" w:sz="0" w:space="0" w:color="auto"/>
        <w:bottom w:val="none" w:sz="0" w:space="0" w:color="auto"/>
        <w:right w:val="none" w:sz="0" w:space="0" w:color="auto"/>
      </w:divBdr>
      <w:divsChild>
        <w:div w:id="778720222">
          <w:marLeft w:val="0"/>
          <w:marRight w:val="0"/>
          <w:marTop w:val="0"/>
          <w:marBottom w:val="0"/>
          <w:divBdr>
            <w:top w:val="none" w:sz="0" w:space="0" w:color="auto"/>
            <w:left w:val="none" w:sz="0" w:space="0" w:color="auto"/>
            <w:bottom w:val="none" w:sz="0" w:space="0" w:color="auto"/>
            <w:right w:val="none" w:sz="0" w:space="0" w:color="auto"/>
          </w:divBdr>
        </w:div>
        <w:div w:id="2075809204">
          <w:marLeft w:val="0"/>
          <w:marRight w:val="0"/>
          <w:marTop w:val="0"/>
          <w:marBottom w:val="0"/>
          <w:divBdr>
            <w:top w:val="none" w:sz="0" w:space="0" w:color="auto"/>
            <w:left w:val="none" w:sz="0" w:space="0" w:color="auto"/>
            <w:bottom w:val="none" w:sz="0" w:space="0" w:color="auto"/>
            <w:right w:val="none" w:sz="0" w:space="0" w:color="auto"/>
          </w:divBdr>
        </w:div>
      </w:divsChild>
    </w:div>
    <w:div w:id="34279250">
      <w:marLeft w:val="0"/>
      <w:marRight w:val="0"/>
      <w:marTop w:val="0"/>
      <w:marBottom w:val="0"/>
      <w:divBdr>
        <w:top w:val="none" w:sz="0" w:space="0" w:color="auto"/>
        <w:left w:val="none" w:sz="0" w:space="0" w:color="auto"/>
        <w:bottom w:val="none" w:sz="0" w:space="0" w:color="auto"/>
        <w:right w:val="none" w:sz="0" w:space="0" w:color="auto"/>
      </w:divBdr>
    </w:div>
    <w:div w:id="35276399">
      <w:marLeft w:val="0"/>
      <w:marRight w:val="0"/>
      <w:marTop w:val="0"/>
      <w:marBottom w:val="0"/>
      <w:divBdr>
        <w:top w:val="none" w:sz="0" w:space="0" w:color="auto"/>
        <w:left w:val="none" w:sz="0" w:space="0" w:color="auto"/>
        <w:bottom w:val="none" w:sz="0" w:space="0" w:color="auto"/>
        <w:right w:val="none" w:sz="0" w:space="0" w:color="auto"/>
      </w:divBdr>
    </w:div>
    <w:div w:id="36243124">
      <w:marLeft w:val="0"/>
      <w:marRight w:val="0"/>
      <w:marTop w:val="0"/>
      <w:marBottom w:val="100"/>
      <w:divBdr>
        <w:top w:val="none" w:sz="0" w:space="0" w:color="auto"/>
        <w:left w:val="none" w:sz="0" w:space="0" w:color="auto"/>
        <w:bottom w:val="none" w:sz="0" w:space="0" w:color="auto"/>
        <w:right w:val="none" w:sz="0" w:space="0" w:color="auto"/>
      </w:divBdr>
    </w:div>
    <w:div w:id="38288802">
      <w:marLeft w:val="0"/>
      <w:marRight w:val="0"/>
      <w:marTop w:val="0"/>
      <w:marBottom w:val="0"/>
      <w:divBdr>
        <w:top w:val="none" w:sz="0" w:space="0" w:color="auto"/>
        <w:left w:val="none" w:sz="0" w:space="0" w:color="auto"/>
        <w:bottom w:val="none" w:sz="0" w:space="0" w:color="auto"/>
        <w:right w:val="none" w:sz="0" w:space="0" w:color="auto"/>
      </w:divBdr>
      <w:divsChild>
        <w:div w:id="28604818">
          <w:marLeft w:val="0"/>
          <w:marRight w:val="0"/>
          <w:marTop w:val="0"/>
          <w:marBottom w:val="0"/>
          <w:divBdr>
            <w:top w:val="none" w:sz="0" w:space="0" w:color="auto"/>
            <w:left w:val="none" w:sz="0" w:space="0" w:color="auto"/>
            <w:bottom w:val="none" w:sz="0" w:space="0" w:color="auto"/>
            <w:right w:val="none" w:sz="0" w:space="0" w:color="auto"/>
          </w:divBdr>
        </w:div>
      </w:divsChild>
    </w:div>
    <w:div w:id="42947922">
      <w:marLeft w:val="0"/>
      <w:marRight w:val="0"/>
      <w:marTop w:val="100"/>
      <w:marBottom w:val="0"/>
      <w:divBdr>
        <w:top w:val="none" w:sz="0" w:space="0" w:color="auto"/>
        <w:left w:val="none" w:sz="0" w:space="0" w:color="auto"/>
        <w:bottom w:val="none" w:sz="0" w:space="0" w:color="auto"/>
        <w:right w:val="none" w:sz="0" w:space="0" w:color="auto"/>
      </w:divBdr>
    </w:div>
    <w:div w:id="44793617">
      <w:marLeft w:val="0"/>
      <w:marRight w:val="0"/>
      <w:marTop w:val="0"/>
      <w:marBottom w:val="0"/>
      <w:divBdr>
        <w:top w:val="none" w:sz="0" w:space="0" w:color="auto"/>
        <w:left w:val="none" w:sz="0" w:space="0" w:color="auto"/>
        <w:bottom w:val="none" w:sz="0" w:space="0" w:color="auto"/>
        <w:right w:val="none" w:sz="0" w:space="0" w:color="auto"/>
      </w:divBdr>
      <w:divsChild>
        <w:div w:id="25762144">
          <w:marLeft w:val="0"/>
          <w:marRight w:val="0"/>
          <w:marTop w:val="0"/>
          <w:marBottom w:val="0"/>
          <w:divBdr>
            <w:top w:val="none" w:sz="0" w:space="0" w:color="auto"/>
            <w:left w:val="none" w:sz="0" w:space="0" w:color="auto"/>
            <w:bottom w:val="none" w:sz="0" w:space="0" w:color="auto"/>
            <w:right w:val="none" w:sz="0" w:space="0" w:color="auto"/>
          </w:divBdr>
        </w:div>
      </w:divsChild>
    </w:div>
    <w:div w:id="46296692">
      <w:marLeft w:val="0"/>
      <w:marRight w:val="0"/>
      <w:marTop w:val="0"/>
      <w:marBottom w:val="0"/>
      <w:divBdr>
        <w:top w:val="none" w:sz="0" w:space="0" w:color="auto"/>
        <w:left w:val="none" w:sz="0" w:space="0" w:color="auto"/>
        <w:bottom w:val="none" w:sz="0" w:space="0" w:color="auto"/>
        <w:right w:val="none" w:sz="0" w:space="0" w:color="auto"/>
      </w:divBdr>
      <w:divsChild>
        <w:div w:id="302196865">
          <w:marLeft w:val="0"/>
          <w:marRight w:val="0"/>
          <w:marTop w:val="0"/>
          <w:marBottom w:val="0"/>
          <w:divBdr>
            <w:top w:val="none" w:sz="0" w:space="0" w:color="auto"/>
            <w:left w:val="none" w:sz="0" w:space="0" w:color="auto"/>
            <w:bottom w:val="none" w:sz="0" w:space="0" w:color="auto"/>
            <w:right w:val="none" w:sz="0" w:space="0" w:color="auto"/>
          </w:divBdr>
        </w:div>
      </w:divsChild>
    </w:div>
    <w:div w:id="48462668">
      <w:marLeft w:val="0"/>
      <w:marRight w:val="0"/>
      <w:marTop w:val="0"/>
      <w:marBottom w:val="0"/>
      <w:divBdr>
        <w:top w:val="none" w:sz="0" w:space="0" w:color="auto"/>
        <w:left w:val="none" w:sz="0" w:space="0" w:color="auto"/>
        <w:bottom w:val="none" w:sz="0" w:space="0" w:color="auto"/>
        <w:right w:val="none" w:sz="0" w:space="0" w:color="auto"/>
      </w:divBdr>
    </w:div>
    <w:div w:id="50278062">
      <w:marLeft w:val="0"/>
      <w:marRight w:val="0"/>
      <w:marTop w:val="0"/>
      <w:marBottom w:val="0"/>
      <w:divBdr>
        <w:top w:val="none" w:sz="0" w:space="0" w:color="auto"/>
        <w:left w:val="none" w:sz="0" w:space="0" w:color="auto"/>
        <w:bottom w:val="none" w:sz="0" w:space="0" w:color="auto"/>
        <w:right w:val="none" w:sz="0" w:space="0" w:color="auto"/>
      </w:divBdr>
    </w:div>
    <w:div w:id="53360184">
      <w:marLeft w:val="0"/>
      <w:marRight w:val="0"/>
      <w:marTop w:val="0"/>
      <w:marBottom w:val="0"/>
      <w:divBdr>
        <w:top w:val="none" w:sz="0" w:space="0" w:color="auto"/>
        <w:left w:val="none" w:sz="0" w:space="0" w:color="auto"/>
        <w:bottom w:val="none" w:sz="0" w:space="0" w:color="auto"/>
        <w:right w:val="none" w:sz="0" w:space="0" w:color="auto"/>
      </w:divBdr>
    </w:div>
    <w:div w:id="54594947">
      <w:marLeft w:val="0"/>
      <w:marRight w:val="0"/>
      <w:marTop w:val="0"/>
      <w:marBottom w:val="60"/>
      <w:divBdr>
        <w:top w:val="none" w:sz="0" w:space="0" w:color="auto"/>
        <w:left w:val="none" w:sz="0" w:space="0" w:color="auto"/>
        <w:bottom w:val="none" w:sz="0" w:space="0" w:color="auto"/>
        <w:right w:val="none" w:sz="0" w:space="0" w:color="auto"/>
      </w:divBdr>
    </w:div>
    <w:div w:id="55203809">
      <w:marLeft w:val="0"/>
      <w:marRight w:val="0"/>
      <w:marTop w:val="100"/>
      <w:marBottom w:val="100"/>
      <w:divBdr>
        <w:top w:val="none" w:sz="0" w:space="0" w:color="auto"/>
        <w:left w:val="none" w:sz="0" w:space="0" w:color="auto"/>
        <w:bottom w:val="none" w:sz="0" w:space="0" w:color="auto"/>
        <w:right w:val="none" w:sz="0" w:space="0" w:color="auto"/>
      </w:divBdr>
    </w:div>
    <w:div w:id="58601835">
      <w:marLeft w:val="0"/>
      <w:marRight w:val="0"/>
      <w:marTop w:val="0"/>
      <w:marBottom w:val="0"/>
      <w:divBdr>
        <w:top w:val="none" w:sz="0" w:space="0" w:color="auto"/>
        <w:left w:val="none" w:sz="0" w:space="0" w:color="auto"/>
        <w:bottom w:val="none" w:sz="0" w:space="0" w:color="auto"/>
        <w:right w:val="none" w:sz="0" w:space="0" w:color="auto"/>
      </w:divBdr>
    </w:div>
    <w:div w:id="59377203">
      <w:marLeft w:val="0"/>
      <w:marRight w:val="0"/>
      <w:marTop w:val="100"/>
      <w:marBottom w:val="0"/>
      <w:divBdr>
        <w:top w:val="none" w:sz="0" w:space="0" w:color="auto"/>
        <w:left w:val="none" w:sz="0" w:space="0" w:color="auto"/>
        <w:bottom w:val="none" w:sz="0" w:space="0" w:color="auto"/>
        <w:right w:val="none" w:sz="0" w:space="0" w:color="auto"/>
      </w:divBdr>
    </w:div>
    <w:div w:id="69158120">
      <w:marLeft w:val="0"/>
      <w:marRight w:val="0"/>
      <w:marTop w:val="280"/>
      <w:marBottom w:val="0"/>
      <w:divBdr>
        <w:top w:val="none" w:sz="0" w:space="0" w:color="auto"/>
        <w:left w:val="none" w:sz="0" w:space="0" w:color="auto"/>
        <w:bottom w:val="none" w:sz="0" w:space="0" w:color="auto"/>
        <w:right w:val="none" w:sz="0" w:space="0" w:color="auto"/>
      </w:divBdr>
    </w:div>
    <w:div w:id="70934889">
      <w:marLeft w:val="0"/>
      <w:marRight w:val="0"/>
      <w:marTop w:val="0"/>
      <w:marBottom w:val="0"/>
      <w:divBdr>
        <w:top w:val="none" w:sz="0" w:space="0" w:color="auto"/>
        <w:left w:val="none" w:sz="0" w:space="0" w:color="auto"/>
        <w:bottom w:val="none" w:sz="0" w:space="0" w:color="auto"/>
        <w:right w:val="none" w:sz="0" w:space="0" w:color="auto"/>
      </w:divBdr>
    </w:div>
    <w:div w:id="71512777">
      <w:marLeft w:val="0"/>
      <w:marRight w:val="0"/>
      <w:marTop w:val="0"/>
      <w:marBottom w:val="0"/>
      <w:divBdr>
        <w:top w:val="none" w:sz="0" w:space="0" w:color="auto"/>
        <w:left w:val="none" w:sz="0" w:space="0" w:color="auto"/>
        <w:bottom w:val="none" w:sz="0" w:space="0" w:color="auto"/>
        <w:right w:val="none" w:sz="0" w:space="0" w:color="auto"/>
      </w:divBdr>
    </w:div>
    <w:div w:id="71900369">
      <w:marLeft w:val="0"/>
      <w:marRight w:val="0"/>
      <w:marTop w:val="0"/>
      <w:marBottom w:val="0"/>
      <w:divBdr>
        <w:top w:val="none" w:sz="0" w:space="0" w:color="auto"/>
        <w:left w:val="none" w:sz="0" w:space="0" w:color="auto"/>
        <w:bottom w:val="none" w:sz="0" w:space="0" w:color="auto"/>
        <w:right w:val="none" w:sz="0" w:space="0" w:color="auto"/>
      </w:divBdr>
      <w:divsChild>
        <w:div w:id="859274734">
          <w:marLeft w:val="0"/>
          <w:marRight w:val="0"/>
          <w:marTop w:val="0"/>
          <w:marBottom w:val="0"/>
          <w:divBdr>
            <w:top w:val="none" w:sz="0" w:space="0" w:color="auto"/>
            <w:left w:val="none" w:sz="0" w:space="0" w:color="auto"/>
            <w:bottom w:val="none" w:sz="0" w:space="0" w:color="auto"/>
            <w:right w:val="none" w:sz="0" w:space="0" w:color="auto"/>
          </w:divBdr>
        </w:div>
        <w:div w:id="895093277">
          <w:marLeft w:val="0"/>
          <w:marRight w:val="0"/>
          <w:marTop w:val="0"/>
          <w:marBottom w:val="0"/>
          <w:divBdr>
            <w:top w:val="none" w:sz="0" w:space="0" w:color="auto"/>
            <w:left w:val="none" w:sz="0" w:space="0" w:color="auto"/>
            <w:bottom w:val="none" w:sz="0" w:space="0" w:color="auto"/>
            <w:right w:val="none" w:sz="0" w:space="0" w:color="auto"/>
          </w:divBdr>
        </w:div>
      </w:divsChild>
    </w:div>
    <w:div w:id="81343441">
      <w:marLeft w:val="0"/>
      <w:marRight w:val="0"/>
      <w:marTop w:val="0"/>
      <w:marBottom w:val="0"/>
      <w:divBdr>
        <w:top w:val="none" w:sz="0" w:space="0" w:color="auto"/>
        <w:left w:val="none" w:sz="0" w:space="0" w:color="auto"/>
        <w:bottom w:val="none" w:sz="0" w:space="0" w:color="auto"/>
        <w:right w:val="none" w:sz="0" w:space="0" w:color="auto"/>
      </w:divBdr>
    </w:div>
    <w:div w:id="84763864">
      <w:marLeft w:val="0"/>
      <w:marRight w:val="0"/>
      <w:marTop w:val="0"/>
      <w:marBottom w:val="0"/>
      <w:divBdr>
        <w:top w:val="none" w:sz="0" w:space="0" w:color="auto"/>
        <w:left w:val="none" w:sz="0" w:space="0" w:color="auto"/>
        <w:bottom w:val="none" w:sz="0" w:space="0" w:color="auto"/>
        <w:right w:val="none" w:sz="0" w:space="0" w:color="auto"/>
      </w:divBdr>
    </w:div>
    <w:div w:id="88546976">
      <w:marLeft w:val="0"/>
      <w:marRight w:val="0"/>
      <w:marTop w:val="0"/>
      <w:marBottom w:val="0"/>
      <w:divBdr>
        <w:top w:val="none" w:sz="0" w:space="0" w:color="auto"/>
        <w:left w:val="none" w:sz="0" w:space="0" w:color="auto"/>
        <w:bottom w:val="none" w:sz="0" w:space="0" w:color="auto"/>
        <w:right w:val="none" w:sz="0" w:space="0" w:color="auto"/>
      </w:divBdr>
    </w:div>
    <w:div w:id="90660810">
      <w:marLeft w:val="0"/>
      <w:marRight w:val="0"/>
      <w:marTop w:val="0"/>
      <w:marBottom w:val="0"/>
      <w:divBdr>
        <w:top w:val="none" w:sz="0" w:space="0" w:color="auto"/>
        <w:left w:val="none" w:sz="0" w:space="0" w:color="auto"/>
        <w:bottom w:val="none" w:sz="0" w:space="0" w:color="auto"/>
        <w:right w:val="none" w:sz="0" w:space="0" w:color="auto"/>
      </w:divBdr>
    </w:div>
    <w:div w:id="96559027">
      <w:marLeft w:val="0"/>
      <w:marRight w:val="0"/>
      <w:marTop w:val="180"/>
      <w:marBottom w:val="180"/>
      <w:divBdr>
        <w:top w:val="none" w:sz="0" w:space="0" w:color="auto"/>
        <w:left w:val="none" w:sz="0" w:space="0" w:color="auto"/>
        <w:bottom w:val="none" w:sz="0" w:space="0" w:color="auto"/>
        <w:right w:val="none" w:sz="0" w:space="0" w:color="auto"/>
      </w:divBdr>
    </w:div>
    <w:div w:id="98961143">
      <w:marLeft w:val="0"/>
      <w:marRight w:val="0"/>
      <w:marTop w:val="0"/>
      <w:marBottom w:val="0"/>
      <w:divBdr>
        <w:top w:val="none" w:sz="0" w:space="0" w:color="auto"/>
        <w:left w:val="none" w:sz="0" w:space="0" w:color="auto"/>
        <w:bottom w:val="none" w:sz="0" w:space="0" w:color="auto"/>
        <w:right w:val="none" w:sz="0" w:space="0" w:color="auto"/>
      </w:divBdr>
      <w:divsChild>
        <w:div w:id="400713385">
          <w:marLeft w:val="0"/>
          <w:marRight w:val="0"/>
          <w:marTop w:val="0"/>
          <w:marBottom w:val="0"/>
          <w:divBdr>
            <w:top w:val="none" w:sz="0" w:space="0" w:color="auto"/>
            <w:left w:val="none" w:sz="0" w:space="0" w:color="auto"/>
            <w:bottom w:val="none" w:sz="0" w:space="0" w:color="auto"/>
            <w:right w:val="none" w:sz="0" w:space="0" w:color="auto"/>
          </w:divBdr>
        </w:div>
      </w:divsChild>
    </w:div>
    <w:div w:id="99375922">
      <w:marLeft w:val="0"/>
      <w:marRight w:val="0"/>
      <w:marTop w:val="0"/>
      <w:marBottom w:val="0"/>
      <w:divBdr>
        <w:top w:val="none" w:sz="0" w:space="0" w:color="auto"/>
        <w:left w:val="none" w:sz="0" w:space="0" w:color="auto"/>
        <w:bottom w:val="none" w:sz="0" w:space="0" w:color="auto"/>
        <w:right w:val="none" w:sz="0" w:space="0" w:color="auto"/>
      </w:divBdr>
      <w:divsChild>
        <w:div w:id="1225409674">
          <w:marLeft w:val="0"/>
          <w:marRight w:val="0"/>
          <w:marTop w:val="0"/>
          <w:marBottom w:val="0"/>
          <w:divBdr>
            <w:top w:val="none" w:sz="0" w:space="0" w:color="auto"/>
            <w:left w:val="none" w:sz="0" w:space="0" w:color="auto"/>
            <w:bottom w:val="none" w:sz="0" w:space="0" w:color="auto"/>
            <w:right w:val="none" w:sz="0" w:space="0" w:color="auto"/>
          </w:divBdr>
        </w:div>
      </w:divsChild>
    </w:div>
    <w:div w:id="104348038">
      <w:marLeft w:val="0"/>
      <w:marRight w:val="0"/>
      <w:marTop w:val="0"/>
      <w:marBottom w:val="0"/>
      <w:divBdr>
        <w:top w:val="none" w:sz="0" w:space="0" w:color="auto"/>
        <w:left w:val="none" w:sz="0" w:space="0" w:color="auto"/>
        <w:bottom w:val="none" w:sz="0" w:space="0" w:color="auto"/>
        <w:right w:val="none" w:sz="0" w:space="0" w:color="auto"/>
      </w:divBdr>
    </w:div>
    <w:div w:id="107823533">
      <w:marLeft w:val="0"/>
      <w:marRight w:val="0"/>
      <w:marTop w:val="0"/>
      <w:marBottom w:val="0"/>
      <w:divBdr>
        <w:top w:val="none" w:sz="0" w:space="0" w:color="auto"/>
        <w:left w:val="none" w:sz="0" w:space="0" w:color="auto"/>
        <w:bottom w:val="none" w:sz="0" w:space="0" w:color="auto"/>
        <w:right w:val="none" w:sz="0" w:space="0" w:color="auto"/>
      </w:divBdr>
    </w:div>
    <w:div w:id="108744234">
      <w:marLeft w:val="0"/>
      <w:marRight w:val="0"/>
      <w:marTop w:val="0"/>
      <w:marBottom w:val="0"/>
      <w:divBdr>
        <w:top w:val="none" w:sz="0" w:space="0" w:color="auto"/>
        <w:left w:val="none" w:sz="0" w:space="0" w:color="auto"/>
        <w:bottom w:val="none" w:sz="0" w:space="0" w:color="auto"/>
        <w:right w:val="none" w:sz="0" w:space="0" w:color="auto"/>
      </w:divBdr>
    </w:div>
    <w:div w:id="114057373">
      <w:marLeft w:val="0"/>
      <w:marRight w:val="0"/>
      <w:marTop w:val="100"/>
      <w:marBottom w:val="0"/>
      <w:divBdr>
        <w:top w:val="none" w:sz="0" w:space="0" w:color="auto"/>
        <w:left w:val="none" w:sz="0" w:space="0" w:color="auto"/>
        <w:bottom w:val="none" w:sz="0" w:space="0" w:color="auto"/>
        <w:right w:val="none" w:sz="0" w:space="0" w:color="auto"/>
      </w:divBdr>
    </w:div>
    <w:div w:id="114913527">
      <w:marLeft w:val="0"/>
      <w:marRight w:val="0"/>
      <w:marTop w:val="0"/>
      <w:marBottom w:val="0"/>
      <w:divBdr>
        <w:top w:val="none" w:sz="0" w:space="0" w:color="auto"/>
        <w:left w:val="none" w:sz="0" w:space="0" w:color="auto"/>
        <w:bottom w:val="none" w:sz="0" w:space="0" w:color="auto"/>
        <w:right w:val="none" w:sz="0" w:space="0" w:color="auto"/>
      </w:divBdr>
    </w:div>
    <w:div w:id="120464314">
      <w:marLeft w:val="0"/>
      <w:marRight w:val="0"/>
      <w:marTop w:val="0"/>
      <w:marBottom w:val="0"/>
      <w:divBdr>
        <w:top w:val="none" w:sz="0" w:space="0" w:color="auto"/>
        <w:left w:val="none" w:sz="0" w:space="0" w:color="auto"/>
        <w:bottom w:val="none" w:sz="0" w:space="0" w:color="auto"/>
        <w:right w:val="none" w:sz="0" w:space="0" w:color="auto"/>
      </w:divBdr>
    </w:div>
    <w:div w:id="124277232">
      <w:marLeft w:val="0"/>
      <w:marRight w:val="0"/>
      <w:marTop w:val="0"/>
      <w:marBottom w:val="0"/>
      <w:divBdr>
        <w:top w:val="none" w:sz="0" w:space="0" w:color="auto"/>
        <w:left w:val="none" w:sz="0" w:space="0" w:color="auto"/>
        <w:bottom w:val="none" w:sz="0" w:space="0" w:color="auto"/>
        <w:right w:val="none" w:sz="0" w:space="0" w:color="auto"/>
      </w:divBdr>
      <w:divsChild>
        <w:div w:id="1574855331">
          <w:marLeft w:val="0"/>
          <w:marRight w:val="0"/>
          <w:marTop w:val="0"/>
          <w:marBottom w:val="0"/>
          <w:divBdr>
            <w:top w:val="none" w:sz="0" w:space="0" w:color="auto"/>
            <w:left w:val="none" w:sz="0" w:space="0" w:color="auto"/>
            <w:bottom w:val="none" w:sz="0" w:space="0" w:color="auto"/>
            <w:right w:val="none" w:sz="0" w:space="0" w:color="auto"/>
          </w:divBdr>
        </w:div>
        <w:div w:id="753092733">
          <w:marLeft w:val="0"/>
          <w:marRight w:val="0"/>
          <w:marTop w:val="0"/>
          <w:marBottom w:val="0"/>
          <w:divBdr>
            <w:top w:val="none" w:sz="0" w:space="0" w:color="auto"/>
            <w:left w:val="none" w:sz="0" w:space="0" w:color="auto"/>
            <w:bottom w:val="none" w:sz="0" w:space="0" w:color="auto"/>
            <w:right w:val="none" w:sz="0" w:space="0" w:color="auto"/>
          </w:divBdr>
        </w:div>
      </w:divsChild>
    </w:div>
    <w:div w:id="125240991">
      <w:marLeft w:val="0"/>
      <w:marRight w:val="0"/>
      <w:marTop w:val="0"/>
      <w:marBottom w:val="0"/>
      <w:divBdr>
        <w:top w:val="none" w:sz="0" w:space="0" w:color="auto"/>
        <w:left w:val="none" w:sz="0" w:space="0" w:color="auto"/>
        <w:bottom w:val="none" w:sz="0" w:space="0" w:color="auto"/>
        <w:right w:val="none" w:sz="0" w:space="0" w:color="auto"/>
      </w:divBdr>
    </w:div>
    <w:div w:id="129177335">
      <w:marLeft w:val="0"/>
      <w:marRight w:val="0"/>
      <w:marTop w:val="0"/>
      <w:marBottom w:val="0"/>
      <w:divBdr>
        <w:top w:val="none" w:sz="0" w:space="0" w:color="auto"/>
        <w:left w:val="none" w:sz="0" w:space="0" w:color="auto"/>
        <w:bottom w:val="none" w:sz="0" w:space="0" w:color="auto"/>
        <w:right w:val="none" w:sz="0" w:space="0" w:color="auto"/>
      </w:divBdr>
    </w:div>
    <w:div w:id="144318903">
      <w:marLeft w:val="0"/>
      <w:marRight w:val="0"/>
      <w:marTop w:val="20"/>
      <w:marBottom w:val="0"/>
      <w:divBdr>
        <w:top w:val="none" w:sz="0" w:space="0" w:color="auto"/>
        <w:left w:val="none" w:sz="0" w:space="0" w:color="auto"/>
        <w:bottom w:val="none" w:sz="0" w:space="0" w:color="auto"/>
        <w:right w:val="none" w:sz="0" w:space="0" w:color="auto"/>
      </w:divBdr>
    </w:div>
    <w:div w:id="145754625">
      <w:marLeft w:val="0"/>
      <w:marRight w:val="0"/>
      <w:marTop w:val="0"/>
      <w:marBottom w:val="0"/>
      <w:divBdr>
        <w:top w:val="none" w:sz="0" w:space="0" w:color="auto"/>
        <w:left w:val="none" w:sz="0" w:space="0" w:color="auto"/>
        <w:bottom w:val="none" w:sz="0" w:space="0" w:color="auto"/>
        <w:right w:val="none" w:sz="0" w:space="0" w:color="auto"/>
      </w:divBdr>
    </w:div>
    <w:div w:id="154611222">
      <w:marLeft w:val="0"/>
      <w:marRight w:val="0"/>
      <w:marTop w:val="80"/>
      <w:marBottom w:val="0"/>
      <w:divBdr>
        <w:top w:val="none" w:sz="0" w:space="0" w:color="auto"/>
        <w:left w:val="none" w:sz="0" w:space="0" w:color="auto"/>
        <w:bottom w:val="none" w:sz="0" w:space="0" w:color="auto"/>
        <w:right w:val="none" w:sz="0" w:space="0" w:color="auto"/>
      </w:divBdr>
    </w:div>
    <w:div w:id="159391578">
      <w:marLeft w:val="0"/>
      <w:marRight w:val="0"/>
      <w:marTop w:val="100"/>
      <w:marBottom w:val="0"/>
      <w:divBdr>
        <w:top w:val="none" w:sz="0" w:space="0" w:color="auto"/>
        <w:left w:val="none" w:sz="0" w:space="0" w:color="auto"/>
        <w:bottom w:val="none" w:sz="0" w:space="0" w:color="auto"/>
        <w:right w:val="none" w:sz="0" w:space="0" w:color="auto"/>
      </w:divBdr>
    </w:div>
    <w:div w:id="164636384">
      <w:marLeft w:val="0"/>
      <w:marRight w:val="0"/>
      <w:marTop w:val="100"/>
      <w:marBottom w:val="0"/>
      <w:divBdr>
        <w:top w:val="none" w:sz="0" w:space="0" w:color="auto"/>
        <w:left w:val="none" w:sz="0" w:space="0" w:color="auto"/>
        <w:bottom w:val="none" w:sz="0" w:space="0" w:color="auto"/>
        <w:right w:val="none" w:sz="0" w:space="0" w:color="auto"/>
      </w:divBdr>
    </w:div>
    <w:div w:id="171183526">
      <w:marLeft w:val="0"/>
      <w:marRight w:val="0"/>
      <w:marTop w:val="0"/>
      <w:marBottom w:val="0"/>
      <w:divBdr>
        <w:top w:val="none" w:sz="0" w:space="0" w:color="auto"/>
        <w:left w:val="none" w:sz="0" w:space="0" w:color="auto"/>
        <w:bottom w:val="none" w:sz="0" w:space="0" w:color="auto"/>
        <w:right w:val="none" w:sz="0" w:space="0" w:color="auto"/>
      </w:divBdr>
    </w:div>
    <w:div w:id="177551998">
      <w:marLeft w:val="0"/>
      <w:marRight w:val="0"/>
      <w:marTop w:val="0"/>
      <w:marBottom w:val="0"/>
      <w:divBdr>
        <w:top w:val="none" w:sz="0" w:space="0" w:color="auto"/>
        <w:left w:val="none" w:sz="0" w:space="0" w:color="auto"/>
        <w:bottom w:val="none" w:sz="0" w:space="0" w:color="auto"/>
        <w:right w:val="none" w:sz="0" w:space="0" w:color="auto"/>
      </w:divBdr>
    </w:div>
    <w:div w:id="185992537">
      <w:marLeft w:val="0"/>
      <w:marRight w:val="0"/>
      <w:marTop w:val="0"/>
      <w:marBottom w:val="0"/>
      <w:divBdr>
        <w:top w:val="none" w:sz="0" w:space="0" w:color="auto"/>
        <w:left w:val="none" w:sz="0" w:space="0" w:color="auto"/>
        <w:bottom w:val="none" w:sz="0" w:space="0" w:color="auto"/>
        <w:right w:val="none" w:sz="0" w:space="0" w:color="auto"/>
      </w:divBdr>
      <w:divsChild>
        <w:div w:id="1359090357">
          <w:marLeft w:val="0"/>
          <w:marRight w:val="0"/>
          <w:marTop w:val="0"/>
          <w:marBottom w:val="0"/>
          <w:divBdr>
            <w:top w:val="none" w:sz="0" w:space="0" w:color="auto"/>
            <w:left w:val="none" w:sz="0" w:space="0" w:color="auto"/>
            <w:bottom w:val="none" w:sz="0" w:space="0" w:color="auto"/>
            <w:right w:val="none" w:sz="0" w:space="0" w:color="auto"/>
          </w:divBdr>
        </w:div>
        <w:div w:id="1229002380">
          <w:marLeft w:val="0"/>
          <w:marRight w:val="0"/>
          <w:marTop w:val="0"/>
          <w:marBottom w:val="0"/>
          <w:divBdr>
            <w:top w:val="none" w:sz="0" w:space="0" w:color="auto"/>
            <w:left w:val="none" w:sz="0" w:space="0" w:color="auto"/>
            <w:bottom w:val="none" w:sz="0" w:space="0" w:color="auto"/>
            <w:right w:val="none" w:sz="0" w:space="0" w:color="auto"/>
          </w:divBdr>
        </w:div>
      </w:divsChild>
    </w:div>
    <w:div w:id="189733357">
      <w:marLeft w:val="0"/>
      <w:marRight w:val="0"/>
      <w:marTop w:val="0"/>
      <w:marBottom w:val="0"/>
      <w:divBdr>
        <w:top w:val="none" w:sz="0" w:space="0" w:color="auto"/>
        <w:left w:val="none" w:sz="0" w:space="0" w:color="auto"/>
        <w:bottom w:val="none" w:sz="0" w:space="0" w:color="auto"/>
        <w:right w:val="none" w:sz="0" w:space="0" w:color="auto"/>
      </w:divBdr>
    </w:div>
    <w:div w:id="198011216">
      <w:marLeft w:val="0"/>
      <w:marRight w:val="0"/>
      <w:marTop w:val="0"/>
      <w:marBottom w:val="0"/>
      <w:divBdr>
        <w:top w:val="none" w:sz="0" w:space="0" w:color="auto"/>
        <w:left w:val="none" w:sz="0" w:space="0" w:color="auto"/>
        <w:bottom w:val="none" w:sz="0" w:space="0" w:color="auto"/>
        <w:right w:val="none" w:sz="0" w:space="0" w:color="auto"/>
      </w:divBdr>
    </w:div>
    <w:div w:id="199100388">
      <w:marLeft w:val="0"/>
      <w:marRight w:val="0"/>
      <w:marTop w:val="0"/>
      <w:marBottom w:val="60"/>
      <w:divBdr>
        <w:top w:val="none" w:sz="0" w:space="0" w:color="auto"/>
        <w:left w:val="none" w:sz="0" w:space="0" w:color="auto"/>
        <w:bottom w:val="none" w:sz="0" w:space="0" w:color="auto"/>
        <w:right w:val="none" w:sz="0" w:space="0" w:color="auto"/>
      </w:divBdr>
    </w:div>
    <w:div w:id="202836440">
      <w:marLeft w:val="0"/>
      <w:marRight w:val="0"/>
      <w:marTop w:val="0"/>
      <w:marBottom w:val="0"/>
      <w:divBdr>
        <w:top w:val="none" w:sz="0" w:space="0" w:color="auto"/>
        <w:left w:val="none" w:sz="0" w:space="0" w:color="auto"/>
        <w:bottom w:val="none" w:sz="0" w:space="0" w:color="auto"/>
        <w:right w:val="none" w:sz="0" w:space="0" w:color="auto"/>
      </w:divBdr>
    </w:div>
    <w:div w:id="206643748">
      <w:marLeft w:val="0"/>
      <w:marRight w:val="0"/>
      <w:marTop w:val="0"/>
      <w:marBottom w:val="0"/>
      <w:divBdr>
        <w:top w:val="none" w:sz="0" w:space="0" w:color="auto"/>
        <w:left w:val="none" w:sz="0" w:space="0" w:color="auto"/>
        <w:bottom w:val="none" w:sz="0" w:space="0" w:color="auto"/>
        <w:right w:val="none" w:sz="0" w:space="0" w:color="auto"/>
      </w:divBdr>
    </w:div>
    <w:div w:id="213584711">
      <w:marLeft w:val="0"/>
      <w:marRight w:val="0"/>
      <w:marTop w:val="0"/>
      <w:marBottom w:val="0"/>
      <w:divBdr>
        <w:top w:val="none" w:sz="0" w:space="0" w:color="auto"/>
        <w:left w:val="none" w:sz="0" w:space="0" w:color="auto"/>
        <w:bottom w:val="none" w:sz="0" w:space="0" w:color="auto"/>
        <w:right w:val="none" w:sz="0" w:space="0" w:color="auto"/>
      </w:divBdr>
    </w:div>
    <w:div w:id="215630626">
      <w:marLeft w:val="0"/>
      <w:marRight w:val="0"/>
      <w:marTop w:val="100"/>
      <w:marBottom w:val="0"/>
      <w:divBdr>
        <w:top w:val="none" w:sz="0" w:space="0" w:color="auto"/>
        <w:left w:val="none" w:sz="0" w:space="0" w:color="auto"/>
        <w:bottom w:val="none" w:sz="0" w:space="0" w:color="auto"/>
        <w:right w:val="none" w:sz="0" w:space="0" w:color="auto"/>
      </w:divBdr>
    </w:div>
    <w:div w:id="216556143">
      <w:marLeft w:val="0"/>
      <w:marRight w:val="0"/>
      <w:marTop w:val="0"/>
      <w:marBottom w:val="0"/>
      <w:divBdr>
        <w:top w:val="none" w:sz="0" w:space="0" w:color="auto"/>
        <w:left w:val="none" w:sz="0" w:space="0" w:color="auto"/>
        <w:bottom w:val="none" w:sz="0" w:space="0" w:color="auto"/>
        <w:right w:val="none" w:sz="0" w:space="0" w:color="auto"/>
      </w:divBdr>
      <w:divsChild>
        <w:div w:id="1631204212">
          <w:marLeft w:val="0"/>
          <w:marRight w:val="0"/>
          <w:marTop w:val="0"/>
          <w:marBottom w:val="0"/>
          <w:divBdr>
            <w:top w:val="none" w:sz="0" w:space="0" w:color="auto"/>
            <w:left w:val="none" w:sz="0" w:space="0" w:color="auto"/>
            <w:bottom w:val="none" w:sz="0" w:space="0" w:color="auto"/>
            <w:right w:val="none" w:sz="0" w:space="0" w:color="auto"/>
          </w:divBdr>
        </w:div>
        <w:div w:id="2032489722">
          <w:marLeft w:val="0"/>
          <w:marRight w:val="0"/>
          <w:marTop w:val="0"/>
          <w:marBottom w:val="0"/>
          <w:divBdr>
            <w:top w:val="none" w:sz="0" w:space="0" w:color="auto"/>
            <w:left w:val="none" w:sz="0" w:space="0" w:color="auto"/>
            <w:bottom w:val="none" w:sz="0" w:space="0" w:color="auto"/>
            <w:right w:val="none" w:sz="0" w:space="0" w:color="auto"/>
          </w:divBdr>
        </w:div>
      </w:divsChild>
    </w:div>
    <w:div w:id="216670646">
      <w:marLeft w:val="0"/>
      <w:marRight w:val="0"/>
      <w:marTop w:val="0"/>
      <w:marBottom w:val="0"/>
      <w:divBdr>
        <w:top w:val="none" w:sz="0" w:space="0" w:color="auto"/>
        <w:left w:val="none" w:sz="0" w:space="0" w:color="auto"/>
        <w:bottom w:val="none" w:sz="0" w:space="0" w:color="auto"/>
        <w:right w:val="none" w:sz="0" w:space="0" w:color="auto"/>
      </w:divBdr>
    </w:div>
    <w:div w:id="217909383">
      <w:marLeft w:val="0"/>
      <w:marRight w:val="0"/>
      <w:marTop w:val="0"/>
      <w:marBottom w:val="0"/>
      <w:divBdr>
        <w:top w:val="none" w:sz="0" w:space="0" w:color="auto"/>
        <w:left w:val="none" w:sz="0" w:space="0" w:color="auto"/>
        <w:bottom w:val="none" w:sz="0" w:space="0" w:color="auto"/>
        <w:right w:val="none" w:sz="0" w:space="0" w:color="auto"/>
      </w:divBdr>
      <w:divsChild>
        <w:div w:id="1208881253">
          <w:marLeft w:val="0"/>
          <w:marRight w:val="0"/>
          <w:marTop w:val="0"/>
          <w:marBottom w:val="0"/>
          <w:divBdr>
            <w:top w:val="none" w:sz="0" w:space="0" w:color="auto"/>
            <w:left w:val="none" w:sz="0" w:space="0" w:color="auto"/>
            <w:bottom w:val="none" w:sz="0" w:space="0" w:color="auto"/>
            <w:right w:val="none" w:sz="0" w:space="0" w:color="auto"/>
          </w:divBdr>
        </w:div>
      </w:divsChild>
    </w:div>
    <w:div w:id="218056683">
      <w:marLeft w:val="0"/>
      <w:marRight w:val="0"/>
      <w:marTop w:val="0"/>
      <w:marBottom w:val="0"/>
      <w:divBdr>
        <w:top w:val="none" w:sz="0" w:space="0" w:color="auto"/>
        <w:left w:val="none" w:sz="0" w:space="0" w:color="auto"/>
        <w:bottom w:val="none" w:sz="0" w:space="0" w:color="auto"/>
        <w:right w:val="none" w:sz="0" w:space="0" w:color="auto"/>
      </w:divBdr>
      <w:divsChild>
        <w:div w:id="2044210910">
          <w:marLeft w:val="0"/>
          <w:marRight w:val="0"/>
          <w:marTop w:val="0"/>
          <w:marBottom w:val="0"/>
          <w:divBdr>
            <w:top w:val="none" w:sz="0" w:space="0" w:color="auto"/>
            <w:left w:val="none" w:sz="0" w:space="0" w:color="auto"/>
            <w:bottom w:val="none" w:sz="0" w:space="0" w:color="auto"/>
            <w:right w:val="none" w:sz="0" w:space="0" w:color="auto"/>
          </w:divBdr>
        </w:div>
      </w:divsChild>
    </w:div>
    <w:div w:id="221063999">
      <w:marLeft w:val="0"/>
      <w:marRight w:val="0"/>
      <w:marTop w:val="0"/>
      <w:marBottom w:val="0"/>
      <w:divBdr>
        <w:top w:val="none" w:sz="0" w:space="0" w:color="auto"/>
        <w:left w:val="none" w:sz="0" w:space="0" w:color="auto"/>
        <w:bottom w:val="none" w:sz="0" w:space="0" w:color="auto"/>
        <w:right w:val="none" w:sz="0" w:space="0" w:color="auto"/>
      </w:divBdr>
      <w:divsChild>
        <w:div w:id="101539691">
          <w:marLeft w:val="0"/>
          <w:marRight w:val="0"/>
          <w:marTop w:val="0"/>
          <w:marBottom w:val="0"/>
          <w:divBdr>
            <w:top w:val="none" w:sz="0" w:space="0" w:color="auto"/>
            <w:left w:val="none" w:sz="0" w:space="0" w:color="auto"/>
            <w:bottom w:val="none" w:sz="0" w:space="0" w:color="auto"/>
            <w:right w:val="none" w:sz="0" w:space="0" w:color="auto"/>
          </w:divBdr>
        </w:div>
        <w:div w:id="967854672">
          <w:marLeft w:val="0"/>
          <w:marRight w:val="0"/>
          <w:marTop w:val="0"/>
          <w:marBottom w:val="0"/>
          <w:divBdr>
            <w:top w:val="none" w:sz="0" w:space="0" w:color="auto"/>
            <w:left w:val="none" w:sz="0" w:space="0" w:color="auto"/>
            <w:bottom w:val="none" w:sz="0" w:space="0" w:color="auto"/>
            <w:right w:val="none" w:sz="0" w:space="0" w:color="auto"/>
          </w:divBdr>
        </w:div>
      </w:divsChild>
    </w:div>
    <w:div w:id="222301367">
      <w:marLeft w:val="0"/>
      <w:marRight w:val="0"/>
      <w:marTop w:val="0"/>
      <w:marBottom w:val="0"/>
      <w:divBdr>
        <w:top w:val="none" w:sz="0" w:space="0" w:color="auto"/>
        <w:left w:val="none" w:sz="0" w:space="0" w:color="auto"/>
        <w:bottom w:val="none" w:sz="0" w:space="0" w:color="auto"/>
        <w:right w:val="none" w:sz="0" w:space="0" w:color="auto"/>
      </w:divBdr>
    </w:div>
    <w:div w:id="223105731">
      <w:marLeft w:val="0"/>
      <w:marRight w:val="0"/>
      <w:marTop w:val="0"/>
      <w:marBottom w:val="0"/>
      <w:divBdr>
        <w:top w:val="none" w:sz="0" w:space="0" w:color="auto"/>
        <w:left w:val="none" w:sz="0" w:space="0" w:color="auto"/>
        <w:bottom w:val="none" w:sz="0" w:space="0" w:color="auto"/>
        <w:right w:val="none" w:sz="0" w:space="0" w:color="auto"/>
      </w:divBdr>
    </w:div>
    <w:div w:id="225341383">
      <w:marLeft w:val="0"/>
      <w:marRight w:val="0"/>
      <w:marTop w:val="100"/>
      <w:marBottom w:val="0"/>
      <w:divBdr>
        <w:top w:val="none" w:sz="0" w:space="0" w:color="auto"/>
        <w:left w:val="none" w:sz="0" w:space="0" w:color="auto"/>
        <w:bottom w:val="none" w:sz="0" w:space="0" w:color="auto"/>
        <w:right w:val="none" w:sz="0" w:space="0" w:color="auto"/>
      </w:divBdr>
    </w:div>
    <w:div w:id="226033739">
      <w:marLeft w:val="0"/>
      <w:marRight w:val="0"/>
      <w:marTop w:val="0"/>
      <w:marBottom w:val="0"/>
      <w:divBdr>
        <w:top w:val="none" w:sz="0" w:space="0" w:color="auto"/>
        <w:left w:val="none" w:sz="0" w:space="0" w:color="auto"/>
        <w:bottom w:val="none" w:sz="0" w:space="0" w:color="auto"/>
        <w:right w:val="none" w:sz="0" w:space="0" w:color="auto"/>
      </w:divBdr>
    </w:div>
    <w:div w:id="226961121">
      <w:marLeft w:val="0"/>
      <w:marRight w:val="0"/>
      <w:marTop w:val="0"/>
      <w:marBottom w:val="0"/>
      <w:divBdr>
        <w:top w:val="none" w:sz="0" w:space="0" w:color="auto"/>
        <w:left w:val="none" w:sz="0" w:space="0" w:color="auto"/>
        <w:bottom w:val="none" w:sz="0" w:space="0" w:color="auto"/>
        <w:right w:val="none" w:sz="0" w:space="0" w:color="auto"/>
      </w:divBdr>
    </w:div>
    <w:div w:id="228687163">
      <w:marLeft w:val="0"/>
      <w:marRight w:val="0"/>
      <w:marTop w:val="0"/>
      <w:marBottom w:val="0"/>
      <w:divBdr>
        <w:top w:val="none" w:sz="0" w:space="0" w:color="auto"/>
        <w:left w:val="none" w:sz="0" w:space="0" w:color="auto"/>
        <w:bottom w:val="none" w:sz="0" w:space="0" w:color="auto"/>
        <w:right w:val="none" w:sz="0" w:space="0" w:color="auto"/>
      </w:divBdr>
    </w:div>
    <w:div w:id="230308671">
      <w:marLeft w:val="0"/>
      <w:marRight w:val="0"/>
      <w:marTop w:val="0"/>
      <w:marBottom w:val="0"/>
      <w:divBdr>
        <w:top w:val="none" w:sz="0" w:space="0" w:color="auto"/>
        <w:left w:val="none" w:sz="0" w:space="0" w:color="auto"/>
        <w:bottom w:val="none" w:sz="0" w:space="0" w:color="auto"/>
        <w:right w:val="none" w:sz="0" w:space="0" w:color="auto"/>
      </w:divBdr>
    </w:div>
    <w:div w:id="241531956">
      <w:marLeft w:val="0"/>
      <w:marRight w:val="0"/>
      <w:marTop w:val="0"/>
      <w:marBottom w:val="0"/>
      <w:divBdr>
        <w:top w:val="none" w:sz="0" w:space="0" w:color="auto"/>
        <w:left w:val="none" w:sz="0" w:space="0" w:color="auto"/>
        <w:bottom w:val="none" w:sz="0" w:space="0" w:color="auto"/>
        <w:right w:val="none" w:sz="0" w:space="0" w:color="auto"/>
      </w:divBdr>
      <w:divsChild>
        <w:div w:id="797188999">
          <w:marLeft w:val="0"/>
          <w:marRight w:val="0"/>
          <w:marTop w:val="0"/>
          <w:marBottom w:val="0"/>
          <w:divBdr>
            <w:top w:val="none" w:sz="0" w:space="0" w:color="auto"/>
            <w:left w:val="none" w:sz="0" w:space="0" w:color="auto"/>
            <w:bottom w:val="none" w:sz="0" w:space="0" w:color="auto"/>
            <w:right w:val="none" w:sz="0" w:space="0" w:color="auto"/>
          </w:divBdr>
        </w:div>
      </w:divsChild>
    </w:div>
    <w:div w:id="247887393">
      <w:marLeft w:val="0"/>
      <w:marRight w:val="0"/>
      <w:marTop w:val="0"/>
      <w:marBottom w:val="0"/>
      <w:divBdr>
        <w:top w:val="none" w:sz="0" w:space="0" w:color="auto"/>
        <w:left w:val="none" w:sz="0" w:space="0" w:color="auto"/>
        <w:bottom w:val="none" w:sz="0" w:space="0" w:color="auto"/>
        <w:right w:val="none" w:sz="0" w:space="0" w:color="auto"/>
      </w:divBdr>
    </w:div>
    <w:div w:id="248389202">
      <w:marLeft w:val="0"/>
      <w:marRight w:val="0"/>
      <w:marTop w:val="0"/>
      <w:marBottom w:val="200"/>
      <w:divBdr>
        <w:top w:val="none" w:sz="0" w:space="0" w:color="auto"/>
        <w:left w:val="none" w:sz="0" w:space="0" w:color="auto"/>
        <w:bottom w:val="none" w:sz="0" w:space="0" w:color="auto"/>
        <w:right w:val="none" w:sz="0" w:space="0" w:color="auto"/>
      </w:divBdr>
    </w:div>
    <w:div w:id="253591201">
      <w:marLeft w:val="0"/>
      <w:marRight w:val="0"/>
      <w:marTop w:val="180"/>
      <w:marBottom w:val="180"/>
      <w:divBdr>
        <w:top w:val="none" w:sz="0" w:space="0" w:color="auto"/>
        <w:left w:val="none" w:sz="0" w:space="0" w:color="auto"/>
        <w:bottom w:val="none" w:sz="0" w:space="0" w:color="auto"/>
        <w:right w:val="none" w:sz="0" w:space="0" w:color="auto"/>
      </w:divBdr>
    </w:div>
    <w:div w:id="254171611">
      <w:marLeft w:val="0"/>
      <w:marRight w:val="0"/>
      <w:marTop w:val="100"/>
      <w:marBottom w:val="0"/>
      <w:divBdr>
        <w:top w:val="none" w:sz="0" w:space="0" w:color="auto"/>
        <w:left w:val="none" w:sz="0" w:space="0" w:color="auto"/>
        <w:bottom w:val="none" w:sz="0" w:space="0" w:color="auto"/>
        <w:right w:val="none" w:sz="0" w:space="0" w:color="auto"/>
      </w:divBdr>
      <w:divsChild>
        <w:div w:id="1570262341">
          <w:marLeft w:val="0"/>
          <w:marRight w:val="0"/>
          <w:marTop w:val="0"/>
          <w:marBottom w:val="20"/>
          <w:divBdr>
            <w:top w:val="none" w:sz="0" w:space="0" w:color="auto"/>
            <w:left w:val="none" w:sz="0" w:space="0" w:color="auto"/>
            <w:bottom w:val="none" w:sz="0" w:space="0" w:color="auto"/>
            <w:right w:val="none" w:sz="0" w:space="0" w:color="auto"/>
          </w:divBdr>
        </w:div>
        <w:div w:id="1969628871">
          <w:marLeft w:val="0"/>
          <w:marRight w:val="0"/>
          <w:marTop w:val="0"/>
          <w:marBottom w:val="20"/>
          <w:divBdr>
            <w:top w:val="none" w:sz="0" w:space="0" w:color="auto"/>
            <w:left w:val="none" w:sz="0" w:space="0" w:color="auto"/>
            <w:bottom w:val="none" w:sz="0" w:space="0" w:color="auto"/>
            <w:right w:val="none" w:sz="0" w:space="0" w:color="auto"/>
          </w:divBdr>
        </w:div>
        <w:div w:id="730814595">
          <w:marLeft w:val="0"/>
          <w:marRight w:val="0"/>
          <w:marTop w:val="0"/>
          <w:marBottom w:val="20"/>
          <w:divBdr>
            <w:top w:val="none" w:sz="0" w:space="0" w:color="auto"/>
            <w:left w:val="none" w:sz="0" w:space="0" w:color="auto"/>
            <w:bottom w:val="none" w:sz="0" w:space="0" w:color="auto"/>
            <w:right w:val="none" w:sz="0" w:space="0" w:color="auto"/>
          </w:divBdr>
        </w:div>
        <w:div w:id="1318999405">
          <w:marLeft w:val="0"/>
          <w:marRight w:val="0"/>
          <w:marTop w:val="0"/>
          <w:marBottom w:val="20"/>
          <w:divBdr>
            <w:top w:val="none" w:sz="0" w:space="0" w:color="auto"/>
            <w:left w:val="none" w:sz="0" w:space="0" w:color="auto"/>
            <w:bottom w:val="none" w:sz="0" w:space="0" w:color="auto"/>
            <w:right w:val="none" w:sz="0" w:space="0" w:color="auto"/>
          </w:divBdr>
        </w:div>
        <w:div w:id="1704818385">
          <w:marLeft w:val="0"/>
          <w:marRight w:val="0"/>
          <w:marTop w:val="0"/>
          <w:marBottom w:val="20"/>
          <w:divBdr>
            <w:top w:val="none" w:sz="0" w:space="0" w:color="auto"/>
            <w:left w:val="none" w:sz="0" w:space="0" w:color="auto"/>
            <w:bottom w:val="none" w:sz="0" w:space="0" w:color="auto"/>
            <w:right w:val="none" w:sz="0" w:space="0" w:color="auto"/>
          </w:divBdr>
        </w:div>
        <w:div w:id="1543126866">
          <w:marLeft w:val="0"/>
          <w:marRight w:val="0"/>
          <w:marTop w:val="0"/>
          <w:marBottom w:val="20"/>
          <w:divBdr>
            <w:top w:val="none" w:sz="0" w:space="0" w:color="auto"/>
            <w:left w:val="none" w:sz="0" w:space="0" w:color="auto"/>
            <w:bottom w:val="none" w:sz="0" w:space="0" w:color="auto"/>
            <w:right w:val="none" w:sz="0" w:space="0" w:color="auto"/>
          </w:divBdr>
        </w:div>
        <w:div w:id="1502308436">
          <w:marLeft w:val="0"/>
          <w:marRight w:val="0"/>
          <w:marTop w:val="0"/>
          <w:marBottom w:val="20"/>
          <w:divBdr>
            <w:top w:val="none" w:sz="0" w:space="0" w:color="auto"/>
            <w:left w:val="none" w:sz="0" w:space="0" w:color="auto"/>
            <w:bottom w:val="none" w:sz="0" w:space="0" w:color="auto"/>
            <w:right w:val="none" w:sz="0" w:space="0" w:color="auto"/>
          </w:divBdr>
        </w:div>
        <w:div w:id="321467431">
          <w:marLeft w:val="0"/>
          <w:marRight w:val="0"/>
          <w:marTop w:val="0"/>
          <w:marBottom w:val="20"/>
          <w:divBdr>
            <w:top w:val="none" w:sz="0" w:space="0" w:color="auto"/>
            <w:left w:val="none" w:sz="0" w:space="0" w:color="auto"/>
            <w:bottom w:val="none" w:sz="0" w:space="0" w:color="auto"/>
            <w:right w:val="none" w:sz="0" w:space="0" w:color="auto"/>
          </w:divBdr>
        </w:div>
      </w:divsChild>
    </w:div>
    <w:div w:id="260723695">
      <w:marLeft w:val="0"/>
      <w:marRight w:val="0"/>
      <w:marTop w:val="0"/>
      <w:marBottom w:val="0"/>
      <w:divBdr>
        <w:top w:val="none" w:sz="0" w:space="0" w:color="auto"/>
        <w:left w:val="none" w:sz="0" w:space="0" w:color="auto"/>
        <w:bottom w:val="none" w:sz="0" w:space="0" w:color="auto"/>
        <w:right w:val="none" w:sz="0" w:space="0" w:color="auto"/>
      </w:divBdr>
    </w:div>
    <w:div w:id="263463694">
      <w:marLeft w:val="0"/>
      <w:marRight w:val="0"/>
      <w:marTop w:val="100"/>
      <w:marBottom w:val="0"/>
      <w:divBdr>
        <w:top w:val="none" w:sz="0" w:space="0" w:color="auto"/>
        <w:left w:val="none" w:sz="0" w:space="0" w:color="auto"/>
        <w:bottom w:val="none" w:sz="0" w:space="0" w:color="auto"/>
        <w:right w:val="none" w:sz="0" w:space="0" w:color="auto"/>
      </w:divBdr>
    </w:div>
    <w:div w:id="273513230">
      <w:marLeft w:val="0"/>
      <w:marRight w:val="0"/>
      <w:marTop w:val="180"/>
      <w:marBottom w:val="0"/>
      <w:divBdr>
        <w:top w:val="none" w:sz="0" w:space="0" w:color="auto"/>
        <w:left w:val="none" w:sz="0" w:space="0" w:color="auto"/>
        <w:bottom w:val="none" w:sz="0" w:space="0" w:color="auto"/>
        <w:right w:val="none" w:sz="0" w:space="0" w:color="auto"/>
      </w:divBdr>
    </w:div>
    <w:div w:id="275910531">
      <w:marLeft w:val="0"/>
      <w:marRight w:val="0"/>
      <w:marTop w:val="0"/>
      <w:marBottom w:val="0"/>
      <w:divBdr>
        <w:top w:val="none" w:sz="0" w:space="0" w:color="auto"/>
        <w:left w:val="none" w:sz="0" w:space="0" w:color="auto"/>
        <w:bottom w:val="none" w:sz="0" w:space="0" w:color="auto"/>
        <w:right w:val="none" w:sz="0" w:space="0" w:color="auto"/>
      </w:divBdr>
    </w:div>
    <w:div w:id="278607591">
      <w:marLeft w:val="0"/>
      <w:marRight w:val="0"/>
      <w:marTop w:val="0"/>
      <w:marBottom w:val="0"/>
      <w:divBdr>
        <w:top w:val="none" w:sz="0" w:space="0" w:color="auto"/>
        <w:left w:val="none" w:sz="0" w:space="0" w:color="auto"/>
        <w:bottom w:val="none" w:sz="0" w:space="0" w:color="auto"/>
        <w:right w:val="none" w:sz="0" w:space="0" w:color="auto"/>
      </w:divBdr>
    </w:div>
    <w:div w:id="279724993">
      <w:marLeft w:val="0"/>
      <w:marRight w:val="0"/>
      <w:marTop w:val="0"/>
      <w:marBottom w:val="0"/>
      <w:divBdr>
        <w:top w:val="none" w:sz="0" w:space="0" w:color="auto"/>
        <w:left w:val="none" w:sz="0" w:space="0" w:color="auto"/>
        <w:bottom w:val="none" w:sz="0" w:space="0" w:color="auto"/>
        <w:right w:val="none" w:sz="0" w:space="0" w:color="auto"/>
      </w:divBdr>
    </w:div>
    <w:div w:id="280192294">
      <w:marLeft w:val="0"/>
      <w:marRight w:val="0"/>
      <w:marTop w:val="100"/>
      <w:marBottom w:val="0"/>
      <w:divBdr>
        <w:top w:val="none" w:sz="0" w:space="0" w:color="auto"/>
        <w:left w:val="none" w:sz="0" w:space="0" w:color="auto"/>
        <w:bottom w:val="none" w:sz="0" w:space="0" w:color="auto"/>
        <w:right w:val="none" w:sz="0" w:space="0" w:color="auto"/>
      </w:divBdr>
    </w:div>
    <w:div w:id="283074662">
      <w:marLeft w:val="0"/>
      <w:marRight w:val="0"/>
      <w:marTop w:val="0"/>
      <w:marBottom w:val="0"/>
      <w:divBdr>
        <w:top w:val="none" w:sz="0" w:space="0" w:color="auto"/>
        <w:left w:val="none" w:sz="0" w:space="0" w:color="auto"/>
        <w:bottom w:val="none" w:sz="0" w:space="0" w:color="auto"/>
        <w:right w:val="none" w:sz="0" w:space="0" w:color="auto"/>
      </w:divBdr>
    </w:div>
    <w:div w:id="284241839">
      <w:marLeft w:val="0"/>
      <w:marRight w:val="0"/>
      <w:marTop w:val="0"/>
      <w:marBottom w:val="0"/>
      <w:divBdr>
        <w:top w:val="none" w:sz="0" w:space="0" w:color="auto"/>
        <w:left w:val="none" w:sz="0" w:space="0" w:color="auto"/>
        <w:bottom w:val="none" w:sz="0" w:space="0" w:color="auto"/>
        <w:right w:val="none" w:sz="0" w:space="0" w:color="auto"/>
      </w:divBdr>
    </w:div>
    <w:div w:id="287930239">
      <w:marLeft w:val="0"/>
      <w:marRight w:val="0"/>
      <w:marTop w:val="0"/>
      <w:marBottom w:val="0"/>
      <w:divBdr>
        <w:top w:val="none" w:sz="0" w:space="0" w:color="auto"/>
        <w:left w:val="none" w:sz="0" w:space="0" w:color="auto"/>
        <w:bottom w:val="none" w:sz="0" w:space="0" w:color="auto"/>
        <w:right w:val="none" w:sz="0" w:space="0" w:color="auto"/>
      </w:divBdr>
      <w:divsChild>
        <w:div w:id="1593589598">
          <w:marLeft w:val="0"/>
          <w:marRight w:val="0"/>
          <w:marTop w:val="0"/>
          <w:marBottom w:val="0"/>
          <w:divBdr>
            <w:top w:val="none" w:sz="0" w:space="0" w:color="auto"/>
            <w:left w:val="none" w:sz="0" w:space="0" w:color="auto"/>
            <w:bottom w:val="none" w:sz="0" w:space="0" w:color="auto"/>
            <w:right w:val="none" w:sz="0" w:space="0" w:color="auto"/>
          </w:divBdr>
        </w:div>
      </w:divsChild>
    </w:div>
    <w:div w:id="293097149">
      <w:marLeft w:val="0"/>
      <w:marRight w:val="0"/>
      <w:marTop w:val="0"/>
      <w:marBottom w:val="0"/>
      <w:divBdr>
        <w:top w:val="none" w:sz="0" w:space="0" w:color="auto"/>
        <w:left w:val="none" w:sz="0" w:space="0" w:color="auto"/>
        <w:bottom w:val="none" w:sz="0" w:space="0" w:color="auto"/>
        <w:right w:val="none" w:sz="0" w:space="0" w:color="auto"/>
      </w:divBdr>
    </w:div>
    <w:div w:id="295914133">
      <w:marLeft w:val="0"/>
      <w:marRight w:val="0"/>
      <w:marTop w:val="60"/>
      <w:marBottom w:val="0"/>
      <w:divBdr>
        <w:top w:val="none" w:sz="0" w:space="0" w:color="auto"/>
        <w:left w:val="none" w:sz="0" w:space="0" w:color="auto"/>
        <w:bottom w:val="none" w:sz="0" w:space="0" w:color="auto"/>
        <w:right w:val="none" w:sz="0" w:space="0" w:color="auto"/>
      </w:divBdr>
    </w:div>
    <w:div w:id="297608005">
      <w:marLeft w:val="0"/>
      <w:marRight w:val="0"/>
      <w:marTop w:val="0"/>
      <w:marBottom w:val="100"/>
      <w:divBdr>
        <w:top w:val="none" w:sz="0" w:space="0" w:color="auto"/>
        <w:left w:val="none" w:sz="0" w:space="0" w:color="auto"/>
        <w:bottom w:val="none" w:sz="0" w:space="0" w:color="auto"/>
        <w:right w:val="none" w:sz="0" w:space="0" w:color="auto"/>
      </w:divBdr>
    </w:div>
    <w:div w:id="299581110">
      <w:marLeft w:val="0"/>
      <w:marRight w:val="0"/>
      <w:marTop w:val="180"/>
      <w:marBottom w:val="180"/>
      <w:divBdr>
        <w:top w:val="none" w:sz="0" w:space="0" w:color="auto"/>
        <w:left w:val="none" w:sz="0" w:space="0" w:color="auto"/>
        <w:bottom w:val="none" w:sz="0" w:space="0" w:color="auto"/>
        <w:right w:val="none" w:sz="0" w:space="0" w:color="auto"/>
      </w:divBdr>
    </w:div>
    <w:div w:id="303704811">
      <w:marLeft w:val="0"/>
      <w:marRight w:val="0"/>
      <w:marTop w:val="0"/>
      <w:marBottom w:val="0"/>
      <w:divBdr>
        <w:top w:val="none" w:sz="0" w:space="0" w:color="auto"/>
        <w:left w:val="none" w:sz="0" w:space="0" w:color="auto"/>
        <w:bottom w:val="none" w:sz="0" w:space="0" w:color="auto"/>
        <w:right w:val="none" w:sz="0" w:space="0" w:color="auto"/>
      </w:divBdr>
      <w:divsChild>
        <w:div w:id="1580872385">
          <w:marLeft w:val="0"/>
          <w:marRight w:val="0"/>
          <w:marTop w:val="0"/>
          <w:marBottom w:val="0"/>
          <w:divBdr>
            <w:top w:val="none" w:sz="0" w:space="0" w:color="auto"/>
            <w:left w:val="none" w:sz="0" w:space="0" w:color="auto"/>
            <w:bottom w:val="none" w:sz="0" w:space="0" w:color="auto"/>
            <w:right w:val="none" w:sz="0" w:space="0" w:color="auto"/>
          </w:divBdr>
        </w:div>
        <w:div w:id="930578144">
          <w:marLeft w:val="0"/>
          <w:marRight w:val="0"/>
          <w:marTop w:val="0"/>
          <w:marBottom w:val="0"/>
          <w:divBdr>
            <w:top w:val="none" w:sz="0" w:space="0" w:color="auto"/>
            <w:left w:val="none" w:sz="0" w:space="0" w:color="auto"/>
            <w:bottom w:val="none" w:sz="0" w:space="0" w:color="auto"/>
            <w:right w:val="none" w:sz="0" w:space="0" w:color="auto"/>
          </w:divBdr>
        </w:div>
      </w:divsChild>
    </w:div>
    <w:div w:id="304509529">
      <w:marLeft w:val="0"/>
      <w:marRight w:val="0"/>
      <w:marTop w:val="0"/>
      <w:marBottom w:val="0"/>
      <w:divBdr>
        <w:top w:val="none" w:sz="0" w:space="0" w:color="auto"/>
        <w:left w:val="none" w:sz="0" w:space="0" w:color="auto"/>
        <w:bottom w:val="none" w:sz="0" w:space="0" w:color="auto"/>
        <w:right w:val="none" w:sz="0" w:space="0" w:color="auto"/>
      </w:divBdr>
      <w:divsChild>
        <w:div w:id="527256982">
          <w:marLeft w:val="0"/>
          <w:marRight w:val="0"/>
          <w:marTop w:val="0"/>
          <w:marBottom w:val="0"/>
          <w:divBdr>
            <w:top w:val="none" w:sz="0" w:space="0" w:color="auto"/>
            <w:left w:val="none" w:sz="0" w:space="0" w:color="auto"/>
            <w:bottom w:val="none" w:sz="0" w:space="0" w:color="auto"/>
            <w:right w:val="none" w:sz="0" w:space="0" w:color="auto"/>
          </w:divBdr>
        </w:div>
      </w:divsChild>
    </w:div>
    <w:div w:id="304968220">
      <w:marLeft w:val="0"/>
      <w:marRight w:val="0"/>
      <w:marTop w:val="0"/>
      <w:marBottom w:val="0"/>
      <w:divBdr>
        <w:top w:val="none" w:sz="0" w:space="0" w:color="auto"/>
        <w:left w:val="none" w:sz="0" w:space="0" w:color="auto"/>
        <w:bottom w:val="none" w:sz="0" w:space="0" w:color="auto"/>
        <w:right w:val="none" w:sz="0" w:space="0" w:color="auto"/>
      </w:divBdr>
      <w:divsChild>
        <w:div w:id="1341666141">
          <w:marLeft w:val="0"/>
          <w:marRight w:val="0"/>
          <w:marTop w:val="0"/>
          <w:marBottom w:val="0"/>
          <w:divBdr>
            <w:top w:val="none" w:sz="0" w:space="0" w:color="auto"/>
            <w:left w:val="none" w:sz="0" w:space="0" w:color="auto"/>
            <w:bottom w:val="none" w:sz="0" w:space="0" w:color="auto"/>
            <w:right w:val="none" w:sz="0" w:space="0" w:color="auto"/>
          </w:divBdr>
        </w:div>
      </w:divsChild>
    </w:div>
    <w:div w:id="307783467">
      <w:marLeft w:val="0"/>
      <w:marRight w:val="0"/>
      <w:marTop w:val="100"/>
      <w:marBottom w:val="0"/>
      <w:divBdr>
        <w:top w:val="none" w:sz="0" w:space="0" w:color="auto"/>
        <w:left w:val="none" w:sz="0" w:space="0" w:color="auto"/>
        <w:bottom w:val="none" w:sz="0" w:space="0" w:color="auto"/>
        <w:right w:val="none" w:sz="0" w:space="0" w:color="auto"/>
      </w:divBdr>
    </w:div>
    <w:div w:id="307981659">
      <w:marLeft w:val="0"/>
      <w:marRight w:val="0"/>
      <w:marTop w:val="100"/>
      <w:marBottom w:val="0"/>
      <w:divBdr>
        <w:top w:val="none" w:sz="0" w:space="0" w:color="auto"/>
        <w:left w:val="none" w:sz="0" w:space="0" w:color="auto"/>
        <w:bottom w:val="none" w:sz="0" w:space="0" w:color="auto"/>
        <w:right w:val="none" w:sz="0" w:space="0" w:color="auto"/>
      </w:divBdr>
    </w:div>
    <w:div w:id="311643358">
      <w:marLeft w:val="0"/>
      <w:marRight w:val="0"/>
      <w:marTop w:val="0"/>
      <w:marBottom w:val="0"/>
      <w:divBdr>
        <w:top w:val="none" w:sz="0" w:space="0" w:color="auto"/>
        <w:left w:val="none" w:sz="0" w:space="0" w:color="auto"/>
        <w:bottom w:val="none" w:sz="0" w:space="0" w:color="auto"/>
        <w:right w:val="none" w:sz="0" w:space="0" w:color="auto"/>
      </w:divBdr>
    </w:div>
    <w:div w:id="312375077">
      <w:marLeft w:val="0"/>
      <w:marRight w:val="0"/>
      <w:marTop w:val="0"/>
      <w:marBottom w:val="0"/>
      <w:divBdr>
        <w:top w:val="none" w:sz="0" w:space="0" w:color="auto"/>
        <w:left w:val="none" w:sz="0" w:space="0" w:color="auto"/>
        <w:bottom w:val="none" w:sz="0" w:space="0" w:color="auto"/>
        <w:right w:val="none" w:sz="0" w:space="0" w:color="auto"/>
      </w:divBdr>
    </w:div>
    <w:div w:id="313875857">
      <w:marLeft w:val="0"/>
      <w:marRight w:val="0"/>
      <w:marTop w:val="0"/>
      <w:marBottom w:val="0"/>
      <w:divBdr>
        <w:top w:val="none" w:sz="0" w:space="0" w:color="auto"/>
        <w:left w:val="none" w:sz="0" w:space="0" w:color="auto"/>
        <w:bottom w:val="none" w:sz="0" w:space="0" w:color="auto"/>
        <w:right w:val="none" w:sz="0" w:space="0" w:color="auto"/>
      </w:divBdr>
      <w:divsChild>
        <w:div w:id="1302151900">
          <w:marLeft w:val="0"/>
          <w:marRight w:val="0"/>
          <w:marTop w:val="0"/>
          <w:marBottom w:val="0"/>
          <w:divBdr>
            <w:top w:val="none" w:sz="0" w:space="0" w:color="auto"/>
            <w:left w:val="none" w:sz="0" w:space="0" w:color="auto"/>
            <w:bottom w:val="none" w:sz="0" w:space="0" w:color="auto"/>
            <w:right w:val="none" w:sz="0" w:space="0" w:color="auto"/>
          </w:divBdr>
        </w:div>
      </w:divsChild>
    </w:div>
    <w:div w:id="315568722">
      <w:marLeft w:val="0"/>
      <w:marRight w:val="0"/>
      <w:marTop w:val="0"/>
      <w:marBottom w:val="0"/>
      <w:divBdr>
        <w:top w:val="none" w:sz="0" w:space="0" w:color="auto"/>
        <w:left w:val="none" w:sz="0" w:space="0" w:color="auto"/>
        <w:bottom w:val="none" w:sz="0" w:space="0" w:color="auto"/>
        <w:right w:val="none" w:sz="0" w:space="0" w:color="auto"/>
      </w:divBdr>
    </w:div>
    <w:div w:id="319581984">
      <w:marLeft w:val="0"/>
      <w:marRight w:val="0"/>
      <w:marTop w:val="0"/>
      <w:marBottom w:val="0"/>
      <w:divBdr>
        <w:top w:val="none" w:sz="0" w:space="0" w:color="auto"/>
        <w:left w:val="none" w:sz="0" w:space="0" w:color="auto"/>
        <w:bottom w:val="none" w:sz="0" w:space="0" w:color="auto"/>
        <w:right w:val="none" w:sz="0" w:space="0" w:color="auto"/>
      </w:divBdr>
    </w:div>
    <w:div w:id="321158777">
      <w:marLeft w:val="0"/>
      <w:marRight w:val="0"/>
      <w:marTop w:val="0"/>
      <w:marBottom w:val="0"/>
      <w:divBdr>
        <w:top w:val="none" w:sz="0" w:space="0" w:color="auto"/>
        <w:left w:val="none" w:sz="0" w:space="0" w:color="auto"/>
        <w:bottom w:val="none" w:sz="0" w:space="0" w:color="auto"/>
        <w:right w:val="none" w:sz="0" w:space="0" w:color="auto"/>
      </w:divBdr>
    </w:div>
    <w:div w:id="322705362">
      <w:marLeft w:val="0"/>
      <w:marRight w:val="0"/>
      <w:marTop w:val="0"/>
      <w:marBottom w:val="0"/>
      <w:divBdr>
        <w:top w:val="none" w:sz="0" w:space="0" w:color="auto"/>
        <w:left w:val="none" w:sz="0" w:space="0" w:color="auto"/>
        <w:bottom w:val="none" w:sz="0" w:space="0" w:color="auto"/>
        <w:right w:val="none" w:sz="0" w:space="0" w:color="auto"/>
      </w:divBdr>
      <w:divsChild>
        <w:div w:id="2062627193">
          <w:marLeft w:val="0"/>
          <w:marRight w:val="0"/>
          <w:marTop w:val="0"/>
          <w:marBottom w:val="0"/>
          <w:divBdr>
            <w:top w:val="none" w:sz="0" w:space="0" w:color="auto"/>
            <w:left w:val="none" w:sz="0" w:space="0" w:color="auto"/>
            <w:bottom w:val="none" w:sz="0" w:space="0" w:color="auto"/>
            <w:right w:val="none" w:sz="0" w:space="0" w:color="auto"/>
          </w:divBdr>
        </w:div>
        <w:div w:id="2119903942">
          <w:marLeft w:val="0"/>
          <w:marRight w:val="0"/>
          <w:marTop w:val="0"/>
          <w:marBottom w:val="0"/>
          <w:divBdr>
            <w:top w:val="none" w:sz="0" w:space="0" w:color="auto"/>
            <w:left w:val="none" w:sz="0" w:space="0" w:color="auto"/>
            <w:bottom w:val="none" w:sz="0" w:space="0" w:color="auto"/>
            <w:right w:val="none" w:sz="0" w:space="0" w:color="auto"/>
          </w:divBdr>
        </w:div>
      </w:divsChild>
    </w:div>
    <w:div w:id="324212440">
      <w:marLeft w:val="0"/>
      <w:marRight w:val="0"/>
      <w:marTop w:val="100"/>
      <w:marBottom w:val="0"/>
      <w:divBdr>
        <w:top w:val="none" w:sz="0" w:space="0" w:color="auto"/>
        <w:left w:val="none" w:sz="0" w:space="0" w:color="auto"/>
        <w:bottom w:val="none" w:sz="0" w:space="0" w:color="auto"/>
        <w:right w:val="none" w:sz="0" w:space="0" w:color="auto"/>
      </w:divBdr>
    </w:div>
    <w:div w:id="325938717">
      <w:marLeft w:val="0"/>
      <w:marRight w:val="0"/>
      <w:marTop w:val="0"/>
      <w:marBottom w:val="120"/>
      <w:divBdr>
        <w:top w:val="none" w:sz="0" w:space="0" w:color="auto"/>
        <w:left w:val="none" w:sz="0" w:space="0" w:color="auto"/>
        <w:bottom w:val="none" w:sz="0" w:space="0" w:color="auto"/>
        <w:right w:val="none" w:sz="0" w:space="0" w:color="auto"/>
      </w:divBdr>
    </w:div>
    <w:div w:id="327829562">
      <w:marLeft w:val="0"/>
      <w:marRight w:val="0"/>
      <w:marTop w:val="0"/>
      <w:marBottom w:val="0"/>
      <w:divBdr>
        <w:top w:val="none" w:sz="0" w:space="0" w:color="auto"/>
        <w:left w:val="none" w:sz="0" w:space="0" w:color="auto"/>
        <w:bottom w:val="none" w:sz="0" w:space="0" w:color="auto"/>
        <w:right w:val="none" w:sz="0" w:space="0" w:color="auto"/>
      </w:divBdr>
    </w:div>
    <w:div w:id="329646387">
      <w:marLeft w:val="0"/>
      <w:marRight w:val="0"/>
      <w:marTop w:val="0"/>
      <w:marBottom w:val="0"/>
      <w:divBdr>
        <w:top w:val="none" w:sz="0" w:space="0" w:color="auto"/>
        <w:left w:val="none" w:sz="0" w:space="0" w:color="auto"/>
        <w:bottom w:val="none" w:sz="0" w:space="0" w:color="auto"/>
        <w:right w:val="none" w:sz="0" w:space="0" w:color="auto"/>
      </w:divBdr>
    </w:div>
    <w:div w:id="341663266">
      <w:marLeft w:val="0"/>
      <w:marRight w:val="0"/>
      <w:marTop w:val="0"/>
      <w:marBottom w:val="0"/>
      <w:divBdr>
        <w:top w:val="none" w:sz="0" w:space="0" w:color="auto"/>
        <w:left w:val="none" w:sz="0" w:space="0" w:color="auto"/>
        <w:bottom w:val="none" w:sz="0" w:space="0" w:color="auto"/>
        <w:right w:val="none" w:sz="0" w:space="0" w:color="auto"/>
      </w:divBdr>
    </w:div>
    <w:div w:id="344987746">
      <w:marLeft w:val="0"/>
      <w:marRight w:val="0"/>
      <w:marTop w:val="0"/>
      <w:marBottom w:val="0"/>
      <w:divBdr>
        <w:top w:val="none" w:sz="0" w:space="0" w:color="auto"/>
        <w:left w:val="none" w:sz="0" w:space="0" w:color="auto"/>
        <w:bottom w:val="none" w:sz="0" w:space="0" w:color="auto"/>
        <w:right w:val="none" w:sz="0" w:space="0" w:color="auto"/>
      </w:divBdr>
    </w:div>
    <w:div w:id="347878514">
      <w:marLeft w:val="0"/>
      <w:marRight w:val="0"/>
      <w:marTop w:val="0"/>
      <w:marBottom w:val="0"/>
      <w:divBdr>
        <w:top w:val="none" w:sz="0" w:space="0" w:color="auto"/>
        <w:left w:val="none" w:sz="0" w:space="0" w:color="auto"/>
        <w:bottom w:val="none" w:sz="0" w:space="0" w:color="auto"/>
        <w:right w:val="none" w:sz="0" w:space="0" w:color="auto"/>
      </w:divBdr>
      <w:divsChild>
        <w:div w:id="834344265">
          <w:marLeft w:val="0"/>
          <w:marRight w:val="0"/>
          <w:marTop w:val="0"/>
          <w:marBottom w:val="0"/>
          <w:divBdr>
            <w:top w:val="none" w:sz="0" w:space="0" w:color="auto"/>
            <w:left w:val="none" w:sz="0" w:space="0" w:color="auto"/>
            <w:bottom w:val="none" w:sz="0" w:space="0" w:color="auto"/>
            <w:right w:val="none" w:sz="0" w:space="0" w:color="auto"/>
          </w:divBdr>
        </w:div>
      </w:divsChild>
    </w:div>
    <w:div w:id="348530563">
      <w:marLeft w:val="0"/>
      <w:marRight w:val="0"/>
      <w:marTop w:val="0"/>
      <w:marBottom w:val="0"/>
      <w:divBdr>
        <w:top w:val="none" w:sz="0" w:space="0" w:color="auto"/>
        <w:left w:val="none" w:sz="0" w:space="0" w:color="auto"/>
        <w:bottom w:val="none" w:sz="0" w:space="0" w:color="auto"/>
        <w:right w:val="none" w:sz="0" w:space="0" w:color="auto"/>
      </w:divBdr>
    </w:div>
    <w:div w:id="358703579">
      <w:marLeft w:val="0"/>
      <w:marRight w:val="0"/>
      <w:marTop w:val="0"/>
      <w:marBottom w:val="0"/>
      <w:divBdr>
        <w:top w:val="none" w:sz="0" w:space="0" w:color="auto"/>
        <w:left w:val="none" w:sz="0" w:space="0" w:color="auto"/>
        <w:bottom w:val="none" w:sz="0" w:space="0" w:color="auto"/>
        <w:right w:val="none" w:sz="0" w:space="0" w:color="auto"/>
      </w:divBdr>
    </w:div>
    <w:div w:id="360398456">
      <w:marLeft w:val="0"/>
      <w:marRight w:val="0"/>
      <w:marTop w:val="0"/>
      <w:marBottom w:val="0"/>
      <w:divBdr>
        <w:top w:val="none" w:sz="0" w:space="0" w:color="auto"/>
        <w:left w:val="none" w:sz="0" w:space="0" w:color="auto"/>
        <w:bottom w:val="none" w:sz="0" w:space="0" w:color="auto"/>
        <w:right w:val="none" w:sz="0" w:space="0" w:color="auto"/>
      </w:divBdr>
      <w:divsChild>
        <w:div w:id="133839448">
          <w:marLeft w:val="0"/>
          <w:marRight w:val="0"/>
          <w:marTop w:val="0"/>
          <w:marBottom w:val="0"/>
          <w:divBdr>
            <w:top w:val="none" w:sz="0" w:space="0" w:color="auto"/>
            <w:left w:val="none" w:sz="0" w:space="0" w:color="auto"/>
            <w:bottom w:val="none" w:sz="0" w:space="0" w:color="auto"/>
            <w:right w:val="none" w:sz="0" w:space="0" w:color="auto"/>
          </w:divBdr>
        </w:div>
        <w:div w:id="1400982747">
          <w:marLeft w:val="0"/>
          <w:marRight w:val="0"/>
          <w:marTop w:val="0"/>
          <w:marBottom w:val="0"/>
          <w:divBdr>
            <w:top w:val="none" w:sz="0" w:space="0" w:color="auto"/>
            <w:left w:val="none" w:sz="0" w:space="0" w:color="auto"/>
            <w:bottom w:val="none" w:sz="0" w:space="0" w:color="auto"/>
            <w:right w:val="none" w:sz="0" w:space="0" w:color="auto"/>
          </w:divBdr>
        </w:div>
      </w:divsChild>
    </w:div>
    <w:div w:id="360981029">
      <w:marLeft w:val="0"/>
      <w:marRight w:val="0"/>
      <w:marTop w:val="0"/>
      <w:marBottom w:val="0"/>
      <w:divBdr>
        <w:top w:val="none" w:sz="0" w:space="0" w:color="auto"/>
        <w:left w:val="none" w:sz="0" w:space="0" w:color="auto"/>
        <w:bottom w:val="none" w:sz="0" w:space="0" w:color="auto"/>
        <w:right w:val="none" w:sz="0" w:space="0" w:color="auto"/>
      </w:divBdr>
    </w:div>
    <w:div w:id="364674264">
      <w:marLeft w:val="0"/>
      <w:marRight w:val="0"/>
      <w:marTop w:val="0"/>
      <w:marBottom w:val="60"/>
      <w:divBdr>
        <w:top w:val="none" w:sz="0" w:space="0" w:color="auto"/>
        <w:left w:val="none" w:sz="0" w:space="0" w:color="auto"/>
        <w:bottom w:val="none" w:sz="0" w:space="0" w:color="auto"/>
        <w:right w:val="none" w:sz="0" w:space="0" w:color="auto"/>
      </w:divBdr>
    </w:div>
    <w:div w:id="365178112">
      <w:marLeft w:val="0"/>
      <w:marRight w:val="0"/>
      <w:marTop w:val="0"/>
      <w:marBottom w:val="0"/>
      <w:divBdr>
        <w:top w:val="none" w:sz="0" w:space="0" w:color="auto"/>
        <w:left w:val="none" w:sz="0" w:space="0" w:color="auto"/>
        <w:bottom w:val="none" w:sz="0" w:space="0" w:color="auto"/>
        <w:right w:val="none" w:sz="0" w:space="0" w:color="auto"/>
      </w:divBdr>
    </w:div>
    <w:div w:id="367025387">
      <w:marLeft w:val="0"/>
      <w:marRight w:val="0"/>
      <w:marTop w:val="0"/>
      <w:marBottom w:val="0"/>
      <w:divBdr>
        <w:top w:val="none" w:sz="0" w:space="0" w:color="auto"/>
        <w:left w:val="none" w:sz="0" w:space="0" w:color="auto"/>
        <w:bottom w:val="none" w:sz="0" w:space="0" w:color="auto"/>
        <w:right w:val="none" w:sz="0" w:space="0" w:color="auto"/>
      </w:divBdr>
      <w:divsChild>
        <w:div w:id="1584685084">
          <w:marLeft w:val="0"/>
          <w:marRight w:val="0"/>
          <w:marTop w:val="0"/>
          <w:marBottom w:val="0"/>
          <w:divBdr>
            <w:top w:val="none" w:sz="0" w:space="0" w:color="auto"/>
            <w:left w:val="none" w:sz="0" w:space="0" w:color="auto"/>
            <w:bottom w:val="none" w:sz="0" w:space="0" w:color="auto"/>
            <w:right w:val="none" w:sz="0" w:space="0" w:color="auto"/>
          </w:divBdr>
        </w:div>
        <w:div w:id="869955489">
          <w:marLeft w:val="0"/>
          <w:marRight w:val="0"/>
          <w:marTop w:val="0"/>
          <w:marBottom w:val="0"/>
          <w:divBdr>
            <w:top w:val="none" w:sz="0" w:space="0" w:color="auto"/>
            <w:left w:val="none" w:sz="0" w:space="0" w:color="auto"/>
            <w:bottom w:val="none" w:sz="0" w:space="0" w:color="auto"/>
            <w:right w:val="none" w:sz="0" w:space="0" w:color="auto"/>
          </w:divBdr>
        </w:div>
      </w:divsChild>
    </w:div>
    <w:div w:id="367149551">
      <w:marLeft w:val="0"/>
      <w:marRight w:val="0"/>
      <w:marTop w:val="80"/>
      <w:marBottom w:val="0"/>
      <w:divBdr>
        <w:top w:val="none" w:sz="0" w:space="0" w:color="auto"/>
        <w:left w:val="none" w:sz="0" w:space="0" w:color="auto"/>
        <w:bottom w:val="none" w:sz="0" w:space="0" w:color="auto"/>
        <w:right w:val="none" w:sz="0" w:space="0" w:color="auto"/>
      </w:divBdr>
    </w:div>
    <w:div w:id="371464966">
      <w:marLeft w:val="0"/>
      <w:marRight w:val="0"/>
      <w:marTop w:val="0"/>
      <w:marBottom w:val="0"/>
      <w:divBdr>
        <w:top w:val="none" w:sz="0" w:space="0" w:color="auto"/>
        <w:left w:val="none" w:sz="0" w:space="0" w:color="auto"/>
        <w:bottom w:val="none" w:sz="0" w:space="0" w:color="auto"/>
        <w:right w:val="none" w:sz="0" w:space="0" w:color="auto"/>
      </w:divBdr>
    </w:div>
    <w:div w:id="372115774">
      <w:marLeft w:val="0"/>
      <w:marRight w:val="0"/>
      <w:marTop w:val="0"/>
      <w:marBottom w:val="0"/>
      <w:divBdr>
        <w:top w:val="none" w:sz="0" w:space="0" w:color="auto"/>
        <w:left w:val="none" w:sz="0" w:space="0" w:color="auto"/>
        <w:bottom w:val="none" w:sz="0" w:space="0" w:color="auto"/>
        <w:right w:val="none" w:sz="0" w:space="0" w:color="auto"/>
      </w:divBdr>
      <w:divsChild>
        <w:div w:id="178199724">
          <w:marLeft w:val="0"/>
          <w:marRight w:val="0"/>
          <w:marTop w:val="0"/>
          <w:marBottom w:val="0"/>
          <w:divBdr>
            <w:top w:val="none" w:sz="0" w:space="0" w:color="auto"/>
            <w:left w:val="none" w:sz="0" w:space="0" w:color="auto"/>
            <w:bottom w:val="none" w:sz="0" w:space="0" w:color="auto"/>
            <w:right w:val="none" w:sz="0" w:space="0" w:color="auto"/>
          </w:divBdr>
        </w:div>
        <w:div w:id="1877766186">
          <w:marLeft w:val="0"/>
          <w:marRight w:val="0"/>
          <w:marTop w:val="0"/>
          <w:marBottom w:val="0"/>
          <w:divBdr>
            <w:top w:val="none" w:sz="0" w:space="0" w:color="auto"/>
            <w:left w:val="none" w:sz="0" w:space="0" w:color="auto"/>
            <w:bottom w:val="none" w:sz="0" w:space="0" w:color="auto"/>
            <w:right w:val="none" w:sz="0" w:space="0" w:color="auto"/>
          </w:divBdr>
        </w:div>
      </w:divsChild>
    </w:div>
    <w:div w:id="380402838">
      <w:marLeft w:val="0"/>
      <w:marRight w:val="0"/>
      <w:marTop w:val="0"/>
      <w:marBottom w:val="120"/>
      <w:divBdr>
        <w:top w:val="none" w:sz="0" w:space="0" w:color="auto"/>
        <w:left w:val="none" w:sz="0" w:space="0" w:color="auto"/>
        <w:bottom w:val="none" w:sz="0" w:space="0" w:color="auto"/>
        <w:right w:val="none" w:sz="0" w:space="0" w:color="auto"/>
      </w:divBdr>
    </w:div>
    <w:div w:id="387267895">
      <w:marLeft w:val="0"/>
      <w:marRight w:val="0"/>
      <w:marTop w:val="0"/>
      <w:marBottom w:val="0"/>
      <w:divBdr>
        <w:top w:val="none" w:sz="0" w:space="0" w:color="auto"/>
        <w:left w:val="none" w:sz="0" w:space="0" w:color="auto"/>
        <w:bottom w:val="none" w:sz="0" w:space="0" w:color="auto"/>
        <w:right w:val="none" w:sz="0" w:space="0" w:color="auto"/>
      </w:divBdr>
    </w:div>
    <w:div w:id="397745841">
      <w:marLeft w:val="0"/>
      <w:marRight w:val="0"/>
      <w:marTop w:val="0"/>
      <w:marBottom w:val="120"/>
      <w:divBdr>
        <w:top w:val="none" w:sz="0" w:space="0" w:color="auto"/>
        <w:left w:val="none" w:sz="0" w:space="0" w:color="auto"/>
        <w:bottom w:val="none" w:sz="0" w:space="0" w:color="auto"/>
        <w:right w:val="none" w:sz="0" w:space="0" w:color="auto"/>
      </w:divBdr>
    </w:div>
    <w:div w:id="398133085">
      <w:marLeft w:val="0"/>
      <w:marRight w:val="0"/>
      <w:marTop w:val="0"/>
      <w:marBottom w:val="0"/>
      <w:divBdr>
        <w:top w:val="none" w:sz="0" w:space="0" w:color="auto"/>
        <w:left w:val="none" w:sz="0" w:space="0" w:color="auto"/>
        <w:bottom w:val="none" w:sz="0" w:space="0" w:color="auto"/>
        <w:right w:val="none" w:sz="0" w:space="0" w:color="auto"/>
      </w:divBdr>
      <w:divsChild>
        <w:div w:id="1245144442">
          <w:marLeft w:val="0"/>
          <w:marRight w:val="0"/>
          <w:marTop w:val="0"/>
          <w:marBottom w:val="0"/>
          <w:divBdr>
            <w:top w:val="none" w:sz="0" w:space="0" w:color="auto"/>
            <w:left w:val="none" w:sz="0" w:space="0" w:color="auto"/>
            <w:bottom w:val="none" w:sz="0" w:space="0" w:color="auto"/>
            <w:right w:val="none" w:sz="0" w:space="0" w:color="auto"/>
          </w:divBdr>
        </w:div>
      </w:divsChild>
    </w:div>
    <w:div w:id="403379684">
      <w:marLeft w:val="0"/>
      <w:marRight w:val="0"/>
      <w:marTop w:val="0"/>
      <w:marBottom w:val="0"/>
      <w:divBdr>
        <w:top w:val="none" w:sz="0" w:space="0" w:color="auto"/>
        <w:left w:val="none" w:sz="0" w:space="0" w:color="auto"/>
        <w:bottom w:val="none" w:sz="0" w:space="0" w:color="auto"/>
        <w:right w:val="none" w:sz="0" w:space="0" w:color="auto"/>
      </w:divBdr>
    </w:div>
    <w:div w:id="404767938">
      <w:marLeft w:val="0"/>
      <w:marRight w:val="0"/>
      <w:marTop w:val="0"/>
      <w:marBottom w:val="0"/>
      <w:divBdr>
        <w:top w:val="none" w:sz="0" w:space="0" w:color="auto"/>
        <w:left w:val="none" w:sz="0" w:space="0" w:color="auto"/>
        <w:bottom w:val="none" w:sz="0" w:space="0" w:color="auto"/>
        <w:right w:val="none" w:sz="0" w:space="0" w:color="auto"/>
      </w:divBdr>
    </w:div>
    <w:div w:id="405105935">
      <w:marLeft w:val="0"/>
      <w:marRight w:val="0"/>
      <w:marTop w:val="0"/>
      <w:marBottom w:val="0"/>
      <w:divBdr>
        <w:top w:val="none" w:sz="0" w:space="0" w:color="auto"/>
        <w:left w:val="none" w:sz="0" w:space="0" w:color="auto"/>
        <w:bottom w:val="none" w:sz="0" w:space="0" w:color="auto"/>
        <w:right w:val="none" w:sz="0" w:space="0" w:color="auto"/>
      </w:divBdr>
      <w:divsChild>
        <w:div w:id="2094667788">
          <w:marLeft w:val="0"/>
          <w:marRight w:val="0"/>
          <w:marTop w:val="0"/>
          <w:marBottom w:val="0"/>
          <w:divBdr>
            <w:top w:val="none" w:sz="0" w:space="0" w:color="auto"/>
            <w:left w:val="none" w:sz="0" w:space="0" w:color="auto"/>
            <w:bottom w:val="none" w:sz="0" w:space="0" w:color="auto"/>
            <w:right w:val="none" w:sz="0" w:space="0" w:color="auto"/>
          </w:divBdr>
        </w:div>
      </w:divsChild>
    </w:div>
    <w:div w:id="406657239">
      <w:marLeft w:val="0"/>
      <w:marRight w:val="0"/>
      <w:marTop w:val="0"/>
      <w:marBottom w:val="0"/>
      <w:divBdr>
        <w:top w:val="none" w:sz="0" w:space="0" w:color="auto"/>
        <w:left w:val="none" w:sz="0" w:space="0" w:color="auto"/>
        <w:bottom w:val="none" w:sz="0" w:space="0" w:color="auto"/>
        <w:right w:val="none" w:sz="0" w:space="0" w:color="auto"/>
      </w:divBdr>
    </w:div>
    <w:div w:id="408423700">
      <w:marLeft w:val="0"/>
      <w:marRight w:val="0"/>
      <w:marTop w:val="0"/>
      <w:marBottom w:val="0"/>
      <w:divBdr>
        <w:top w:val="none" w:sz="0" w:space="0" w:color="auto"/>
        <w:left w:val="none" w:sz="0" w:space="0" w:color="auto"/>
        <w:bottom w:val="none" w:sz="0" w:space="0" w:color="auto"/>
        <w:right w:val="none" w:sz="0" w:space="0" w:color="auto"/>
      </w:divBdr>
      <w:divsChild>
        <w:div w:id="844786089">
          <w:marLeft w:val="0"/>
          <w:marRight w:val="0"/>
          <w:marTop w:val="0"/>
          <w:marBottom w:val="0"/>
          <w:divBdr>
            <w:top w:val="none" w:sz="0" w:space="0" w:color="auto"/>
            <w:left w:val="none" w:sz="0" w:space="0" w:color="auto"/>
            <w:bottom w:val="none" w:sz="0" w:space="0" w:color="auto"/>
            <w:right w:val="none" w:sz="0" w:space="0" w:color="auto"/>
          </w:divBdr>
        </w:div>
      </w:divsChild>
    </w:div>
    <w:div w:id="408889457">
      <w:marLeft w:val="0"/>
      <w:marRight w:val="0"/>
      <w:marTop w:val="0"/>
      <w:marBottom w:val="0"/>
      <w:divBdr>
        <w:top w:val="none" w:sz="0" w:space="0" w:color="auto"/>
        <w:left w:val="none" w:sz="0" w:space="0" w:color="auto"/>
        <w:bottom w:val="none" w:sz="0" w:space="0" w:color="auto"/>
        <w:right w:val="none" w:sz="0" w:space="0" w:color="auto"/>
      </w:divBdr>
    </w:div>
    <w:div w:id="414204169">
      <w:marLeft w:val="0"/>
      <w:marRight w:val="0"/>
      <w:marTop w:val="0"/>
      <w:marBottom w:val="0"/>
      <w:divBdr>
        <w:top w:val="none" w:sz="0" w:space="0" w:color="auto"/>
        <w:left w:val="none" w:sz="0" w:space="0" w:color="auto"/>
        <w:bottom w:val="none" w:sz="0" w:space="0" w:color="auto"/>
        <w:right w:val="none" w:sz="0" w:space="0" w:color="auto"/>
      </w:divBdr>
    </w:div>
    <w:div w:id="416295099">
      <w:marLeft w:val="0"/>
      <w:marRight w:val="0"/>
      <w:marTop w:val="100"/>
      <w:marBottom w:val="0"/>
      <w:divBdr>
        <w:top w:val="none" w:sz="0" w:space="0" w:color="auto"/>
        <w:left w:val="none" w:sz="0" w:space="0" w:color="auto"/>
        <w:bottom w:val="none" w:sz="0" w:space="0" w:color="auto"/>
        <w:right w:val="none" w:sz="0" w:space="0" w:color="auto"/>
      </w:divBdr>
    </w:div>
    <w:div w:id="419105008">
      <w:marLeft w:val="0"/>
      <w:marRight w:val="0"/>
      <w:marTop w:val="0"/>
      <w:marBottom w:val="0"/>
      <w:divBdr>
        <w:top w:val="none" w:sz="0" w:space="0" w:color="auto"/>
        <w:left w:val="none" w:sz="0" w:space="0" w:color="auto"/>
        <w:bottom w:val="none" w:sz="0" w:space="0" w:color="auto"/>
        <w:right w:val="none" w:sz="0" w:space="0" w:color="auto"/>
      </w:divBdr>
    </w:div>
    <w:div w:id="419371583">
      <w:marLeft w:val="0"/>
      <w:marRight w:val="0"/>
      <w:marTop w:val="0"/>
      <w:marBottom w:val="0"/>
      <w:divBdr>
        <w:top w:val="none" w:sz="0" w:space="0" w:color="auto"/>
        <w:left w:val="none" w:sz="0" w:space="0" w:color="auto"/>
        <w:bottom w:val="none" w:sz="0" w:space="0" w:color="auto"/>
        <w:right w:val="none" w:sz="0" w:space="0" w:color="auto"/>
      </w:divBdr>
      <w:divsChild>
        <w:div w:id="1090538454">
          <w:marLeft w:val="0"/>
          <w:marRight w:val="0"/>
          <w:marTop w:val="0"/>
          <w:marBottom w:val="0"/>
          <w:divBdr>
            <w:top w:val="none" w:sz="0" w:space="0" w:color="auto"/>
            <w:left w:val="none" w:sz="0" w:space="0" w:color="auto"/>
            <w:bottom w:val="none" w:sz="0" w:space="0" w:color="auto"/>
            <w:right w:val="none" w:sz="0" w:space="0" w:color="auto"/>
          </w:divBdr>
        </w:div>
        <w:div w:id="1876384628">
          <w:marLeft w:val="0"/>
          <w:marRight w:val="0"/>
          <w:marTop w:val="0"/>
          <w:marBottom w:val="0"/>
          <w:divBdr>
            <w:top w:val="none" w:sz="0" w:space="0" w:color="auto"/>
            <w:left w:val="none" w:sz="0" w:space="0" w:color="auto"/>
            <w:bottom w:val="none" w:sz="0" w:space="0" w:color="auto"/>
            <w:right w:val="none" w:sz="0" w:space="0" w:color="auto"/>
          </w:divBdr>
        </w:div>
      </w:divsChild>
    </w:div>
    <w:div w:id="419639046">
      <w:marLeft w:val="0"/>
      <w:marRight w:val="0"/>
      <w:marTop w:val="100"/>
      <w:marBottom w:val="0"/>
      <w:divBdr>
        <w:top w:val="none" w:sz="0" w:space="0" w:color="auto"/>
        <w:left w:val="none" w:sz="0" w:space="0" w:color="auto"/>
        <w:bottom w:val="none" w:sz="0" w:space="0" w:color="auto"/>
        <w:right w:val="none" w:sz="0" w:space="0" w:color="auto"/>
      </w:divBdr>
    </w:div>
    <w:div w:id="421024304">
      <w:marLeft w:val="0"/>
      <w:marRight w:val="0"/>
      <w:marTop w:val="0"/>
      <w:marBottom w:val="0"/>
      <w:divBdr>
        <w:top w:val="none" w:sz="0" w:space="0" w:color="auto"/>
        <w:left w:val="none" w:sz="0" w:space="0" w:color="auto"/>
        <w:bottom w:val="none" w:sz="0" w:space="0" w:color="auto"/>
        <w:right w:val="none" w:sz="0" w:space="0" w:color="auto"/>
      </w:divBdr>
    </w:div>
    <w:div w:id="421143640">
      <w:marLeft w:val="0"/>
      <w:marRight w:val="0"/>
      <w:marTop w:val="0"/>
      <w:marBottom w:val="0"/>
      <w:divBdr>
        <w:top w:val="none" w:sz="0" w:space="0" w:color="auto"/>
        <w:left w:val="none" w:sz="0" w:space="0" w:color="auto"/>
        <w:bottom w:val="none" w:sz="0" w:space="0" w:color="auto"/>
        <w:right w:val="none" w:sz="0" w:space="0" w:color="auto"/>
      </w:divBdr>
      <w:divsChild>
        <w:div w:id="1027557755">
          <w:marLeft w:val="0"/>
          <w:marRight w:val="0"/>
          <w:marTop w:val="0"/>
          <w:marBottom w:val="0"/>
          <w:divBdr>
            <w:top w:val="none" w:sz="0" w:space="0" w:color="auto"/>
            <w:left w:val="none" w:sz="0" w:space="0" w:color="auto"/>
            <w:bottom w:val="none" w:sz="0" w:space="0" w:color="auto"/>
            <w:right w:val="none" w:sz="0" w:space="0" w:color="auto"/>
          </w:divBdr>
        </w:div>
      </w:divsChild>
    </w:div>
    <w:div w:id="421493815">
      <w:marLeft w:val="0"/>
      <w:marRight w:val="0"/>
      <w:marTop w:val="0"/>
      <w:marBottom w:val="0"/>
      <w:divBdr>
        <w:top w:val="none" w:sz="0" w:space="0" w:color="auto"/>
        <w:left w:val="none" w:sz="0" w:space="0" w:color="auto"/>
        <w:bottom w:val="none" w:sz="0" w:space="0" w:color="auto"/>
        <w:right w:val="none" w:sz="0" w:space="0" w:color="auto"/>
      </w:divBdr>
      <w:divsChild>
        <w:div w:id="1039166759">
          <w:marLeft w:val="0"/>
          <w:marRight w:val="0"/>
          <w:marTop w:val="0"/>
          <w:marBottom w:val="0"/>
          <w:divBdr>
            <w:top w:val="none" w:sz="0" w:space="0" w:color="auto"/>
            <w:left w:val="none" w:sz="0" w:space="0" w:color="auto"/>
            <w:bottom w:val="none" w:sz="0" w:space="0" w:color="auto"/>
            <w:right w:val="none" w:sz="0" w:space="0" w:color="auto"/>
          </w:divBdr>
        </w:div>
      </w:divsChild>
    </w:div>
    <w:div w:id="422149580">
      <w:marLeft w:val="0"/>
      <w:marRight w:val="0"/>
      <w:marTop w:val="0"/>
      <w:marBottom w:val="0"/>
      <w:divBdr>
        <w:top w:val="none" w:sz="0" w:space="0" w:color="auto"/>
        <w:left w:val="none" w:sz="0" w:space="0" w:color="auto"/>
        <w:bottom w:val="none" w:sz="0" w:space="0" w:color="auto"/>
        <w:right w:val="none" w:sz="0" w:space="0" w:color="auto"/>
      </w:divBdr>
      <w:divsChild>
        <w:div w:id="1290746182">
          <w:marLeft w:val="0"/>
          <w:marRight w:val="0"/>
          <w:marTop w:val="0"/>
          <w:marBottom w:val="0"/>
          <w:divBdr>
            <w:top w:val="none" w:sz="0" w:space="0" w:color="auto"/>
            <w:left w:val="none" w:sz="0" w:space="0" w:color="auto"/>
            <w:bottom w:val="none" w:sz="0" w:space="0" w:color="auto"/>
            <w:right w:val="none" w:sz="0" w:space="0" w:color="auto"/>
          </w:divBdr>
        </w:div>
        <w:div w:id="1370641858">
          <w:marLeft w:val="0"/>
          <w:marRight w:val="0"/>
          <w:marTop w:val="0"/>
          <w:marBottom w:val="0"/>
          <w:divBdr>
            <w:top w:val="none" w:sz="0" w:space="0" w:color="auto"/>
            <w:left w:val="none" w:sz="0" w:space="0" w:color="auto"/>
            <w:bottom w:val="none" w:sz="0" w:space="0" w:color="auto"/>
            <w:right w:val="none" w:sz="0" w:space="0" w:color="auto"/>
          </w:divBdr>
        </w:div>
      </w:divsChild>
    </w:div>
    <w:div w:id="422607719">
      <w:marLeft w:val="0"/>
      <w:marRight w:val="0"/>
      <w:marTop w:val="0"/>
      <w:marBottom w:val="0"/>
      <w:divBdr>
        <w:top w:val="none" w:sz="0" w:space="0" w:color="auto"/>
        <w:left w:val="none" w:sz="0" w:space="0" w:color="auto"/>
        <w:bottom w:val="none" w:sz="0" w:space="0" w:color="auto"/>
        <w:right w:val="none" w:sz="0" w:space="0" w:color="auto"/>
      </w:divBdr>
    </w:div>
    <w:div w:id="425074184">
      <w:marLeft w:val="0"/>
      <w:marRight w:val="0"/>
      <w:marTop w:val="0"/>
      <w:marBottom w:val="0"/>
      <w:divBdr>
        <w:top w:val="none" w:sz="0" w:space="0" w:color="auto"/>
        <w:left w:val="none" w:sz="0" w:space="0" w:color="auto"/>
        <w:bottom w:val="none" w:sz="0" w:space="0" w:color="auto"/>
        <w:right w:val="none" w:sz="0" w:space="0" w:color="auto"/>
      </w:divBdr>
      <w:divsChild>
        <w:div w:id="726028451">
          <w:marLeft w:val="0"/>
          <w:marRight w:val="0"/>
          <w:marTop w:val="0"/>
          <w:marBottom w:val="0"/>
          <w:divBdr>
            <w:top w:val="none" w:sz="0" w:space="0" w:color="auto"/>
            <w:left w:val="none" w:sz="0" w:space="0" w:color="auto"/>
            <w:bottom w:val="none" w:sz="0" w:space="0" w:color="auto"/>
            <w:right w:val="none" w:sz="0" w:space="0" w:color="auto"/>
          </w:divBdr>
        </w:div>
      </w:divsChild>
    </w:div>
    <w:div w:id="429667288">
      <w:marLeft w:val="0"/>
      <w:marRight w:val="0"/>
      <w:marTop w:val="0"/>
      <w:marBottom w:val="0"/>
      <w:divBdr>
        <w:top w:val="none" w:sz="0" w:space="0" w:color="auto"/>
        <w:left w:val="none" w:sz="0" w:space="0" w:color="auto"/>
        <w:bottom w:val="none" w:sz="0" w:space="0" w:color="auto"/>
        <w:right w:val="none" w:sz="0" w:space="0" w:color="auto"/>
      </w:divBdr>
      <w:divsChild>
        <w:div w:id="1031803949">
          <w:marLeft w:val="0"/>
          <w:marRight w:val="0"/>
          <w:marTop w:val="0"/>
          <w:marBottom w:val="0"/>
          <w:divBdr>
            <w:top w:val="none" w:sz="0" w:space="0" w:color="auto"/>
            <w:left w:val="none" w:sz="0" w:space="0" w:color="auto"/>
            <w:bottom w:val="none" w:sz="0" w:space="0" w:color="auto"/>
            <w:right w:val="none" w:sz="0" w:space="0" w:color="auto"/>
          </w:divBdr>
        </w:div>
      </w:divsChild>
    </w:div>
    <w:div w:id="434011692">
      <w:marLeft w:val="0"/>
      <w:marRight w:val="0"/>
      <w:marTop w:val="0"/>
      <w:marBottom w:val="0"/>
      <w:divBdr>
        <w:top w:val="none" w:sz="0" w:space="0" w:color="auto"/>
        <w:left w:val="none" w:sz="0" w:space="0" w:color="auto"/>
        <w:bottom w:val="none" w:sz="0" w:space="0" w:color="auto"/>
        <w:right w:val="none" w:sz="0" w:space="0" w:color="auto"/>
      </w:divBdr>
    </w:div>
    <w:div w:id="442922034">
      <w:marLeft w:val="0"/>
      <w:marRight w:val="0"/>
      <w:marTop w:val="0"/>
      <w:marBottom w:val="0"/>
      <w:divBdr>
        <w:top w:val="none" w:sz="0" w:space="0" w:color="auto"/>
        <w:left w:val="none" w:sz="0" w:space="0" w:color="auto"/>
        <w:bottom w:val="none" w:sz="0" w:space="0" w:color="auto"/>
        <w:right w:val="none" w:sz="0" w:space="0" w:color="auto"/>
      </w:divBdr>
      <w:divsChild>
        <w:div w:id="308366599">
          <w:marLeft w:val="0"/>
          <w:marRight w:val="0"/>
          <w:marTop w:val="0"/>
          <w:marBottom w:val="0"/>
          <w:divBdr>
            <w:top w:val="none" w:sz="0" w:space="0" w:color="auto"/>
            <w:left w:val="none" w:sz="0" w:space="0" w:color="auto"/>
            <w:bottom w:val="none" w:sz="0" w:space="0" w:color="auto"/>
            <w:right w:val="none" w:sz="0" w:space="0" w:color="auto"/>
          </w:divBdr>
        </w:div>
      </w:divsChild>
    </w:div>
    <w:div w:id="443038683">
      <w:marLeft w:val="0"/>
      <w:marRight w:val="0"/>
      <w:marTop w:val="0"/>
      <w:marBottom w:val="0"/>
      <w:divBdr>
        <w:top w:val="none" w:sz="0" w:space="0" w:color="auto"/>
        <w:left w:val="none" w:sz="0" w:space="0" w:color="auto"/>
        <w:bottom w:val="none" w:sz="0" w:space="0" w:color="auto"/>
        <w:right w:val="none" w:sz="0" w:space="0" w:color="auto"/>
      </w:divBdr>
    </w:div>
    <w:div w:id="443765458">
      <w:marLeft w:val="0"/>
      <w:marRight w:val="0"/>
      <w:marTop w:val="0"/>
      <w:marBottom w:val="0"/>
      <w:divBdr>
        <w:top w:val="none" w:sz="0" w:space="0" w:color="auto"/>
        <w:left w:val="none" w:sz="0" w:space="0" w:color="auto"/>
        <w:bottom w:val="none" w:sz="0" w:space="0" w:color="auto"/>
        <w:right w:val="none" w:sz="0" w:space="0" w:color="auto"/>
      </w:divBdr>
    </w:div>
    <w:div w:id="445344298">
      <w:marLeft w:val="0"/>
      <w:marRight w:val="0"/>
      <w:marTop w:val="0"/>
      <w:marBottom w:val="0"/>
      <w:divBdr>
        <w:top w:val="none" w:sz="0" w:space="0" w:color="auto"/>
        <w:left w:val="none" w:sz="0" w:space="0" w:color="auto"/>
        <w:bottom w:val="none" w:sz="0" w:space="0" w:color="auto"/>
        <w:right w:val="none" w:sz="0" w:space="0" w:color="auto"/>
      </w:divBdr>
    </w:div>
    <w:div w:id="448209599">
      <w:marLeft w:val="0"/>
      <w:marRight w:val="0"/>
      <w:marTop w:val="0"/>
      <w:marBottom w:val="0"/>
      <w:divBdr>
        <w:top w:val="none" w:sz="0" w:space="0" w:color="auto"/>
        <w:left w:val="none" w:sz="0" w:space="0" w:color="auto"/>
        <w:bottom w:val="none" w:sz="0" w:space="0" w:color="auto"/>
        <w:right w:val="none" w:sz="0" w:space="0" w:color="auto"/>
      </w:divBdr>
      <w:divsChild>
        <w:div w:id="1594510596">
          <w:marLeft w:val="0"/>
          <w:marRight w:val="0"/>
          <w:marTop w:val="0"/>
          <w:marBottom w:val="0"/>
          <w:divBdr>
            <w:top w:val="none" w:sz="0" w:space="0" w:color="auto"/>
            <w:left w:val="none" w:sz="0" w:space="0" w:color="auto"/>
            <w:bottom w:val="none" w:sz="0" w:space="0" w:color="auto"/>
            <w:right w:val="none" w:sz="0" w:space="0" w:color="auto"/>
          </w:divBdr>
        </w:div>
        <w:div w:id="654535128">
          <w:marLeft w:val="0"/>
          <w:marRight w:val="0"/>
          <w:marTop w:val="0"/>
          <w:marBottom w:val="0"/>
          <w:divBdr>
            <w:top w:val="none" w:sz="0" w:space="0" w:color="auto"/>
            <w:left w:val="none" w:sz="0" w:space="0" w:color="auto"/>
            <w:bottom w:val="none" w:sz="0" w:space="0" w:color="auto"/>
            <w:right w:val="none" w:sz="0" w:space="0" w:color="auto"/>
          </w:divBdr>
        </w:div>
      </w:divsChild>
    </w:div>
    <w:div w:id="448865989">
      <w:marLeft w:val="0"/>
      <w:marRight w:val="0"/>
      <w:marTop w:val="0"/>
      <w:marBottom w:val="0"/>
      <w:divBdr>
        <w:top w:val="none" w:sz="0" w:space="0" w:color="auto"/>
        <w:left w:val="none" w:sz="0" w:space="0" w:color="auto"/>
        <w:bottom w:val="none" w:sz="0" w:space="0" w:color="auto"/>
        <w:right w:val="none" w:sz="0" w:space="0" w:color="auto"/>
      </w:divBdr>
    </w:div>
    <w:div w:id="449469525">
      <w:marLeft w:val="0"/>
      <w:marRight w:val="0"/>
      <w:marTop w:val="180"/>
      <w:marBottom w:val="0"/>
      <w:divBdr>
        <w:top w:val="none" w:sz="0" w:space="0" w:color="auto"/>
        <w:left w:val="none" w:sz="0" w:space="0" w:color="auto"/>
        <w:bottom w:val="none" w:sz="0" w:space="0" w:color="auto"/>
        <w:right w:val="none" w:sz="0" w:space="0" w:color="auto"/>
      </w:divBdr>
    </w:div>
    <w:div w:id="456681929">
      <w:marLeft w:val="0"/>
      <w:marRight w:val="0"/>
      <w:marTop w:val="0"/>
      <w:marBottom w:val="0"/>
      <w:divBdr>
        <w:top w:val="none" w:sz="0" w:space="0" w:color="auto"/>
        <w:left w:val="none" w:sz="0" w:space="0" w:color="auto"/>
        <w:bottom w:val="none" w:sz="0" w:space="0" w:color="auto"/>
        <w:right w:val="none" w:sz="0" w:space="0" w:color="auto"/>
      </w:divBdr>
      <w:divsChild>
        <w:div w:id="282687992">
          <w:marLeft w:val="0"/>
          <w:marRight w:val="0"/>
          <w:marTop w:val="0"/>
          <w:marBottom w:val="0"/>
          <w:divBdr>
            <w:top w:val="none" w:sz="0" w:space="0" w:color="auto"/>
            <w:left w:val="none" w:sz="0" w:space="0" w:color="auto"/>
            <w:bottom w:val="none" w:sz="0" w:space="0" w:color="auto"/>
            <w:right w:val="none" w:sz="0" w:space="0" w:color="auto"/>
          </w:divBdr>
        </w:div>
        <w:div w:id="1059207096">
          <w:marLeft w:val="0"/>
          <w:marRight w:val="0"/>
          <w:marTop w:val="0"/>
          <w:marBottom w:val="0"/>
          <w:divBdr>
            <w:top w:val="none" w:sz="0" w:space="0" w:color="auto"/>
            <w:left w:val="none" w:sz="0" w:space="0" w:color="auto"/>
            <w:bottom w:val="none" w:sz="0" w:space="0" w:color="auto"/>
            <w:right w:val="none" w:sz="0" w:space="0" w:color="auto"/>
          </w:divBdr>
        </w:div>
      </w:divsChild>
    </w:div>
    <w:div w:id="457115826">
      <w:marLeft w:val="0"/>
      <w:marRight w:val="0"/>
      <w:marTop w:val="0"/>
      <w:marBottom w:val="0"/>
      <w:divBdr>
        <w:top w:val="none" w:sz="0" w:space="0" w:color="auto"/>
        <w:left w:val="none" w:sz="0" w:space="0" w:color="auto"/>
        <w:bottom w:val="none" w:sz="0" w:space="0" w:color="auto"/>
        <w:right w:val="none" w:sz="0" w:space="0" w:color="auto"/>
      </w:divBdr>
    </w:div>
    <w:div w:id="461777178">
      <w:marLeft w:val="0"/>
      <w:marRight w:val="0"/>
      <w:marTop w:val="0"/>
      <w:marBottom w:val="0"/>
      <w:divBdr>
        <w:top w:val="none" w:sz="0" w:space="0" w:color="auto"/>
        <w:left w:val="none" w:sz="0" w:space="0" w:color="auto"/>
        <w:bottom w:val="none" w:sz="0" w:space="0" w:color="auto"/>
        <w:right w:val="none" w:sz="0" w:space="0" w:color="auto"/>
      </w:divBdr>
    </w:div>
    <w:div w:id="466243197">
      <w:marLeft w:val="0"/>
      <w:marRight w:val="0"/>
      <w:marTop w:val="0"/>
      <w:marBottom w:val="0"/>
      <w:divBdr>
        <w:top w:val="none" w:sz="0" w:space="0" w:color="auto"/>
        <w:left w:val="none" w:sz="0" w:space="0" w:color="auto"/>
        <w:bottom w:val="none" w:sz="0" w:space="0" w:color="auto"/>
        <w:right w:val="none" w:sz="0" w:space="0" w:color="auto"/>
      </w:divBdr>
    </w:div>
    <w:div w:id="466897179">
      <w:marLeft w:val="0"/>
      <w:marRight w:val="0"/>
      <w:marTop w:val="0"/>
      <w:marBottom w:val="0"/>
      <w:divBdr>
        <w:top w:val="none" w:sz="0" w:space="0" w:color="auto"/>
        <w:left w:val="none" w:sz="0" w:space="0" w:color="auto"/>
        <w:bottom w:val="none" w:sz="0" w:space="0" w:color="auto"/>
        <w:right w:val="none" w:sz="0" w:space="0" w:color="auto"/>
      </w:divBdr>
      <w:divsChild>
        <w:div w:id="945968630">
          <w:marLeft w:val="0"/>
          <w:marRight w:val="0"/>
          <w:marTop w:val="0"/>
          <w:marBottom w:val="0"/>
          <w:divBdr>
            <w:top w:val="none" w:sz="0" w:space="0" w:color="auto"/>
            <w:left w:val="none" w:sz="0" w:space="0" w:color="auto"/>
            <w:bottom w:val="none" w:sz="0" w:space="0" w:color="auto"/>
            <w:right w:val="none" w:sz="0" w:space="0" w:color="auto"/>
          </w:divBdr>
        </w:div>
        <w:div w:id="1436829595">
          <w:marLeft w:val="0"/>
          <w:marRight w:val="0"/>
          <w:marTop w:val="0"/>
          <w:marBottom w:val="0"/>
          <w:divBdr>
            <w:top w:val="none" w:sz="0" w:space="0" w:color="auto"/>
            <w:left w:val="none" w:sz="0" w:space="0" w:color="auto"/>
            <w:bottom w:val="none" w:sz="0" w:space="0" w:color="auto"/>
            <w:right w:val="none" w:sz="0" w:space="0" w:color="auto"/>
          </w:divBdr>
        </w:div>
      </w:divsChild>
    </w:div>
    <w:div w:id="467212188">
      <w:marLeft w:val="0"/>
      <w:marRight w:val="0"/>
      <w:marTop w:val="0"/>
      <w:marBottom w:val="0"/>
      <w:divBdr>
        <w:top w:val="none" w:sz="0" w:space="0" w:color="auto"/>
        <w:left w:val="none" w:sz="0" w:space="0" w:color="auto"/>
        <w:bottom w:val="none" w:sz="0" w:space="0" w:color="auto"/>
        <w:right w:val="none" w:sz="0" w:space="0" w:color="auto"/>
      </w:divBdr>
    </w:div>
    <w:div w:id="468282469">
      <w:marLeft w:val="0"/>
      <w:marRight w:val="0"/>
      <w:marTop w:val="100"/>
      <w:marBottom w:val="0"/>
      <w:divBdr>
        <w:top w:val="none" w:sz="0" w:space="0" w:color="auto"/>
        <w:left w:val="none" w:sz="0" w:space="0" w:color="auto"/>
        <w:bottom w:val="none" w:sz="0" w:space="0" w:color="auto"/>
        <w:right w:val="none" w:sz="0" w:space="0" w:color="auto"/>
      </w:divBdr>
    </w:div>
    <w:div w:id="469329901">
      <w:marLeft w:val="0"/>
      <w:marRight w:val="0"/>
      <w:marTop w:val="0"/>
      <w:marBottom w:val="0"/>
      <w:divBdr>
        <w:top w:val="none" w:sz="0" w:space="0" w:color="auto"/>
        <w:left w:val="none" w:sz="0" w:space="0" w:color="auto"/>
        <w:bottom w:val="none" w:sz="0" w:space="0" w:color="auto"/>
        <w:right w:val="none" w:sz="0" w:space="0" w:color="auto"/>
      </w:divBdr>
    </w:div>
    <w:div w:id="472020254">
      <w:marLeft w:val="0"/>
      <w:marRight w:val="0"/>
      <w:marTop w:val="0"/>
      <w:marBottom w:val="132"/>
      <w:divBdr>
        <w:top w:val="none" w:sz="0" w:space="0" w:color="auto"/>
        <w:left w:val="none" w:sz="0" w:space="0" w:color="auto"/>
        <w:bottom w:val="none" w:sz="0" w:space="0" w:color="auto"/>
        <w:right w:val="none" w:sz="0" w:space="0" w:color="auto"/>
      </w:divBdr>
    </w:div>
    <w:div w:id="472909583">
      <w:marLeft w:val="0"/>
      <w:marRight w:val="0"/>
      <w:marTop w:val="0"/>
      <w:marBottom w:val="0"/>
      <w:divBdr>
        <w:top w:val="none" w:sz="0" w:space="0" w:color="auto"/>
        <w:left w:val="none" w:sz="0" w:space="0" w:color="auto"/>
        <w:bottom w:val="none" w:sz="0" w:space="0" w:color="auto"/>
        <w:right w:val="none" w:sz="0" w:space="0" w:color="auto"/>
      </w:divBdr>
    </w:div>
    <w:div w:id="473067771">
      <w:marLeft w:val="0"/>
      <w:marRight w:val="0"/>
      <w:marTop w:val="0"/>
      <w:marBottom w:val="0"/>
      <w:divBdr>
        <w:top w:val="none" w:sz="0" w:space="0" w:color="auto"/>
        <w:left w:val="none" w:sz="0" w:space="0" w:color="auto"/>
        <w:bottom w:val="none" w:sz="0" w:space="0" w:color="auto"/>
        <w:right w:val="none" w:sz="0" w:space="0" w:color="auto"/>
      </w:divBdr>
    </w:div>
    <w:div w:id="473524835">
      <w:marLeft w:val="0"/>
      <w:marRight w:val="0"/>
      <w:marTop w:val="100"/>
      <w:marBottom w:val="0"/>
      <w:divBdr>
        <w:top w:val="none" w:sz="0" w:space="0" w:color="auto"/>
        <w:left w:val="none" w:sz="0" w:space="0" w:color="auto"/>
        <w:bottom w:val="none" w:sz="0" w:space="0" w:color="auto"/>
        <w:right w:val="none" w:sz="0" w:space="0" w:color="auto"/>
      </w:divBdr>
      <w:divsChild>
        <w:div w:id="841433869">
          <w:marLeft w:val="0"/>
          <w:marRight w:val="0"/>
          <w:marTop w:val="0"/>
          <w:marBottom w:val="0"/>
          <w:divBdr>
            <w:top w:val="none" w:sz="0" w:space="0" w:color="auto"/>
            <w:left w:val="none" w:sz="0" w:space="0" w:color="auto"/>
            <w:bottom w:val="none" w:sz="0" w:space="0" w:color="auto"/>
            <w:right w:val="none" w:sz="0" w:space="0" w:color="auto"/>
          </w:divBdr>
        </w:div>
      </w:divsChild>
    </w:div>
    <w:div w:id="476187333">
      <w:marLeft w:val="0"/>
      <w:marRight w:val="0"/>
      <w:marTop w:val="0"/>
      <w:marBottom w:val="0"/>
      <w:divBdr>
        <w:top w:val="none" w:sz="0" w:space="0" w:color="auto"/>
        <w:left w:val="none" w:sz="0" w:space="0" w:color="auto"/>
        <w:bottom w:val="none" w:sz="0" w:space="0" w:color="auto"/>
        <w:right w:val="none" w:sz="0" w:space="0" w:color="auto"/>
      </w:divBdr>
    </w:div>
    <w:div w:id="482279844">
      <w:marLeft w:val="0"/>
      <w:marRight w:val="0"/>
      <w:marTop w:val="0"/>
      <w:marBottom w:val="0"/>
      <w:divBdr>
        <w:top w:val="none" w:sz="0" w:space="0" w:color="auto"/>
        <w:left w:val="none" w:sz="0" w:space="0" w:color="auto"/>
        <w:bottom w:val="none" w:sz="0" w:space="0" w:color="auto"/>
        <w:right w:val="none" w:sz="0" w:space="0" w:color="auto"/>
      </w:divBdr>
      <w:divsChild>
        <w:div w:id="610404945">
          <w:marLeft w:val="0"/>
          <w:marRight w:val="0"/>
          <w:marTop w:val="0"/>
          <w:marBottom w:val="0"/>
          <w:divBdr>
            <w:top w:val="none" w:sz="0" w:space="0" w:color="auto"/>
            <w:left w:val="none" w:sz="0" w:space="0" w:color="auto"/>
            <w:bottom w:val="none" w:sz="0" w:space="0" w:color="auto"/>
            <w:right w:val="none" w:sz="0" w:space="0" w:color="auto"/>
          </w:divBdr>
        </w:div>
        <w:div w:id="1066798422">
          <w:marLeft w:val="0"/>
          <w:marRight w:val="0"/>
          <w:marTop w:val="0"/>
          <w:marBottom w:val="0"/>
          <w:divBdr>
            <w:top w:val="none" w:sz="0" w:space="0" w:color="auto"/>
            <w:left w:val="none" w:sz="0" w:space="0" w:color="auto"/>
            <w:bottom w:val="none" w:sz="0" w:space="0" w:color="auto"/>
            <w:right w:val="none" w:sz="0" w:space="0" w:color="auto"/>
          </w:divBdr>
        </w:div>
      </w:divsChild>
    </w:div>
    <w:div w:id="487862700">
      <w:marLeft w:val="0"/>
      <w:marRight w:val="0"/>
      <w:marTop w:val="100"/>
      <w:marBottom w:val="0"/>
      <w:divBdr>
        <w:top w:val="none" w:sz="0" w:space="0" w:color="auto"/>
        <w:left w:val="none" w:sz="0" w:space="0" w:color="auto"/>
        <w:bottom w:val="none" w:sz="0" w:space="0" w:color="auto"/>
        <w:right w:val="none" w:sz="0" w:space="0" w:color="auto"/>
      </w:divBdr>
    </w:div>
    <w:div w:id="489715166">
      <w:marLeft w:val="0"/>
      <w:marRight w:val="0"/>
      <w:marTop w:val="0"/>
      <w:marBottom w:val="0"/>
      <w:divBdr>
        <w:top w:val="none" w:sz="0" w:space="0" w:color="auto"/>
        <w:left w:val="none" w:sz="0" w:space="0" w:color="auto"/>
        <w:bottom w:val="none" w:sz="0" w:space="0" w:color="auto"/>
        <w:right w:val="none" w:sz="0" w:space="0" w:color="auto"/>
      </w:divBdr>
    </w:div>
    <w:div w:id="494613566">
      <w:marLeft w:val="0"/>
      <w:marRight w:val="0"/>
      <w:marTop w:val="0"/>
      <w:marBottom w:val="0"/>
      <w:divBdr>
        <w:top w:val="none" w:sz="0" w:space="0" w:color="auto"/>
        <w:left w:val="none" w:sz="0" w:space="0" w:color="auto"/>
        <w:bottom w:val="none" w:sz="0" w:space="0" w:color="auto"/>
        <w:right w:val="none" w:sz="0" w:space="0" w:color="auto"/>
      </w:divBdr>
    </w:div>
    <w:div w:id="497619968">
      <w:marLeft w:val="0"/>
      <w:marRight w:val="0"/>
      <w:marTop w:val="180"/>
      <w:marBottom w:val="0"/>
      <w:divBdr>
        <w:top w:val="none" w:sz="0" w:space="0" w:color="auto"/>
        <w:left w:val="none" w:sz="0" w:space="0" w:color="auto"/>
        <w:bottom w:val="none" w:sz="0" w:space="0" w:color="auto"/>
        <w:right w:val="none" w:sz="0" w:space="0" w:color="auto"/>
      </w:divBdr>
    </w:div>
    <w:div w:id="498467195">
      <w:marLeft w:val="0"/>
      <w:marRight w:val="0"/>
      <w:marTop w:val="0"/>
      <w:marBottom w:val="0"/>
      <w:divBdr>
        <w:top w:val="none" w:sz="0" w:space="0" w:color="auto"/>
        <w:left w:val="none" w:sz="0" w:space="0" w:color="auto"/>
        <w:bottom w:val="none" w:sz="0" w:space="0" w:color="auto"/>
        <w:right w:val="none" w:sz="0" w:space="0" w:color="auto"/>
      </w:divBdr>
    </w:div>
    <w:div w:id="504175459">
      <w:marLeft w:val="0"/>
      <w:marRight w:val="0"/>
      <w:marTop w:val="0"/>
      <w:marBottom w:val="0"/>
      <w:divBdr>
        <w:top w:val="none" w:sz="0" w:space="0" w:color="auto"/>
        <w:left w:val="none" w:sz="0" w:space="0" w:color="auto"/>
        <w:bottom w:val="none" w:sz="0" w:space="0" w:color="auto"/>
        <w:right w:val="none" w:sz="0" w:space="0" w:color="auto"/>
      </w:divBdr>
    </w:div>
    <w:div w:id="504175555">
      <w:marLeft w:val="0"/>
      <w:marRight w:val="0"/>
      <w:marTop w:val="0"/>
      <w:marBottom w:val="0"/>
      <w:divBdr>
        <w:top w:val="none" w:sz="0" w:space="0" w:color="auto"/>
        <w:left w:val="none" w:sz="0" w:space="0" w:color="auto"/>
        <w:bottom w:val="none" w:sz="0" w:space="0" w:color="auto"/>
        <w:right w:val="none" w:sz="0" w:space="0" w:color="auto"/>
      </w:divBdr>
      <w:divsChild>
        <w:div w:id="418409463">
          <w:marLeft w:val="0"/>
          <w:marRight w:val="0"/>
          <w:marTop w:val="0"/>
          <w:marBottom w:val="0"/>
          <w:divBdr>
            <w:top w:val="none" w:sz="0" w:space="0" w:color="auto"/>
            <w:left w:val="none" w:sz="0" w:space="0" w:color="auto"/>
            <w:bottom w:val="none" w:sz="0" w:space="0" w:color="auto"/>
            <w:right w:val="none" w:sz="0" w:space="0" w:color="auto"/>
          </w:divBdr>
        </w:div>
      </w:divsChild>
    </w:div>
    <w:div w:id="505439106">
      <w:marLeft w:val="0"/>
      <w:marRight w:val="0"/>
      <w:marTop w:val="0"/>
      <w:marBottom w:val="0"/>
      <w:divBdr>
        <w:top w:val="none" w:sz="0" w:space="0" w:color="auto"/>
        <w:left w:val="none" w:sz="0" w:space="0" w:color="auto"/>
        <w:bottom w:val="none" w:sz="0" w:space="0" w:color="auto"/>
        <w:right w:val="none" w:sz="0" w:space="0" w:color="auto"/>
      </w:divBdr>
    </w:div>
    <w:div w:id="505705990">
      <w:marLeft w:val="0"/>
      <w:marRight w:val="0"/>
      <w:marTop w:val="0"/>
      <w:marBottom w:val="0"/>
      <w:divBdr>
        <w:top w:val="none" w:sz="0" w:space="0" w:color="auto"/>
        <w:left w:val="none" w:sz="0" w:space="0" w:color="auto"/>
        <w:bottom w:val="none" w:sz="0" w:space="0" w:color="auto"/>
        <w:right w:val="none" w:sz="0" w:space="0" w:color="auto"/>
      </w:divBdr>
    </w:div>
    <w:div w:id="505902997">
      <w:marLeft w:val="0"/>
      <w:marRight w:val="0"/>
      <w:marTop w:val="0"/>
      <w:marBottom w:val="0"/>
      <w:divBdr>
        <w:top w:val="none" w:sz="0" w:space="0" w:color="auto"/>
        <w:left w:val="none" w:sz="0" w:space="0" w:color="auto"/>
        <w:bottom w:val="none" w:sz="0" w:space="0" w:color="auto"/>
        <w:right w:val="none" w:sz="0" w:space="0" w:color="auto"/>
      </w:divBdr>
      <w:divsChild>
        <w:div w:id="1109399808">
          <w:marLeft w:val="0"/>
          <w:marRight w:val="0"/>
          <w:marTop w:val="0"/>
          <w:marBottom w:val="0"/>
          <w:divBdr>
            <w:top w:val="none" w:sz="0" w:space="0" w:color="auto"/>
            <w:left w:val="none" w:sz="0" w:space="0" w:color="auto"/>
            <w:bottom w:val="none" w:sz="0" w:space="0" w:color="auto"/>
            <w:right w:val="none" w:sz="0" w:space="0" w:color="auto"/>
          </w:divBdr>
        </w:div>
      </w:divsChild>
    </w:div>
    <w:div w:id="506334729">
      <w:marLeft w:val="0"/>
      <w:marRight w:val="0"/>
      <w:marTop w:val="0"/>
      <w:marBottom w:val="120"/>
      <w:divBdr>
        <w:top w:val="none" w:sz="0" w:space="0" w:color="auto"/>
        <w:left w:val="none" w:sz="0" w:space="0" w:color="auto"/>
        <w:bottom w:val="none" w:sz="0" w:space="0" w:color="auto"/>
        <w:right w:val="none" w:sz="0" w:space="0" w:color="auto"/>
      </w:divBdr>
    </w:div>
    <w:div w:id="507839369">
      <w:marLeft w:val="0"/>
      <w:marRight w:val="0"/>
      <w:marTop w:val="0"/>
      <w:marBottom w:val="0"/>
      <w:divBdr>
        <w:top w:val="none" w:sz="0" w:space="0" w:color="auto"/>
        <w:left w:val="none" w:sz="0" w:space="0" w:color="auto"/>
        <w:bottom w:val="none" w:sz="0" w:space="0" w:color="auto"/>
        <w:right w:val="none" w:sz="0" w:space="0" w:color="auto"/>
      </w:divBdr>
      <w:divsChild>
        <w:div w:id="342635648">
          <w:marLeft w:val="0"/>
          <w:marRight w:val="0"/>
          <w:marTop w:val="0"/>
          <w:marBottom w:val="0"/>
          <w:divBdr>
            <w:top w:val="none" w:sz="0" w:space="0" w:color="auto"/>
            <w:left w:val="none" w:sz="0" w:space="0" w:color="auto"/>
            <w:bottom w:val="none" w:sz="0" w:space="0" w:color="auto"/>
            <w:right w:val="none" w:sz="0" w:space="0" w:color="auto"/>
          </w:divBdr>
        </w:div>
        <w:div w:id="714894351">
          <w:marLeft w:val="0"/>
          <w:marRight w:val="0"/>
          <w:marTop w:val="0"/>
          <w:marBottom w:val="0"/>
          <w:divBdr>
            <w:top w:val="none" w:sz="0" w:space="0" w:color="auto"/>
            <w:left w:val="none" w:sz="0" w:space="0" w:color="auto"/>
            <w:bottom w:val="none" w:sz="0" w:space="0" w:color="auto"/>
            <w:right w:val="none" w:sz="0" w:space="0" w:color="auto"/>
          </w:divBdr>
        </w:div>
      </w:divsChild>
    </w:div>
    <w:div w:id="510028300">
      <w:marLeft w:val="0"/>
      <w:marRight w:val="0"/>
      <w:marTop w:val="0"/>
      <w:marBottom w:val="160"/>
      <w:divBdr>
        <w:top w:val="none" w:sz="0" w:space="0" w:color="auto"/>
        <w:left w:val="none" w:sz="0" w:space="0" w:color="auto"/>
        <w:bottom w:val="none" w:sz="0" w:space="0" w:color="auto"/>
        <w:right w:val="none" w:sz="0" w:space="0" w:color="auto"/>
      </w:divBdr>
    </w:div>
    <w:div w:id="511649308">
      <w:marLeft w:val="0"/>
      <w:marRight w:val="0"/>
      <w:marTop w:val="0"/>
      <w:marBottom w:val="0"/>
      <w:divBdr>
        <w:top w:val="none" w:sz="0" w:space="0" w:color="auto"/>
        <w:left w:val="none" w:sz="0" w:space="0" w:color="auto"/>
        <w:bottom w:val="none" w:sz="0" w:space="0" w:color="auto"/>
        <w:right w:val="none" w:sz="0" w:space="0" w:color="auto"/>
      </w:divBdr>
      <w:divsChild>
        <w:div w:id="1567491604">
          <w:marLeft w:val="0"/>
          <w:marRight w:val="0"/>
          <w:marTop w:val="0"/>
          <w:marBottom w:val="0"/>
          <w:divBdr>
            <w:top w:val="none" w:sz="0" w:space="0" w:color="auto"/>
            <w:left w:val="none" w:sz="0" w:space="0" w:color="auto"/>
            <w:bottom w:val="none" w:sz="0" w:space="0" w:color="auto"/>
            <w:right w:val="none" w:sz="0" w:space="0" w:color="auto"/>
          </w:divBdr>
        </w:div>
        <w:div w:id="662852868">
          <w:marLeft w:val="0"/>
          <w:marRight w:val="0"/>
          <w:marTop w:val="0"/>
          <w:marBottom w:val="0"/>
          <w:divBdr>
            <w:top w:val="none" w:sz="0" w:space="0" w:color="auto"/>
            <w:left w:val="none" w:sz="0" w:space="0" w:color="auto"/>
            <w:bottom w:val="none" w:sz="0" w:space="0" w:color="auto"/>
            <w:right w:val="none" w:sz="0" w:space="0" w:color="auto"/>
          </w:divBdr>
        </w:div>
      </w:divsChild>
    </w:div>
    <w:div w:id="512767141">
      <w:marLeft w:val="0"/>
      <w:marRight w:val="0"/>
      <w:marTop w:val="0"/>
      <w:marBottom w:val="0"/>
      <w:divBdr>
        <w:top w:val="none" w:sz="0" w:space="0" w:color="auto"/>
        <w:left w:val="none" w:sz="0" w:space="0" w:color="auto"/>
        <w:bottom w:val="none" w:sz="0" w:space="0" w:color="auto"/>
        <w:right w:val="none" w:sz="0" w:space="0" w:color="auto"/>
      </w:divBdr>
    </w:div>
    <w:div w:id="513763562">
      <w:marLeft w:val="0"/>
      <w:marRight w:val="0"/>
      <w:marTop w:val="100"/>
      <w:marBottom w:val="0"/>
      <w:divBdr>
        <w:top w:val="none" w:sz="0" w:space="0" w:color="auto"/>
        <w:left w:val="none" w:sz="0" w:space="0" w:color="auto"/>
        <w:bottom w:val="none" w:sz="0" w:space="0" w:color="auto"/>
        <w:right w:val="none" w:sz="0" w:space="0" w:color="auto"/>
      </w:divBdr>
    </w:div>
    <w:div w:id="514878276">
      <w:marLeft w:val="0"/>
      <w:marRight w:val="0"/>
      <w:marTop w:val="0"/>
      <w:marBottom w:val="0"/>
      <w:divBdr>
        <w:top w:val="none" w:sz="0" w:space="0" w:color="auto"/>
        <w:left w:val="none" w:sz="0" w:space="0" w:color="auto"/>
        <w:bottom w:val="none" w:sz="0" w:space="0" w:color="auto"/>
        <w:right w:val="none" w:sz="0" w:space="0" w:color="auto"/>
      </w:divBdr>
    </w:div>
    <w:div w:id="519778011">
      <w:marLeft w:val="0"/>
      <w:marRight w:val="0"/>
      <w:marTop w:val="0"/>
      <w:marBottom w:val="0"/>
      <w:divBdr>
        <w:top w:val="none" w:sz="0" w:space="0" w:color="auto"/>
        <w:left w:val="none" w:sz="0" w:space="0" w:color="auto"/>
        <w:bottom w:val="none" w:sz="0" w:space="0" w:color="auto"/>
        <w:right w:val="none" w:sz="0" w:space="0" w:color="auto"/>
      </w:divBdr>
      <w:divsChild>
        <w:div w:id="1431463287">
          <w:marLeft w:val="0"/>
          <w:marRight w:val="0"/>
          <w:marTop w:val="0"/>
          <w:marBottom w:val="0"/>
          <w:divBdr>
            <w:top w:val="none" w:sz="0" w:space="0" w:color="auto"/>
            <w:left w:val="none" w:sz="0" w:space="0" w:color="auto"/>
            <w:bottom w:val="none" w:sz="0" w:space="0" w:color="auto"/>
            <w:right w:val="none" w:sz="0" w:space="0" w:color="auto"/>
          </w:divBdr>
        </w:div>
      </w:divsChild>
    </w:div>
    <w:div w:id="522402744">
      <w:marLeft w:val="0"/>
      <w:marRight w:val="0"/>
      <w:marTop w:val="0"/>
      <w:marBottom w:val="0"/>
      <w:divBdr>
        <w:top w:val="none" w:sz="0" w:space="0" w:color="auto"/>
        <w:left w:val="none" w:sz="0" w:space="0" w:color="auto"/>
        <w:bottom w:val="none" w:sz="0" w:space="0" w:color="auto"/>
        <w:right w:val="none" w:sz="0" w:space="0" w:color="auto"/>
      </w:divBdr>
      <w:divsChild>
        <w:div w:id="1931770195">
          <w:marLeft w:val="0"/>
          <w:marRight w:val="0"/>
          <w:marTop w:val="0"/>
          <w:marBottom w:val="0"/>
          <w:divBdr>
            <w:top w:val="none" w:sz="0" w:space="0" w:color="auto"/>
            <w:left w:val="none" w:sz="0" w:space="0" w:color="auto"/>
            <w:bottom w:val="none" w:sz="0" w:space="0" w:color="auto"/>
            <w:right w:val="none" w:sz="0" w:space="0" w:color="auto"/>
          </w:divBdr>
        </w:div>
      </w:divsChild>
    </w:div>
    <w:div w:id="524438574">
      <w:marLeft w:val="0"/>
      <w:marRight w:val="0"/>
      <w:marTop w:val="0"/>
      <w:marBottom w:val="0"/>
      <w:divBdr>
        <w:top w:val="none" w:sz="0" w:space="0" w:color="auto"/>
        <w:left w:val="none" w:sz="0" w:space="0" w:color="auto"/>
        <w:bottom w:val="none" w:sz="0" w:space="0" w:color="auto"/>
        <w:right w:val="none" w:sz="0" w:space="0" w:color="auto"/>
      </w:divBdr>
    </w:div>
    <w:div w:id="525290008">
      <w:marLeft w:val="0"/>
      <w:marRight w:val="0"/>
      <w:marTop w:val="0"/>
      <w:marBottom w:val="0"/>
      <w:divBdr>
        <w:top w:val="none" w:sz="0" w:space="0" w:color="auto"/>
        <w:left w:val="none" w:sz="0" w:space="0" w:color="auto"/>
        <w:bottom w:val="none" w:sz="0" w:space="0" w:color="auto"/>
        <w:right w:val="none" w:sz="0" w:space="0" w:color="auto"/>
      </w:divBdr>
    </w:div>
    <w:div w:id="527255163">
      <w:marLeft w:val="0"/>
      <w:marRight w:val="0"/>
      <w:marTop w:val="0"/>
      <w:marBottom w:val="0"/>
      <w:divBdr>
        <w:top w:val="none" w:sz="0" w:space="0" w:color="auto"/>
        <w:left w:val="none" w:sz="0" w:space="0" w:color="auto"/>
        <w:bottom w:val="none" w:sz="0" w:space="0" w:color="auto"/>
        <w:right w:val="none" w:sz="0" w:space="0" w:color="auto"/>
      </w:divBdr>
    </w:div>
    <w:div w:id="527909114">
      <w:marLeft w:val="0"/>
      <w:marRight w:val="0"/>
      <w:marTop w:val="0"/>
      <w:marBottom w:val="0"/>
      <w:divBdr>
        <w:top w:val="none" w:sz="0" w:space="0" w:color="auto"/>
        <w:left w:val="none" w:sz="0" w:space="0" w:color="auto"/>
        <w:bottom w:val="none" w:sz="0" w:space="0" w:color="auto"/>
        <w:right w:val="none" w:sz="0" w:space="0" w:color="auto"/>
      </w:divBdr>
    </w:div>
    <w:div w:id="530462088">
      <w:marLeft w:val="0"/>
      <w:marRight w:val="0"/>
      <w:marTop w:val="0"/>
      <w:marBottom w:val="0"/>
      <w:divBdr>
        <w:top w:val="none" w:sz="0" w:space="0" w:color="auto"/>
        <w:left w:val="none" w:sz="0" w:space="0" w:color="auto"/>
        <w:bottom w:val="none" w:sz="0" w:space="0" w:color="auto"/>
        <w:right w:val="none" w:sz="0" w:space="0" w:color="auto"/>
      </w:divBdr>
    </w:div>
    <w:div w:id="532037561">
      <w:marLeft w:val="0"/>
      <w:marRight w:val="0"/>
      <w:marTop w:val="0"/>
      <w:marBottom w:val="0"/>
      <w:divBdr>
        <w:top w:val="none" w:sz="0" w:space="0" w:color="auto"/>
        <w:left w:val="none" w:sz="0" w:space="0" w:color="auto"/>
        <w:bottom w:val="none" w:sz="0" w:space="0" w:color="auto"/>
        <w:right w:val="none" w:sz="0" w:space="0" w:color="auto"/>
      </w:divBdr>
      <w:divsChild>
        <w:div w:id="904217859">
          <w:marLeft w:val="0"/>
          <w:marRight w:val="0"/>
          <w:marTop w:val="0"/>
          <w:marBottom w:val="0"/>
          <w:divBdr>
            <w:top w:val="none" w:sz="0" w:space="0" w:color="auto"/>
            <w:left w:val="none" w:sz="0" w:space="0" w:color="auto"/>
            <w:bottom w:val="none" w:sz="0" w:space="0" w:color="auto"/>
            <w:right w:val="none" w:sz="0" w:space="0" w:color="auto"/>
          </w:divBdr>
        </w:div>
      </w:divsChild>
    </w:div>
    <w:div w:id="532233208">
      <w:marLeft w:val="0"/>
      <w:marRight w:val="0"/>
      <w:marTop w:val="0"/>
      <w:marBottom w:val="0"/>
      <w:divBdr>
        <w:top w:val="none" w:sz="0" w:space="0" w:color="auto"/>
        <w:left w:val="none" w:sz="0" w:space="0" w:color="auto"/>
        <w:bottom w:val="none" w:sz="0" w:space="0" w:color="auto"/>
        <w:right w:val="none" w:sz="0" w:space="0" w:color="auto"/>
      </w:divBdr>
    </w:div>
    <w:div w:id="532571391">
      <w:marLeft w:val="0"/>
      <w:marRight w:val="0"/>
      <w:marTop w:val="0"/>
      <w:marBottom w:val="0"/>
      <w:divBdr>
        <w:top w:val="none" w:sz="0" w:space="0" w:color="auto"/>
        <w:left w:val="none" w:sz="0" w:space="0" w:color="auto"/>
        <w:bottom w:val="none" w:sz="0" w:space="0" w:color="auto"/>
        <w:right w:val="none" w:sz="0" w:space="0" w:color="auto"/>
      </w:divBdr>
      <w:divsChild>
        <w:div w:id="580409094">
          <w:marLeft w:val="0"/>
          <w:marRight w:val="0"/>
          <w:marTop w:val="0"/>
          <w:marBottom w:val="0"/>
          <w:divBdr>
            <w:top w:val="none" w:sz="0" w:space="0" w:color="auto"/>
            <w:left w:val="none" w:sz="0" w:space="0" w:color="auto"/>
            <w:bottom w:val="none" w:sz="0" w:space="0" w:color="auto"/>
            <w:right w:val="none" w:sz="0" w:space="0" w:color="auto"/>
          </w:divBdr>
        </w:div>
      </w:divsChild>
    </w:div>
    <w:div w:id="536509072">
      <w:marLeft w:val="0"/>
      <w:marRight w:val="0"/>
      <w:marTop w:val="0"/>
      <w:marBottom w:val="100"/>
      <w:divBdr>
        <w:top w:val="none" w:sz="0" w:space="0" w:color="auto"/>
        <w:left w:val="none" w:sz="0" w:space="0" w:color="auto"/>
        <w:bottom w:val="none" w:sz="0" w:space="0" w:color="auto"/>
        <w:right w:val="none" w:sz="0" w:space="0" w:color="auto"/>
      </w:divBdr>
    </w:div>
    <w:div w:id="539437884">
      <w:marLeft w:val="0"/>
      <w:marRight w:val="0"/>
      <w:marTop w:val="0"/>
      <w:marBottom w:val="0"/>
      <w:divBdr>
        <w:top w:val="none" w:sz="0" w:space="0" w:color="auto"/>
        <w:left w:val="none" w:sz="0" w:space="0" w:color="auto"/>
        <w:bottom w:val="none" w:sz="0" w:space="0" w:color="auto"/>
        <w:right w:val="none" w:sz="0" w:space="0" w:color="auto"/>
      </w:divBdr>
      <w:divsChild>
        <w:div w:id="1682852336">
          <w:marLeft w:val="0"/>
          <w:marRight w:val="0"/>
          <w:marTop w:val="0"/>
          <w:marBottom w:val="0"/>
          <w:divBdr>
            <w:top w:val="none" w:sz="0" w:space="0" w:color="auto"/>
            <w:left w:val="none" w:sz="0" w:space="0" w:color="auto"/>
            <w:bottom w:val="none" w:sz="0" w:space="0" w:color="auto"/>
            <w:right w:val="none" w:sz="0" w:space="0" w:color="auto"/>
          </w:divBdr>
        </w:div>
      </w:divsChild>
    </w:div>
    <w:div w:id="539905289">
      <w:marLeft w:val="0"/>
      <w:marRight w:val="0"/>
      <w:marTop w:val="0"/>
      <w:marBottom w:val="0"/>
      <w:divBdr>
        <w:top w:val="none" w:sz="0" w:space="0" w:color="auto"/>
        <w:left w:val="none" w:sz="0" w:space="0" w:color="auto"/>
        <w:bottom w:val="none" w:sz="0" w:space="0" w:color="auto"/>
        <w:right w:val="none" w:sz="0" w:space="0" w:color="auto"/>
      </w:divBdr>
      <w:divsChild>
        <w:div w:id="754782053">
          <w:marLeft w:val="0"/>
          <w:marRight w:val="0"/>
          <w:marTop w:val="0"/>
          <w:marBottom w:val="0"/>
          <w:divBdr>
            <w:top w:val="none" w:sz="0" w:space="0" w:color="auto"/>
            <w:left w:val="none" w:sz="0" w:space="0" w:color="auto"/>
            <w:bottom w:val="none" w:sz="0" w:space="0" w:color="auto"/>
            <w:right w:val="none" w:sz="0" w:space="0" w:color="auto"/>
          </w:divBdr>
        </w:div>
      </w:divsChild>
    </w:div>
    <w:div w:id="542638725">
      <w:marLeft w:val="0"/>
      <w:marRight w:val="0"/>
      <w:marTop w:val="100"/>
      <w:marBottom w:val="0"/>
      <w:divBdr>
        <w:top w:val="none" w:sz="0" w:space="0" w:color="auto"/>
        <w:left w:val="none" w:sz="0" w:space="0" w:color="auto"/>
        <w:bottom w:val="none" w:sz="0" w:space="0" w:color="auto"/>
        <w:right w:val="none" w:sz="0" w:space="0" w:color="auto"/>
      </w:divBdr>
    </w:div>
    <w:div w:id="545720779">
      <w:marLeft w:val="0"/>
      <w:marRight w:val="0"/>
      <w:marTop w:val="0"/>
      <w:marBottom w:val="0"/>
      <w:divBdr>
        <w:top w:val="none" w:sz="0" w:space="0" w:color="auto"/>
        <w:left w:val="none" w:sz="0" w:space="0" w:color="auto"/>
        <w:bottom w:val="none" w:sz="0" w:space="0" w:color="auto"/>
        <w:right w:val="none" w:sz="0" w:space="0" w:color="auto"/>
      </w:divBdr>
      <w:divsChild>
        <w:div w:id="71003114">
          <w:marLeft w:val="0"/>
          <w:marRight w:val="0"/>
          <w:marTop w:val="0"/>
          <w:marBottom w:val="0"/>
          <w:divBdr>
            <w:top w:val="none" w:sz="0" w:space="0" w:color="auto"/>
            <w:left w:val="none" w:sz="0" w:space="0" w:color="auto"/>
            <w:bottom w:val="none" w:sz="0" w:space="0" w:color="auto"/>
            <w:right w:val="none" w:sz="0" w:space="0" w:color="auto"/>
          </w:divBdr>
        </w:div>
      </w:divsChild>
    </w:div>
    <w:div w:id="552889721">
      <w:marLeft w:val="0"/>
      <w:marRight w:val="0"/>
      <w:marTop w:val="0"/>
      <w:marBottom w:val="0"/>
      <w:divBdr>
        <w:top w:val="none" w:sz="0" w:space="0" w:color="auto"/>
        <w:left w:val="none" w:sz="0" w:space="0" w:color="auto"/>
        <w:bottom w:val="none" w:sz="0" w:space="0" w:color="auto"/>
        <w:right w:val="none" w:sz="0" w:space="0" w:color="auto"/>
      </w:divBdr>
      <w:divsChild>
        <w:div w:id="248855277">
          <w:marLeft w:val="0"/>
          <w:marRight w:val="0"/>
          <w:marTop w:val="0"/>
          <w:marBottom w:val="0"/>
          <w:divBdr>
            <w:top w:val="none" w:sz="0" w:space="0" w:color="auto"/>
            <w:left w:val="none" w:sz="0" w:space="0" w:color="auto"/>
            <w:bottom w:val="none" w:sz="0" w:space="0" w:color="auto"/>
            <w:right w:val="none" w:sz="0" w:space="0" w:color="auto"/>
          </w:divBdr>
        </w:div>
        <w:div w:id="868951724">
          <w:marLeft w:val="0"/>
          <w:marRight w:val="0"/>
          <w:marTop w:val="0"/>
          <w:marBottom w:val="0"/>
          <w:divBdr>
            <w:top w:val="none" w:sz="0" w:space="0" w:color="auto"/>
            <w:left w:val="none" w:sz="0" w:space="0" w:color="auto"/>
            <w:bottom w:val="none" w:sz="0" w:space="0" w:color="auto"/>
            <w:right w:val="none" w:sz="0" w:space="0" w:color="auto"/>
          </w:divBdr>
        </w:div>
      </w:divsChild>
    </w:div>
    <w:div w:id="565409777">
      <w:marLeft w:val="0"/>
      <w:marRight w:val="0"/>
      <w:marTop w:val="0"/>
      <w:marBottom w:val="0"/>
      <w:divBdr>
        <w:top w:val="none" w:sz="0" w:space="0" w:color="auto"/>
        <w:left w:val="none" w:sz="0" w:space="0" w:color="auto"/>
        <w:bottom w:val="none" w:sz="0" w:space="0" w:color="auto"/>
        <w:right w:val="none" w:sz="0" w:space="0" w:color="auto"/>
      </w:divBdr>
      <w:divsChild>
        <w:div w:id="1405641261">
          <w:marLeft w:val="0"/>
          <w:marRight w:val="0"/>
          <w:marTop w:val="0"/>
          <w:marBottom w:val="0"/>
          <w:divBdr>
            <w:top w:val="none" w:sz="0" w:space="0" w:color="auto"/>
            <w:left w:val="none" w:sz="0" w:space="0" w:color="auto"/>
            <w:bottom w:val="none" w:sz="0" w:space="0" w:color="auto"/>
            <w:right w:val="none" w:sz="0" w:space="0" w:color="auto"/>
          </w:divBdr>
        </w:div>
        <w:div w:id="74061956">
          <w:marLeft w:val="0"/>
          <w:marRight w:val="0"/>
          <w:marTop w:val="0"/>
          <w:marBottom w:val="0"/>
          <w:divBdr>
            <w:top w:val="none" w:sz="0" w:space="0" w:color="auto"/>
            <w:left w:val="none" w:sz="0" w:space="0" w:color="auto"/>
            <w:bottom w:val="none" w:sz="0" w:space="0" w:color="auto"/>
            <w:right w:val="none" w:sz="0" w:space="0" w:color="auto"/>
          </w:divBdr>
        </w:div>
      </w:divsChild>
    </w:div>
    <w:div w:id="571239400">
      <w:marLeft w:val="0"/>
      <w:marRight w:val="0"/>
      <w:marTop w:val="100"/>
      <w:marBottom w:val="0"/>
      <w:divBdr>
        <w:top w:val="none" w:sz="0" w:space="0" w:color="auto"/>
        <w:left w:val="none" w:sz="0" w:space="0" w:color="auto"/>
        <w:bottom w:val="none" w:sz="0" w:space="0" w:color="auto"/>
        <w:right w:val="none" w:sz="0" w:space="0" w:color="auto"/>
      </w:divBdr>
    </w:div>
    <w:div w:id="575867546">
      <w:marLeft w:val="0"/>
      <w:marRight w:val="0"/>
      <w:marTop w:val="0"/>
      <w:marBottom w:val="0"/>
      <w:divBdr>
        <w:top w:val="none" w:sz="0" w:space="0" w:color="auto"/>
        <w:left w:val="none" w:sz="0" w:space="0" w:color="auto"/>
        <w:bottom w:val="none" w:sz="0" w:space="0" w:color="auto"/>
        <w:right w:val="none" w:sz="0" w:space="0" w:color="auto"/>
      </w:divBdr>
    </w:div>
    <w:div w:id="579409027">
      <w:marLeft w:val="0"/>
      <w:marRight w:val="0"/>
      <w:marTop w:val="180"/>
      <w:marBottom w:val="0"/>
      <w:divBdr>
        <w:top w:val="none" w:sz="0" w:space="0" w:color="auto"/>
        <w:left w:val="none" w:sz="0" w:space="0" w:color="auto"/>
        <w:bottom w:val="none" w:sz="0" w:space="0" w:color="auto"/>
        <w:right w:val="none" w:sz="0" w:space="0" w:color="auto"/>
      </w:divBdr>
    </w:div>
    <w:div w:id="579561010">
      <w:marLeft w:val="0"/>
      <w:marRight w:val="0"/>
      <w:marTop w:val="180"/>
      <w:marBottom w:val="0"/>
      <w:divBdr>
        <w:top w:val="none" w:sz="0" w:space="0" w:color="auto"/>
        <w:left w:val="none" w:sz="0" w:space="0" w:color="auto"/>
        <w:bottom w:val="none" w:sz="0" w:space="0" w:color="auto"/>
        <w:right w:val="none" w:sz="0" w:space="0" w:color="auto"/>
      </w:divBdr>
    </w:div>
    <w:div w:id="580260449">
      <w:marLeft w:val="0"/>
      <w:marRight w:val="0"/>
      <w:marTop w:val="0"/>
      <w:marBottom w:val="0"/>
      <w:divBdr>
        <w:top w:val="none" w:sz="0" w:space="0" w:color="auto"/>
        <w:left w:val="none" w:sz="0" w:space="0" w:color="auto"/>
        <w:bottom w:val="none" w:sz="0" w:space="0" w:color="auto"/>
        <w:right w:val="none" w:sz="0" w:space="0" w:color="auto"/>
      </w:divBdr>
    </w:div>
    <w:div w:id="583034223">
      <w:marLeft w:val="0"/>
      <w:marRight w:val="0"/>
      <w:marTop w:val="100"/>
      <w:marBottom w:val="0"/>
      <w:divBdr>
        <w:top w:val="none" w:sz="0" w:space="0" w:color="auto"/>
        <w:left w:val="none" w:sz="0" w:space="0" w:color="auto"/>
        <w:bottom w:val="none" w:sz="0" w:space="0" w:color="auto"/>
        <w:right w:val="none" w:sz="0" w:space="0" w:color="auto"/>
      </w:divBdr>
    </w:div>
    <w:div w:id="585188371">
      <w:marLeft w:val="0"/>
      <w:marRight w:val="0"/>
      <w:marTop w:val="100"/>
      <w:marBottom w:val="0"/>
      <w:divBdr>
        <w:top w:val="none" w:sz="0" w:space="0" w:color="auto"/>
        <w:left w:val="none" w:sz="0" w:space="0" w:color="auto"/>
        <w:bottom w:val="none" w:sz="0" w:space="0" w:color="auto"/>
        <w:right w:val="none" w:sz="0" w:space="0" w:color="auto"/>
      </w:divBdr>
    </w:div>
    <w:div w:id="587228000">
      <w:marLeft w:val="0"/>
      <w:marRight w:val="0"/>
      <w:marTop w:val="0"/>
      <w:marBottom w:val="0"/>
      <w:divBdr>
        <w:top w:val="none" w:sz="0" w:space="0" w:color="auto"/>
        <w:left w:val="none" w:sz="0" w:space="0" w:color="auto"/>
        <w:bottom w:val="none" w:sz="0" w:space="0" w:color="auto"/>
        <w:right w:val="none" w:sz="0" w:space="0" w:color="auto"/>
      </w:divBdr>
    </w:div>
    <w:div w:id="588388948">
      <w:marLeft w:val="0"/>
      <w:marRight w:val="0"/>
      <w:marTop w:val="0"/>
      <w:marBottom w:val="0"/>
      <w:divBdr>
        <w:top w:val="none" w:sz="0" w:space="0" w:color="auto"/>
        <w:left w:val="none" w:sz="0" w:space="0" w:color="auto"/>
        <w:bottom w:val="none" w:sz="0" w:space="0" w:color="auto"/>
        <w:right w:val="none" w:sz="0" w:space="0" w:color="auto"/>
      </w:divBdr>
    </w:div>
    <w:div w:id="592864285">
      <w:marLeft w:val="0"/>
      <w:marRight w:val="0"/>
      <w:marTop w:val="0"/>
      <w:marBottom w:val="0"/>
      <w:divBdr>
        <w:top w:val="none" w:sz="0" w:space="0" w:color="auto"/>
        <w:left w:val="none" w:sz="0" w:space="0" w:color="auto"/>
        <w:bottom w:val="none" w:sz="0" w:space="0" w:color="auto"/>
        <w:right w:val="none" w:sz="0" w:space="0" w:color="auto"/>
      </w:divBdr>
      <w:divsChild>
        <w:div w:id="1984890024">
          <w:marLeft w:val="0"/>
          <w:marRight w:val="0"/>
          <w:marTop w:val="0"/>
          <w:marBottom w:val="0"/>
          <w:divBdr>
            <w:top w:val="none" w:sz="0" w:space="0" w:color="auto"/>
            <w:left w:val="none" w:sz="0" w:space="0" w:color="auto"/>
            <w:bottom w:val="none" w:sz="0" w:space="0" w:color="auto"/>
            <w:right w:val="none" w:sz="0" w:space="0" w:color="auto"/>
          </w:divBdr>
        </w:div>
      </w:divsChild>
    </w:div>
    <w:div w:id="598221320">
      <w:marLeft w:val="0"/>
      <w:marRight w:val="0"/>
      <w:marTop w:val="0"/>
      <w:marBottom w:val="0"/>
      <w:divBdr>
        <w:top w:val="none" w:sz="0" w:space="0" w:color="auto"/>
        <w:left w:val="none" w:sz="0" w:space="0" w:color="auto"/>
        <w:bottom w:val="none" w:sz="0" w:space="0" w:color="auto"/>
        <w:right w:val="none" w:sz="0" w:space="0" w:color="auto"/>
      </w:divBdr>
      <w:divsChild>
        <w:div w:id="285819910">
          <w:marLeft w:val="0"/>
          <w:marRight w:val="0"/>
          <w:marTop w:val="0"/>
          <w:marBottom w:val="0"/>
          <w:divBdr>
            <w:top w:val="none" w:sz="0" w:space="0" w:color="auto"/>
            <w:left w:val="none" w:sz="0" w:space="0" w:color="auto"/>
            <w:bottom w:val="none" w:sz="0" w:space="0" w:color="auto"/>
            <w:right w:val="none" w:sz="0" w:space="0" w:color="auto"/>
          </w:divBdr>
        </w:div>
      </w:divsChild>
    </w:div>
    <w:div w:id="606280729">
      <w:marLeft w:val="0"/>
      <w:marRight w:val="0"/>
      <w:marTop w:val="120"/>
      <w:marBottom w:val="120"/>
      <w:divBdr>
        <w:top w:val="none" w:sz="0" w:space="0" w:color="auto"/>
        <w:left w:val="none" w:sz="0" w:space="0" w:color="auto"/>
        <w:bottom w:val="none" w:sz="0" w:space="0" w:color="auto"/>
        <w:right w:val="none" w:sz="0" w:space="0" w:color="auto"/>
      </w:divBdr>
    </w:div>
    <w:div w:id="609047985">
      <w:marLeft w:val="0"/>
      <w:marRight w:val="0"/>
      <w:marTop w:val="0"/>
      <w:marBottom w:val="100"/>
      <w:divBdr>
        <w:top w:val="none" w:sz="0" w:space="0" w:color="auto"/>
        <w:left w:val="none" w:sz="0" w:space="0" w:color="auto"/>
        <w:bottom w:val="none" w:sz="0" w:space="0" w:color="auto"/>
        <w:right w:val="none" w:sz="0" w:space="0" w:color="auto"/>
      </w:divBdr>
    </w:div>
    <w:div w:id="613558062">
      <w:marLeft w:val="0"/>
      <w:marRight w:val="0"/>
      <w:marTop w:val="0"/>
      <w:marBottom w:val="0"/>
      <w:divBdr>
        <w:top w:val="none" w:sz="0" w:space="0" w:color="auto"/>
        <w:left w:val="none" w:sz="0" w:space="0" w:color="auto"/>
        <w:bottom w:val="none" w:sz="0" w:space="0" w:color="auto"/>
        <w:right w:val="none" w:sz="0" w:space="0" w:color="auto"/>
      </w:divBdr>
    </w:div>
    <w:div w:id="614793710">
      <w:marLeft w:val="0"/>
      <w:marRight w:val="0"/>
      <w:marTop w:val="0"/>
      <w:marBottom w:val="0"/>
      <w:divBdr>
        <w:top w:val="none" w:sz="0" w:space="0" w:color="auto"/>
        <w:left w:val="none" w:sz="0" w:space="0" w:color="auto"/>
        <w:bottom w:val="none" w:sz="0" w:space="0" w:color="auto"/>
        <w:right w:val="none" w:sz="0" w:space="0" w:color="auto"/>
      </w:divBdr>
    </w:div>
    <w:div w:id="615059576">
      <w:marLeft w:val="0"/>
      <w:marRight w:val="0"/>
      <w:marTop w:val="0"/>
      <w:marBottom w:val="0"/>
      <w:divBdr>
        <w:top w:val="none" w:sz="0" w:space="0" w:color="auto"/>
        <w:left w:val="none" w:sz="0" w:space="0" w:color="auto"/>
        <w:bottom w:val="none" w:sz="0" w:space="0" w:color="auto"/>
        <w:right w:val="none" w:sz="0" w:space="0" w:color="auto"/>
      </w:divBdr>
      <w:divsChild>
        <w:div w:id="946735412">
          <w:marLeft w:val="0"/>
          <w:marRight w:val="0"/>
          <w:marTop w:val="0"/>
          <w:marBottom w:val="0"/>
          <w:divBdr>
            <w:top w:val="none" w:sz="0" w:space="0" w:color="auto"/>
            <w:left w:val="none" w:sz="0" w:space="0" w:color="auto"/>
            <w:bottom w:val="none" w:sz="0" w:space="0" w:color="auto"/>
            <w:right w:val="none" w:sz="0" w:space="0" w:color="auto"/>
          </w:divBdr>
        </w:div>
        <w:div w:id="339966725">
          <w:marLeft w:val="0"/>
          <w:marRight w:val="0"/>
          <w:marTop w:val="0"/>
          <w:marBottom w:val="0"/>
          <w:divBdr>
            <w:top w:val="none" w:sz="0" w:space="0" w:color="auto"/>
            <w:left w:val="none" w:sz="0" w:space="0" w:color="auto"/>
            <w:bottom w:val="none" w:sz="0" w:space="0" w:color="auto"/>
            <w:right w:val="none" w:sz="0" w:space="0" w:color="auto"/>
          </w:divBdr>
        </w:div>
      </w:divsChild>
    </w:div>
    <w:div w:id="616765024">
      <w:marLeft w:val="0"/>
      <w:marRight w:val="0"/>
      <w:marTop w:val="0"/>
      <w:marBottom w:val="0"/>
      <w:divBdr>
        <w:top w:val="none" w:sz="0" w:space="0" w:color="auto"/>
        <w:left w:val="none" w:sz="0" w:space="0" w:color="auto"/>
        <w:bottom w:val="none" w:sz="0" w:space="0" w:color="auto"/>
        <w:right w:val="none" w:sz="0" w:space="0" w:color="auto"/>
      </w:divBdr>
    </w:div>
    <w:div w:id="618101579">
      <w:marLeft w:val="0"/>
      <w:marRight w:val="0"/>
      <w:marTop w:val="0"/>
      <w:marBottom w:val="0"/>
      <w:divBdr>
        <w:top w:val="none" w:sz="0" w:space="0" w:color="auto"/>
        <w:left w:val="none" w:sz="0" w:space="0" w:color="auto"/>
        <w:bottom w:val="none" w:sz="0" w:space="0" w:color="auto"/>
        <w:right w:val="none" w:sz="0" w:space="0" w:color="auto"/>
      </w:divBdr>
      <w:divsChild>
        <w:div w:id="1673802112">
          <w:marLeft w:val="0"/>
          <w:marRight w:val="0"/>
          <w:marTop w:val="0"/>
          <w:marBottom w:val="0"/>
          <w:divBdr>
            <w:top w:val="none" w:sz="0" w:space="0" w:color="auto"/>
            <w:left w:val="none" w:sz="0" w:space="0" w:color="auto"/>
            <w:bottom w:val="none" w:sz="0" w:space="0" w:color="auto"/>
            <w:right w:val="none" w:sz="0" w:space="0" w:color="auto"/>
          </w:divBdr>
        </w:div>
      </w:divsChild>
    </w:div>
    <w:div w:id="621032154">
      <w:marLeft w:val="0"/>
      <w:marRight w:val="0"/>
      <w:marTop w:val="0"/>
      <w:marBottom w:val="0"/>
      <w:divBdr>
        <w:top w:val="none" w:sz="0" w:space="0" w:color="auto"/>
        <w:left w:val="none" w:sz="0" w:space="0" w:color="auto"/>
        <w:bottom w:val="none" w:sz="0" w:space="0" w:color="auto"/>
        <w:right w:val="none" w:sz="0" w:space="0" w:color="auto"/>
      </w:divBdr>
    </w:div>
    <w:div w:id="621035006">
      <w:marLeft w:val="0"/>
      <w:marRight w:val="0"/>
      <w:marTop w:val="0"/>
      <w:marBottom w:val="0"/>
      <w:divBdr>
        <w:top w:val="none" w:sz="0" w:space="0" w:color="auto"/>
        <w:left w:val="none" w:sz="0" w:space="0" w:color="auto"/>
        <w:bottom w:val="none" w:sz="0" w:space="0" w:color="auto"/>
        <w:right w:val="none" w:sz="0" w:space="0" w:color="auto"/>
      </w:divBdr>
      <w:divsChild>
        <w:div w:id="1269922440">
          <w:marLeft w:val="0"/>
          <w:marRight w:val="0"/>
          <w:marTop w:val="0"/>
          <w:marBottom w:val="0"/>
          <w:divBdr>
            <w:top w:val="none" w:sz="0" w:space="0" w:color="auto"/>
            <w:left w:val="none" w:sz="0" w:space="0" w:color="auto"/>
            <w:bottom w:val="none" w:sz="0" w:space="0" w:color="auto"/>
            <w:right w:val="none" w:sz="0" w:space="0" w:color="auto"/>
          </w:divBdr>
        </w:div>
        <w:div w:id="1474902845">
          <w:marLeft w:val="0"/>
          <w:marRight w:val="0"/>
          <w:marTop w:val="0"/>
          <w:marBottom w:val="0"/>
          <w:divBdr>
            <w:top w:val="none" w:sz="0" w:space="0" w:color="auto"/>
            <w:left w:val="none" w:sz="0" w:space="0" w:color="auto"/>
            <w:bottom w:val="none" w:sz="0" w:space="0" w:color="auto"/>
            <w:right w:val="none" w:sz="0" w:space="0" w:color="auto"/>
          </w:divBdr>
        </w:div>
      </w:divsChild>
    </w:div>
    <w:div w:id="624240096">
      <w:marLeft w:val="0"/>
      <w:marRight w:val="0"/>
      <w:marTop w:val="0"/>
      <w:marBottom w:val="0"/>
      <w:divBdr>
        <w:top w:val="none" w:sz="0" w:space="0" w:color="auto"/>
        <w:left w:val="none" w:sz="0" w:space="0" w:color="auto"/>
        <w:bottom w:val="none" w:sz="0" w:space="0" w:color="auto"/>
        <w:right w:val="none" w:sz="0" w:space="0" w:color="auto"/>
      </w:divBdr>
    </w:div>
    <w:div w:id="626618622">
      <w:marLeft w:val="0"/>
      <w:marRight w:val="0"/>
      <w:marTop w:val="100"/>
      <w:marBottom w:val="0"/>
      <w:divBdr>
        <w:top w:val="none" w:sz="0" w:space="0" w:color="auto"/>
        <w:left w:val="none" w:sz="0" w:space="0" w:color="auto"/>
        <w:bottom w:val="none" w:sz="0" w:space="0" w:color="auto"/>
        <w:right w:val="none" w:sz="0" w:space="0" w:color="auto"/>
      </w:divBdr>
    </w:div>
    <w:div w:id="627860167">
      <w:marLeft w:val="0"/>
      <w:marRight w:val="0"/>
      <w:marTop w:val="0"/>
      <w:marBottom w:val="0"/>
      <w:divBdr>
        <w:top w:val="none" w:sz="0" w:space="0" w:color="auto"/>
        <w:left w:val="none" w:sz="0" w:space="0" w:color="auto"/>
        <w:bottom w:val="none" w:sz="0" w:space="0" w:color="auto"/>
        <w:right w:val="none" w:sz="0" w:space="0" w:color="auto"/>
      </w:divBdr>
      <w:divsChild>
        <w:div w:id="565380283">
          <w:marLeft w:val="0"/>
          <w:marRight w:val="0"/>
          <w:marTop w:val="0"/>
          <w:marBottom w:val="0"/>
          <w:divBdr>
            <w:top w:val="none" w:sz="0" w:space="0" w:color="auto"/>
            <w:left w:val="none" w:sz="0" w:space="0" w:color="auto"/>
            <w:bottom w:val="none" w:sz="0" w:space="0" w:color="auto"/>
            <w:right w:val="none" w:sz="0" w:space="0" w:color="auto"/>
          </w:divBdr>
        </w:div>
        <w:div w:id="265584023">
          <w:marLeft w:val="0"/>
          <w:marRight w:val="0"/>
          <w:marTop w:val="0"/>
          <w:marBottom w:val="0"/>
          <w:divBdr>
            <w:top w:val="none" w:sz="0" w:space="0" w:color="auto"/>
            <w:left w:val="none" w:sz="0" w:space="0" w:color="auto"/>
            <w:bottom w:val="none" w:sz="0" w:space="0" w:color="auto"/>
            <w:right w:val="none" w:sz="0" w:space="0" w:color="auto"/>
          </w:divBdr>
        </w:div>
      </w:divsChild>
    </w:div>
    <w:div w:id="628439241">
      <w:marLeft w:val="0"/>
      <w:marRight w:val="0"/>
      <w:marTop w:val="0"/>
      <w:marBottom w:val="0"/>
      <w:divBdr>
        <w:top w:val="none" w:sz="0" w:space="0" w:color="auto"/>
        <w:left w:val="none" w:sz="0" w:space="0" w:color="auto"/>
        <w:bottom w:val="none" w:sz="0" w:space="0" w:color="auto"/>
        <w:right w:val="none" w:sz="0" w:space="0" w:color="auto"/>
      </w:divBdr>
      <w:divsChild>
        <w:div w:id="1590117232">
          <w:marLeft w:val="0"/>
          <w:marRight w:val="0"/>
          <w:marTop w:val="0"/>
          <w:marBottom w:val="0"/>
          <w:divBdr>
            <w:top w:val="none" w:sz="0" w:space="0" w:color="auto"/>
            <w:left w:val="none" w:sz="0" w:space="0" w:color="auto"/>
            <w:bottom w:val="none" w:sz="0" w:space="0" w:color="auto"/>
            <w:right w:val="none" w:sz="0" w:space="0" w:color="auto"/>
          </w:divBdr>
        </w:div>
        <w:div w:id="1069687955">
          <w:marLeft w:val="0"/>
          <w:marRight w:val="0"/>
          <w:marTop w:val="0"/>
          <w:marBottom w:val="0"/>
          <w:divBdr>
            <w:top w:val="none" w:sz="0" w:space="0" w:color="auto"/>
            <w:left w:val="none" w:sz="0" w:space="0" w:color="auto"/>
            <w:bottom w:val="none" w:sz="0" w:space="0" w:color="auto"/>
            <w:right w:val="none" w:sz="0" w:space="0" w:color="auto"/>
          </w:divBdr>
        </w:div>
      </w:divsChild>
    </w:div>
    <w:div w:id="628902392">
      <w:marLeft w:val="0"/>
      <w:marRight w:val="0"/>
      <w:marTop w:val="180"/>
      <w:marBottom w:val="0"/>
      <w:divBdr>
        <w:top w:val="none" w:sz="0" w:space="0" w:color="auto"/>
        <w:left w:val="none" w:sz="0" w:space="0" w:color="auto"/>
        <w:bottom w:val="none" w:sz="0" w:space="0" w:color="auto"/>
        <w:right w:val="none" w:sz="0" w:space="0" w:color="auto"/>
      </w:divBdr>
    </w:div>
    <w:div w:id="637102559">
      <w:marLeft w:val="0"/>
      <w:marRight w:val="0"/>
      <w:marTop w:val="0"/>
      <w:marBottom w:val="0"/>
      <w:divBdr>
        <w:top w:val="none" w:sz="0" w:space="0" w:color="auto"/>
        <w:left w:val="none" w:sz="0" w:space="0" w:color="auto"/>
        <w:bottom w:val="none" w:sz="0" w:space="0" w:color="auto"/>
        <w:right w:val="none" w:sz="0" w:space="0" w:color="auto"/>
      </w:divBdr>
    </w:div>
    <w:div w:id="639457203">
      <w:marLeft w:val="0"/>
      <w:marRight w:val="0"/>
      <w:marTop w:val="80"/>
      <w:marBottom w:val="0"/>
      <w:divBdr>
        <w:top w:val="none" w:sz="0" w:space="0" w:color="auto"/>
        <w:left w:val="none" w:sz="0" w:space="0" w:color="auto"/>
        <w:bottom w:val="none" w:sz="0" w:space="0" w:color="auto"/>
        <w:right w:val="none" w:sz="0" w:space="0" w:color="auto"/>
      </w:divBdr>
    </w:div>
    <w:div w:id="640886069">
      <w:marLeft w:val="0"/>
      <w:marRight w:val="0"/>
      <w:marTop w:val="0"/>
      <w:marBottom w:val="0"/>
      <w:divBdr>
        <w:top w:val="none" w:sz="0" w:space="0" w:color="auto"/>
        <w:left w:val="none" w:sz="0" w:space="0" w:color="auto"/>
        <w:bottom w:val="none" w:sz="0" w:space="0" w:color="auto"/>
        <w:right w:val="none" w:sz="0" w:space="0" w:color="auto"/>
      </w:divBdr>
    </w:div>
    <w:div w:id="646058501">
      <w:marLeft w:val="0"/>
      <w:marRight w:val="0"/>
      <w:marTop w:val="0"/>
      <w:marBottom w:val="0"/>
      <w:divBdr>
        <w:top w:val="none" w:sz="0" w:space="0" w:color="auto"/>
        <w:left w:val="none" w:sz="0" w:space="0" w:color="auto"/>
        <w:bottom w:val="none" w:sz="0" w:space="0" w:color="auto"/>
        <w:right w:val="none" w:sz="0" w:space="0" w:color="auto"/>
      </w:divBdr>
    </w:div>
    <w:div w:id="646321461">
      <w:marLeft w:val="0"/>
      <w:marRight w:val="0"/>
      <w:marTop w:val="0"/>
      <w:marBottom w:val="0"/>
      <w:divBdr>
        <w:top w:val="none" w:sz="0" w:space="0" w:color="auto"/>
        <w:left w:val="none" w:sz="0" w:space="0" w:color="auto"/>
        <w:bottom w:val="none" w:sz="0" w:space="0" w:color="auto"/>
        <w:right w:val="none" w:sz="0" w:space="0" w:color="auto"/>
      </w:divBdr>
    </w:div>
    <w:div w:id="655376924">
      <w:marLeft w:val="0"/>
      <w:marRight w:val="0"/>
      <w:marTop w:val="0"/>
      <w:marBottom w:val="0"/>
      <w:divBdr>
        <w:top w:val="none" w:sz="0" w:space="0" w:color="auto"/>
        <w:left w:val="none" w:sz="0" w:space="0" w:color="auto"/>
        <w:bottom w:val="none" w:sz="0" w:space="0" w:color="auto"/>
        <w:right w:val="none" w:sz="0" w:space="0" w:color="auto"/>
      </w:divBdr>
      <w:divsChild>
        <w:div w:id="2075350875">
          <w:marLeft w:val="0"/>
          <w:marRight w:val="0"/>
          <w:marTop w:val="0"/>
          <w:marBottom w:val="0"/>
          <w:divBdr>
            <w:top w:val="none" w:sz="0" w:space="0" w:color="auto"/>
            <w:left w:val="none" w:sz="0" w:space="0" w:color="auto"/>
            <w:bottom w:val="none" w:sz="0" w:space="0" w:color="auto"/>
            <w:right w:val="none" w:sz="0" w:space="0" w:color="auto"/>
          </w:divBdr>
        </w:div>
        <w:div w:id="1674841103">
          <w:marLeft w:val="0"/>
          <w:marRight w:val="0"/>
          <w:marTop w:val="0"/>
          <w:marBottom w:val="0"/>
          <w:divBdr>
            <w:top w:val="none" w:sz="0" w:space="0" w:color="auto"/>
            <w:left w:val="none" w:sz="0" w:space="0" w:color="auto"/>
            <w:bottom w:val="none" w:sz="0" w:space="0" w:color="auto"/>
            <w:right w:val="none" w:sz="0" w:space="0" w:color="auto"/>
          </w:divBdr>
        </w:div>
      </w:divsChild>
    </w:div>
    <w:div w:id="657147605">
      <w:marLeft w:val="0"/>
      <w:marRight w:val="0"/>
      <w:marTop w:val="0"/>
      <w:marBottom w:val="0"/>
      <w:divBdr>
        <w:top w:val="none" w:sz="0" w:space="0" w:color="auto"/>
        <w:left w:val="none" w:sz="0" w:space="0" w:color="auto"/>
        <w:bottom w:val="none" w:sz="0" w:space="0" w:color="auto"/>
        <w:right w:val="none" w:sz="0" w:space="0" w:color="auto"/>
      </w:divBdr>
      <w:divsChild>
        <w:div w:id="1848516154">
          <w:marLeft w:val="0"/>
          <w:marRight w:val="0"/>
          <w:marTop w:val="0"/>
          <w:marBottom w:val="0"/>
          <w:divBdr>
            <w:top w:val="none" w:sz="0" w:space="0" w:color="auto"/>
            <w:left w:val="none" w:sz="0" w:space="0" w:color="auto"/>
            <w:bottom w:val="none" w:sz="0" w:space="0" w:color="auto"/>
            <w:right w:val="none" w:sz="0" w:space="0" w:color="auto"/>
          </w:divBdr>
        </w:div>
      </w:divsChild>
    </w:div>
    <w:div w:id="658847531">
      <w:marLeft w:val="0"/>
      <w:marRight w:val="0"/>
      <w:marTop w:val="0"/>
      <w:marBottom w:val="0"/>
      <w:divBdr>
        <w:top w:val="none" w:sz="0" w:space="0" w:color="auto"/>
        <w:left w:val="none" w:sz="0" w:space="0" w:color="auto"/>
        <w:bottom w:val="none" w:sz="0" w:space="0" w:color="auto"/>
        <w:right w:val="none" w:sz="0" w:space="0" w:color="auto"/>
      </w:divBdr>
      <w:divsChild>
        <w:div w:id="2019236984">
          <w:marLeft w:val="0"/>
          <w:marRight w:val="0"/>
          <w:marTop w:val="0"/>
          <w:marBottom w:val="0"/>
          <w:divBdr>
            <w:top w:val="none" w:sz="0" w:space="0" w:color="auto"/>
            <w:left w:val="none" w:sz="0" w:space="0" w:color="auto"/>
            <w:bottom w:val="none" w:sz="0" w:space="0" w:color="auto"/>
            <w:right w:val="none" w:sz="0" w:space="0" w:color="auto"/>
          </w:divBdr>
        </w:div>
        <w:div w:id="770516208">
          <w:marLeft w:val="0"/>
          <w:marRight w:val="0"/>
          <w:marTop w:val="0"/>
          <w:marBottom w:val="0"/>
          <w:divBdr>
            <w:top w:val="none" w:sz="0" w:space="0" w:color="auto"/>
            <w:left w:val="none" w:sz="0" w:space="0" w:color="auto"/>
            <w:bottom w:val="none" w:sz="0" w:space="0" w:color="auto"/>
            <w:right w:val="none" w:sz="0" w:space="0" w:color="auto"/>
          </w:divBdr>
        </w:div>
      </w:divsChild>
    </w:div>
    <w:div w:id="660279550">
      <w:marLeft w:val="0"/>
      <w:marRight w:val="0"/>
      <w:marTop w:val="120"/>
      <w:marBottom w:val="120"/>
      <w:divBdr>
        <w:top w:val="none" w:sz="0" w:space="0" w:color="auto"/>
        <w:left w:val="none" w:sz="0" w:space="0" w:color="auto"/>
        <w:bottom w:val="none" w:sz="0" w:space="0" w:color="auto"/>
        <w:right w:val="none" w:sz="0" w:space="0" w:color="auto"/>
      </w:divBdr>
    </w:div>
    <w:div w:id="664169693">
      <w:marLeft w:val="0"/>
      <w:marRight w:val="0"/>
      <w:marTop w:val="0"/>
      <w:marBottom w:val="0"/>
      <w:divBdr>
        <w:top w:val="none" w:sz="0" w:space="0" w:color="auto"/>
        <w:left w:val="none" w:sz="0" w:space="0" w:color="auto"/>
        <w:bottom w:val="none" w:sz="0" w:space="0" w:color="auto"/>
        <w:right w:val="none" w:sz="0" w:space="0" w:color="auto"/>
      </w:divBdr>
    </w:div>
    <w:div w:id="667750129">
      <w:marLeft w:val="0"/>
      <w:marRight w:val="0"/>
      <w:marTop w:val="0"/>
      <w:marBottom w:val="0"/>
      <w:divBdr>
        <w:top w:val="none" w:sz="0" w:space="0" w:color="auto"/>
        <w:left w:val="none" w:sz="0" w:space="0" w:color="auto"/>
        <w:bottom w:val="none" w:sz="0" w:space="0" w:color="auto"/>
        <w:right w:val="none" w:sz="0" w:space="0" w:color="auto"/>
      </w:divBdr>
      <w:divsChild>
        <w:div w:id="338704190">
          <w:marLeft w:val="0"/>
          <w:marRight w:val="0"/>
          <w:marTop w:val="0"/>
          <w:marBottom w:val="0"/>
          <w:divBdr>
            <w:top w:val="none" w:sz="0" w:space="0" w:color="auto"/>
            <w:left w:val="none" w:sz="0" w:space="0" w:color="auto"/>
            <w:bottom w:val="none" w:sz="0" w:space="0" w:color="auto"/>
            <w:right w:val="none" w:sz="0" w:space="0" w:color="auto"/>
          </w:divBdr>
        </w:div>
        <w:div w:id="1549806392">
          <w:marLeft w:val="0"/>
          <w:marRight w:val="0"/>
          <w:marTop w:val="0"/>
          <w:marBottom w:val="0"/>
          <w:divBdr>
            <w:top w:val="none" w:sz="0" w:space="0" w:color="auto"/>
            <w:left w:val="none" w:sz="0" w:space="0" w:color="auto"/>
            <w:bottom w:val="none" w:sz="0" w:space="0" w:color="auto"/>
            <w:right w:val="none" w:sz="0" w:space="0" w:color="auto"/>
          </w:divBdr>
        </w:div>
      </w:divsChild>
    </w:div>
    <w:div w:id="669454153">
      <w:marLeft w:val="0"/>
      <w:marRight w:val="0"/>
      <w:marTop w:val="0"/>
      <w:marBottom w:val="120"/>
      <w:divBdr>
        <w:top w:val="none" w:sz="0" w:space="0" w:color="auto"/>
        <w:left w:val="none" w:sz="0" w:space="0" w:color="auto"/>
        <w:bottom w:val="none" w:sz="0" w:space="0" w:color="auto"/>
        <w:right w:val="none" w:sz="0" w:space="0" w:color="auto"/>
      </w:divBdr>
    </w:div>
    <w:div w:id="671496235">
      <w:marLeft w:val="0"/>
      <w:marRight w:val="0"/>
      <w:marTop w:val="0"/>
      <w:marBottom w:val="0"/>
      <w:divBdr>
        <w:top w:val="none" w:sz="0" w:space="0" w:color="auto"/>
        <w:left w:val="none" w:sz="0" w:space="0" w:color="auto"/>
        <w:bottom w:val="none" w:sz="0" w:space="0" w:color="auto"/>
        <w:right w:val="none" w:sz="0" w:space="0" w:color="auto"/>
      </w:divBdr>
      <w:divsChild>
        <w:div w:id="1845709413">
          <w:marLeft w:val="0"/>
          <w:marRight w:val="0"/>
          <w:marTop w:val="0"/>
          <w:marBottom w:val="0"/>
          <w:divBdr>
            <w:top w:val="none" w:sz="0" w:space="0" w:color="auto"/>
            <w:left w:val="none" w:sz="0" w:space="0" w:color="auto"/>
            <w:bottom w:val="none" w:sz="0" w:space="0" w:color="auto"/>
            <w:right w:val="none" w:sz="0" w:space="0" w:color="auto"/>
          </w:divBdr>
        </w:div>
        <w:div w:id="502822427">
          <w:marLeft w:val="0"/>
          <w:marRight w:val="0"/>
          <w:marTop w:val="0"/>
          <w:marBottom w:val="0"/>
          <w:divBdr>
            <w:top w:val="none" w:sz="0" w:space="0" w:color="auto"/>
            <w:left w:val="none" w:sz="0" w:space="0" w:color="auto"/>
            <w:bottom w:val="none" w:sz="0" w:space="0" w:color="auto"/>
            <w:right w:val="none" w:sz="0" w:space="0" w:color="auto"/>
          </w:divBdr>
        </w:div>
      </w:divsChild>
    </w:div>
    <w:div w:id="674649211">
      <w:marLeft w:val="0"/>
      <w:marRight w:val="0"/>
      <w:marTop w:val="0"/>
      <w:marBottom w:val="0"/>
      <w:divBdr>
        <w:top w:val="none" w:sz="0" w:space="0" w:color="auto"/>
        <w:left w:val="none" w:sz="0" w:space="0" w:color="auto"/>
        <w:bottom w:val="none" w:sz="0" w:space="0" w:color="auto"/>
        <w:right w:val="none" w:sz="0" w:space="0" w:color="auto"/>
      </w:divBdr>
    </w:div>
    <w:div w:id="674725502">
      <w:marLeft w:val="0"/>
      <w:marRight w:val="0"/>
      <w:marTop w:val="0"/>
      <w:marBottom w:val="0"/>
      <w:divBdr>
        <w:top w:val="none" w:sz="0" w:space="0" w:color="auto"/>
        <w:left w:val="none" w:sz="0" w:space="0" w:color="auto"/>
        <w:bottom w:val="none" w:sz="0" w:space="0" w:color="auto"/>
        <w:right w:val="none" w:sz="0" w:space="0" w:color="auto"/>
      </w:divBdr>
    </w:div>
    <w:div w:id="676270776">
      <w:marLeft w:val="0"/>
      <w:marRight w:val="0"/>
      <w:marTop w:val="0"/>
      <w:marBottom w:val="0"/>
      <w:divBdr>
        <w:top w:val="none" w:sz="0" w:space="0" w:color="auto"/>
        <w:left w:val="none" w:sz="0" w:space="0" w:color="auto"/>
        <w:bottom w:val="none" w:sz="0" w:space="0" w:color="auto"/>
        <w:right w:val="none" w:sz="0" w:space="0" w:color="auto"/>
      </w:divBdr>
    </w:div>
    <w:div w:id="685132291">
      <w:marLeft w:val="0"/>
      <w:marRight w:val="0"/>
      <w:marTop w:val="0"/>
      <w:marBottom w:val="0"/>
      <w:divBdr>
        <w:top w:val="none" w:sz="0" w:space="0" w:color="auto"/>
        <w:left w:val="none" w:sz="0" w:space="0" w:color="auto"/>
        <w:bottom w:val="none" w:sz="0" w:space="0" w:color="auto"/>
        <w:right w:val="none" w:sz="0" w:space="0" w:color="auto"/>
      </w:divBdr>
    </w:div>
    <w:div w:id="685904333">
      <w:marLeft w:val="0"/>
      <w:marRight w:val="0"/>
      <w:marTop w:val="0"/>
      <w:marBottom w:val="200"/>
      <w:divBdr>
        <w:top w:val="none" w:sz="0" w:space="0" w:color="auto"/>
        <w:left w:val="none" w:sz="0" w:space="0" w:color="auto"/>
        <w:bottom w:val="none" w:sz="0" w:space="0" w:color="auto"/>
        <w:right w:val="none" w:sz="0" w:space="0" w:color="auto"/>
      </w:divBdr>
    </w:div>
    <w:div w:id="689796376">
      <w:marLeft w:val="0"/>
      <w:marRight w:val="0"/>
      <w:marTop w:val="0"/>
      <w:marBottom w:val="0"/>
      <w:divBdr>
        <w:top w:val="none" w:sz="0" w:space="0" w:color="auto"/>
        <w:left w:val="none" w:sz="0" w:space="0" w:color="auto"/>
        <w:bottom w:val="none" w:sz="0" w:space="0" w:color="auto"/>
        <w:right w:val="none" w:sz="0" w:space="0" w:color="auto"/>
      </w:divBdr>
      <w:divsChild>
        <w:div w:id="2054033345">
          <w:marLeft w:val="0"/>
          <w:marRight w:val="0"/>
          <w:marTop w:val="0"/>
          <w:marBottom w:val="0"/>
          <w:divBdr>
            <w:top w:val="none" w:sz="0" w:space="0" w:color="auto"/>
            <w:left w:val="none" w:sz="0" w:space="0" w:color="auto"/>
            <w:bottom w:val="none" w:sz="0" w:space="0" w:color="auto"/>
            <w:right w:val="none" w:sz="0" w:space="0" w:color="auto"/>
          </w:divBdr>
        </w:div>
        <w:div w:id="1710716207">
          <w:marLeft w:val="0"/>
          <w:marRight w:val="0"/>
          <w:marTop w:val="0"/>
          <w:marBottom w:val="0"/>
          <w:divBdr>
            <w:top w:val="none" w:sz="0" w:space="0" w:color="auto"/>
            <w:left w:val="none" w:sz="0" w:space="0" w:color="auto"/>
            <w:bottom w:val="none" w:sz="0" w:space="0" w:color="auto"/>
            <w:right w:val="none" w:sz="0" w:space="0" w:color="auto"/>
          </w:divBdr>
        </w:div>
      </w:divsChild>
    </w:div>
    <w:div w:id="691994801">
      <w:marLeft w:val="0"/>
      <w:marRight w:val="0"/>
      <w:marTop w:val="100"/>
      <w:marBottom w:val="0"/>
      <w:divBdr>
        <w:top w:val="none" w:sz="0" w:space="0" w:color="auto"/>
        <w:left w:val="none" w:sz="0" w:space="0" w:color="auto"/>
        <w:bottom w:val="none" w:sz="0" w:space="0" w:color="auto"/>
        <w:right w:val="none" w:sz="0" w:space="0" w:color="auto"/>
      </w:divBdr>
    </w:div>
    <w:div w:id="692464904">
      <w:marLeft w:val="0"/>
      <w:marRight w:val="0"/>
      <w:marTop w:val="0"/>
      <w:marBottom w:val="0"/>
      <w:divBdr>
        <w:top w:val="none" w:sz="0" w:space="0" w:color="auto"/>
        <w:left w:val="none" w:sz="0" w:space="0" w:color="auto"/>
        <w:bottom w:val="none" w:sz="0" w:space="0" w:color="auto"/>
        <w:right w:val="none" w:sz="0" w:space="0" w:color="auto"/>
      </w:divBdr>
    </w:div>
    <w:div w:id="693698985">
      <w:marLeft w:val="0"/>
      <w:marRight w:val="0"/>
      <w:marTop w:val="0"/>
      <w:marBottom w:val="0"/>
      <w:divBdr>
        <w:top w:val="none" w:sz="0" w:space="0" w:color="auto"/>
        <w:left w:val="none" w:sz="0" w:space="0" w:color="auto"/>
        <w:bottom w:val="none" w:sz="0" w:space="0" w:color="auto"/>
        <w:right w:val="none" w:sz="0" w:space="0" w:color="auto"/>
      </w:divBdr>
    </w:div>
    <w:div w:id="695233132">
      <w:marLeft w:val="0"/>
      <w:marRight w:val="0"/>
      <w:marTop w:val="0"/>
      <w:marBottom w:val="0"/>
      <w:divBdr>
        <w:top w:val="none" w:sz="0" w:space="0" w:color="auto"/>
        <w:left w:val="none" w:sz="0" w:space="0" w:color="auto"/>
        <w:bottom w:val="none" w:sz="0" w:space="0" w:color="auto"/>
        <w:right w:val="none" w:sz="0" w:space="0" w:color="auto"/>
      </w:divBdr>
    </w:div>
    <w:div w:id="695498621">
      <w:marLeft w:val="0"/>
      <w:marRight w:val="0"/>
      <w:marTop w:val="0"/>
      <w:marBottom w:val="0"/>
      <w:divBdr>
        <w:top w:val="none" w:sz="0" w:space="0" w:color="auto"/>
        <w:left w:val="none" w:sz="0" w:space="0" w:color="auto"/>
        <w:bottom w:val="none" w:sz="0" w:space="0" w:color="auto"/>
        <w:right w:val="none" w:sz="0" w:space="0" w:color="auto"/>
      </w:divBdr>
    </w:div>
    <w:div w:id="699402237">
      <w:marLeft w:val="0"/>
      <w:marRight w:val="0"/>
      <w:marTop w:val="0"/>
      <w:marBottom w:val="60"/>
      <w:divBdr>
        <w:top w:val="none" w:sz="0" w:space="0" w:color="auto"/>
        <w:left w:val="none" w:sz="0" w:space="0" w:color="auto"/>
        <w:bottom w:val="none" w:sz="0" w:space="0" w:color="auto"/>
        <w:right w:val="none" w:sz="0" w:space="0" w:color="auto"/>
      </w:divBdr>
    </w:div>
    <w:div w:id="699624662">
      <w:marLeft w:val="0"/>
      <w:marRight w:val="0"/>
      <w:marTop w:val="0"/>
      <w:marBottom w:val="0"/>
      <w:divBdr>
        <w:top w:val="none" w:sz="0" w:space="0" w:color="auto"/>
        <w:left w:val="none" w:sz="0" w:space="0" w:color="auto"/>
        <w:bottom w:val="none" w:sz="0" w:space="0" w:color="auto"/>
        <w:right w:val="none" w:sz="0" w:space="0" w:color="auto"/>
      </w:divBdr>
    </w:div>
    <w:div w:id="711075673">
      <w:marLeft w:val="0"/>
      <w:marRight w:val="0"/>
      <w:marTop w:val="0"/>
      <w:marBottom w:val="0"/>
      <w:divBdr>
        <w:top w:val="none" w:sz="0" w:space="0" w:color="auto"/>
        <w:left w:val="none" w:sz="0" w:space="0" w:color="auto"/>
        <w:bottom w:val="none" w:sz="0" w:space="0" w:color="auto"/>
        <w:right w:val="none" w:sz="0" w:space="0" w:color="auto"/>
      </w:divBdr>
    </w:div>
    <w:div w:id="713115287">
      <w:marLeft w:val="0"/>
      <w:marRight w:val="0"/>
      <w:marTop w:val="0"/>
      <w:marBottom w:val="0"/>
      <w:divBdr>
        <w:top w:val="none" w:sz="0" w:space="0" w:color="auto"/>
        <w:left w:val="none" w:sz="0" w:space="0" w:color="auto"/>
        <w:bottom w:val="none" w:sz="0" w:space="0" w:color="auto"/>
        <w:right w:val="none" w:sz="0" w:space="0" w:color="auto"/>
      </w:divBdr>
    </w:div>
    <w:div w:id="714351534">
      <w:marLeft w:val="0"/>
      <w:marRight w:val="0"/>
      <w:marTop w:val="0"/>
      <w:marBottom w:val="60"/>
      <w:divBdr>
        <w:top w:val="none" w:sz="0" w:space="0" w:color="auto"/>
        <w:left w:val="none" w:sz="0" w:space="0" w:color="auto"/>
        <w:bottom w:val="none" w:sz="0" w:space="0" w:color="auto"/>
        <w:right w:val="none" w:sz="0" w:space="0" w:color="auto"/>
      </w:divBdr>
    </w:div>
    <w:div w:id="714505525">
      <w:marLeft w:val="0"/>
      <w:marRight w:val="0"/>
      <w:marTop w:val="0"/>
      <w:marBottom w:val="0"/>
      <w:divBdr>
        <w:top w:val="none" w:sz="0" w:space="0" w:color="auto"/>
        <w:left w:val="none" w:sz="0" w:space="0" w:color="auto"/>
        <w:bottom w:val="none" w:sz="0" w:space="0" w:color="auto"/>
        <w:right w:val="none" w:sz="0" w:space="0" w:color="auto"/>
      </w:divBdr>
    </w:div>
    <w:div w:id="718893954">
      <w:marLeft w:val="0"/>
      <w:marRight w:val="0"/>
      <w:marTop w:val="0"/>
      <w:marBottom w:val="60"/>
      <w:divBdr>
        <w:top w:val="none" w:sz="0" w:space="0" w:color="auto"/>
        <w:left w:val="none" w:sz="0" w:space="0" w:color="auto"/>
        <w:bottom w:val="none" w:sz="0" w:space="0" w:color="auto"/>
        <w:right w:val="none" w:sz="0" w:space="0" w:color="auto"/>
      </w:divBdr>
    </w:div>
    <w:div w:id="721640109">
      <w:marLeft w:val="0"/>
      <w:marRight w:val="0"/>
      <w:marTop w:val="0"/>
      <w:marBottom w:val="0"/>
      <w:divBdr>
        <w:top w:val="none" w:sz="0" w:space="0" w:color="auto"/>
        <w:left w:val="none" w:sz="0" w:space="0" w:color="auto"/>
        <w:bottom w:val="none" w:sz="0" w:space="0" w:color="auto"/>
        <w:right w:val="none" w:sz="0" w:space="0" w:color="auto"/>
      </w:divBdr>
    </w:div>
    <w:div w:id="723481552">
      <w:marLeft w:val="0"/>
      <w:marRight w:val="0"/>
      <w:marTop w:val="0"/>
      <w:marBottom w:val="0"/>
      <w:divBdr>
        <w:top w:val="none" w:sz="0" w:space="0" w:color="auto"/>
        <w:left w:val="none" w:sz="0" w:space="0" w:color="auto"/>
        <w:bottom w:val="none" w:sz="0" w:space="0" w:color="auto"/>
        <w:right w:val="none" w:sz="0" w:space="0" w:color="auto"/>
      </w:divBdr>
      <w:divsChild>
        <w:div w:id="798306059">
          <w:marLeft w:val="0"/>
          <w:marRight w:val="0"/>
          <w:marTop w:val="0"/>
          <w:marBottom w:val="0"/>
          <w:divBdr>
            <w:top w:val="none" w:sz="0" w:space="0" w:color="auto"/>
            <w:left w:val="none" w:sz="0" w:space="0" w:color="auto"/>
            <w:bottom w:val="none" w:sz="0" w:space="0" w:color="auto"/>
            <w:right w:val="none" w:sz="0" w:space="0" w:color="auto"/>
          </w:divBdr>
        </w:div>
        <w:div w:id="1403016973">
          <w:marLeft w:val="0"/>
          <w:marRight w:val="0"/>
          <w:marTop w:val="0"/>
          <w:marBottom w:val="0"/>
          <w:divBdr>
            <w:top w:val="none" w:sz="0" w:space="0" w:color="auto"/>
            <w:left w:val="none" w:sz="0" w:space="0" w:color="auto"/>
            <w:bottom w:val="none" w:sz="0" w:space="0" w:color="auto"/>
            <w:right w:val="none" w:sz="0" w:space="0" w:color="auto"/>
          </w:divBdr>
        </w:div>
      </w:divsChild>
    </w:div>
    <w:div w:id="728964539">
      <w:marLeft w:val="0"/>
      <w:marRight w:val="0"/>
      <w:marTop w:val="0"/>
      <w:marBottom w:val="0"/>
      <w:divBdr>
        <w:top w:val="none" w:sz="0" w:space="0" w:color="auto"/>
        <w:left w:val="none" w:sz="0" w:space="0" w:color="auto"/>
        <w:bottom w:val="none" w:sz="0" w:space="0" w:color="auto"/>
        <w:right w:val="none" w:sz="0" w:space="0" w:color="auto"/>
      </w:divBdr>
    </w:div>
    <w:div w:id="731736615">
      <w:marLeft w:val="0"/>
      <w:marRight w:val="0"/>
      <w:marTop w:val="0"/>
      <w:marBottom w:val="0"/>
      <w:divBdr>
        <w:top w:val="none" w:sz="0" w:space="0" w:color="auto"/>
        <w:left w:val="none" w:sz="0" w:space="0" w:color="auto"/>
        <w:bottom w:val="none" w:sz="0" w:space="0" w:color="auto"/>
        <w:right w:val="none" w:sz="0" w:space="0" w:color="auto"/>
      </w:divBdr>
      <w:divsChild>
        <w:div w:id="257832234">
          <w:marLeft w:val="0"/>
          <w:marRight w:val="0"/>
          <w:marTop w:val="0"/>
          <w:marBottom w:val="0"/>
          <w:divBdr>
            <w:top w:val="none" w:sz="0" w:space="0" w:color="auto"/>
            <w:left w:val="none" w:sz="0" w:space="0" w:color="auto"/>
            <w:bottom w:val="none" w:sz="0" w:space="0" w:color="auto"/>
            <w:right w:val="none" w:sz="0" w:space="0" w:color="auto"/>
          </w:divBdr>
        </w:div>
        <w:div w:id="557210465">
          <w:marLeft w:val="0"/>
          <w:marRight w:val="0"/>
          <w:marTop w:val="0"/>
          <w:marBottom w:val="0"/>
          <w:divBdr>
            <w:top w:val="none" w:sz="0" w:space="0" w:color="auto"/>
            <w:left w:val="none" w:sz="0" w:space="0" w:color="auto"/>
            <w:bottom w:val="none" w:sz="0" w:space="0" w:color="auto"/>
            <w:right w:val="none" w:sz="0" w:space="0" w:color="auto"/>
          </w:divBdr>
        </w:div>
      </w:divsChild>
    </w:div>
    <w:div w:id="732854467">
      <w:marLeft w:val="0"/>
      <w:marRight w:val="0"/>
      <w:marTop w:val="100"/>
      <w:marBottom w:val="0"/>
      <w:divBdr>
        <w:top w:val="none" w:sz="0" w:space="0" w:color="auto"/>
        <w:left w:val="none" w:sz="0" w:space="0" w:color="auto"/>
        <w:bottom w:val="none" w:sz="0" w:space="0" w:color="auto"/>
        <w:right w:val="none" w:sz="0" w:space="0" w:color="auto"/>
      </w:divBdr>
    </w:div>
    <w:div w:id="734398950">
      <w:marLeft w:val="0"/>
      <w:marRight w:val="0"/>
      <w:marTop w:val="0"/>
      <w:marBottom w:val="0"/>
      <w:divBdr>
        <w:top w:val="none" w:sz="0" w:space="0" w:color="auto"/>
        <w:left w:val="none" w:sz="0" w:space="0" w:color="auto"/>
        <w:bottom w:val="none" w:sz="0" w:space="0" w:color="auto"/>
        <w:right w:val="none" w:sz="0" w:space="0" w:color="auto"/>
      </w:divBdr>
      <w:divsChild>
        <w:div w:id="261960135">
          <w:marLeft w:val="0"/>
          <w:marRight w:val="0"/>
          <w:marTop w:val="0"/>
          <w:marBottom w:val="0"/>
          <w:divBdr>
            <w:top w:val="none" w:sz="0" w:space="0" w:color="auto"/>
            <w:left w:val="none" w:sz="0" w:space="0" w:color="auto"/>
            <w:bottom w:val="none" w:sz="0" w:space="0" w:color="auto"/>
            <w:right w:val="none" w:sz="0" w:space="0" w:color="auto"/>
          </w:divBdr>
        </w:div>
        <w:div w:id="1018388064">
          <w:marLeft w:val="0"/>
          <w:marRight w:val="0"/>
          <w:marTop w:val="0"/>
          <w:marBottom w:val="0"/>
          <w:divBdr>
            <w:top w:val="none" w:sz="0" w:space="0" w:color="auto"/>
            <w:left w:val="none" w:sz="0" w:space="0" w:color="auto"/>
            <w:bottom w:val="none" w:sz="0" w:space="0" w:color="auto"/>
            <w:right w:val="none" w:sz="0" w:space="0" w:color="auto"/>
          </w:divBdr>
        </w:div>
      </w:divsChild>
    </w:div>
    <w:div w:id="736364143">
      <w:marLeft w:val="0"/>
      <w:marRight w:val="0"/>
      <w:marTop w:val="0"/>
      <w:marBottom w:val="0"/>
      <w:divBdr>
        <w:top w:val="none" w:sz="0" w:space="0" w:color="auto"/>
        <w:left w:val="none" w:sz="0" w:space="0" w:color="auto"/>
        <w:bottom w:val="none" w:sz="0" w:space="0" w:color="auto"/>
        <w:right w:val="none" w:sz="0" w:space="0" w:color="auto"/>
      </w:divBdr>
    </w:div>
    <w:div w:id="737284211">
      <w:marLeft w:val="0"/>
      <w:marRight w:val="0"/>
      <w:marTop w:val="0"/>
      <w:marBottom w:val="0"/>
      <w:divBdr>
        <w:top w:val="none" w:sz="0" w:space="0" w:color="auto"/>
        <w:left w:val="none" w:sz="0" w:space="0" w:color="auto"/>
        <w:bottom w:val="none" w:sz="0" w:space="0" w:color="auto"/>
        <w:right w:val="none" w:sz="0" w:space="0" w:color="auto"/>
      </w:divBdr>
    </w:div>
    <w:div w:id="738479921">
      <w:marLeft w:val="0"/>
      <w:marRight w:val="0"/>
      <w:marTop w:val="0"/>
      <w:marBottom w:val="0"/>
      <w:divBdr>
        <w:top w:val="none" w:sz="0" w:space="0" w:color="auto"/>
        <w:left w:val="none" w:sz="0" w:space="0" w:color="auto"/>
        <w:bottom w:val="none" w:sz="0" w:space="0" w:color="auto"/>
        <w:right w:val="none" w:sz="0" w:space="0" w:color="auto"/>
      </w:divBdr>
    </w:div>
    <w:div w:id="740063383">
      <w:marLeft w:val="0"/>
      <w:marRight w:val="0"/>
      <w:marTop w:val="0"/>
      <w:marBottom w:val="0"/>
      <w:divBdr>
        <w:top w:val="none" w:sz="0" w:space="0" w:color="auto"/>
        <w:left w:val="none" w:sz="0" w:space="0" w:color="auto"/>
        <w:bottom w:val="none" w:sz="0" w:space="0" w:color="auto"/>
        <w:right w:val="none" w:sz="0" w:space="0" w:color="auto"/>
      </w:divBdr>
    </w:div>
    <w:div w:id="741683137">
      <w:marLeft w:val="0"/>
      <w:marRight w:val="0"/>
      <w:marTop w:val="0"/>
      <w:marBottom w:val="132"/>
      <w:divBdr>
        <w:top w:val="none" w:sz="0" w:space="0" w:color="auto"/>
        <w:left w:val="none" w:sz="0" w:space="0" w:color="auto"/>
        <w:bottom w:val="none" w:sz="0" w:space="0" w:color="auto"/>
        <w:right w:val="none" w:sz="0" w:space="0" w:color="auto"/>
      </w:divBdr>
    </w:div>
    <w:div w:id="743263327">
      <w:marLeft w:val="0"/>
      <w:marRight w:val="0"/>
      <w:marTop w:val="0"/>
      <w:marBottom w:val="0"/>
      <w:divBdr>
        <w:top w:val="none" w:sz="0" w:space="0" w:color="auto"/>
        <w:left w:val="none" w:sz="0" w:space="0" w:color="auto"/>
        <w:bottom w:val="none" w:sz="0" w:space="0" w:color="auto"/>
        <w:right w:val="none" w:sz="0" w:space="0" w:color="auto"/>
      </w:divBdr>
      <w:divsChild>
        <w:div w:id="1061369803">
          <w:marLeft w:val="0"/>
          <w:marRight w:val="0"/>
          <w:marTop w:val="0"/>
          <w:marBottom w:val="0"/>
          <w:divBdr>
            <w:top w:val="none" w:sz="0" w:space="0" w:color="auto"/>
            <w:left w:val="none" w:sz="0" w:space="0" w:color="auto"/>
            <w:bottom w:val="none" w:sz="0" w:space="0" w:color="auto"/>
            <w:right w:val="none" w:sz="0" w:space="0" w:color="auto"/>
          </w:divBdr>
        </w:div>
        <w:div w:id="1853449234">
          <w:marLeft w:val="0"/>
          <w:marRight w:val="0"/>
          <w:marTop w:val="0"/>
          <w:marBottom w:val="0"/>
          <w:divBdr>
            <w:top w:val="none" w:sz="0" w:space="0" w:color="auto"/>
            <w:left w:val="none" w:sz="0" w:space="0" w:color="auto"/>
            <w:bottom w:val="none" w:sz="0" w:space="0" w:color="auto"/>
            <w:right w:val="none" w:sz="0" w:space="0" w:color="auto"/>
          </w:divBdr>
        </w:div>
      </w:divsChild>
    </w:div>
    <w:div w:id="745341874">
      <w:marLeft w:val="0"/>
      <w:marRight w:val="0"/>
      <w:marTop w:val="100"/>
      <w:marBottom w:val="0"/>
      <w:divBdr>
        <w:top w:val="none" w:sz="0" w:space="0" w:color="auto"/>
        <w:left w:val="none" w:sz="0" w:space="0" w:color="auto"/>
        <w:bottom w:val="none" w:sz="0" w:space="0" w:color="auto"/>
        <w:right w:val="none" w:sz="0" w:space="0" w:color="auto"/>
      </w:divBdr>
    </w:div>
    <w:div w:id="747309083">
      <w:marLeft w:val="0"/>
      <w:marRight w:val="0"/>
      <w:marTop w:val="0"/>
      <w:marBottom w:val="0"/>
      <w:divBdr>
        <w:top w:val="none" w:sz="0" w:space="0" w:color="auto"/>
        <w:left w:val="none" w:sz="0" w:space="0" w:color="auto"/>
        <w:bottom w:val="none" w:sz="0" w:space="0" w:color="auto"/>
        <w:right w:val="none" w:sz="0" w:space="0" w:color="auto"/>
      </w:divBdr>
      <w:divsChild>
        <w:div w:id="1441610924">
          <w:marLeft w:val="0"/>
          <w:marRight w:val="0"/>
          <w:marTop w:val="0"/>
          <w:marBottom w:val="0"/>
          <w:divBdr>
            <w:top w:val="none" w:sz="0" w:space="0" w:color="auto"/>
            <w:left w:val="none" w:sz="0" w:space="0" w:color="auto"/>
            <w:bottom w:val="none" w:sz="0" w:space="0" w:color="auto"/>
            <w:right w:val="none" w:sz="0" w:space="0" w:color="auto"/>
          </w:divBdr>
        </w:div>
        <w:div w:id="723023191">
          <w:marLeft w:val="0"/>
          <w:marRight w:val="0"/>
          <w:marTop w:val="0"/>
          <w:marBottom w:val="0"/>
          <w:divBdr>
            <w:top w:val="none" w:sz="0" w:space="0" w:color="auto"/>
            <w:left w:val="none" w:sz="0" w:space="0" w:color="auto"/>
            <w:bottom w:val="none" w:sz="0" w:space="0" w:color="auto"/>
            <w:right w:val="none" w:sz="0" w:space="0" w:color="auto"/>
          </w:divBdr>
        </w:div>
      </w:divsChild>
    </w:div>
    <w:div w:id="749621328">
      <w:marLeft w:val="0"/>
      <w:marRight w:val="0"/>
      <w:marTop w:val="0"/>
      <w:marBottom w:val="0"/>
      <w:divBdr>
        <w:top w:val="none" w:sz="0" w:space="0" w:color="auto"/>
        <w:left w:val="none" w:sz="0" w:space="0" w:color="auto"/>
        <w:bottom w:val="none" w:sz="0" w:space="0" w:color="auto"/>
        <w:right w:val="none" w:sz="0" w:space="0" w:color="auto"/>
      </w:divBdr>
    </w:div>
    <w:div w:id="755245203">
      <w:marLeft w:val="0"/>
      <w:marRight w:val="0"/>
      <w:marTop w:val="0"/>
      <w:marBottom w:val="0"/>
      <w:divBdr>
        <w:top w:val="none" w:sz="0" w:space="0" w:color="auto"/>
        <w:left w:val="none" w:sz="0" w:space="0" w:color="auto"/>
        <w:bottom w:val="none" w:sz="0" w:space="0" w:color="auto"/>
        <w:right w:val="none" w:sz="0" w:space="0" w:color="auto"/>
      </w:divBdr>
      <w:divsChild>
        <w:div w:id="539049115">
          <w:marLeft w:val="0"/>
          <w:marRight w:val="0"/>
          <w:marTop w:val="0"/>
          <w:marBottom w:val="0"/>
          <w:divBdr>
            <w:top w:val="none" w:sz="0" w:space="0" w:color="auto"/>
            <w:left w:val="none" w:sz="0" w:space="0" w:color="auto"/>
            <w:bottom w:val="none" w:sz="0" w:space="0" w:color="auto"/>
            <w:right w:val="none" w:sz="0" w:space="0" w:color="auto"/>
          </w:divBdr>
        </w:div>
      </w:divsChild>
    </w:div>
    <w:div w:id="759982853">
      <w:marLeft w:val="0"/>
      <w:marRight w:val="0"/>
      <w:marTop w:val="0"/>
      <w:marBottom w:val="0"/>
      <w:divBdr>
        <w:top w:val="none" w:sz="0" w:space="0" w:color="auto"/>
        <w:left w:val="none" w:sz="0" w:space="0" w:color="auto"/>
        <w:bottom w:val="none" w:sz="0" w:space="0" w:color="auto"/>
        <w:right w:val="none" w:sz="0" w:space="0" w:color="auto"/>
      </w:divBdr>
      <w:divsChild>
        <w:div w:id="2074154884">
          <w:marLeft w:val="0"/>
          <w:marRight w:val="0"/>
          <w:marTop w:val="0"/>
          <w:marBottom w:val="0"/>
          <w:divBdr>
            <w:top w:val="none" w:sz="0" w:space="0" w:color="auto"/>
            <w:left w:val="none" w:sz="0" w:space="0" w:color="auto"/>
            <w:bottom w:val="none" w:sz="0" w:space="0" w:color="auto"/>
            <w:right w:val="none" w:sz="0" w:space="0" w:color="auto"/>
          </w:divBdr>
        </w:div>
      </w:divsChild>
    </w:div>
    <w:div w:id="761757280">
      <w:marLeft w:val="0"/>
      <w:marRight w:val="0"/>
      <w:marTop w:val="0"/>
      <w:marBottom w:val="0"/>
      <w:divBdr>
        <w:top w:val="none" w:sz="0" w:space="0" w:color="auto"/>
        <w:left w:val="none" w:sz="0" w:space="0" w:color="auto"/>
        <w:bottom w:val="none" w:sz="0" w:space="0" w:color="auto"/>
        <w:right w:val="none" w:sz="0" w:space="0" w:color="auto"/>
      </w:divBdr>
    </w:div>
    <w:div w:id="763038495">
      <w:marLeft w:val="0"/>
      <w:marRight w:val="0"/>
      <w:marTop w:val="0"/>
      <w:marBottom w:val="0"/>
      <w:divBdr>
        <w:top w:val="none" w:sz="0" w:space="0" w:color="auto"/>
        <w:left w:val="none" w:sz="0" w:space="0" w:color="auto"/>
        <w:bottom w:val="none" w:sz="0" w:space="0" w:color="auto"/>
        <w:right w:val="none" w:sz="0" w:space="0" w:color="auto"/>
      </w:divBdr>
      <w:divsChild>
        <w:div w:id="963465136">
          <w:marLeft w:val="0"/>
          <w:marRight w:val="0"/>
          <w:marTop w:val="0"/>
          <w:marBottom w:val="0"/>
          <w:divBdr>
            <w:top w:val="none" w:sz="0" w:space="0" w:color="auto"/>
            <w:left w:val="none" w:sz="0" w:space="0" w:color="auto"/>
            <w:bottom w:val="none" w:sz="0" w:space="0" w:color="auto"/>
            <w:right w:val="none" w:sz="0" w:space="0" w:color="auto"/>
          </w:divBdr>
        </w:div>
        <w:div w:id="540292054">
          <w:marLeft w:val="0"/>
          <w:marRight w:val="0"/>
          <w:marTop w:val="0"/>
          <w:marBottom w:val="0"/>
          <w:divBdr>
            <w:top w:val="none" w:sz="0" w:space="0" w:color="auto"/>
            <w:left w:val="none" w:sz="0" w:space="0" w:color="auto"/>
            <w:bottom w:val="none" w:sz="0" w:space="0" w:color="auto"/>
            <w:right w:val="none" w:sz="0" w:space="0" w:color="auto"/>
          </w:divBdr>
        </w:div>
      </w:divsChild>
    </w:div>
    <w:div w:id="767428306">
      <w:marLeft w:val="0"/>
      <w:marRight w:val="0"/>
      <w:marTop w:val="0"/>
      <w:marBottom w:val="0"/>
      <w:divBdr>
        <w:top w:val="none" w:sz="0" w:space="0" w:color="auto"/>
        <w:left w:val="none" w:sz="0" w:space="0" w:color="auto"/>
        <w:bottom w:val="none" w:sz="0" w:space="0" w:color="auto"/>
        <w:right w:val="none" w:sz="0" w:space="0" w:color="auto"/>
      </w:divBdr>
    </w:div>
    <w:div w:id="769085472">
      <w:marLeft w:val="0"/>
      <w:marRight w:val="0"/>
      <w:marTop w:val="0"/>
      <w:marBottom w:val="0"/>
      <w:divBdr>
        <w:top w:val="none" w:sz="0" w:space="0" w:color="auto"/>
        <w:left w:val="none" w:sz="0" w:space="0" w:color="auto"/>
        <w:bottom w:val="none" w:sz="0" w:space="0" w:color="auto"/>
        <w:right w:val="none" w:sz="0" w:space="0" w:color="auto"/>
      </w:divBdr>
    </w:div>
    <w:div w:id="770591406">
      <w:marLeft w:val="0"/>
      <w:marRight w:val="0"/>
      <w:marTop w:val="0"/>
      <w:marBottom w:val="0"/>
      <w:divBdr>
        <w:top w:val="none" w:sz="0" w:space="0" w:color="auto"/>
        <w:left w:val="none" w:sz="0" w:space="0" w:color="auto"/>
        <w:bottom w:val="none" w:sz="0" w:space="0" w:color="auto"/>
        <w:right w:val="none" w:sz="0" w:space="0" w:color="auto"/>
      </w:divBdr>
    </w:div>
    <w:div w:id="773019456">
      <w:marLeft w:val="0"/>
      <w:marRight w:val="0"/>
      <w:marTop w:val="0"/>
      <w:marBottom w:val="0"/>
      <w:divBdr>
        <w:top w:val="none" w:sz="0" w:space="0" w:color="auto"/>
        <w:left w:val="none" w:sz="0" w:space="0" w:color="auto"/>
        <w:bottom w:val="none" w:sz="0" w:space="0" w:color="auto"/>
        <w:right w:val="none" w:sz="0" w:space="0" w:color="auto"/>
      </w:divBdr>
      <w:divsChild>
        <w:div w:id="1915120148">
          <w:marLeft w:val="0"/>
          <w:marRight w:val="0"/>
          <w:marTop w:val="0"/>
          <w:marBottom w:val="0"/>
          <w:divBdr>
            <w:top w:val="none" w:sz="0" w:space="0" w:color="auto"/>
            <w:left w:val="none" w:sz="0" w:space="0" w:color="auto"/>
            <w:bottom w:val="none" w:sz="0" w:space="0" w:color="auto"/>
            <w:right w:val="none" w:sz="0" w:space="0" w:color="auto"/>
          </w:divBdr>
        </w:div>
        <w:div w:id="872159308">
          <w:marLeft w:val="0"/>
          <w:marRight w:val="0"/>
          <w:marTop w:val="0"/>
          <w:marBottom w:val="0"/>
          <w:divBdr>
            <w:top w:val="none" w:sz="0" w:space="0" w:color="auto"/>
            <w:left w:val="none" w:sz="0" w:space="0" w:color="auto"/>
            <w:bottom w:val="none" w:sz="0" w:space="0" w:color="auto"/>
            <w:right w:val="none" w:sz="0" w:space="0" w:color="auto"/>
          </w:divBdr>
        </w:div>
      </w:divsChild>
    </w:div>
    <w:div w:id="773087675">
      <w:marLeft w:val="0"/>
      <w:marRight w:val="0"/>
      <w:marTop w:val="0"/>
      <w:marBottom w:val="0"/>
      <w:divBdr>
        <w:top w:val="none" w:sz="0" w:space="0" w:color="auto"/>
        <w:left w:val="none" w:sz="0" w:space="0" w:color="auto"/>
        <w:bottom w:val="none" w:sz="0" w:space="0" w:color="auto"/>
        <w:right w:val="none" w:sz="0" w:space="0" w:color="auto"/>
      </w:divBdr>
    </w:div>
    <w:div w:id="773481327">
      <w:marLeft w:val="0"/>
      <w:marRight w:val="0"/>
      <w:marTop w:val="0"/>
      <w:marBottom w:val="0"/>
      <w:divBdr>
        <w:top w:val="none" w:sz="0" w:space="0" w:color="auto"/>
        <w:left w:val="none" w:sz="0" w:space="0" w:color="auto"/>
        <w:bottom w:val="none" w:sz="0" w:space="0" w:color="auto"/>
        <w:right w:val="none" w:sz="0" w:space="0" w:color="auto"/>
      </w:divBdr>
    </w:div>
    <w:div w:id="774637713">
      <w:marLeft w:val="0"/>
      <w:marRight w:val="0"/>
      <w:marTop w:val="0"/>
      <w:marBottom w:val="0"/>
      <w:divBdr>
        <w:top w:val="none" w:sz="0" w:space="0" w:color="auto"/>
        <w:left w:val="none" w:sz="0" w:space="0" w:color="auto"/>
        <w:bottom w:val="none" w:sz="0" w:space="0" w:color="auto"/>
        <w:right w:val="none" w:sz="0" w:space="0" w:color="auto"/>
      </w:divBdr>
      <w:divsChild>
        <w:div w:id="45570087">
          <w:marLeft w:val="0"/>
          <w:marRight w:val="0"/>
          <w:marTop w:val="0"/>
          <w:marBottom w:val="0"/>
          <w:divBdr>
            <w:top w:val="none" w:sz="0" w:space="0" w:color="auto"/>
            <w:left w:val="none" w:sz="0" w:space="0" w:color="auto"/>
            <w:bottom w:val="none" w:sz="0" w:space="0" w:color="auto"/>
            <w:right w:val="none" w:sz="0" w:space="0" w:color="auto"/>
          </w:divBdr>
        </w:div>
        <w:div w:id="1810246126">
          <w:marLeft w:val="0"/>
          <w:marRight w:val="0"/>
          <w:marTop w:val="0"/>
          <w:marBottom w:val="0"/>
          <w:divBdr>
            <w:top w:val="none" w:sz="0" w:space="0" w:color="auto"/>
            <w:left w:val="none" w:sz="0" w:space="0" w:color="auto"/>
            <w:bottom w:val="none" w:sz="0" w:space="0" w:color="auto"/>
            <w:right w:val="none" w:sz="0" w:space="0" w:color="auto"/>
          </w:divBdr>
        </w:div>
      </w:divsChild>
    </w:div>
    <w:div w:id="775517961">
      <w:marLeft w:val="0"/>
      <w:marRight w:val="0"/>
      <w:marTop w:val="0"/>
      <w:marBottom w:val="0"/>
      <w:divBdr>
        <w:top w:val="none" w:sz="0" w:space="0" w:color="auto"/>
        <w:left w:val="none" w:sz="0" w:space="0" w:color="auto"/>
        <w:bottom w:val="none" w:sz="0" w:space="0" w:color="auto"/>
        <w:right w:val="none" w:sz="0" w:space="0" w:color="auto"/>
      </w:divBdr>
      <w:divsChild>
        <w:div w:id="563684135">
          <w:marLeft w:val="0"/>
          <w:marRight w:val="0"/>
          <w:marTop w:val="0"/>
          <w:marBottom w:val="0"/>
          <w:divBdr>
            <w:top w:val="none" w:sz="0" w:space="0" w:color="auto"/>
            <w:left w:val="none" w:sz="0" w:space="0" w:color="auto"/>
            <w:bottom w:val="none" w:sz="0" w:space="0" w:color="auto"/>
            <w:right w:val="none" w:sz="0" w:space="0" w:color="auto"/>
          </w:divBdr>
        </w:div>
      </w:divsChild>
    </w:div>
    <w:div w:id="776872905">
      <w:marLeft w:val="0"/>
      <w:marRight w:val="0"/>
      <w:marTop w:val="0"/>
      <w:marBottom w:val="0"/>
      <w:divBdr>
        <w:top w:val="none" w:sz="0" w:space="0" w:color="auto"/>
        <w:left w:val="none" w:sz="0" w:space="0" w:color="auto"/>
        <w:bottom w:val="none" w:sz="0" w:space="0" w:color="auto"/>
        <w:right w:val="none" w:sz="0" w:space="0" w:color="auto"/>
      </w:divBdr>
      <w:divsChild>
        <w:div w:id="1151286054">
          <w:marLeft w:val="0"/>
          <w:marRight w:val="0"/>
          <w:marTop w:val="0"/>
          <w:marBottom w:val="0"/>
          <w:divBdr>
            <w:top w:val="none" w:sz="0" w:space="0" w:color="auto"/>
            <w:left w:val="none" w:sz="0" w:space="0" w:color="auto"/>
            <w:bottom w:val="none" w:sz="0" w:space="0" w:color="auto"/>
            <w:right w:val="none" w:sz="0" w:space="0" w:color="auto"/>
          </w:divBdr>
        </w:div>
      </w:divsChild>
    </w:div>
    <w:div w:id="780223562">
      <w:marLeft w:val="0"/>
      <w:marRight w:val="0"/>
      <w:marTop w:val="0"/>
      <w:marBottom w:val="0"/>
      <w:divBdr>
        <w:top w:val="none" w:sz="0" w:space="0" w:color="auto"/>
        <w:left w:val="none" w:sz="0" w:space="0" w:color="auto"/>
        <w:bottom w:val="none" w:sz="0" w:space="0" w:color="auto"/>
        <w:right w:val="none" w:sz="0" w:space="0" w:color="auto"/>
      </w:divBdr>
      <w:divsChild>
        <w:div w:id="1247111240">
          <w:marLeft w:val="0"/>
          <w:marRight w:val="0"/>
          <w:marTop w:val="0"/>
          <w:marBottom w:val="0"/>
          <w:divBdr>
            <w:top w:val="none" w:sz="0" w:space="0" w:color="auto"/>
            <w:left w:val="none" w:sz="0" w:space="0" w:color="auto"/>
            <w:bottom w:val="none" w:sz="0" w:space="0" w:color="auto"/>
            <w:right w:val="none" w:sz="0" w:space="0" w:color="auto"/>
          </w:divBdr>
        </w:div>
        <w:div w:id="803234854">
          <w:marLeft w:val="0"/>
          <w:marRight w:val="0"/>
          <w:marTop w:val="0"/>
          <w:marBottom w:val="0"/>
          <w:divBdr>
            <w:top w:val="none" w:sz="0" w:space="0" w:color="auto"/>
            <w:left w:val="none" w:sz="0" w:space="0" w:color="auto"/>
            <w:bottom w:val="none" w:sz="0" w:space="0" w:color="auto"/>
            <w:right w:val="none" w:sz="0" w:space="0" w:color="auto"/>
          </w:divBdr>
        </w:div>
      </w:divsChild>
    </w:div>
    <w:div w:id="783614404">
      <w:marLeft w:val="0"/>
      <w:marRight w:val="0"/>
      <w:marTop w:val="0"/>
      <w:marBottom w:val="0"/>
      <w:divBdr>
        <w:top w:val="none" w:sz="0" w:space="0" w:color="auto"/>
        <w:left w:val="none" w:sz="0" w:space="0" w:color="auto"/>
        <w:bottom w:val="none" w:sz="0" w:space="0" w:color="auto"/>
        <w:right w:val="none" w:sz="0" w:space="0" w:color="auto"/>
      </w:divBdr>
    </w:div>
    <w:div w:id="786896785">
      <w:marLeft w:val="0"/>
      <w:marRight w:val="0"/>
      <w:marTop w:val="100"/>
      <w:marBottom w:val="0"/>
      <w:divBdr>
        <w:top w:val="none" w:sz="0" w:space="0" w:color="auto"/>
        <w:left w:val="none" w:sz="0" w:space="0" w:color="auto"/>
        <w:bottom w:val="none" w:sz="0" w:space="0" w:color="auto"/>
        <w:right w:val="none" w:sz="0" w:space="0" w:color="auto"/>
      </w:divBdr>
    </w:div>
    <w:div w:id="794761054">
      <w:marLeft w:val="0"/>
      <w:marRight w:val="0"/>
      <w:marTop w:val="0"/>
      <w:marBottom w:val="0"/>
      <w:divBdr>
        <w:top w:val="none" w:sz="0" w:space="0" w:color="auto"/>
        <w:left w:val="none" w:sz="0" w:space="0" w:color="auto"/>
        <w:bottom w:val="none" w:sz="0" w:space="0" w:color="auto"/>
        <w:right w:val="none" w:sz="0" w:space="0" w:color="auto"/>
      </w:divBdr>
    </w:div>
    <w:div w:id="796067807">
      <w:marLeft w:val="0"/>
      <w:marRight w:val="0"/>
      <w:marTop w:val="0"/>
      <w:marBottom w:val="0"/>
      <w:divBdr>
        <w:top w:val="none" w:sz="0" w:space="0" w:color="auto"/>
        <w:left w:val="none" w:sz="0" w:space="0" w:color="auto"/>
        <w:bottom w:val="none" w:sz="0" w:space="0" w:color="auto"/>
        <w:right w:val="none" w:sz="0" w:space="0" w:color="auto"/>
      </w:divBdr>
    </w:div>
    <w:div w:id="798844186">
      <w:marLeft w:val="0"/>
      <w:marRight w:val="0"/>
      <w:marTop w:val="0"/>
      <w:marBottom w:val="0"/>
      <w:divBdr>
        <w:top w:val="none" w:sz="0" w:space="0" w:color="auto"/>
        <w:left w:val="none" w:sz="0" w:space="0" w:color="auto"/>
        <w:bottom w:val="none" w:sz="0" w:space="0" w:color="auto"/>
        <w:right w:val="none" w:sz="0" w:space="0" w:color="auto"/>
      </w:divBdr>
    </w:div>
    <w:div w:id="799150391">
      <w:marLeft w:val="0"/>
      <w:marRight w:val="0"/>
      <w:marTop w:val="0"/>
      <w:marBottom w:val="0"/>
      <w:divBdr>
        <w:top w:val="none" w:sz="0" w:space="0" w:color="auto"/>
        <w:left w:val="none" w:sz="0" w:space="0" w:color="auto"/>
        <w:bottom w:val="none" w:sz="0" w:space="0" w:color="auto"/>
        <w:right w:val="none" w:sz="0" w:space="0" w:color="auto"/>
      </w:divBdr>
      <w:divsChild>
        <w:div w:id="272446569">
          <w:marLeft w:val="0"/>
          <w:marRight w:val="0"/>
          <w:marTop w:val="0"/>
          <w:marBottom w:val="0"/>
          <w:divBdr>
            <w:top w:val="none" w:sz="0" w:space="0" w:color="auto"/>
            <w:left w:val="none" w:sz="0" w:space="0" w:color="auto"/>
            <w:bottom w:val="none" w:sz="0" w:space="0" w:color="auto"/>
            <w:right w:val="none" w:sz="0" w:space="0" w:color="auto"/>
          </w:divBdr>
        </w:div>
        <w:div w:id="947394599">
          <w:marLeft w:val="0"/>
          <w:marRight w:val="0"/>
          <w:marTop w:val="0"/>
          <w:marBottom w:val="0"/>
          <w:divBdr>
            <w:top w:val="none" w:sz="0" w:space="0" w:color="auto"/>
            <w:left w:val="none" w:sz="0" w:space="0" w:color="auto"/>
            <w:bottom w:val="none" w:sz="0" w:space="0" w:color="auto"/>
            <w:right w:val="none" w:sz="0" w:space="0" w:color="auto"/>
          </w:divBdr>
        </w:div>
      </w:divsChild>
    </w:div>
    <w:div w:id="801848659">
      <w:marLeft w:val="0"/>
      <w:marRight w:val="0"/>
      <w:marTop w:val="180"/>
      <w:marBottom w:val="180"/>
      <w:divBdr>
        <w:top w:val="none" w:sz="0" w:space="0" w:color="auto"/>
        <w:left w:val="none" w:sz="0" w:space="0" w:color="auto"/>
        <w:bottom w:val="none" w:sz="0" w:space="0" w:color="auto"/>
        <w:right w:val="none" w:sz="0" w:space="0" w:color="auto"/>
      </w:divBdr>
    </w:div>
    <w:div w:id="805318194">
      <w:marLeft w:val="0"/>
      <w:marRight w:val="0"/>
      <w:marTop w:val="0"/>
      <w:marBottom w:val="0"/>
      <w:divBdr>
        <w:top w:val="none" w:sz="0" w:space="0" w:color="auto"/>
        <w:left w:val="none" w:sz="0" w:space="0" w:color="auto"/>
        <w:bottom w:val="none" w:sz="0" w:space="0" w:color="auto"/>
        <w:right w:val="none" w:sz="0" w:space="0" w:color="auto"/>
      </w:divBdr>
    </w:div>
    <w:div w:id="806699924">
      <w:marLeft w:val="0"/>
      <w:marRight w:val="0"/>
      <w:marTop w:val="0"/>
      <w:marBottom w:val="0"/>
      <w:divBdr>
        <w:top w:val="none" w:sz="0" w:space="0" w:color="auto"/>
        <w:left w:val="none" w:sz="0" w:space="0" w:color="auto"/>
        <w:bottom w:val="none" w:sz="0" w:space="0" w:color="auto"/>
        <w:right w:val="none" w:sz="0" w:space="0" w:color="auto"/>
      </w:divBdr>
      <w:divsChild>
        <w:div w:id="604073045">
          <w:marLeft w:val="0"/>
          <w:marRight w:val="0"/>
          <w:marTop w:val="0"/>
          <w:marBottom w:val="0"/>
          <w:divBdr>
            <w:top w:val="none" w:sz="0" w:space="0" w:color="auto"/>
            <w:left w:val="none" w:sz="0" w:space="0" w:color="auto"/>
            <w:bottom w:val="none" w:sz="0" w:space="0" w:color="auto"/>
            <w:right w:val="none" w:sz="0" w:space="0" w:color="auto"/>
          </w:divBdr>
        </w:div>
        <w:div w:id="532963426">
          <w:marLeft w:val="0"/>
          <w:marRight w:val="0"/>
          <w:marTop w:val="0"/>
          <w:marBottom w:val="0"/>
          <w:divBdr>
            <w:top w:val="none" w:sz="0" w:space="0" w:color="auto"/>
            <w:left w:val="none" w:sz="0" w:space="0" w:color="auto"/>
            <w:bottom w:val="none" w:sz="0" w:space="0" w:color="auto"/>
            <w:right w:val="none" w:sz="0" w:space="0" w:color="auto"/>
          </w:divBdr>
        </w:div>
      </w:divsChild>
    </w:div>
    <w:div w:id="806823339">
      <w:marLeft w:val="0"/>
      <w:marRight w:val="0"/>
      <w:marTop w:val="0"/>
      <w:marBottom w:val="200"/>
      <w:divBdr>
        <w:top w:val="none" w:sz="0" w:space="0" w:color="auto"/>
        <w:left w:val="none" w:sz="0" w:space="0" w:color="auto"/>
        <w:bottom w:val="none" w:sz="0" w:space="0" w:color="auto"/>
        <w:right w:val="none" w:sz="0" w:space="0" w:color="auto"/>
      </w:divBdr>
    </w:div>
    <w:div w:id="808282812">
      <w:marLeft w:val="0"/>
      <w:marRight w:val="0"/>
      <w:marTop w:val="0"/>
      <w:marBottom w:val="60"/>
      <w:divBdr>
        <w:top w:val="none" w:sz="0" w:space="0" w:color="auto"/>
        <w:left w:val="none" w:sz="0" w:space="0" w:color="auto"/>
        <w:bottom w:val="none" w:sz="0" w:space="0" w:color="auto"/>
        <w:right w:val="none" w:sz="0" w:space="0" w:color="auto"/>
      </w:divBdr>
    </w:div>
    <w:div w:id="811365147">
      <w:marLeft w:val="0"/>
      <w:marRight w:val="0"/>
      <w:marTop w:val="0"/>
      <w:marBottom w:val="0"/>
      <w:divBdr>
        <w:top w:val="none" w:sz="0" w:space="0" w:color="auto"/>
        <w:left w:val="none" w:sz="0" w:space="0" w:color="auto"/>
        <w:bottom w:val="none" w:sz="0" w:space="0" w:color="auto"/>
        <w:right w:val="none" w:sz="0" w:space="0" w:color="auto"/>
      </w:divBdr>
      <w:divsChild>
        <w:div w:id="687482832">
          <w:marLeft w:val="0"/>
          <w:marRight w:val="0"/>
          <w:marTop w:val="0"/>
          <w:marBottom w:val="0"/>
          <w:divBdr>
            <w:top w:val="none" w:sz="0" w:space="0" w:color="auto"/>
            <w:left w:val="none" w:sz="0" w:space="0" w:color="auto"/>
            <w:bottom w:val="none" w:sz="0" w:space="0" w:color="auto"/>
            <w:right w:val="none" w:sz="0" w:space="0" w:color="auto"/>
          </w:divBdr>
        </w:div>
      </w:divsChild>
    </w:div>
    <w:div w:id="811874142">
      <w:marLeft w:val="0"/>
      <w:marRight w:val="0"/>
      <w:marTop w:val="0"/>
      <w:marBottom w:val="0"/>
      <w:divBdr>
        <w:top w:val="none" w:sz="0" w:space="0" w:color="auto"/>
        <w:left w:val="none" w:sz="0" w:space="0" w:color="auto"/>
        <w:bottom w:val="none" w:sz="0" w:space="0" w:color="auto"/>
        <w:right w:val="none" w:sz="0" w:space="0" w:color="auto"/>
      </w:divBdr>
    </w:div>
    <w:div w:id="812406906">
      <w:marLeft w:val="0"/>
      <w:marRight w:val="0"/>
      <w:marTop w:val="0"/>
      <w:marBottom w:val="60"/>
      <w:divBdr>
        <w:top w:val="none" w:sz="0" w:space="0" w:color="auto"/>
        <w:left w:val="none" w:sz="0" w:space="0" w:color="auto"/>
        <w:bottom w:val="none" w:sz="0" w:space="0" w:color="auto"/>
        <w:right w:val="none" w:sz="0" w:space="0" w:color="auto"/>
      </w:divBdr>
    </w:div>
    <w:div w:id="812715680">
      <w:marLeft w:val="0"/>
      <w:marRight w:val="0"/>
      <w:marTop w:val="180"/>
      <w:marBottom w:val="0"/>
      <w:divBdr>
        <w:top w:val="none" w:sz="0" w:space="0" w:color="auto"/>
        <w:left w:val="none" w:sz="0" w:space="0" w:color="auto"/>
        <w:bottom w:val="none" w:sz="0" w:space="0" w:color="auto"/>
        <w:right w:val="none" w:sz="0" w:space="0" w:color="auto"/>
      </w:divBdr>
    </w:div>
    <w:div w:id="813989389">
      <w:marLeft w:val="0"/>
      <w:marRight w:val="0"/>
      <w:marTop w:val="0"/>
      <w:marBottom w:val="0"/>
      <w:divBdr>
        <w:top w:val="none" w:sz="0" w:space="0" w:color="auto"/>
        <w:left w:val="none" w:sz="0" w:space="0" w:color="auto"/>
        <w:bottom w:val="none" w:sz="0" w:space="0" w:color="auto"/>
        <w:right w:val="none" w:sz="0" w:space="0" w:color="auto"/>
      </w:divBdr>
    </w:div>
    <w:div w:id="820655332">
      <w:marLeft w:val="0"/>
      <w:marRight w:val="0"/>
      <w:marTop w:val="0"/>
      <w:marBottom w:val="0"/>
      <w:divBdr>
        <w:top w:val="none" w:sz="0" w:space="0" w:color="auto"/>
        <w:left w:val="none" w:sz="0" w:space="0" w:color="auto"/>
        <w:bottom w:val="none" w:sz="0" w:space="0" w:color="auto"/>
        <w:right w:val="none" w:sz="0" w:space="0" w:color="auto"/>
      </w:divBdr>
      <w:divsChild>
        <w:div w:id="1303541589">
          <w:marLeft w:val="0"/>
          <w:marRight w:val="0"/>
          <w:marTop w:val="0"/>
          <w:marBottom w:val="0"/>
          <w:divBdr>
            <w:top w:val="none" w:sz="0" w:space="0" w:color="auto"/>
            <w:left w:val="none" w:sz="0" w:space="0" w:color="auto"/>
            <w:bottom w:val="none" w:sz="0" w:space="0" w:color="auto"/>
            <w:right w:val="none" w:sz="0" w:space="0" w:color="auto"/>
          </w:divBdr>
        </w:div>
      </w:divsChild>
    </w:div>
    <w:div w:id="822741896">
      <w:marLeft w:val="0"/>
      <w:marRight w:val="0"/>
      <w:marTop w:val="0"/>
      <w:marBottom w:val="0"/>
      <w:divBdr>
        <w:top w:val="none" w:sz="0" w:space="0" w:color="auto"/>
        <w:left w:val="none" w:sz="0" w:space="0" w:color="auto"/>
        <w:bottom w:val="none" w:sz="0" w:space="0" w:color="auto"/>
        <w:right w:val="none" w:sz="0" w:space="0" w:color="auto"/>
      </w:divBdr>
      <w:divsChild>
        <w:div w:id="732970044">
          <w:marLeft w:val="0"/>
          <w:marRight w:val="0"/>
          <w:marTop w:val="0"/>
          <w:marBottom w:val="0"/>
          <w:divBdr>
            <w:top w:val="none" w:sz="0" w:space="0" w:color="auto"/>
            <w:left w:val="none" w:sz="0" w:space="0" w:color="auto"/>
            <w:bottom w:val="none" w:sz="0" w:space="0" w:color="auto"/>
            <w:right w:val="none" w:sz="0" w:space="0" w:color="auto"/>
          </w:divBdr>
        </w:div>
        <w:div w:id="1982230340">
          <w:marLeft w:val="0"/>
          <w:marRight w:val="0"/>
          <w:marTop w:val="0"/>
          <w:marBottom w:val="0"/>
          <w:divBdr>
            <w:top w:val="none" w:sz="0" w:space="0" w:color="auto"/>
            <w:left w:val="none" w:sz="0" w:space="0" w:color="auto"/>
            <w:bottom w:val="none" w:sz="0" w:space="0" w:color="auto"/>
            <w:right w:val="none" w:sz="0" w:space="0" w:color="auto"/>
          </w:divBdr>
        </w:div>
      </w:divsChild>
    </w:div>
    <w:div w:id="823472625">
      <w:marLeft w:val="0"/>
      <w:marRight w:val="0"/>
      <w:marTop w:val="0"/>
      <w:marBottom w:val="0"/>
      <w:divBdr>
        <w:top w:val="none" w:sz="0" w:space="0" w:color="auto"/>
        <w:left w:val="none" w:sz="0" w:space="0" w:color="auto"/>
        <w:bottom w:val="none" w:sz="0" w:space="0" w:color="auto"/>
        <w:right w:val="none" w:sz="0" w:space="0" w:color="auto"/>
      </w:divBdr>
      <w:divsChild>
        <w:div w:id="73823832">
          <w:marLeft w:val="0"/>
          <w:marRight w:val="0"/>
          <w:marTop w:val="0"/>
          <w:marBottom w:val="0"/>
          <w:divBdr>
            <w:top w:val="none" w:sz="0" w:space="0" w:color="auto"/>
            <w:left w:val="none" w:sz="0" w:space="0" w:color="auto"/>
            <w:bottom w:val="none" w:sz="0" w:space="0" w:color="auto"/>
            <w:right w:val="none" w:sz="0" w:space="0" w:color="auto"/>
          </w:divBdr>
        </w:div>
      </w:divsChild>
    </w:div>
    <w:div w:id="828519900">
      <w:marLeft w:val="0"/>
      <w:marRight w:val="0"/>
      <w:marTop w:val="0"/>
      <w:marBottom w:val="0"/>
      <w:divBdr>
        <w:top w:val="none" w:sz="0" w:space="0" w:color="auto"/>
        <w:left w:val="none" w:sz="0" w:space="0" w:color="auto"/>
        <w:bottom w:val="none" w:sz="0" w:space="0" w:color="auto"/>
        <w:right w:val="none" w:sz="0" w:space="0" w:color="auto"/>
      </w:divBdr>
      <w:divsChild>
        <w:div w:id="783383030">
          <w:marLeft w:val="0"/>
          <w:marRight w:val="0"/>
          <w:marTop w:val="0"/>
          <w:marBottom w:val="0"/>
          <w:divBdr>
            <w:top w:val="none" w:sz="0" w:space="0" w:color="auto"/>
            <w:left w:val="none" w:sz="0" w:space="0" w:color="auto"/>
            <w:bottom w:val="none" w:sz="0" w:space="0" w:color="auto"/>
            <w:right w:val="none" w:sz="0" w:space="0" w:color="auto"/>
          </w:divBdr>
        </w:div>
        <w:div w:id="126096430">
          <w:marLeft w:val="0"/>
          <w:marRight w:val="0"/>
          <w:marTop w:val="0"/>
          <w:marBottom w:val="0"/>
          <w:divBdr>
            <w:top w:val="none" w:sz="0" w:space="0" w:color="auto"/>
            <w:left w:val="none" w:sz="0" w:space="0" w:color="auto"/>
            <w:bottom w:val="none" w:sz="0" w:space="0" w:color="auto"/>
            <w:right w:val="none" w:sz="0" w:space="0" w:color="auto"/>
          </w:divBdr>
        </w:div>
      </w:divsChild>
    </w:div>
    <w:div w:id="829448261">
      <w:marLeft w:val="0"/>
      <w:marRight w:val="0"/>
      <w:marTop w:val="0"/>
      <w:marBottom w:val="0"/>
      <w:divBdr>
        <w:top w:val="none" w:sz="0" w:space="0" w:color="auto"/>
        <w:left w:val="none" w:sz="0" w:space="0" w:color="auto"/>
        <w:bottom w:val="none" w:sz="0" w:space="0" w:color="auto"/>
        <w:right w:val="none" w:sz="0" w:space="0" w:color="auto"/>
      </w:divBdr>
    </w:div>
    <w:div w:id="833422382">
      <w:marLeft w:val="0"/>
      <w:marRight w:val="0"/>
      <w:marTop w:val="0"/>
      <w:marBottom w:val="0"/>
      <w:divBdr>
        <w:top w:val="none" w:sz="0" w:space="0" w:color="auto"/>
        <w:left w:val="none" w:sz="0" w:space="0" w:color="auto"/>
        <w:bottom w:val="none" w:sz="0" w:space="0" w:color="auto"/>
        <w:right w:val="none" w:sz="0" w:space="0" w:color="auto"/>
      </w:divBdr>
    </w:div>
    <w:div w:id="833492788">
      <w:marLeft w:val="0"/>
      <w:marRight w:val="0"/>
      <w:marTop w:val="80"/>
      <w:marBottom w:val="0"/>
      <w:divBdr>
        <w:top w:val="none" w:sz="0" w:space="0" w:color="auto"/>
        <w:left w:val="none" w:sz="0" w:space="0" w:color="auto"/>
        <w:bottom w:val="none" w:sz="0" w:space="0" w:color="auto"/>
        <w:right w:val="none" w:sz="0" w:space="0" w:color="auto"/>
      </w:divBdr>
    </w:div>
    <w:div w:id="833644946">
      <w:marLeft w:val="0"/>
      <w:marRight w:val="0"/>
      <w:marTop w:val="120"/>
      <w:marBottom w:val="120"/>
      <w:divBdr>
        <w:top w:val="none" w:sz="0" w:space="0" w:color="auto"/>
        <w:left w:val="none" w:sz="0" w:space="0" w:color="auto"/>
        <w:bottom w:val="none" w:sz="0" w:space="0" w:color="auto"/>
        <w:right w:val="none" w:sz="0" w:space="0" w:color="auto"/>
      </w:divBdr>
    </w:div>
    <w:div w:id="834228341">
      <w:marLeft w:val="0"/>
      <w:marRight w:val="0"/>
      <w:marTop w:val="0"/>
      <w:marBottom w:val="0"/>
      <w:divBdr>
        <w:top w:val="none" w:sz="0" w:space="0" w:color="auto"/>
        <w:left w:val="none" w:sz="0" w:space="0" w:color="auto"/>
        <w:bottom w:val="none" w:sz="0" w:space="0" w:color="auto"/>
        <w:right w:val="none" w:sz="0" w:space="0" w:color="auto"/>
      </w:divBdr>
      <w:divsChild>
        <w:div w:id="534927604">
          <w:marLeft w:val="0"/>
          <w:marRight w:val="0"/>
          <w:marTop w:val="0"/>
          <w:marBottom w:val="0"/>
          <w:divBdr>
            <w:top w:val="none" w:sz="0" w:space="0" w:color="auto"/>
            <w:left w:val="none" w:sz="0" w:space="0" w:color="auto"/>
            <w:bottom w:val="none" w:sz="0" w:space="0" w:color="auto"/>
            <w:right w:val="none" w:sz="0" w:space="0" w:color="auto"/>
          </w:divBdr>
        </w:div>
        <w:div w:id="777409967">
          <w:marLeft w:val="0"/>
          <w:marRight w:val="0"/>
          <w:marTop w:val="0"/>
          <w:marBottom w:val="0"/>
          <w:divBdr>
            <w:top w:val="none" w:sz="0" w:space="0" w:color="auto"/>
            <w:left w:val="none" w:sz="0" w:space="0" w:color="auto"/>
            <w:bottom w:val="none" w:sz="0" w:space="0" w:color="auto"/>
            <w:right w:val="none" w:sz="0" w:space="0" w:color="auto"/>
          </w:divBdr>
        </w:div>
      </w:divsChild>
    </w:div>
    <w:div w:id="839543521">
      <w:marLeft w:val="0"/>
      <w:marRight w:val="0"/>
      <w:marTop w:val="0"/>
      <w:marBottom w:val="0"/>
      <w:divBdr>
        <w:top w:val="none" w:sz="0" w:space="0" w:color="auto"/>
        <w:left w:val="none" w:sz="0" w:space="0" w:color="auto"/>
        <w:bottom w:val="none" w:sz="0" w:space="0" w:color="auto"/>
        <w:right w:val="none" w:sz="0" w:space="0" w:color="auto"/>
      </w:divBdr>
    </w:div>
    <w:div w:id="839808825">
      <w:marLeft w:val="0"/>
      <w:marRight w:val="0"/>
      <w:marTop w:val="0"/>
      <w:marBottom w:val="0"/>
      <w:divBdr>
        <w:top w:val="none" w:sz="0" w:space="0" w:color="auto"/>
        <w:left w:val="none" w:sz="0" w:space="0" w:color="auto"/>
        <w:bottom w:val="none" w:sz="0" w:space="0" w:color="auto"/>
        <w:right w:val="none" w:sz="0" w:space="0" w:color="auto"/>
      </w:divBdr>
      <w:divsChild>
        <w:div w:id="2131505844">
          <w:marLeft w:val="0"/>
          <w:marRight w:val="0"/>
          <w:marTop w:val="0"/>
          <w:marBottom w:val="0"/>
          <w:divBdr>
            <w:top w:val="none" w:sz="0" w:space="0" w:color="auto"/>
            <w:left w:val="none" w:sz="0" w:space="0" w:color="auto"/>
            <w:bottom w:val="none" w:sz="0" w:space="0" w:color="auto"/>
            <w:right w:val="none" w:sz="0" w:space="0" w:color="auto"/>
          </w:divBdr>
        </w:div>
      </w:divsChild>
    </w:div>
    <w:div w:id="840582096">
      <w:marLeft w:val="0"/>
      <w:marRight w:val="0"/>
      <w:marTop w:val="0"/>
      <w:marBottom w:val="0"/>
      <w:divBdr>
        <w:top w:val="none" w:sz="0" w:space="0" w:color="auto"/>
        <w:left w:val="none" w:sz="0" w:space="0" w:color="auto"/>
        <w:bottom w:val="none" w:sz="0" w:space="0" w:color="auto"/>
        <w:right w:val="none" w:sz="0" w:space="0" w:color="auto"/>
      </w:divBdr>
    </w:div>
    <w:div w:id="845365558">
      <w:marLeft w:val="0"/>
      <w:marRight w:val="0"/>
      <w:marTop w:val="0"/>
      <w:marBottom w:val="0"/>
      <w:divBdr>
        <w:top w:val="none" w:sz="0" w:space="0" w:color="auto"/>
        <w:left w:val="none" w:sz="0" w:space="0" w:color="auto"/>
        <w:bottom w:val="none" w:sz="0" w:space="0" w:color="auto"/>
        <w:right w:val="none" w:sz="0" w:space="0" w:color="auto"/>
      </w:divBdr>
      <w:divsChild>
        <w:div w:id="928854879">
          <w:marLeft w:val="0"/>
          <w:marRight w:val="0"/>
          <w:marTop w:val="0"/>
          <w:marBottom w:val="0"/>
          <w:divBdr>
            <w:top w:val="none" w:sz="0" w:space="0" w:color="auto"/>
            <w:left w:val="none" w:sz="0" w:space="0" w:color="auto"/>
            <w:bottom w:val="none" w:sz="0" w:space="0" w:color="auto"/>
            <w:right w:val="none" w:sz="0" w:space="0" w:color="auto"/>
          </w:divBdr>
        </w:div>
        <w:div w:id="1803501490">
          <w:marLeft w:val="0"/>
          <w:marRight w:val="0"/>
          <w:marTop w:val="0"/>
          <w:marBottom w:val="0"/>
          <w:divBdr>
            <w:top w:val="none" w:sz="0" w:space="0" w:color="auto"/>
            <w:left w:val="none" w:sz="0" w:space="0" w:color="auto"/>
            <w:bottom w:val="none" w:sz="0" w:space="0" w:color="auto"/>
            <w:right w:val="none" w:sz="0" w:space="0" w:color="auto"/>
          </w:divBdr>
        </w:div>
      </w:divsChild>
    </w:div>
    <w:div w:id="847133293">
      <w:marLeft w:val="0"/>
      <w:marRight w:val="0"/>
      <w:marTop w:val="0"/>
      <w:marBottom w:val="0"/>
      <w:divBdr>
        <w:top w:val="none" w:sz="0" w:space="0" w:color="auto"/>
        <w:left w:val="none" w:sz="0" w:space="0" w:color="auto"/>
        <w:bottom w:val="none" w:sz="0" w:space="0" w:color="auto"/>
        <w:right w:val="none" w:sz="0" w:space="0" w:color="auto"/>
      </w:divBdr>
    </w:div>
    <w:div w:id="847670221">
      <w:marLeft w:val="0"/>
      <w:marRight w:val="0"/>
      <w:marTop w:val="0"/>
      <w:marBottom w:val="0"/>
      <w:divBdr>
        <w:top w:val="none" w:sz="0" w:space="0" w:color="auto"/>
        <w:left w:val="none" w:sz="0" w:space="0" w:color="auto"/>
        <w:bottom w:val="none" w:sz="0" w:space="0" w:color="auto"/>
        <w:right w:val="none" w:sz="0" w:space="0" w:color="auto"/>
      </w:divBdr>
      <w:divsChild>
        <w:div w:id="1315111576">
          <w:marLeft w:val="0"/>
          <w:marRight w:val="0"/>
          <w:marTop w:val="0"/>
          <w:marBottom w:val="0"/>
          <w:divBdr>
            <w:top w:val="none" w:sz="0" w:space="0" w:color="auto"/>
            <w:left w:val="none" w:sz="0" w:space="0" w:color="auto"/>
            <w:bottom w:val="none" w:sz="0" w:space="0" w:color="auto"/>
            <w:right w:val="none" w:sz="0" w:space="0" w:color="auto"/>
          </w:divBdr>
        </w:div>
        <w:div w:id="334724813">
          <w:marLeft w:val="0"/>
          <w:marRight w:val="0"/>
          <w:marTop w:val="0"/>
          <w:marBottom w:val="0"/>
          <w:divBdr>
            <w:top w:val="none" w:sz="0" w:space="0" w:color="auto"/>
            <w:left w:val="none" w:sz="0" w:space="0" w:color="auto"/>
            <w:bottom w:val="none" w:sz="0" w:space="0" w:color="auto"/>
            <w:right w:val="none" w:sz="0" w:space="0" w:color="auto"/>
          </w:divBdr>
        </w:div>
      </w:divsChild>
    </w:div>
    <w:div w:id="851531496">
      <w:marLeft w:val="0"/>
      <w:marRight w:val="0"/>
      <w:marTop w:val="0"/>
      <w:marBottom w:val="0"/>
      <w:divBdr>
        <w:top w:val="none" w:sz="0" w:space="0" w:color="auto"/>
        <w:left w:val="none" w:sz="0" w:space="0" w:color="auto"/>
        <w:bottom w:val="none" w:sz="0" w:space="0" w:color="auto"/>
        <w:right w:val="none" w:sz="0" w:space="0" w:color="auto"/>
      </w:divBdr>
    </w:div>
    <w:div w:id="853497606">
      <w:marLeft w:val="0"/>
      <w:marRight w:val="0"/>
      <w:marTop w:val="0"/>
      <w:marBottom w:val="0"/>
      <w:divBdr>
        <w:top w:val="none" w:sz="0" w:space="0" w:color="auto"/>
        <w:left w:val="none" w:sz="0" w:space="0" w:color="auto"/>
        <w:bottom w:val="none" w:sz="0" w:space="0" w:color="auto"/>
        <w:right w:val="none" w:sz="0" w:space="0" w:color="auto"/>
      </w:divBdr>
    </w:div>
    <w:div w:id="861210768">
      <w:marLeft w:val="0"/>
      <w:marRight w:val="0"/>
      <w:marTop w:val="0"/>
      <w:marBottom w:val="0"/>
      <w:divBdr>
        <w:top w:val="none" w:sz="0" w:space="0" w:color="auto"/>
        <w:left w:val="none" w:sz="0" w:space="0" w:color="auto"/>
        <w:bottom w:val="none" w:sz="0" w:space="0" w:color="auto"/>
        <w:right w:val="none" w:sz="0" w:space="0" w:color="auto"/>
      </w:divBdr>
      <w:divsChild>
        <w:div w:id="520165547">
          <w:marLeft w:val="0"/>
          <w:marRight w:val="0"/>
          <w:marTop w:val="0"/>
          <w:marBottom w:val="0"/>
          <w:divBdr>
            <w:top w:val="none" w:sz="0" w:space="0" w:color="auto"/>
            <w:left w:val="none" w:sz="0" w:space="0" w:color="auto"/>
            <w:bottom w:val="none" w:sz="0" w:space="0" w:color="auto"/>
            <w:right w:val="none" w:sz="0" w:space="0" w:color="auto"/>
          </w:divBdr>
        </w:div>
        <w:div w:id="1801994689">
          <w:marLeft w:val="0"/>
          <w:marRight w:val="0"/>
          <w:marTop w:val="0"/>
          <w:marBottom w:val="0"/>
          <w:divBdr>
            <w:top w:val="none" w:sz="0" w:space="0" w:color="auto"/>
            <w:left w:val="none" w:sz="0" w:space="0" w:color="auto"/>
            <w:bottom w:val="none" w:sz="0" w:space="0" w:color="auto"/>
            <w:right w:val="none" w:sz="0" w:space="0" w:color="auto"/>
          </w:divBdr>
        </w:div>
      </w:divsChild>
    </w:div>
    <w:div w:id="865487517">
      <w:marLeft w:val="0"/>
      <w:marRight w:val="0"/>
      <w:marTop w:val="0"/>
      <w:marBottom w:val="0"/>
      <w:divBdr>
        <w:top w:val="none" w:sz="0" w:space="0" w:color="auto"/>
        <w:left w:val="none" w:sz="0" w:space="0" w:color="auto"/>
        <w:bottom w:val="none" w:sz="0" w:space="0" w:color="auto"/>
        <w:right w:val="none" w:sz="0" w:space="0" w:color="auto"/>
      </w:divBdr>
    </w:div>
    <w:div w:id="869952114">
      <w:marLeft w:val="0"/>
      <w:marRight w:val="0"/>
      <w:marTop w:val="100"/>
      <w:marBottom w:val="100"/>
      <w:divBdr>
        <w:top w:val="none" w:sz="0" w:space="0" w:color="auto"/>
        <w:left w:val="none" w:sz="0" w:space="0" w:color="auto"/>
        <w:bottom w:val="none" w:sz="0" w:space="0" w:color="auto"/>
        <w:right w:val="none" w:sz="0" w:space="0" w:color="auto"/>
      </w:divBdr>
    </w:div>
    <w:div w:id="870341572">
      <w:marLeft w:val="0"/>
      <w:marRight w:val="0"/>
      <w:marTop w:val="0"/>
      <w:marBottom w:val="0"/>
      <w:divBdr>
        <w:top w:val="none" w:sz="0" w:space="0" w:color="auto"/>
        <w:left w:val="none" w:sz="0" w:space="0" w:color="auto"/>
        <w:bottom w:val="none" w:sz="0" w:space="0" w:color="auto"/>
        <w:right w:val="none" w:sz="0" w:space="0" w:color="auto"/>
      </w:divBdr>
    </w:div>
    <w:div w:id="873613548">
      <w:marLeft w:val="0"/>
      <w:marRight w:val="0"/>
      <w:marTop w:val="0"/>
      <w:marBottom w:val="0"/>
      <w:divBdr>
        <w:top w:val="none" w:sz="0" w:space="0" w:color="auto"/>
        <w:left w:val="none" w:sz="0" w:space="0" w:color="auto"/>
        <w:bottom w:val="none" w:sz="0" w:space="0" w:color="auto"/>
        <w:right w:val="none" w:sz="0" w:space="0" w:color="auto"/>
      </w:divBdr>
    </w:div>
    <w:div w:id="874194089">
      <w:marLeft w:val="0"/>
      <w:marRight w:val="0"/>
      <w:marTop w:val="0"/>
      <w:marBottom w:val="0"/>
      <w:divBdr>
        <w:top w:val="none" w:sz="0" w:space="0" w:color="auto"/>
        <w:left w:val="none" w:sz="0" w:space="0" w:color="auto"/>
        <w:bottom w:val="none" w:sz="0" w:space="0" w:color="auto"/>
        <w:right w:val="none" w:sz="0" w:space="0" w:color="auto"/>
      </w:divBdr>
    </w:div>
    <w:div w:id="877938043">
      <w:marLeft w:val="0"/>
      <w:marRight w:val="0"/>
      <w:marTop w:val="0"/>
      <w:marBottom w:val="0"/>
      <w:divBdr>
        <w:top w:val="none" w:sz="0" w:space="0" w:color="auto"/>
        <w:left w:val="none" w:sz="0" w:space="0" w:color="auto"/>
        <w:bottom w:val="none" w:sz="0" w:space="0" w:color="auto"/>
        <w:right w:val="none" w:sz="0" w:space="0" w:color="auto"/>
      </w:divBdr>
    </w:div>
    <w:div w:id="882710561">
      <w:marLeft w:val="0"/>
      <w:marRight w:val="0"/>
      <w:marTop w:val="0"/>
      <w:marBottom w:val="0"/>
      <w:divBdr>
        <w:top w:val="none" w:sz="0" w:space="0" w:color="auto"/>
        <w:left w:val="none" w:sz="0" w:space="0" w:color="auto"/>
        <w:bottom w:val="none" w:sz="0" w:space="0" w:color="auto"/>
        <w:right w:val="none" w:sz="0" w:space="0" w:color="auto"/>
      </w:divBdr>
      <w:divsChild>
        <w:div w:id="2084721504">
          <w:marLeft w:val="0"/>
          <w:marRight w:val="0"/>
          <w:marTop w:val="0"/>
          <w:marBottom w:val="0"/>
          <w:divBdr>
            <w:top w:val="none" w:sz="0" w:space="0" w:color="auto"/>
            <w:left w:val="none" w:sz="0" w:space="0" w:color="auto"/>
            <w:bottom w:val="none" w:sz="0" w:space="0" w:color="auto"/>
            <w:right w:val="none" w:sz="0" w:space="0" w:color="auto"/>
          </w:divBdr>
        </w:div>
        <w:div w:id="483620537">
          <w:marLeft w:val="0"/>
          <w:marRight w:val="0"/>
          <w:marTop w:val="0"/>
          <w:marBottom w:val="0"/>
          <w:divBdr>
            <w:top w:val="none" w:sz="0" w:space="0" w:color="auto"/>
            <w:left w:val="none" w:sz="0" w:space="0" w:color="auto"/>
            <w:bottom w:val="none" w:sz="0" w:space="0" w:color="auto"/>
            <w:right w:val="none" w:sz="0" w:space="0" w:color="auto"/>
          </w:divBdr>
        </w:div>
      </w:divsChild>
    </w:div>
    <w:div w:id="885680503">
      <w:marLeft w:val="0"/>
      <w:marRight w:val="0"/>
      <w:marTop w:val="0"/>
      <w:marBottom w:val="0"/>
      <w:divBdr>
        <w:top w:val="none" w:sz="0" w:space="0" w:color="auto"/>
        <w:left w:val="none" w:sz="0" w:space="0" w:color="auto"/>
        <w:bottom w:val="none" w:sz="0" w:space="0" w:color="auto"/>
        <w:right w:val="none" w:sz="0" w:space="0" w:color="auto"/>
      </w:divBdr>
      <w:divsChild>
        <w:div w:id="1654874413">
          <w:marLeft w:val="0"/>
          <w:marRight w:val="0"/>
          <w:marTop w:val="0"/>
          <w:marBottom w:val="0"/>
          <w:divBdr>
            <w:top w:val="none" w:sz="0" w:space="0" w:color="auto"/>
            <w:left w:val="none" w:sz="0" w:space="0" w:color="auto"/>
            <w:bottom w:val="none" w:sz="0" w:space="0" w:color="auto"/>
            <w:right w:val="none" w:sz="0" w:space="0" w:color="auto"/>
          </w:divBdr>
        </w:div>
        <w:div w:id="235437870">
          <w:marLeft w:val="0"/>
          <w:marRight w:val="0"/>
          <w:marTop w:val="0"/>
          <w:marBottom w:val="0"/>
          <w:divBdr>
            <w:top w:val="none" w:sz="0" w:space="0" w:color="auto"/>
            <w:left w:val="none" w:sz="0" w:space="0" w:color="auto"/>
            <w:bottom w:val="none" w:sz="0" w:space="0" w:color="auto"/>
            <w:right w:val="none" w:sz="0" w:space="0" w:color="auto"/>
          </w:divBdr>
        </w:div>
      </w:divsChild>
    </w:div>
    <w:div w:id="886113723">
      <w:marLeft w:val="0"/>
      <w:marRight w:val="0"/>
      <w:marTop w:val="0"/>
      <w:marBottom w:val="0"/>
      <w:divBdr>
        <w:top w:val="none" w:sz="0" w:space="0" w:color="auto"/>
        <w:left w:val="none" w:sz="0" w:space="0" w:color="auto"/>
        <w:bottom w:val="none" w:sz="0" w:space="0" w:color="auto"/>
        <w:right w:val="none" w:sz="0" w:space="0" w:color="auto"/>
      </w:divBdr>
      <w:divsChild>
        <w:div w:id="450898875">
          <w:marLeft w:val="0"/>
          <w:marRight w:val="0"/>
          <w:marTop w:val="0"/>
          <w:marBottom w:val="0"/>
          <w:divBdr>
            <w:top w:val="none" w:sz="0" w:space="0" w:color="auto"/>
            <w:left w:val="none" w:sz="0" w:space="0" w:color="auto"/>
            <w:bottom w:val="none" w:sz="0" w:space="0" w:color="auto"/>
            <w:right w:val="none" w:sz="0" w:space="0" w:color="auto"/>
          </w:divBdr>
        </w:div>
      </w:divsChild>
    </w:div>
    <w:div w:id="887229279">
      <w:marLeft w:val="0"/>
      <w:marRight w:val="0"/>
      <w:marTop w:val="0"/>
      <w:marBottom w:val="0"/>
      <w:divBdr>
        <w:top w:val="none" w:sz="0" w:space="0" w:color="auto"/>
        <w:left w:val="none" w:sz="0" w:space="0" w:color="auto"/>
        <w:bottom w:val="none" w:sz="0" w:space="0" w:color="auto"/>
        <w:right w:val="none" w:sz="0" w:space="0" w:color="auto"/>
      </w:divBdr>
      <w:divsChild>
        <w:div w:id="1595363522">
          <w:marLeft w:val="0"/>
          <w:marRight w:val="0"/>
          <w:marTop w:val="0"/>
          <w:marBottom w:val="0"/>
          <w:divBdr>
            <w:top w:val="none" w:sz="0" w:space="0" w:color="auto"/>
            <w:left w:val="none" w:sz="0" w:space="0" w:color="auto"/>
            <w:bottom w:val="none" w:sz="0" w:space="0" w:color="auto"/>
            <w:right w:val="none" w:sz="0" w:space="0" w:color="auto"/>
          </w:divBdr>
        </w:div>
      </w:divsChild>
    </w:div>
    <w:div w:id="890187790">
      <w:marLeft w:val="0"/>
      <w:marRight w:val="0"/>
      <w:marTop w:val="0"/>
      <w:marBottom w:val="0"/>
      <w:divBdr>
        <w:top w:val="none" w:sz="0" w:space="0" w:color="auto"/>
        <w:left w:val="none" w:sz="0" w:space="0" w:color="auto"/>
        <w:bottom w:val="none" w:sz="0" w:space="0" w:color="auto"/>
        <w:right w:val="none" w:sz="0" w:space="0" w:color="auto"/>
      </w:divBdr>
    </w:div>
    <w:div w:id="890652002">
      <w:marLeft w:val="0"/>
      <w:marRight w:val="0"/>
      <w:marTop w:val="0"/>
      <w:marBottom w:val="0"/>
      <w:divBdr>
        <w:top w:val="none" w:sz="0" w:space="0" w:color="auto"/>
        <w:left w:val="none" w:sz="0" w:space="0" w:color="auto"/>
        <w:bottom w:val="none" w:sz="0" w:space="0" w:color="auto"/>
        <w:right w:val="none" w:sz="0" w:space="0" w:color="auto"/>
      </w:divBdr>
      <w:divsChild>
        <w:div w:id="668413403">
          <w:marLeft w:val="0"/>
          <w:marRight w:val="0"/>
          <w:marTop w:val="0"/>
          <w:marBottom w:val="0"/>
          <w:divBdr>
            <w:top w:val="none" w:sz="0" w:space="0" w:color="auto"/>
            <w:left w:val="none" w:sz="0" w:space="0" w:color="auto"/>
            <w:bottom w:val="none" w:sz="0" w:space="0" w:color="auto"/>
            <w:right w:val="none" w:sz="0" w:space="0" w:color="auto"/>
          </w:divBdr>
        </w:div>
        <w:div w:id="1148328603">
          <w:marLeft w:val="0"/>
          <w:marRight w:val="0"/>
          <w:marTop w:val="0"/>
          <w:marBottom w:val="0"/>
          <w:divBdr>
            <w:top w:val="none" w:sz="0" w:space="0" w:color="auto"/>
            <w:left w:val="none" w:sz="0" w:space="0" w:color="auto"/>
            <w:bottom w:val="none" w:sz="0" w:space="0" w:color="auto"/>
            <w:right w:val="none" w:sz="0" w:space="0" w:color="auto"/>
          </w:divBdr>
        </w:div>
      </w:divsChild>
    </w:div>
    <w:div w:id="893197813">
      <w:marLeft w:val="0"/>
      <w:marRight w:val="0"/>
      <w:marTop w:val="0"/>
      <w:marBottom w:val="0"/>
      <w:divBdr>
        <w:top w:val="none" w:sz="0" w:space="0" w:color="auto"/>
        <w:left w:val="none" w:sz="0" w:space="0" w:color="auto"/>
        <w:bottom w:val="none" w:sz="0" w:space="0" w:color="auto"/>
        <w:right w:val="none" w:sz="0" w:space="0" w:color="auto"/>
      </w:divBdr>
      <w:divsChild>
        <w:div w:id="488789173">
          <w:marLeft w:val="0"/>
          <w:marRight w:val="0"/>
          <w:marTop w:val="0"/>
          <w:marBottom w:val="0"/>
          <w:divBdr>
            <w:top w:val="none" w:sz="0" w:space="0" w:color="auto"/>
            <w:left w:val="none" w:sz="0" w:space="0" w:color="auto"/>
            <w:bottom w:val="none" w:sz="0" w:space="0" w:color="auto"/>
            <w:right w:val="none" w:sz="0" w:space="0" w:color="auto"/>
          </w:divBdr>
        </w:div>
      </w:divsChild>
    </w:div>
    <w:div w:id="893394382">
      <w:marLeft w:val="0"/>
      <w:marRight w:val="0"/>
      <w:marTop w:val="0"/>
      <w:marBottom w:val="0"/>
      <w:divBdr>
        <w:top w:val="none" w:sz="0" w:space="0" w:color="auto"/>
        <w:left w:val="none" w:sz="0" w:space="0" w:color="auto"/>
        <w:bottom w:val="none" w:sz="0" w:space="0" w:color="auto"/>
        <w:right w:val="none" w:sz="0" w:space="0" w:color="auto"/>
      </w:divBdr>
      <w:divsChild>
        <w:div w:id="1975525656">
          <w:marLeft w:val="0"/>
          <w:marRight w:val="0"/>
          <w:marTop w:val="0"/>
          <w:marBottom w:val="0"/>
          <w:divBdr>
            <w:top w:val="none" w:sz="0" w:space="0" w:color="auto"/>
            <w:left w:val="none" w:sz="0" w:space="0" w:color="auto"/>
            <w:bottom w:val="none" w:sz="0" w:space="0" w:color="auto"/>
            <w:right w:val="none" w:sz="0" w:space="0" w:color="auto"/>
          </w:divBdr>
        </w:div>
        <w:div w:id="877550483">
          <w:marLeft w:val="0"/>
          <w:marRight w:val="0"/>
          <w:marTop w:val="0"/>
          <w:marBottom w:val="0"/>
          <w:divBdr>
            <w:top w:val="none" w:sz="0" w:space="0" w:color="auto"/>
            <w:left w:val="none" w:sz="0" w:space="0" w:color="auto"/>
            <w:bottom w:val="none" w:sz="0" w:space="0" w:color="auto"/>
            <w:right w:val="none" w:sz="0" w:space="0" w:color="auto"/>
          </w:divBdr>
        </w:div>
      </w:divsChild>
    </w:div>
    <w:div w:id="894663630">
      <w:marLeft w:val="0"/>
      <w:marRight w:val="0"/>
      <w:marTop w:val="0"/>
      <w:marBottom w:val="60"/>
      <w:divBdr>
        <w:top w:val="none" w:sz="0" w:space="0" w:color="auto"/>
        <w:left w:val="none" w:sz="0" w:space="0" w:color="auto"/>
        <w:bottom w:val="none" w:sz="0" w:space="0" w:color="auto"/>
        <w:right w:val="none" w:sz="0" w:space="0" w:color="auto"/>
      </w:divBdr>
    </w:div>
    <w:div w:id="895437807">
      <w:marLeft w:val="0"/>
      <w:marRight w:val="0"/>
      <w:marTop w:val="0"/>
      <w:marBottom w:val="100"/>
      <w:divBdr>
        <w:top w:val="none" w:sz="0" w:space="0" w:color="auto"/>
        <w:left w:val="none" w:sz="0" w:space="0" w:color="auto"/>
        <w:bottom w:val="none" w:sz="0" w:space="0" w:color="auto"/>
        <w:right w:val="none" w:sz="0" w:space="0" w:color="auto"/>
      </w:divBdr>
    </w:div>
    <w:div w:id="895705061">
      <w:marLeft w:val="0"/>
      <w:marRight w:val="0"/>
      <w:marTop w:val="0"/>
      <w:marBottom w:val="0"/>
      <w:divBdr>
        <w:top w:val="none" w:sz="0" w:space="0" w:color="auto"/>
        <w:left w:val="none" w:sz="0" w:space="0" w:color="auto"/>
        <w:bottom w:val="none" w:sz="0" w:space="0" w:color="auto"/>
        <w:right w:val="none" w:sz="0" w:space="0" w:color="auto"/>
      </w:divBdr>
    </w:div>
    <w:div w:id="896207049">
      <w:marLeft w:val="0"/>
      <w:marRight w:val="0"/>
      <w:marTop w:val="0"/>
      <w:marBottom w:val="120"/>
      <w:divBdr>
        <w:top w:val="none" w:sz="0" w:space="0" w:color="auto"/>
        <w:left w:val="none" w:sz="0" w:space="0" w:color="auto"/>
        <w:bottom w:val="none" w:sz="0" w:space="0" w:color="auto"/>
        <w:right w:val="none" w:sz="0" w:space="0" w:color="auto"/>
      </w:divBdr>
    </w:div>
    <w:div w:id="898783863">
      <w:marLeft w:val="0"/>
      <w:marRight w:val="0"/>
      <w:marTop w:val="0"/>
      <w:marBottom w:val="0"/>
      <w:divBdr>
        <w:top w:val="none" w:sz="0" w:space="0" w:color="auto"/>
        <w:left w:val="none" w:sz="0" w:space="0" w:color="auto"/>
        <w:bottom w:val="none" w:sz="0" w:space="0" w:color="auto"/>
        <w:right w:val="none" w:sz="0" w:space="0" w:color="auto"/>
      </w:divBdr>
      <w:divsChild>
        <w:div w:id="1827553529">
          <w:marLeft w:val="0"/>
          <w:marRight w:val="0"/>
          <w:marTop w:val="0"/>
          <w:marBottom w:val="0"/>
          <w:divBdr>
            <w:top w:val="none" w:sz="0" w:space="0" w:color="auto"/>
            <w:left w:val="none" w:sz="0" w:space="0" w:color="auto"/>
            <w:bottom w:val="none" w:sz="0" w:space="0" w:color="auto"/>
            <w:right w:val="none" w:sz="0" w:space="0" w:color="auto"/>
          </w:divBdr>
        </w:div>
      </w:divsChild>
    </w:div>
    <w:div w:id="901478982">
      <w:marLeft w:val="0"/>
      <w:marRight w:val="0"/>
      <w:marTop w:val="0"/>
      <w:marBottom w:val="0"/>
      <w:divBdr>
        <w:top w:val="none" w:sz="0" w:space="0" w:color="auto"/>
        <w:left w:val="none" w:sz="0" w:space="0" w:color="auto"/>
        <w:bottom w:val="none" w:sz="0" w:space="0" w:color="auto"/>
        <w:right w:val="none" w:sz="0" w:space="0" w:color="auto"/>
      </w:divBdr>
    </w:div>
    <w:div w:id="903027951">
      <w:marLeft w:val="0"/>
      <w:marRight w:val="0"/>
      <w:marTop w:val="0"/>
      <w:marBottom w:val="0"/>
      <w:divBdr>
        <w:top w:val="none" w:sz="0" w:space="0" w:color="auto"/>
        <w:left w:val="none" w:sz="0" w:space="0" w:color="auto"/>
        <w:bottom w:val="none" w:sz="0" w:space="0" w:color="auto"/>
        <w:right w:val="none" w:sz="0" w:space="0" w:color="auto"/>
      </w:divBdr>
      <w:divsChild>
        <w:div w:id="1723359357">
          <w:marLeft w:val="0"/>
          <w:marRight w:val="0"/>
          <w:marTop w:val="0"/>
          <w:marBottom w:val="0"/>
          <w:divBdr>
            <w:top w:val="none" w:sz="0" w:space="0" w:color="auto"/>
            <w:left w:val="none" w:sz="0" w:space="0" w:color="auto"/>
            <w:bottom w:val="none" w:sz="0" w:space="0" w:color="auto"/>
            <w:right w:val="none" w:sz="0" w:space="0" w:color="auto"/>
          </w:divBdr>
        </w:div>
      </w:divsChild>
    </w:div>
    <w:div w:id="905917362">
      <w:marLeft w:val="0"/>
      <w:marRight w:val="0"/>
      <w:marTop w:val="100"/>
      <w:marBottom w:val="0"/>
      <w:divBdr>
        <w:top w:val="none" w:sz="0" w:space="0" w:color="auto"/>
        <w:left w:val="none" w:sz="0" w:space="0" w:color="auto"/>
        <w:bottom w:val="none" w:sz="0" w:space="0" w:color="auto"/>
        <w:right w:val="none" w:sz="0" w:space="0" w:color="auto"/>
      </w:divBdr>
    </w:div>
    <w:div w:id="907305817">
      <w:marLeft w:val="0"/>
      <w:marRight w:val="0"/>
      <w:marTop w:val="0"/>
      <w:marBottom w:val="100"/>
      <w:divBdr>
        <w:top w:val="none" w:sz="0" w:space="0" w:color="auto"/>
        <w:left w:val="none" w:sz="0" w:space="0" w:color="auto"/>
        <w:bottom w:val="none" w:sz="0" w:space="0" w:color="auto"/>
        <w:right w:val="none" w:sz="0" w:space="0" w:color="auto"/>
      </w:divBdr>
    </w:div>
    <w:div w:id="908731989">
      <w:marLeft w:val="0"/>
      <w:marRight w:val="0"/>
      <w:marTop w:val="0"/>
      <w:marBottom w:val="0"/>
      <w:divBdr>
        <w:top w:val="none" w:sz="0" w:space="0" w:color="auto"/>
        <w:left w:val="none" w:sz="0" w:space="0" w:color="auto"/>
        <w:bottom w:val="none" w:sz="0" w:space="0" w:color="auto"/>
        <w:right w:val="none" w:sz="0" w:space="0" w:color="auto"/>
      </w:divBdr>
      <w:divsChild>
        <w:div w:id="604847563">
          <w:marLeft w:val="0"/>
          <w:marRight w:val="0"/>
          <w:marTop w:val="0"/>
          <w:marBottom w:val="0"/>
          <w:divBdr>
            <w:top w:val="none" w:sz="0" w:space="0" w:color="auto"/>
            <w:left w:val="none" w:sz="0" w:space="0" w:color="auto"/>
            <w:bottom w:val="none" w:sz="0" w:space="0" w:color="auto"/>
            <w:right w:val="none" w:sz="0" w:space="0" w:color="auto"/>
          </w:divBdr>
        </w:div>
      </w:divsChild>
    </w:div>
    <w:div w:id="910383775">
      <w:marLeft w:val="0"/>
      <w:marRight w:val="0"/>
      <w:marTop w:val="0"/>
      <w:marBottom w:val="0"/>
      <w:divBdr>
        <w:top w:val="none" w:sz="0" w:space="0" w:color="auto"/>
        <w:left w:val="none" w:sz="0" w:space="0" w:color="auto"/>
        <w:bottom w:val="none" w:sz="0" w:space="0" w:color="auto"/>
        <w:right w:val="none" w:sz="0" w:space="0" w:color="auto"/>
      </w:divBdr>
      <w:divsChild>
        <w:div w:id="298072970">
          <w:marLeft w:val="0"/>
          <w:marRight w:val="0"/>
          <w:marTop w:val="0"/>
          <w:marBottom w:val="0"/>
          <w:divBdr>
            <w:top w:val="none" w:sz="0" w:space="0" w:color="auto"/>
            <w:left w:val="none" w:sz="0" w:space="0" w:color="auto"/>
            <w:bottom w:val="none" w:sz="0" w:space="0" w:color="auto"/>
            <w:right w:val="none" w:sz="0" w:space="0" w:color="auto"/>
          </w:divBdr>
        </w:div>
      </w:divsChild>
    </w:div>
    <w:div w:id="911891056">
      <w:marLeft w:val="0"/>
      <w:marRight w:val="0"/>
      <w:marTop w:val="0"/>
      <w:marBottom w:val="0"/>
      <w:divBdr>
        <w:top w:val="none" w:sz="0" w:space="0" w:color="auto"/>
        <w:left w:val="none" w:sz="0" w:space="0" w:color="auto"/>
        <w:bottom w:val="none" w:sz="0" w:space="0" w:color="auto"/>
        <w:right w:val="none" w:sz="0" w:space="0" w:color="auto"/>
      </w:divBdr>
      <w:divsChild>
        <w:div w:id="1522090455">
          <w:marLeft w:val="0"/>
          <w:marRight w:val="0"/>
          <w:marTop w:val="0"/>
          <w:marBottom w:val="0"/>
          <w:divBdr>
            <w:top w:val="none" w:sz="0" w:space="0" w:color="auto"/>
            <w:left w:val="none" w:sz="0" w:space="0" w:color="auto"/>
            <w:bottom w:val="none" w:sz="0" w:space="0" w:color="auto"/>
            <w:right w:val="none" w:sz="0" w:space="0" w:color="auto"/>
          </w:divBdr>
        </w:div>
        <w:div w:id="2126996038">
          <w:marLeft w:val="0"/>
          <w:marRight w:val="0"/>
          <w:marTop w:val="0"/>
          <w:marBottom w:val="0"/>
          <w:divBdr>
            <w:top w:val="none" w:sz="0" w:space="0" w:color="auto"/>
            <w:left w:val="none" w:sz="0" w:space="0" w:color="auto"/>
            <w:bottom w:val="none" w:sz="0" w:space="0" w:color="auto"/>
            <w:right w:val="none" w:sz="0" w:space="0" w:color="auto"/>
          </w:divBdr>
        </w:div>
      </w:divsChild>
    </w:div>
    <w:div w:id="915438692">
      <w:marLeft w:val="0"/>
      <w:marRight w:val="0"/>
      <w:marTop w:val="0"/>
      <w:marBottom w:val="0"/>
      <w:divBdr>
        <w:top w:val="none" w:sz="0" w:space="0" w:color="auto"/>
        <w:left w:val="none" w:sz="0" w:space="0" w:color="auto"/>
        <w:bottom w:val="none" w:sz="0" w:space="0" w:color="auto"/>
        <w:right w:val="none" w:sz="0" w:space="0" w:color="auto"/>
      </w:divBdr>
    </w:div>
    <w:div w:id="917136396">
      <w:marLeft w:val="0"/>
      <w:marRight w:val="0"/>
      <w:marTop w:val="0"/>
      <w:marBottom w:val="0"/>
      <w:divBdr>
        <w:top w:val="none" w:sz="0" w:space="0" w:color="auto"/>
        <w:left w:val="none" w:sz="0" w:space="0" w:color="auto"/>
        <w:bottom w:val="none" w:sz="0" w:space="0" w:color="auto"/>
        <w:right w:val="none" w:sz="0" w:space="0" w:color="auto"/>
      </w:divBdr>
      <w:divsChild>
        <w:div w:id="679504266">
          <w:marLeft w:val="0"/>
          <w:marRight w:val="0"/>
          <w:marTop w:val="0"/>
          <w:marBottom w:val="0"/>
          <w:divBdr>
            <w:top w:val="none" w:sz="0" w:space="0" w:color="auto"/>
            <w:left w:val="none" w:sz="0" w:space="0" w:color="auto"/>
            <w:bottom w:val="none" w:sz="0" w:space="0" w:color="auto"/>
            <w:right w:val="none" w:sz="0" w:space="0" w:color="auto"/>
          </w:divBdr>
        </w:div>
        <w:div w:id="1808356079">
          <w:marLeft w:val="0"/>
          <w:marRight w:val="0"/>
          <w:marTop w:val="0"/>
          <w:marBottom w:val="0"/>
          <w:divBdr>
            <w:top w:val="none" w:sz="0" w:space="0" w:color="auto"/>
            <w:left w:val="none" w:sz="0" w:space="0" w:color="auto"/>
            <w:bottom w:val="none" w:sz="0" w:space="0" w:color="auto"/>
            <w:right w:val="none" w:sz="0" w:space="0" w:color="auto"/>
          </w:divBdr>
        </w:div>
      </w:divsChild>
    </w:div>
    <w:div w:id="920330458">
      <w:marLeft w:val="0"/>
      <w:marRight w:val="0"/>
      <w:marTop w:val="100"/>
      <w:marBottom w:val="0"/>
      <w:divBdr>
        <w:top w:val="none" w:sz="0" w:space="0" w:color="auto"/>
        <w:left w:val="none" w:sz="0" w:space="0" w:color="auto"/>
        <w:bottom w:val="none" w:sz="0" w:space="0" w:color="auto"/>
        <w:right w:val="none" w:sz="0" w:space="0" w:color="auto"/>
      </w:divBdr>
    </w:div>
    <w:div w:id="921374986">
      <w:marLeft w:val="0"/>
      <w:marRight w:val="0"/>
      <w:marTop w:val="0"/>
      <w:marBottom w:val="0"/>
      <w:divBdr>
        <w:top w:val="none" w:sz="0" w:space="0" w:color="auto"/>
        <w:left w:val="none" w:sz="0" w:space="0" w:color="auto"/>
        <w:bottom w:val="none" w:sz="0" w:space="0" w:color="auto"/>
        <w:right w:val="none" w:sz="0" w:space="0" w:color="auto"/>
      </w:divBdr>
      <w:divsChild>
        <w:div w:id="2056811632">
          <w:marLeft w:val="0"/>
          <w:marRight w:val="0"/>
          <w:marTop w:val="0"/>
          <w:marBottom w:val="0"/>
          <w:divBdr>
            <w:top w:val="none" w:sz="0" w:space="0" w:color="auto"/>
            <w:left w:val="none" w:sz="0" w:space="0" w:color="auto"/>
            <w:bottom w:val="none" w:sz="0" w:space="0" w:color="auto"/>
            <w:right w:val="none" w:sz="0" w:space="0" w:color="auto"/>
          </w:divBdr>
        </w:div>
        <w:div w:id="472795453">
          <w:marLeft w:val="0"/>
          <w:marRight w:val="0"/>
          <w:marTop w:val="0"/>
          <w:marBottom w:val="0"/>
          <w:divBdr>
            <w:top w:val="none" w:sz="0" w:space="0" w:color="auto"/>
            <w:left w:val="none" w:sz="0" w:space="0" w:color="auto"/>
            <w:bottom w:val="none" w:sz="0" w:space="0" w:color="auto"/>
            <w:right w:val="none" w:sz="0" w:space="0" w:color="auto"/>
          </w:divBdr>
        </w:div>
      </w:divsChild>
    </w:div>
    <w:div w:id="922689904">
      <w:marLeft w:val="0"/>
      <w:marRight w:val="0"/>
      <w:marTop w:val="0"/>
      <w:marBottom w:val="0"/>
      <w:divBdr>
        <w:top w:val="none" w:sz="0" w:space="0" w:color="auto"/>
        <w:left w:val="none" w:sz="0" w:space="0" w:color="auto"/>
        <w:bottom w:val="none" w:sz="0" w:space="0" w:color="auto"/>
        <w:right w:val="none" w:sz="0" w:space="0" w:color="auto"/>
      </w:divBdr>
      <w:divsChild>
        <w:div w:id="457527679">
          <w:marLeft w:val="0"/>
          <w:marRight w:val="0"/>
          <w:marTop w:val="0"/>
          <w:marBottom w:val="0"/>
          <w:divBdr>
            <w:top w:val="none" w:sz="0" w:space="0" w:color="auto"/>
            <w:left w:val="none" w:sz="0" w:space="0" w:color="auto"/>
            <w:bottom w:val="none" w:sz="0" w:space="0" w:color="auto"/>
            <w:right w:val="none" w:sz="0" w:space="0" w:color="auto"/>
          </w:divBdr>
        </w:div>
        <w:div w:id="204341249">
          <w:marLeft w:val="0"/>
          <w:marRight w:val="0"/>
          <w:marTop w:val="0"/>
          <w:marBottom w:val="0"/>
          <w:divBdr>
            <w:top w:val="none" w:sz="0" w:space="0" w:color="auto"/>
            <w:left w:val="none" w:sz="0" w:space="0" w:color="auto"/>
            <w:bottom w:val="none" w:sz="0" w:space="0" w:color="auto"/>
            <w:right w:val="none" w:sz="0" w:space="0" w:color="auto"/>
          </w:divBdr>
        </w:div>
      </w:divsChild>
    </w:div>
    <w:div w:id="923956822">
      <w:marLeft w:val="0"/>
      <w:marRight w:val="0"/>
      <w:marTop w:val="0"/>
      <w:marBottom w:val="0"/>
      <w:divBdr>
        <w:top w:val="none" w:sz="0" w:space="0" w:color="auto"/>
        <w:left w:val="none" w:sz="0" w:space="0" w:color="auto"/>
        <w:bottom w:val="none" w:sz="0" w:space="0" w:color="auto"/>
        <w:right w:val="none" w:sz="0" w:space="0" w:color="auto"/>
      </w:divBdr>
      <w:divsChild>
        <w:div w:id="2086416472">
          <w:marLeft w:val="0"/>
          <w:marRight w:val="0"/>
          <w:marTop w:val="0"/>
          <w:marBottom w:val="0"/>
          <w:divBdr>
            <w:top w:val="none" w:sz="0" w:space="0" w:color="auto"/>
            <w:left w:val="none" w:sz="0" w:space="0" w:color="auto"/>
            <w:bottom w:val="none" w:sz="0" w:space="0" w:color="auto"/>
            <w:right w:val="none" w:sz="0" w:space="0" w:color="auto"/>
          </w:divBdr>
        </w:div>
        <w:div w:id="1186484017">
          <w:marLeft w:val="0"/>
          <w:marRight w:val="0"/>
          <w:marTop w:val="0"/>
          <w:marBottom w:val="0"/>
          <w:divBdr>
            <w:top w:val="none" w:sz="0" w:space="0" w:color="auto"/>
            <w:left w:val="none" w:sz="0" w:space="0" w:color="auto"/>
            <w:bottom w:val="none" w:sz="0" w:space="0" w:color="auto"/>
            <w:right w:val="none" w:sz="0" w:space="0" w:color="auto"/>
          </w:divBdr>
        </w:div>
      </w:divsChild>
    </w:div>
    <w:div w:id="924343535">
      <w:marLeft w:val="0"/>
      <w:marRight w:val="0"/>
      <w:marTop w:val="0"/>
      <w:marBottom w:val="0"/>
      <w:divBdr>
        <w:top w:val="none" w:sz="0" w:space="0" w:color="auto"/>
        <w:left w:val="none" w:sz="0" w:space="0" w:color="auto"/>
        <w:bottom w:val="none" w:sz="0" w:space="0" w:color="auto"/>
        <w:right w:val="none" w:sz="0" w:space="0" w:color="auto"/>
      </w:divBdr>
      <w:divsChild>
        <w:div w:id="654525863">
          <w:marLeft w:val="0"/>
          <w:marRight w:val="0"/>
          <w:marTop w:val="0"/>
          <w:marBottom w:val="0"/>
          <w:divBdr>
            <w:top w:val="none" w:sz="0" w:space="0" w:color="auto"/>
            <w:left w:val="none" w:sz="0" w:space="0" w:color="auto"/>
            <w:bottom w:val="none" w:sz="0" w:space="0" w:color="auto"/>
            <w:right w:val="none" w:sz="0" w:space="0" w:color="auto"/>
          </w:divBdr>
        </w:div>
        <w:div w:id="586890182">
          <w:marLeft w:val="0"/>
          <w:marRight w:val="0"/>
          <w:marTop w:val="0"/>
          <w:marBottom w:val="0"/>
          <w:divBdr>
            <w:top w:val="none" w:sz="0" w:space="0" w:color="auto"/>
            <w:left w:val="none" w:sz="0" w:space="0" w:color="auto"/>
            <w:bottom w:val="none" w:sz="0" w:space="0" w:color="auto"/>
            <w:right w:val="none" w:sz="0" w:space="0" w:color="auto"/>
          </w:divBdr>
        </w:div>
      </w:divsChild>
    </w:div>
    <w:div w:id="928848476">
      <w:marLeft w:val="0"/>
      <w:marRight w:val="0"/>
      <w:marTop w:val="0"/>
      <w:marBottom w:val="0"/>
      <w:divBdr>
        <w:top w:val="none" w:sz="0" w:space="0" w:color="auto"/>
        <w:left w:val="none" w:sz="0" w:space="0" w:color="auto"/>
        <w:bottom w:val="none" w:sz="0" w:space="0" w:color="auto"/>
        <w:right w:val="none" w:sz="0" w:space="0" w:color="auto"/>
      </w:divBdr>
    </w:div>
    <w:div w:id="929314778">
      <w:marLeft w:val="0"/>
      <w:marRight w:val="0"/>
      <w:marTop w:val="0"/>
      <w:marBottom w:val="0"/>
      <w:divBdr>
        <w:top w:val="none" w:sz="0" w:space="0" w:color="auto"/>
        <w:left w:val="none" w:sz="0" w:space="0" w:color="auto"/>
        <w:bottom w:val="none" w:sz="0" w:space="0" w:color="auto"/>
        <w:right w:val="none" w:sz="0" w:space="0" w:color="auto"/>
      </w:divBdr>
      <w:divsChild>
        <w:div w:id="987246187">
          <w:marLeft w:val="0"/>
          <w:marRight w:val="0"/>
          <w:marTop w:val="0"/>
          <w:marBottom w:val="0"/>
          <w:divBdr>
            <w:top w:val="none" w:sz="0" w:space="0" w:color="auto"/>
            <w:left w:val="none" w:sz="0" w:space="0" w:color="auto"/>
            <w:bottom w:val="none" w:sz="0" w:space="0" w:color="auto"/>
            <w:right w:val="none" w:sz="0" w:space="0" w:color="auto"/>
          </w:divBdr>
        </w:div>
        <w:div w:id="1247181083">
          <w:marLeft w:val="0"/>
          <w:marRight w:val="0"/>
          <w:marTop w:val="0"/>
          <w:marBottom w:val="0"/>
          <w:divBdr>
            <w:top w:val="none" w:sz="0" w:space="0" w:color="auto"/>
            <w:left w:val="none" w:sz="0" w:space="0" w:color="auto"/>
            <w:bottom w:val="none" w:sz="0" w:space="0" w:color="auto"/>
            <w:right w:val="none" w:sz="0" w:space="0" w:color="auto"/>
          </w:divBdr>
        </w:div>
      </w:divsChild>
    </w:div>
    <w:div w:id="934509409">
      <w:marLeft w:val="0"/>
      <w:marRight w:val="0"/>
      <w:marTop w:val="100"/>
      <w:marBottom w:val="0"/>
      <w:divBdr>
        <w:top w:val="none" w:sz="0" w:space="0" w:color="auto"/>
        <w:left w:val="none" w:sz="0" w:space="0" w:color="auto"/>
        <w:bottom w:val="none" w:sz="0" w:space="0" w:color="auto"/>
        <w:right w:val="none" w:sz="0" w:space="0" w:color="auto"/>
      </w:divBdr>
    </w:div>
    <w:div w:id="941842414">
      <w:marLeft w:val="0"/>
      <w:marRight w:val="0"/>
      <w:marTop w:val="0"/>
      <w:marBottom w:val="0"/>
      <w:divBdr>
        <w:top w:val="none" w:sz="0" w:space="0" w:color="auto"/>
        <w:left w:val="none" w:sz="0" w:space="0" w:color="auto"/>
        <w:bottom w:val="none" w:sz="0" w:space="0" w:color="auto"/>
        <w:right w:val="none" w:sz="0" w:space="0" w:color="auto"/>
      </w:divBdr>
    </w:div>
    <w:div w:id="942303894">
      <w:marLeft w:val="0"/>
      <w:marRight w:val="0"/>
      <w:marTop w:val="0"/>
      <w:marBottom w:val="60"/>
      <w:divBdr>
        <w:top w:val="none" w:sz="0" w:space="0" w:color="auto"/>
        <w:left w:val="none" w:sz="0" w:space="0" w:color="auto"/>
        <w:bottom w:val="none" w:sz="0" w:space="0" w:color="auto"/>
        <w:right w:val="none" w:sz="0" w:space="0" w:color="auto"/>
      </w:divBdr>
    </w:div>
    <w:div w:id="942614647">
      <w:marLeft w:val="0"/>
      <w:marRight w:val="0"/>
      <w:marTop w:val="0"/>
      <w:marBottom w:val="0"/>
      <w:divBdr>
        <w:top w:val="none" w:sz="0" w:space="0" w:color="auto"/>
        <w:left w:val="none" w:sz="0" w:space="0" w:color="auto"/>
        <w:bottom w:val="none" w:sz="0" w:space="0" w:color="auto"/>
        <w:right w:val="none" w:sz="0" w:space="0" w:color="auto"/>
      </w:divBdr>
    </w:div>
    <w:div w:id="947391472">
      <w:marLeft w:val="0"/>
      <w:marRight w:val="0"/>
      <w:marTop w:val="80"/>
      <w:marBottom w:val="0"/>
      <w:divBdr>
        <w:top w:val="none" w:sz="0" w:space="0" w:color="auto"/>
        <w:left w:val="none" w:sz="0" w:space="0" w:color="auto"/>
        <w:bottom w:val="none" w:sz="0" w:space="0" w:color="auto"/>
        <w:right w:val="none" w:sz="0" w:space="0" w:color="auto"/>
      </w:divBdr>
    </w:div>
    <w:div w:id="955790736">
      <w:marLeft w:val="0"/>
      <w:marRight w:val="0"/>
      <w:marTop w:val="0"/>
      <w:marBottom w:val="60"/>
      <w:divBdr>
        <w:top w:val="none" w:sz="0" w:space="0" w:color="auto"/>
        <w:left w:val="none" w:sz="0" w:space="0" w:color="auto"/>
        <w:bottom w:val="none" w:sz="0" w:space="0" w:color="auto"/>
        <w:right w:val="none" w:sz="0" w:space="0" w:color="auto"/>
      </w:divBdr>
    </w:div>
    <w:div w:id="959385263">
      <w:marLeft w:val="0"/>
      <w:marRight w:val="0"/>
      <w:marTop w:val="0"/>
      <w:marBottom w:val="0"/>
      <w:divBdr>
        <w:top w:val="none" w:sz="0" w:space="0" w:color="auto"/>
        <w:left w:val="none" w:sz="0" w:space="0" w:color="auto"/>
        <w:bottom w:val="none" w:sz="0" w:space="0" w:color="auto"/>
        <w:right w:val="none" w:sz="0" w:space="0" w:color="auto"/>
      </w:divBdr>
      <w:divsChild>
        <w:div w:id="2047749985">
          <w:marLeft w:val="0"/>
          <w:marRight w:val="0"/>
          <w:marTop w:val="0"/>
          <w:marBottom w:val="0"/>
          <w:divBdr>
            <w:top w:val="none" w:sz="0" w:space="0" w:color="auto"/>
            <w:left w:val="none" w:sz="0" w:space="0" w:color="auto"/>
            <w:bottom w:val="none" w:sz="0" w:space="0" w:color="auto"/>
            <w:right w:val="none" w:sz="0" w:space="0" w:color="auto"/>
          </w:divBdr>
        </w:div>
      </w:divsChild>
    </w:div>
    <w:div w:id="963852486">
      <w:marLeft w:val="0"/>
      <w:marRight w:val="0"/>
      <w:marTop w:val="0"/>
      <w:marBottom w:val="0"/>
      <w:divBdr>
        <w:top w:val="none" w:sz="0" w:space="0" w:color="auto"/>
        <w:left w:val="none" w:sz="0" w:space="0" w:color="auto"/>
        <w:bottom w:val="none" w:sz="0" w:space="0" w:color="auto"/>
        <w:right w:val="none" w:sz="0" w:space="0" w:color="auto"/>
      </w:divBdr>
      <w:divsChild>
        <w:div w:id="1369797794">
          <w:marLeft w:val="0"/>
          <w:marRight w:val="0"/>
          <w:marTop w:val="0"/>
          <w:marBottom w:val="0"/>
          <w:divBdr>
            <w:top w:val="none" w:sz="0" w:space="0" w:color="auto"/>
            <w:left w:val="none" w:sz="0" w:space="0" w:color="auto"/>
            <w:bottom w:val="none" w:sz="0" w:space="0" w:color="auto"/>
            <w:right w:val="none" w:sz="0" w:space="0" w:color="auto"/>
          </w:divBdr>
        </w:div>
        <w:div w:id="48847443">
          <w:marLeft w:val="0"/>
          <w:marRight w:val="0"/>
          <w:marTop w:val="0"/>
          <w:marBottom w:val="0"/>
          <w:divBdr>
            <w:top w:val="none" w:sz="0" w:space="0" w:color="auto"/>
            <w:left w:val="none" w:sz="0" w:space="0" w:color="auto"/>
            <w:bottom w:val="none" w:sz="0" w:space="0" w:color="auto"/>
            <w:right w:val="none" w:sz="0" w:space="0" w:color="auto"/>
          </w:divBdr>
        </w:div>
      </w:divsChild>
    </w:div>
    <w:div w:id="965237139">
      <w:marLeft w:val="0"/>
      <w:marRight w:val="0"/>
      <w:marTop w:val="0"/>
      <w:marBottom w:val="0"/>
      <w:divBdr>
        <w:top w:val="none" w:sz="0" w:space="0" w:color="auto"/>
        <w:left w:val="none" w:sz="0" w:space="0" w:color="auto"/>
        <w:bottom w:val="none" w:sz="0" w:space="0" w:color="auto"/>
        <w:right w:val="none" w:sz="0" w:space="0" w:color="auto"/>
      </w:divBdr>
    </w:div>
    <w:div w:id="970869676">
      <w:marLeft w:val="0"/>
      <w:marRight w:val="0"/>
      <w:marTop w:val="0"/>
      <w:marBottom w:val="0"/>
      <w:divBdr>
        <w:top w:val="none" w:sz="0" w:space="0" w:color="auto"/>
        <w:left w:val="none" w:sz="0" w:space="0" w:color="auto"/>
        <w:bottom w:val="none" w:sz="0" w:space="0" w:color="auto"/>
        <w:right w:val="none" w:sz="0" w:space="0" w:color="auto"/>
      </w:divBdr>
    </w:div>
    <w:div w:id="974407308">
      <w:marLeft w:val="0"/>
      <w:marRight w:val="0"/>
      <w:marTop w:val="0"/>
      <w:marBottom w:val="0"/>
      <w:divBdr>
        <w:top w:val="none" w:sz="0" w:space="0" w:color="auto"/>
        <w:left w:val="none" w:sz="0" w:space="0" w:color="auto"/>
        <w:bottom w:val="none" w:sz="0" w:space="0" w:color="auto"/>
        <w:right w:val="none" w:sz="0" w:space="0" w:color="auto"/>
      </w:divBdr>
      <w:divsChild>
        <w:div w:id="464860142">
          <w:marLeft w:val="0"/>
          <w:marRight w:val="0"/>
          <w:marTop w:val="0"/>
          <w:marBottom w:val="0"/>
          <w:divBdr>
            <w:top w:val="none" w:sz="0" w:space="0" w:color="auto"/>
            <w:left w:val="none" w:sz="0" w:space="0" w:color="auto"/>
            <w:bottom w:val="none" w:sz="0" w:space="0" w:color="auto"/>
            <w:right w:val="none" w:sz="0" w:space="0" w:color="auto"/>
          </w:divBdr>
        </w:div>
        <w:div w:id="1446845333">
          <w:marLeft w:val="0"/>
          <w:marRight w:val="0"/>
          <w:marTop w:val="0"/>
          <w:marBottom w:val="0"/>
          <w:divBdr>
            <w:top w:val="none" w:sz="0" w:space="0" w:color="auto"/>
            <w:left w:val="none" w:sz="0" w:space="0" w:color="auto"/>
            <w:bottom w:val="none" w:sz="0" w:space="0" w:color="auto"/>
            <w:right w:val="none" w:sz="0" w:space="0" w:color="auto"/>
          </w:divBdr>
        </w:div>
      </w:divsChild>
    </w:div>
    <w:div w:id="974529789">
      <w:marLeft w:val="0"/>
      <w:marRight w:val="0"/>
      <w:marTop w:val="100"/>
      <w:marBottom w:val="0"/>
      <w:divBdr>
        <w:top w:val="none" w:sz="0" w:space="0" w:color="auto"/>
        <w:left w:val="none" w:sz="0" w:space="0" w:color="auto"/>
        <w:bottom w:val="none" w:sz="0" w:space="0" w:color="auto"/>
        <w:right w:val="none" w:sz="0" w:space="0" w:color="auto"/>
      </w:divBdr>
      <w:divsChild>
        <w:div w:id="1554543511">
          <w:marLeft w:val="0"/>
          <w:marRight w:val="0"/>
          <w:marTop w:val="0"/>
          <w:marBottom w:val="0"/>
          <w:divBdr>
            <w:top w:val="none" w:sz="0" w:space="0" w:color="auto"/>
            <w:left w:val="none" w:sz="0" w:space="0" w:color="auto"/>
            <w:bottom w:val="none" w:sz="0" w:space="0" w:color="auto"/>
            <w:right w:val="none" w:sz="0" w:space="0" w:color="auto"/>
          </w:divBdr>
        </w:div>
        <w:div w:id="344330009">
          <w:marLeft w:val="0"/>
          <w:marRight w:val="0"/>
          <w:marTop w:val="0"/>
          <w:marBottom w:val="0"/>
          <w:divBdr>
            <w:top w:val="none" w:sz="0" w:space="0" w:color="auto"/>
            <w:left w:val="none" w:sz="0" w:space="0" w:color="auto"/>
            <w:bottom w:val="none" w:sz="0" w:space="0" w:color="auto"/>
            <w:right w:val="none" w:sz="0" w:space="0" w:color="auto"/>
          </w:divBdr>
        </w:div>
        <w:div w:id="903416471">
          <w:marLeft w:val="0"/>
          <w:marRight w:val="0"/>
          <w:marTop w:val="0"/>
          <w:marBottom w:val="0"/>
          <w:divBdr>
            <w:top w:val="none" w:sz="0" w:space="0" w:color="auto"/>
            <w:left w:val="none" w:sz="0" w:space="0" w:color="auto"/>
            <w:bottom w:val="none" w:sz="0" w:space="0" w:color="auto"/>
            <w:right w:val="none" w:sz="0" w:space="0" w:color="auto"/>
          </w:divBdr>
        </w:div>
        <w:div w:id="1427114618">
          <w:marLeft w:val="0"/>
          <w:marRight w:val="0"/>
          <w:marTop w:val="0"/>
          <w:marBottom w:val="0"/>
          <w:divBdr>
            <w:top w:val="none" w:sz="0" w:space="0" w:color="auto"/>
            <w:left w:val="none" w:sz="0" w:space="0" w:color="auto"/>
            <w:bottom w:val="none" w:sz="0" w:space="0" w:color="auto"/>
            <w:right w:val="none" w:sz="0" w:space="0" w:color="auto"/>
          </w:divBdr>
        </w:div>
        <w:div w:id="1956982863">
          <w:marLeft w:val="0"/>
          <w:marRight w:val="0"/>
          <w:marTop w:val="0"/>
          <w:marBottom w:val="0"/>
          <w:divBdr>
            <w:top w:val="none" w:sz="0" w:space="0" w:color="auto"/>
            <w:left w:val="none" w:sz="0" w:space="0" w:color="auto"/>
            <w:bottom w:val="none" w:sz="0" w:space="0" w:color="auto"/>
            <w:right w:val="none" w:sz="0" w:space="0" w:color="auto"/>
          </w:divBdr>
        </w:div>
        <w:div w:id="1453982817">
          <w:marLeft w:val="0"/>
          <w:marRight w:val="0"/>
          <w:marTop w:val="0"/>
          <w:marBottom w:val="0"/>
          <w:divBdr>
            <w:top w:val="none" w:sz="0" w:space="0" w:color="auto"/>
            <w:left w:val="none" w:sz="0" w:space="0" w:color="auto"/>
            <w:bottom w:val="none" w:sz="0" w:space="0" w:color="auto"/>
            <w:right w:val="none" w:sz="0" w:space="0" w:color="auto"/>
          </w:divBdr>
        </w:div>
        <w:div w:id="2077044279">
          <w:marLeft w:val="0"/>
          <w:marRight w:val="0"/>
          <w:marTop w:val="0"/>
          <w:marBottom w:val="0"/>
          <w:divBdr>
            <w:top w:val="none" w:sz="0" w:space="0" w:color="auto"/>
            <w:left w:val="none" w:sz="0" w:space="0" w:color="auto"/>
            <w:bottom w:val="none" w:sz="0" w:space="0" w:color="auto"/>
            <w:right w:val="none" w:sz="0" w:space="0" w:color="auto"/>
          </w:divBdr>
        </w:div>
        <w:div w:id="2129935520">
          <w:marLeft w:val="0"/>
          <w:marRight w:val="0"/>
          <w:marTop w:val="0"/>
          <w:marBottom w:val="0"/>
          <w:divBdr>
            <w:top w:val="none" w:sz="0" w:space="0" w:color="auto"/>
            <w:left w:val="none" w:sz="0" w:space="0" w:color="auto"/>
            <w:bottom w:val="none" w:sz="0" w:space="0" w:color="auto"/>
            <w:right w:val="none" w:sz="0" w:space="0" w:color="auto"/>
          </w:divBdr>
        </w:div>
        <w:div w:id="1912276733">
          <w:marLeft w:val="0"/>
          <w:marRight w:val="0"/>
          <w:marTop w:val="0"/>
          <w:marBottom w:val="0"/>
          <w:divBdr>
            <w:top w:val="none" w:sz="0" w:space="0" w:color="auto"/>
            <w:left w:val="none" w:sz="0" w:space="0" w:color="auto"/>
            <w:bottom w:val="none" w:sz="0" w:space="0" w:color="auto"/>
            <w:right w:val="none" w:sz="0" w:space="0" w:color="auto"/>
          </w:divBdr>
        </w:div>
        <w:div w:id="805202964">
          <w:marLeft w:val="0"/>
          <w:marRight w:val="0"/>
          <w:marTop w:val="0"/>
          <w:marBottom w:val="0"/>
          <w:divBdr>
            <w:top w:val="none" w:sz="0" w:space="0" w:color="auto"/>
            <w:left w:val="none" w:sz="0" w:space="0" w:color="auto"/>
            <w:bottom w:val="none" w:sz="0" w:space="0" w:color="auto"/>
            <w:right w:val="none" w:sz="0" w:space="0" w:color="auto"/>
          </w:divBdr>
        </w:div>
        <w:div w:id="1648123328">
          <w:marLeft w:val="0"/>
          <w:marRight w:val="0"/>
          <w:marTop w:val="0"/>
          <w:marBottom w:val="0"/>
          <w:divBdr>
            <w:top w:val="none" w:sz="0" w:space="0" w:color="auto"/>
            <w:left w:val="none" w:sz="0" w:space="0" w:color="auto"/>
            <w:bottom w:val="none" w:sz="0" w:space="0" w:color="auto"/>
            <w:right w:val="none" w:sz="0" w:space="0" w:color="auto"/>
          </w:divBdr>
        </w:div>
      </w:divsChild>
    </w:div>
    <w:div w:id="976758669">
      <w:marLeft w:val="0"/>
      <w:marRight w:val="0"/>
      <w:marTop w:val="100"/>
      <w:marBottom w:val="100"/>
      <w:divBdr>
        <w:top w:val="none" w:sz="0" w:space="0" w:color="auto"/>
        <w:left w:val="none" w:sz="0" w:space="0" w:color="auto"/>
        <w:bottom w:val="none" w:sz="0" w:space="0" w:color="auto"/>
        <w:right w:val="none" w:sz="0" w:space="0" w:color="auto"/>
      </w:divBdr>
    </w:div>
    <w:div w:id="977953371">
      <w:marLeft w:val="0"/>
      <w:marRight w:val="0"/>
      <w:marTop w:val="100"/>
      <w:marBottom w:val="0"/>
      <w:divBdr>
        <w:top w:val="none" w:sz="0" w:space="0" w:color="auto"/>
        <w:left w:val="none" w:sz="0" w:space="0" w:color="auto"/>
        <w:bottom w:val="none" w:sz="0" w:space="0" w:color="auto"/>
        <w:right w:val="none" w:sz="0" w:space="0" w:color="auto"/>
      </w:divBdr>
    </w:div>
    <w:div w:id="978730155">
      <w:marLeft w:val="0"/>
      <w:marRight w:val="0"/>
      <w:marTop w:val="0"/>
      <w:marBottom w:val="0"/>
      <w:divBdr>
        <w:top w:val="none" w:sz="0" w:space="0" w:color="auto"/>
        <w:left w:val="none" w:sz="0" w:space="0" w:color="auto"/>
        <w:bottom w:val="none" w:sz="0" w:space="0" w:color="auto"/>
        <w:right w:val="none" w:sz="0" w:space="0" w:color="auto"/>
      </w:divBdr>
    </w:div>
    <w:div w:id="979772877">
      <w:marLeft w:val="0"/>
      <w:marRight w:val="0"/>
      <w:marTop w:val="0"/>
      <w:marBottom w:val="0"/>
      <w:divBdr>
        <w:top w:val="none" w:sz="0" w:space="0" w:color="auto"/>
        <w:left w:val="none" w:sz="0" w:space="0" w:color="auto"/>
        <w:bottom w:val="none" w:sz="0" w:space="0" w:color="auto"/>
        <w:right w:val="none" w:sz="0" w:space="0" w:color="auto"/>
      </w:divBdr>
    </w:div>
    <w:div w:id="982125762">
      <w:marLeft w:val="0"/>
      <w:marRight w:val="0"/>
      <w:marTop w:val="0"/>
      <w:marBottom w:val="0"/>
      <w:divBdr>
        <w:top w:val="none" w:sz="0" w:space="0" w:color="auto"/>
        <w:left w:val="none" w:sz="0" w:space="0" w:color="auto"/>
        <w:bottom w:val="none" w:sz="0" w:space="0" w:color="auto"/>
        <w:right w:val="none" w:sz="0" w:space="0" w:color="auto"/>
      </w:divBdr>
      <w:divsChild>
        <w:div w:id="288173971">
          <w:marLeft w:val="0"/>
          <w:marRight w:val="0"/>
          <w:marTop w:val="0"/>
          <w:marBottom w:val="0"/>
          <w:divBdr>
            <w:top w:val="none" w:sz="0" w:space="0" w:color="auto"/>
            <w:left w:val="none" w:sz="0" w:space="0" w:color="auto"/>
            <w:bottom w:val="none" w:sz="0" w:space="0" w:color="auto"/>
            <w:right w:val="none" w:sz="0" w:space="0" w:color="auto"/>
          </w:divBdr>
        </w:div>
      </w:divsChild>
    </w:div>
    <w:div w:id="984121228">
      <w:marLeft w:val="0"/>
      <w:marRight w:val="0"/>
      <w:marTop w:val="100"/>
      <w:marBottom w:val="0"/>
      <w:divBdr>
        <w:top w:val="none" w:sz="0" w:space="0" w:color="auto"/>
        <w:left w:val="none" w:sz="0" w:space="0" w:color="auto"/>
        <w:bottom w:val="none" w:sz="0" w:space="0" w:color="auto"/>
        <w:right w:val="none" w:sz="0" w:space="0" w:color="auto"/>
      </w:divBdr>
    </w:div>
    <w:div w:id="987516575">
      <w:marLeft w:val="0"/>
      <w:marRight w:val="0"/>
      <w:marTop w:val="0"/>
      <w:marBottom w:val="0"/>
      <w:divBdr>
        <w:top w:val="none" w:sz="0" w:space="0" w:color="auto"/>
        <w:left w:val="none" w:sz="0" w:space="0" w:color="auto"/>
        <w:bottom w:val="none" w:sz="0" w:space="0" w:color="auto"/>
        <w:right w:val="none" w:sz="0" w:space="0" w:color="auto"/>
      </w:divBdr>
    </w:div>
    <w:div w:id="988367736">
      <w:marLeft w:val="0"/>
      <w:marRight w:val="0"/>
      <w:marTop w:val="0"/>
      <w:marBottom w:val="0"/>
      <w:divBdr>
        <w:top w:val="none" w:sz="0" w:space="0" w:color="auto"/>
        <w:left w:val="none" w:sz="0" w:space="0" w:color="auto"/>
        <w:bottom w:val="none" w:sz="0" w:space="0" w:color="auto"/>
        <w:right w:val="none" w:sz="0" w:space="0" w:color="auto"/>
      </w:divBdr>
      <w:divsChild>
        <w:div w:id="2083984250">
          <w:marLeft w:val="0"/>
          <w:marRight w:val="0"/>
          <w:marTop w:val="0"/>
          <w:marBottom w:val="0"/>
          <w:divBdr>
            <w:top w:val="none" w:sz="0" w:space="0" w:color="auto"/>
            <w:left w:val="none" w:sz="0" w:space="0" w:color="auto"/>
            <w:bottom w:val="none" w:sz="0" w:space="0" w:color="auto"/>
            <w:right w:val="none" w:sz="0" w:space="0" w:color="auto"/>
          </w:divBdr>
        </w:div>
      </w:divsChild>
    </w:div>
    <w:div w:id="989018103">
      <w:marLeft w:val="0"/>
      <w:marRight w:val="0"/>
      <w:marTop w:val="0"/>
      <w:marBottom w:val="0"/>
      <w:divBdr>
        <w:top w:val="none" w:sz="0" w:space="0" w:color="auto"/>
        <w:left w:val="none" w:sz="0" w:space="0" w:color="auto"/>
        <w:bottom w:val="none" w:sz="0" w:space="0" w:color="auto"/>
        <w:right w:val="none" w:sz="0" w:space="0" w:color="auto"/>
      </w:divBdr>
      <w:divsChild>
        <w:div w:id="2075159117">
          <w:marLeft w:val="0"/>
          <w:marRight w:val="0"/>
          <w:marTop w:val="0"/>
          <w:marBottom w:val="0"/>
          <w:divBdr>
            <w:top w:val="none" w:sz="0" w:space="0" w:color="auto"/>
            <w:left w:val="none" w:sz="0" w:space="0" w:color="auto"/>
            <w:bottom w:val="none" w:sz="0" w:space="0" w:color="auto"/>
            <w:right w:val="none" w:sz="0" w:space="0" w:color="auto"/>
          </w:divBdr>
        </w:div>
        <w:div w:id="723943328">
          <w:marLeft w:val="0"/>
          <w:marRight w:val="0"/>
          <w:marTop w:val="0"/>
          <w:marBottom w:val="0"/>
          <w:divBdr>
            <w:top w:val="none" w:sz="0" w:space="0" w:color="auto"/>
            <w:left w:val="none" w:sz="0" w:space="0" w:color="auto"/>
            <w:bottom w:val="none" w:sz="0" w:space="0" w:color="auto"/>
            <w:right w:val="none" w:sz="0" w:space="0" w:color="auto"/>
          </w:divBdr>
        </w:div>
      </w:divsChild>
    </w:div>
    <w:div w:id="993535446">
      <w:marLeft w:val="0"/>
      <w:marRight w:val="0"/>
      <w:marTop w:val="280"/>
      <w:marBottom w:val="0"/>
      <w:divBdr>
        <w:top w:val="none" w:sz="0" w:space="0" w:color="auto"/>
        <w:left w:val="none" w:sz="0" w:space="0" w:color="auto"/>
        <w:bottom w:val="none" w:sz="0" w:space="0" w:color="auto"/>
        <w:right w:val="none" w:sz="0" w:space="0" w:color="auto"/>
      </w:divBdr>
    </w:div>
    <w:div w:id="994139108">
      <w:marLeft w:val="0"/>
      <w:marRight w:val="0"/>
      <w:marTop w:val="0"/>
      <w:marBottom w:val="0"/>
      <w:divBdr>
        <w:top w:val="none" w:sz="0" w:space="0" w:color="auto"/>
        <w:left w:val="none" w:sz="0" w:space="0" w:color="auto"/>
        <w:bottom w:val="none" w:sz="0" w:space="0" w:color="auto"/>
        <w:right w:val="none" w:sz="0" w:space="0" w:color="auto"/>
      </w:divBdr>
      <w:divsChild>
        <w:div w:id="1254120105">
          <w:marLeft w:val="0"/>
          <w:marRight w:val="0"/>
          <w:marTop w:val="0"/>
          <w:marBottom w:val="0"/>
          <w:divBdr>
            <w:top w:val="none" w:sz="0" w:space="0" w:color="auto"/>
            <w:left w:val="none" w:sz="0" w:space="0" w:color="auto"/>
            <w:bottom w:val="none" w:sz="0" w:space="0" w:color="auto"/>
            <w:right w:val="none" w:sz="0" w:space="0" w:color="auto"/>
          </w:divBdr>
        </w:div>
      </w:divsChild>
    </w:div>
    <w:div w:id="994407907">
      <w:marLeft w:val="0"/>
      <w:marRight w:val="0"/>
      <w:marTop w:val="0"/>
      <w:marBottom w:val="0"/>
      <w:divBdr>
        <w:top w:val="none" w:sz="0" w:space="0" w:color="auto"/>
        <w:left w:val="none" w:sz="0" w:space="0" w:color="auto"/>
        <w:bottom w:val="none" w:sz="0" w:space="0" w:color="auto"/>
        <w:right w:val="none" w:sz="0" w:space="0" w:color="auto"/>
      </w:divBdr>
      <w:divsChild>
        <w:div w:id="1498034041">
          <w:marLeft w:val="0"/>
          <w:marRight w:val="0"/>
          <w:marTop w:val="0"/>
          <w:marBottom w:val="0"/>
          <w:divBdr>
            <w:top w:val="none" w:sz="0" w:space="0" w:color="auto"/>
            <w:left w:val="none" w:sz="0" w:space="0" w:color="auto"/>
            <w:bottom w:val="none" w:sz="0" w:space="0" w:color="auto"/>
            <w:right w:val="none" w:sz="0" w:space="0" w:color="auto"/>
          </w:divBdr>
        </w:div>
      </w:divsChild>
    </w:div>
    <w:div w:id="994800126">
      <w:marLeft w:val="0"/>
      <w:marRight w:val="0"/>
      <w:marTop w:val="0"/>
      <w:marBottom w:val="0"/>
      <w:divBdr>
        <w:top w:val="none" w:sz="0" w:space="0" w:color="auto"/>
        <w:left w:val="none" w:sz="0" w:space="0" w:color="auto"/>
        <w:bottom w:val="none" w:sz="0" w:space="0" w:color="auto"/>
        <w:right w:val="none" w:sz="0" w:space="0" w:color="auto"/>
      </w:divBdr>
    </w:div>
    <w:div w:id="998196679">
      <w:marLeft w:val="0"/>
      <w:marRight w:val="0"/>
      <w:marTop w:val="0"/>
      <w:marBottom w:val="0"/>
      <w:divBdr>
        <w:top w:val="none" w:sz="0" w:space="0" w:color="auto"/>
        <w:left w:val="none" w:sz="0" w:space="0" w:color="auto"/>
        <w:bottom w:val="none" w:sz="0" w:space="0" w:color="auto"/>
        <w:right w:val="none" w:sz="0" w:space="0" w:color="auto"/>
      </w:divBdr>
    </w:div>
    <w:div w:id="999774093">
      <w:marLeft w:val="0"/>
      <w:marRight w:val="0"/>
      <w:marTop w:val="120"/>
      <w:marBottom w:val="120"/>
      <w:divBdr>
        <w:top w:val="none" w:sz="0" w:space="0" w:color="auto"/>
        <w:left w:val="none" w:sz="0" w:space="0" w:color="auto"/>
        <w:bottom w:val="none" w:sz="0" w:space="0" w:color="auto"/>
        <w:right w:val="none" w:sz="0" w:space="0" w:color="auto"/>
      </w:divBdr>
    </w:div>
    <w:div w:id="1001155790">
      <w:marLeft w:val="0"/>
      <w:marRight w:val="0"/>
      <w:marTop w:val="0"/>
      <w:marBottom w:val="0"/>
      <w:divBdr>
        <w:top w:val="none" w:sz="0" w:space="0" w:color="auto"/>
        <w:left w:val="none" w:sz="0" w:space="0" w:color="auto"/>
        <w:bottom w:val="none" w:sz="0" w:space="0" w:color="auto"/>
        <w:right w:val="none" w:sz="0" w:space="0" w:color="auto"/>
      </w:divBdr>
      <w:divsChild>
        <w:div w:id="1396590078">
          <w:marLeft w:val="0"/>
          <w:marRight w:val="0"/>
          <w:marTop w:val="0"/>
          <w:marBottom w:val="0"/>
          <w:divBdr>
            <w:top w:val="none" w:sz="0" w:space="0" w:color="auto"/>
            <w:left w:val="none" w:sz="0" w:space="0" w:color="auto"/>
            <w:bottom w:val="none" w:sz="0" w:space="0" w:color="auto"/>
            <w:right w:val="none" w:sz="0" w:space="0" w:color="auto"/>
          </w:divBdr>
        </w:div>
      </w:divsChild>
    </w:div>
    <w:div w:id="1001548235">
      <w:marLeft w:val="0"/>
      <w:marRight w:val="0"/>
      <w:marTop w:val="0"/>
      <w:marBottom w:val="0"/>
      <w:divBdr>
        <w:top w:val="none" w:sz="0" w:space="0" w:color="auto"/>
        <w:left w:val="none" w:sz="0" w:space="0" w:color="auto"/>
        <w:bottom w:val="none" w:sz="0" w:space="0" w:color="auto"/>
        <w:right w:val="none" w:sz="0" w:space="0" w:color="auto"/>
      </w:divBdr>
    </w:div>
    <w:div w:id="1002974398">
      <w:marLeft w:val="0"/>
      <w:marRight w:val="0"/>
      <w:marTop w:val="0"/>
      <w:marBottom w:val="0"/>
      <w:divBdr>
        <w:top w:val="none" w:sz="0" w:space="0" w:color="auto"/>
        <w:left w:val="none" w:sz="0" w:space="0" w:color="auto"/>
        <w:bottom w:val="none" w:sz="0" w:space="0" w:color="auto"/>
        <w:right w:val="none" w:sz="0" w:space="0" w:color="auto"/>
      </w:divBdr>
    </w:div>
    <w:div w:id="1003777328">
      <w:marLeft w:val="0"/>
      <w:marRight w:val="0"/>
      <w:marTop w:val="0"/>
      <w:marBottom w:val="0"/>
      <w:divBdr>
        <w:top w:val="none" w:sz="0" w:space="0" w:color="auto"/>
        <w:left w:val="none" w:sz="0" w:space="0" w:color="auto"/>
        <w:bottom w:val="none" w:sz="0" w:space="0" w:color="auto"/>
        <w:right w:val="none" w:sz="0" w:space="0" w:color="auto"/>
      </w:divBdr>
      <w:divsChild>
        <w:div w:id="798063274">
          <w:marLeft w:val="0"/>
          <w:marRight w:val="0"/>
          <w:marTop w:val="0"/>
          <w:marBottom w:val="0"/>
          <w:divBdr>
            <w:top w:val="none" w:sz="0" w:space="0" w:color="auto"/>
            <w:left w:val="none" w:sz="0" w:space="0" w:color="auto"/>
            <w:bottom w:val="none" w:sz="0" w:space="0" w:color="auto"/>
            <w:right w:val="none" w:sz="0" w:space="0" w:color="auto"/>
          </w:divBdr>
        </w:div>
        <w:div w:id="1982073431">
          <w:marLeft w:val="0"/>
          <w:marRight w:val="0"/>
          <w:marTop w:val="0"/>
          <w:marBottom w:val="0"/>
          <w:divBdr>
            <w:top w:val="none" w:sz="0" w:space="0" w:color="auto"/>
            <w:left w:val="none" w:sz="0" w:space="0" w:color="auto"/>
            <w:bottom w:val="none" w:sz="0" w:space="0" w:color="auto"/>
            <w:right w:val="none" w:sz="0" w:space="0" w:color="auto"/>
          </w:divBdr>
        </w:div>
      </w:divsChild>
    </w:div>
    <w:div w:id="1010063666">
      <w:marLeft w:val="0"/>
      <w:marRight w:val="0"/>
      <w:marTop w:val="0"/>
      <w:marBottom w:val="0"/>
      <w:divBdr>
        <w:top w:val="none" w:sz="0" w:space="0" w:color="auto"/>
        <w:left w:val="none" w:sz="0" w:space="0" w:color="auto"/>
        <w:bottom w:val="none" w:sz="0" w:space="0" w:color="auto"/>
        <w:right w:val="none" w:sz="0" w:space="0" w:color="auto"/>
      </w:divBdr>
      <w:divsChild>
        <w:div w:id="1404912276">
          <w:marLeft w:val="0"/>
          <w:marRight w:val="0"/>
          <w:marTop w:val="0"/>
          <w:marBottom w:val="0"/>
          <w:divBdr>
            <w:top w:val="none" w:sz="0" w:space="0" w:color="auto"/>
            <w:left w:val="none" w:sz="0" w:space="0" w:color="auto"/>
            <w:bottom w:val="none" w:sz="0" w:space="0" w:color="auto"/>
            <w:right w:val="none" w:sz="0" w:space="0" w:color="auto"/>
          </w:divBdr>
        </w:div>
      </w:divsChild>
    </w:div>
    <w:div w:id="1010983126">
      <w:marLeft w:val="0"/>
      <w:marRight w:val="0"/>
      <w:marTop w:val="0"/>
      <w:marBottom w:val="0"/>
      <w:divBdr>
        <w:top w:val="none" w:sz="0" w:space="0" w:color="auto"/>
        <w:left w:val="none" w:sz="0" w:space="0" w:color="auto"/>
        <w:bottom w:val="none" w:sz="0" w:space="0" w:color="auto"/>
        <w:right w:val="none" w:sz="0" w:space="0" w:color="auto"/>
      </w:divBdr>
    </w:div>
    <w:div w:id="1013457637">
      <w:marLeft w:val="0"/>
      <w:marRight w:val="0"/>
      <w:marTop w:val="0"/>
      <w:marBottom w:val="0"/>
      <w:divBdr>
        <w:top w:val="none" w:sz="0" w:space="0" w:color="auto"/>
        <w:left w:val="none" w:sz="0" w:space="0" w:color="auto"/>
        <w:bottom w:val="none" w:sz="0" w:space="0" w:color="auto"/>
        <w:right w:val="none" w:sz="0" w:space="0" w:color="auto"/>
      </w:divBdr>
    </w:div>
    <w:div w:id="1017149974">
      <w:marLeft w:val="0"/>
      <w:marRight w:val="0"/>
      <w:marTop w:val="0"/>
      <w:marBottom w:val="0"/>
      <w:divBdr>
        <w:top w:val="none" w:sz="0" w:space="0" w:color="auto"/>
        <w:left w:val="none" w:sz="0" w:space="0" w:color="auto"/>
        <w:bottom w:val="none" w:sz="0" w:space="0" w:color="auto"/>
        <w:right w:val="none" w:sz="0" w:space="0" w:color="auto"/>
      </w:divBdr>
    </w:div>
    <w:div w:id="1021934289">
      <w:marLeft w:val="0"/>
      <w:marRight w:val="0"/>
      <w:marTop w:val="100"/>
      <w:marBottom w:val="0"/>
      <w:divBdr>
        <w:top w:val="none" w:sz="0" w:space="0" w:color="auto"/>
        <w:left w:val="none" w:sz="0" w:space="0" w:color="auto"/>
        <w:bottom w:val="none" w:sz="0" w:space="0" w:color="auto"/>
        <w:right w:val="none" w:sz="0" w:space="0" w:color="auto"/>
      </w:divBdr>
    </w:div>
    <w:div w:id="1022047063">
      <w:marLeft w:val="0"/>
      <w:marRight w:val="0"/>
      <w:marTop w:val="0"/>
      <w:marBottom w:val="0"/>
      <w:divBdr>
        <w:top w:val="none" w:sz="0" w:space="0" w:color="auto"/>
        <w:left w:val="none" w:sz="0" w:space="0" w:color="auto"/>
        <w:bottom w:val="none" w:sz="0" w:space="0" w:color="auto"/>
        <w:right w:val="none" w:sz="0" w:space="0" w:color="auto"/>
      </w:divBdr>
    </w:div>
    <w:div w:id="1022442603">
      <w:marLeft w:val="0"/>
      <w:marRight w:val="0"/>
      <w:marTop w:val="0"/>
      <w:marBottom w:val="0"/>
      <w:divBdr>
        <w:top w:val="none" w:sz="0" w:space="0" w:color="auto"/>
        <w:left w:val="none" w:sz="0" w:space="0" w:color="auto"/>
        <w:bottom w:val="none" w:sz="0" w:space="0" w:color="auto"/>
        <w:right w:val="none" w:sz="0" w:space="0" w:color="auto"/>
      </w:divBdr>
    </w:div>
    <w:div w:id="1031031464">
      <w:marLeft w:val="0"/>
      <w:marRight w:val="0"/>
      <w:marTop w:val="0"/>
      <w:marBottom w:val="0"/>
      <w:divBdr>
        <w:top w:val="none" w:sz="0" w:space="0" w:color="auto"/>
        <w:left w:val="none" w:sz="0" w:space="0" w:color="auto"/>
        <w:bottom w:val="none" w:sz="0" w:space="0" w:color="auto"/>
        <w:right w:val="none" w:sz="0" w:space="0" w:color="auto"/>
      </w:divBdr>
    </w:div>
    <w:div w:id="1032800307">
      <w:marLeft w:val="0"/>
      <w:marRight w:val="0"/>
      <w:marTop w:val="120"/>
      <w:marBottom w:val="120"/>
      <w:divBdr>
        <w:top w:val="none" w:sz="0" w:space="0" w:color="auto"/>
        <w:left w:val="none" w:sz="0" w:space="0" w:color="auto"/>
        <w:bottom w:val="none" w:sz="0" w:space="0" w:color="auto"/>
        <w:right w:val="none" w:sz="0" w:space="0" w:color="auto"/>
      </w:divBdr>
    </w:div>
    <w:div w:id="1034572365">
      <w:marLeft w:val="0"/>
      <w:marRight w:val="0"/>
      <w:marTop w:val="0"/>
      <w:marBottom w:val="0"/>
      <w:divBdr>
        <w:top w:val="none" w:sz="0" w:space="0" w:color="auto"/>
        <w:left w:val="none" w:sz="0" w:space="0" w:color="auto"/>
        <w:bottom w:val="none" w:sz="0" w:space="0" w:color="auto"/>
        <w:right w:val="none" w:sz="0" w:space="0" w:color="auto"/>
      </w:divBdr>
      <w:divsChild>
        <w:div w:id="1477724352">
          <w:marLeft w:val="0"/>
          <w:marRight w:val="0"/>
          <w:marTop w:val="0"/>
          <w:marBottom w:val="0"/>
          <w:divBdr>
            <w:top w:val="none" w:sz="0" w:space="0" w:color="auto"/>
            <w:left w:val="none" w:sz="0" w:space="0" w:color="auto"/>
            <w:bottom w:val="none" w:sz="0" w:space="0" w:color="auto"/>
            <w:right w:val="none" w:sz="0" w:space="0" w:color="auto"/>
          </w:divBdr>
        </w:div>
        <w:div w:id="219559207">
          <w:marLeft w:val="0"/>
          <w:marRight w:val="0"/>
          <w:marTop w:val="0"/>
          <w:marBottom w:val="0"/>
          <w:divBdr>
            <w:top w:val="none" w:sz="0" w:space="0" w:color="auto"/>
            <w:left w:val="none" w:sz="0" w:space="0" w:color="auto"/>
            <w:bottom w:val="none" w:sz="0" w:space="0" w:color="auto"/>
            <w:right w:val="none" w:sz="0" w:space="0" w:color="auto"/>
          </w:divBdr>
        </w:div>
      </w:divsChild>
    </w:div>
    <w:div w:id="1034648344">
      <w:marLeft w:val="0"/>
      <w:marRight w:val="0"/>
      <w:marTop w:val="80"/>
      <w:marBottom w:val="0"/>
      <w:divBdr>
        <w:top w:val="none" w:sz="0" w:space="0" w:color="auto"/>
        <w:left w:val="none" w:sz="0" w:space="0" w:color="auto"/>
        <w:bottom w:val="none" w:sz="0" w:space="0" w:color="auto"/>
        <w:right w:val="none" w:sz="0" w:space="0" w:color="auto"/>
      </w:divBdr>
    </w:div>
    <w:div w:id="1036542241">
      <w:marLeft w:val="0"/>
      <w:marRight w:val="0"/>
      <w:marTop w:val="100"/>
      <w:marBottom w:val="0"/>
      <w:divBdr>
        <w:top w:val="none" w:sz="0" w:space="0" w:color="auto"/>
        <w:left w:val="none" w:sz="0" w:space="0" w:color="auto"/>
        <w:bottom w:val="none" w:sz="0" w:space="0" w:color="auto"/>
        <w:right w:val="none" w:sz="0" w:space="0" w:color="auto"/>
      </w:divBdr>
    </w:div>
    <w:div w:id="1037392455">
      <w:marLeft w:val="0"/>
      <w:marRight w:val="0"/>
      <w:marTop w:val="0"/>
      <w:marBottom w:val="0"/>
      <w:divBdr>
        <w:top w:val="none" w:sz="0" w:space="0" w:color="auto"/>
        <w:left w:val="none" w:sz="0" w:space="0" w:color="auto"/>
        <w:bottom w:val="none" w:sz="0" w:space="0" w:color="auto"/>
        <w:right w:val="none" w:sz="0" w:space="0" w:color="auto"/>
      </w:divBdr>
    </w:div>
    <w:div w:id="1038819520">
      <w:marLeft w:val="0"/>
      <w:marRight w:val="0"/>
      <w:marTop w:val="0"/>
      <w:marBottom w:val="0"/>
      <w:divBdr>
        <w:top w:val="none" w:sz="0" w:space="0" w:color="auto"/>
        <w:left w:val="none" w:sz="0" w:space="0" w:color="auto"/>
        <w:bottom w:val="none" w:sz="0" w:space="0" w:color="auto"/>
        <w:right w:val="none" w:sz="0" w:space="0" w:color="auto"/>
      </w:divBdr>
    </w:div>
    <w:div w:id="1043405006">
      <w:marLeft w:val="0"/>
      <w:marRight w:val="0"/>
      <w:marTop w:val="0"/>
      <w:marBottom w:val="60"/>
      <w:divBdr>
        <w:top w:val="none" w:sz="0" w:space="0" w:color="auto"/>
        <w:left w:val="none" w:sz="0" w:space="0" w:color="auto"/>
        <w:bottom w:val="none" w:sz="0" w:space="0" w:color="auto"/>
        <w:right w:val="none" w:sz="0" w:space="0" w:color="auto"/>
      </w:divBdr>
    </w:div>
    <w:div w:id="1048720971">
      <w:marLeft w:val="0"/>
      <w:marRight w:val="0"/>
      <w:marTop w:val="0"/>
      <w:marBottom w:val="160"/>
      <w:divBdr>
        <w:top w:val="none" w:sz="0" w:space="0" w:color="auto"/>
        <w:left w:val="none" w:sz="0" w:space="0" w:color="auto"/>
        <w:bottom w:val="none" w:sz="0" w:space="0" w:color="auto"/>
        <w:right w:val="none" w:sz="0" w:space="0" w:color="auto"/>
      </w:divBdr>
    </w:div>
    <w:div w:id="1050301036">
      <w:marLeft w:val="0"/>
      <w:marRight w:val="0"/>
      <w:marTop w:val="0"/>
      <w:marBottom w:val="0"/>
      <w:divBdr>
        <w:top w:val="none" w:sz="0" w:space="0" w:color="auto"/>
        <w:left w:val="none" w:sz="0" w:space="0" w:color="auto"/>
        <w:bottom w:val="none" w:sz="0" w:space="0" w:color="auto"/>
        <w:right w:val="none" w:sz="0" w:space="0" w:color="auto"/>
      </w:divBdr>
    </w:div>
    <w:div w:id="1050804290">
      <w:marLeft w:val="0"/>
      <w:marRight w:val="0"/>
      <w:marTop w:val="0"/>
      <w:marBottom w:val="0"/>
      <w:divBdr>
        <w:top w:val="none" w:sz="0" w:space="0" w:color="auto"/>
        <w:left w:val="none" w:sz="0" w:space="0" w:color="auto"/>
        <w:bottom w:val="none" w:sz="0" w:space="0" w:color="auto"/>
        <w:right w:val="none" w:sz="0" w:space="0" w:color="auto"/>
      </w:divBdr>
      <w:divsChild>
        <w:div w:id="2129737224">
          <w:marLeft w:val="0"/>
          <w:marRight w:val="0"/>
          <w:marTop w:val="0"/>
          <w:marBottom w:val="0"/>
          <w:divBdr>
            <w:top w:val="none" w:sz="0" w:space="0" w:color="auto"/>
            <w:left w:val="none" w:sz="0" w:space="0" w:color="auto"/>
            <w:bottom w:val="none" w:sz="0" w:space="0" w:color="auto"/>
            <w:right w:val="none" w:sz="0" w:space="0" w:color="auto"/>
          </w:divBdr>
        </w:div>
        <w:div w:id="1629508285">
          <w:marLeft w:val="0"/>
          <w:marRight w:val="0"/>
          <w:marTop w:val="0"/>
          <w:marBottom w:val="0"/>
          <w:divBdr>
            <w:top w:val="none" w:sz="0" w:space="0" w:color="auto"/>
            <w:left w:val="none" w:sz="0" w:space="0" w:color="auto"/>
            <w:bottom w:val="none" w:sz="0" w:space="0" w:color="auto"/>
            <w:right w:val="none" w:sz="0" w:space="0" w:color="auto"/>
          </w:divBdr>
        </w:div>
      </w:divsChild>
    </w:div>
    <w:div w:id="1051342360">
      <w:marLeft w:val="0"/>
      <w:marRight w:val="0"/>
      <w:marTop w:val="0"/>
      <w:marBottom w:val="0"/>
      <w:divBdr>
        <w:top w:val="none" w:sz="0" w:space="0" w:color="auto"/>
        <w:left w:val="none" w:sz="0" w:space="0" w:color="auto"/>
        <w:bottom w:val="none" w:sz="0" w:space="0" w:color="auto"/>
        <w:right w:val="none" w:sz="0" w:space="0" w:color="auto"/>
      </w:divBdr>
    </w:div>
    <w:div w:id="1054810711">
      <w:marLeft w:val="0"/>
      <w:marRight w:val="0"/>
      <w:marTop w:val="0"/>
      <w:marBottom w:val="0"/>
      <w:divBdr>
        <w:top w:val="none" w:sz="0" w:space="0" w:color="auto"/>
        <w:left w:val="none" w:sz="0" w:space="0" w:color="auto"/>
        <w:bottom w:val="none" w:sz="0" w:space="0" w:color="auto"/>
        <w:right w:val="none" w:sz="0" w:space="0" w:color="auto"/>
      </w:divBdr>
      <w:divsChild>
        <w:div w:id="809520822">
          <w:marLeft w:val="0"/>
          <w:marRight w:val="0"/>
          <w:marTop w:val="0"/>
          <w:marBottom w:val="0"/>
          <w:divBdr>
            <w:top w:val="none" w:sz="0" w:space="0" w:color="auto"/>
            <w:left w:val="none" w:sz="0" w:space="0" w:color="auto"/>
            <w:bottom w:val="none" w:sz="0" w:space="0" w:color="auto"/>
            <w:right w:val="none" w:sz="0" w:space="0" w:color="auto"/>
          </w:divBdr>
        </w:div>
        <w:div w:id="1220750104">
          <w:marLeft w:val="0"/>
          <w:marRight w:val="0"/>
          <w:marTop w:val="0"/>
          <w:marBottom w:val="0"/>
          <w:divBdr>
            <w:top w:val="none" w:sz="0" w:space="0" w:color="auto"/>
            <w:left w:val="none" w:sz="0" w:space="0" w:color="auto"/>
            <w:bottom w:val="none" w:sz="0" w:space="0" w:color="auto"/>
            <w:right w:val="none" w:sz="0" w:space="0" w:color="auto"/>
          </w:divBdr>
        </w:div>
      </w:divsChild>
    </w:div>
    <w:div w:id="1055736266">
      <w:marLeft w:val="0"/>
      <w:marRight w:val="0"/>
      <w:marTop w:val="0"/>
      <w:marBottom w:val="0"/>
      <w:divBdr>
        <w:top w:val="none" w:sz="0" w:space="0" w:color="auto"/>
        <w:left w:val="none" w:sz="0" w:space="0" w:color="auto"/>
        <w:bottom w:val="none" w:sz="0" w:space="0" w:color="auto"/>
        <w:right w:val="none" w:sz="0" w:space="0" w:color="auto"/>
      </w:divBdr>
    </w:div>
    <w:div w:id="1055854940">
      <w:marLeft w:val="0"/>
      <w:marRight w:val="0"/>
      <w:marTop w:val="0"/>
      <w:marBottom w:val="0"/>
      <w:divBdr>
        <w:top w:val="none" w:sz="0" w:space="0" w:color="auto"/>
        <w:left w:val="none" w:sz="0" w:space="0" w:color="auto"/>
        <w:bottom w:val="none" w:sz="0" w:space="0" w:color="auto"/>
        <w:right w:val="none" w:sz="0" w:space="0" w:color="auto"/>
      </w:divBdr>
    </w:div>
    <w:div w:id="1056051488">
      <w:marLeft w:val="0"/>
      <w:marRight w:val="0"/>
      <w:marTop w:val="0"/>
      <w:marBottom w:val="0"/>
      <w:divBdr>
        <w:top w:val="none" w:sz="0" w:space="0" w:color="auto"/>
        <w:left w:val="none" w:sz="0" w:space="0" w:color="auto"/>
        <w:bottom w:val="none" w:sz="0" w:space="0" w:color="auto"/>
        <w:right w:val="none" w:sz="0" w:space="0" w:color="auto"/>
      </w:divBdr>
      <w:divsChild>
        <w:div w:id="1334063956">
          <w:marLeft w:val="0"/>
          <w:marRight w:val="0"/>
          <w:marTop w:val="0"/>
          <w:marBottom w:val="0"/>
          <w:divBdr>
            <w:top w:val="none" w:sz="0" w:space="0" w:color="auto"/>
            <w:left w:val="none" w:sz="0" w:space="0" w:color="auto"/>
            <w:bottom w:val="none" w:sz="0" w:space="0" w:color="auto"/>
            <w:right w:val="none" w:sz="0" w:space="0" w:color="auto"/>
          </w:divBdr>
        </w:div>
      </w:divsChild>
    </w:div>
    <w:div w:id="1058476587">
      <w:marLeft w:val="0"/>
      <w:marRight w:val="0"/>
      <w:marTop w:val="0"/>
      <w:marBottom w:val="0"/>
      <w:divBdr>
        <w:top w:val="none" w:sz="0" w:space="0" w:color="auto"/>
        <w:left w:val="none" w:sz="0" w:space="0" w:color="auto"/>
        <w:bottom w:val="none" w:sz="0" w:space="0" w:color="auto"/>
        <w:right w:val="none" w:sz="0" w:space="0" w:color="auto"/>
      </w:divBdr>
    </w:div>
    <w:div w:id="1061905484">
      <w:marLeft w:val="0"/>
      <w:marRight w:val="0"/>
      <w:marTop w:val="0"/>
      <w:marBottom w:val="0"/>
      <w:divBdr>
        <w:top w:val="none" w:sz="0" w:space="0" w:color="auto"/>
        <w:left w:val="none" w:sz="0" w:space="0" w:color="auto"/>
        <w:bottom w:val="none" w:sz="0" w:space="0" w:color="auto"/>
        <w:right w:val="none" w:sz="0" w:space="0" w:color="auto"/>
      </w:divBdr>
    </w:div>
    <w:div w:id="1064914098">
      <w:marLeft w:val="0"/>
      <w:marRight w:val="0"/>
      <w:marTop w:val="0"/>
      <w:marBottom w:val="0"/>
      <w:divBdr>
        <w:top w:val="none" w:sz="0" w:space="0" w:color="auto"/>
        <w:left w:val="none" w:sz="0" w:space="0" w:color="auto"/>
        <w:bottom w:val="none" w:sz="0" w:space="0" w:color="auto"/>
        <w:right w:val="none" w:sz="0" w:space="0" w:color="auto"/>
      </w:divBdr>
    </w:div>
    <w:div w:id="1068848644">
      <w:marLeft w:val="0"/>
      <w:marRight w:val="0"/>
      <w:marTop w:val="0"/>
      <w:marBottom w:val="0"/>
      <w:divBdr>
        <w:top w:val="none" w:sz="0" w:space="0" w:color="auto"/>
        <w:left w:val="none" w:sz="0" w:space="0" w:color="auto"/>
        <w:bottom w:val="none" w:sz="0" w:space="0" w:color="auto"/>
        <w:right w:val="none" w:sz="0" w:space="0" w:color="auto"/>
      </w:divBdr>
    </w:div>
    <w:div w:id="1070426264">
      <w:marLeft w:val="0"/>
      <w:marRight w:val="0"/>
      <w:marTop w:val="180"/>
      <w:marBottom w:val="0"/>
      <w:divBdr>
        <w:top w:val="none" w:sz="0" w:space="0" w:color="auto"/>
        <w:left w:val="none" w:sz="0" w:space="0" w:color="auto"/>
        <w:bottom w:val="none" w:sz="0" w:space="0" w:color="auto"/>
        <w:right w:val="none" w:sz="0" w:space="0" w:color="auto"/>
      </w:divBdr>
    </w:div>
    <w:div w:id="1072435297">
      <w:marLeft w:val="0"/>
      <w:marRight w:val="0"/>
      <w:marTop w:val="0"/>
      <w:marBottom w:val="0"/>
      <w:divBdr>
        <w:top w:val="none" w:sz="0" w:space="0" w:color="auto"/>
        <w:left w:val="none" w:sz="0" w:space="0" w:color="auto"/>
        <w:bottom w:val="none" w:sz="0" w:space="0" w:color="auto"/>
        <w:right w:val="none" w:sz="0" w:space="0" w:color="auto"/>
      </w:divBdr>
    </w:div>
    <w:div w:id="1074544613">
      <w:marLeft w:val="0"/>
      <w:marRight w:val="0"/>
      <w:marTop w:val="0"/>
      <w:marBottom w:val="120"/>
      <w:divBdr>
        <w:top w:val="none" w:sz="0" w:space="0" w:color="auto"/>
        <w:left w:val="none" w:sz="0" w:space="0" w:color="auto"/>
        <w:bottom w:val="none" w:sz="0" w:space="0" w:color="auto"/>
        <w:right w:val="none" w:sz="0" w:space="0" w:color="auto"/>
      </w:divBdr>
    </w:div>
    <w:div w:id="1074813405">
      <w:marLeft w:val="0"/>
      <w:marRight w:val="0"/>
      <w:marTop w:val="0"/>
      <w:marBottom w:val="0"/>
      <w:divBdr>
        <w:top w:val="none" w:sz="0" w:space="0" w:color="auto"/>
        <w:left w:val="none" w:sz="0" w:space="0" w:color="auto"/>
        <w:bottom w:val="none" w:sz="0" w:space="0" w:color="auto"/>
        <w:right w:val="none" w:sz="0" w:space="0" w:color="auto"/>
      </w:divBdr>
      <w:divsChild>
        <w:div w:id="619410188">
          <w:marLeft w:val="0"/>
          <w:marRight w:val="0"/>
          <w:marTop w:val="0"/>
          <w:marBottom w:val="0"/>
          <w:divBdr>
            <w:top w:val="none" w:sz="0" w:space="0" w:color="auto"/>
            <w:left w:val="none" w:sz="0" w:space="0" w:color="auto"/>
            <w:bottom w:val="none" w:sz="0" w:space="0" w:color="auto"/>
            <w:right w:val="none" w:sz="0" w:space="0" w:color="auto"/>
          </w:divBdr>
        </w:div>
      </w:divsChild>
    </w:div>
    <w:div w:id="1077437714">
      <w:marLeft w:val="0"/>
      <w:marRight w:val="0"/>
      <w:marTop w:val="0"/>
      <w:marBottom w:val="0"/>
      <w:divBdr>
        <w:top w:val="none" w:sz="0" w:space="0" w:color="auto"/>
        <w:left w:val="none" w:sz="0" w:space="0" w:color="auto"/>
        <w:bottom w:val="none" w:sz="0" w:space="0" w:color="auto"/>
        <w:right w:val="none" w:sz="0" w:space="0" w:color="auto"/>
      </w:divBdr>
      <w:divsChild>
        <w:div w:id="1871991673">
          <w:marLeft w:val="0"/>
          <w:marRight w:val="0"/>
          <w:marTop w:val="0"/>
          <w:marBottom w:val="0"/>
          <w:divBdr>
            <w:top w:val="none" w:sz="0" w:space="0" w:color="auto"/>
            <w:left w:val="none" w:sz="0" w:space="0" w:color="auto"/>
            <w:bottom w:val="none" w:sz="0" w:space="0" w:color="auto"/>
            <w:right w:val="none" w:sz="0" w:space="0" w:color="auto"/>
          </w:divBdr>
        </w:div>
        <w:div w:id="1708068029">
          <w:marLeft w:val="0"/>
          <w:marRight w:val="0"/>
          <w:marTop w:val="0"/>
          <w:marBottom w:val="0"/>
          <w:divBdr>
            <w:top w:val="none" w:sz="0" w:space="0" w:color="auto"/>
            <w:left w:val="none" w:sz="0" w:space="0" w:color="auto"/>
            <w:bottom w:val="none" w:sz="0" w:space="0" w:color="auto"/>
            <w:right w:val="none" w:sz="0" w:space="0" w:color="auto"/>
          </w:divBdr>
        </w:div>
      </w:divsChild>
    </w:div>
    <w:div w:id="1078139657">
      <w:marLeft w:val="0"/>
      <w:marRight w:val="0"/>
      <w:marTop w:val="0"/>
      <w:marBottom w:val="0"/>
      <w:divBdr>
        <w:top w:val="none" w:sz="0" w:space="0" w:color="auto"/>
        <w:left w:val="none" w:sz="0" w:space="0" w:color="auto"/>
        <w:bottom w:val="none" w:sz="0" w:space="0" w:color="auto"/>
        <w:right w:val="none" w:sz="0" w:space="0" w:color="auto"/>
      </w:divBdr>
    </w:div>
    <w:div w:id="1080366510">
      <w:marLeft w:val="0"/>
      <w:marRight w:val="0"/>
      <w:marTop w:val="0"/>
      <w:marBottom w:val="0"/>
      <w:divBdr>
        <w:top w:val="none" w:sz="0" w:space="0" w:color="auto"/>
        <w:left w:val="none" w:sz="0" w:space="0" w:color="auto"/>
        <w:bottom w:val="none" w:sz="0" w:space="0" w:color="auto"/>
        <w:right w:val="none" w:sz="0" w:space="0" w:color="auto"/>
      </w:divBdr>
      <w:divsChild>
        <w:div w:id="144931631">
          <w:marLeft w:val="0"/>
          <w:marRight w:val="0"/>
          <w:marTop w:val="0"/>
          <w:marBottom w:val="0"/>
          <w:divBdr>
            <w:top w:val="none" w:sz="0" w:space="0" w:color="auto"/>
            <w:left w:val="none" w:sz="0" w:space="0" w:color="auto"/>
            <w:bottom w:val="none" w:sz="0" w:space="0" w:color="auto"/>
            <w:right w:val="none" w:sz="0" w:space="0" w:color="auto"/>
          </w:divBdr>
        </w:div>
        <w:div w:id="1497377189">
          <w:marLeft w:val="0"/>
          <w:marRight w:val="0"/>
          <w:marTop w:val="0"/>
          <w:marBottom w:val="0"/>
          <w:divBdr>
            <w:top w:val="none" w:sz="0" w:space="0" w:color="auto"/>
            <w:left w:val="none" w:sz="0" w:space="0" w:color="auto"/>
            <w:bottom w:val="none" w:sz="0" w:space="0" w:color="auto"/>
            <w:right w:val="none" w:sz="0" w:space="0" w:color="auto"/>
          </w:divBdr>
        </w:div>
      </w:divsChild>
    </w:div>
    <w:div w:id="1083528085">
      <w:marLeft w:val="0"/>
      <w:marRight w:val="0"/>
      <w:marTop w:val="120"/>
      <w:marBottom w:val="120"/>
      <w:divBdr>
        <w:top w:val="none" w:sz="0" w:space="0" w:color="auto"/>
        <w:left w:val="none" w:sz="0" w:space="0" w:color="auto"/>
        <w:bottom w:val="none" w:sz="0" w:space="0" w:color="auto"/>
        <w:right w:val="none" w:sz="0" w:space="0" w:color="auto"/>
      </w:divBdr>
    </w:div>
    <w:div w:id="1086266509">
      <w:marLeft w:val="0"/>
      <w:marRight w:val="0"/>
      <w:marTop w:val="0"/>
      <w:marBottom w:val="200"/>
      <w:divBdr>
        <w:top w:val="none" w:sz="0" w:space="0" w:color="auto"/>
        <w:left w:val="none" w:sz="0" w:space="0" w:color="auto"/>
        <w:bottom w:val="none" w:sz="0" w:space="0" w:color="auto"/>
        <w:right w:val="none" w:sz="0" w:space="0" w:color="auto"/>
      </w:divBdr>
    </w:div>
    <w:div w:id="1090472789">
      <w:marLeft w:val="0"/>
      <w:marRight w:val="0"/>
      <w:marTop w:val="0"/>
      <w:marBottom w:val="0"/>
      <w:divBdr>
        <w:top w:val="none" w:sz="0" w:space="0" w:color="auto"/>
        <w:left w:val="none" w:sz="0" w:space="0" w:color="auto"/>
        <w:bottom w:val="none" w:sz="0" w:space="0" w:color="auto"/>
        <w:right w:val="none" w:sz="0" w:space="0" w:color="auto"/>
      </w:divBdr>
    </w:div>
    <w:div w:id="1093476055">
      <w:marLeft w:val="0"/>
      <w:marRight w:val="0"/>
      <w:marTop w:val="0"/>
      <w:marBottom w:val="0"/>
      <w:divBdr>
        <w:top w:val="none" w:sz="0" w:space="0" w:color="auto"/>
        <w:left w:val="none" w:sz="0" w:space="0" w:color="auto"/>
        <w:bottom w:val="none" w:sz="0" w:space="0" w:color="auto"/>
        <w:right w:val="none" w:sz="0" w:space="0" w:color="auto"/>
      </w:divBdr>
      <w:divsChild>
        <w:div w:id="71587616">
          <w:marLeft w:val="0"/>
          <w:marRight w:val="0"/>
          <w:marTop w:val="0"/>
          <w:marBottom w:val="0"/>
          <w:divBdr>
            <w:top w:val="none" w:sz="0" w:space="0" w:color="auto"/>
            <w:left w:val="none" w:sz="0" w:space="0" w:color="auto"/>
            <w:bottom w:val="none" w:sz="0" w:space="0" w:color="auto"/>
            <w:right w:val="none" w:sz="0" w:space="0" w:color="auto"/>
          </w:divBdr>
        </w:div>
        <w:div w:id="2097509990">
          <w:marLeft w:val="0"/>
          <w:marRight w:val="0"/>
          <w:marTop w:val="0"/>
          <w:marBottom w:val="0"/>
          <w:divBdr>
            <w:top w:val="none" w:sz="0" w:space="0" w:color="auto"/>
            <w:left w:val="none" w:sz="0" w:space="0" w:color="auto"/>
            <w:bottom w:val="none" w:sz="0" w:space="0" w:color="auto"/>
            <w:right w:val="none" w:sz="0" w:space="0" w:color="auto"/>
          </w:divBdr>
        </w:div>
      </w:divsChild>
    </w:div>
    <w:div w:id="1094399375">
      <w:marLeft w:val="0"/>
      <w:marRight w:val="0"/>
      <w:marTop w:val="0"/>
      <w:marBottom w:val="0"/>
      <w:divBdr>
        <w:top w:val="none" w:sz="0" w:space="0" w:color="auto"/>
        <w:left w:val="none" w:sz="0" w:space="0" w:color="auto"/>
        <w:bottom w:val="none" w:sz="0" w:space="0" w:color="auto"/>
        <w:right w:val="none" w:sz="0" w:space="0" w:color="auto"/>
      </w:divBdr>
      <w:divsChild>
        <w:div w:id="993335820">
          <w:marLeft w:val="0"/>
          <w:marRight w:val="0"/>
          <w:marTop w:val="0"/>
          <w:marBottom w:val="0"/>
          <w:divBdr>
            <w:top w:val="none" w:sz="0" w:space="0" w:color="auto"/>
            <w:left w:val="none" w:sz="0" w:space="0" w:color="auto"/>
            <w:bottom w:val="none" w:sz="0" w:space="0" w:color="auto"/>
            <w:right w:val="none" w:sz="0" w:space="0" w:color="auto"/>
          </w:divBdr>
        </w:div>
      </w:divsChild>
    </w:div>
    <w:div w:id="1096554344">
      <w:marLeft w:val="0"/>
      <w:marRight w:val="0"/>
      <w:marTop w:val="0"/>
      <w:marBottom w:val="0"/>
      <w:divBdr>
        <w:top w:val="none" w:sz="0" w:space="0" w:color="auto"/>
        <w:left w:val="none" w:sz="0" w:space="0" w:color="auto"/>
        <w:bottom w:val="none" w:sz="0" w:space="0" w:color="auto"/>
        <w:right w:val="none" w:sz="0" w:space="0" w:color="auto"/>
      </w:divBdr>
      <w:divsChild>
        <w:div w:id="1563640018">
          <w:marLeft w:val="0"/>
          <w:marRight w:val="0"/>
          <w:marTop w:val="0"/>
          <w:marBottom w:val="0"/>
          <w:divBdr>
            <w:top w:val="none" w:sz="0" w:space="0" w:color="auto"/>
            <w:left w:val="none" w:sz="0" w:space="0" w:color="auto"/>
            <w:bottom w:val="none" w:sz="0" w:space="0" w:color="auto"/>
            <w:right w:val="none" w:sz="0" w:space="0" w:color="auto"/>
          </w:divBdr>
        </w:div>
        <w:div w:id="1106120260">
          <w:marLeft w:val="0"/>
          <w:marRight w:val="0"/>
          <w:marTop w:val="0"/>
          <w:marBottom w:val="0"/>
          <w:divBdr>
            <w:top w:val="none" w:sz="0" w:space="0" w:color="auto"/>
            <w:left w:val="none" w:sz="0" w:space="0" w:color="auto"/>
            <w:bottom w:val="none" w:sz="0" w:space="0" w:color="auto"/>
            <w:right w:val="none" w:sz="0" w:space="0" w:color="auto"/>
          </w:divBdr>
        </w:div>
      </w:divsChild>
    </w:div>
    <w:div w:id="1098596754">
      <w:marLeft w:val="0"/>
      <w:marRight w:val="0"/>
      <w:marTop w:val="0"/>
      <w:marBottom w:val="0"/>
      <w:divBdr>
        <w:top w:val="none" w:sz="0" w:space="0" w:color="auto"/>
        <w:left w:val="none" w:sz="0" w:space="0" w:color="auto"/>
        <w:bottom w:val="none" w:sz="0" w:space="0" w:color="auto"/>
        <w:right w:val="none" w:sz="0" w:space="0" w:color="auto"/>
      </w:divBdr>
      <w:divsChild>
        <w:div w:id="467816876">
          <w:marLeft w:val="0"/>
          <w:marRight w:val="0"/>
          <w:marTop w:val="0"/>
          <w:marBottom w:val="0"/>
          <w:divBdr>
            <w:top w:val="none" w:sz="0" w:space="0" w:color="auto"/>
            <w:left w:val="none" w:sz="0" w:space="0" w:color="auto"/>
            <w:bottom w:val="none" w:sz="0" w:space="0" w:color="auto"/>
            <w:right w:val="none" w:sz="0" w:space="0" w:color="auto"/>
          </w:divBdr>
        </w:div>
      </w:divsChild>
    </w:div>
    <w:div w:id="1102653569">
      <w:marLeft w:val="0"/>
      <w:marRight w:val="0"/>
      <w:marTop w:val="0"/>
      <w:marBottom w:val="0"/>
      <w:divBdr>
        <w:top w:val="none" w:sz="0" w:space="0" w:color="auto"/>
        <w:left w:val="none" w:sz="0" w:space="0" w:color="auto"/>
        <w:bottom w:val="none" w:sz="0" w:space="0" w:color="auto"/>
        <w:right w:val="none" w:sz="0" w:space="0" w:color="auto"/>
      </w:divBdr>
      <w:divsChild>
        <w:div w:id="336690904">
          <w:marLeft w:val="0"/>
          <w:marRight w:val="0"/>
          <w:marTop w:val="0"/>
          <w:marBottom w:val="0"/>
          <w:divBdr>
            <w:top w:val="none" w:sz="0" w:space="0" w:color="auto"/>
            <w:left w:val="none" w:sz="0" w:space="0" w:color="auto"/>
            <w:bottom w:val="none" w:sz="0" w:space="0" w:color="auto"/>
            <w:right w:val="none" w:sz="0" w:space="0" w:color="auto"/>
          </w:divBdr>
        </w:div>
      </w:divsChild>
    </w:div>
    <w:div w:id="1105617246">
      <w:marLeft w:val="0"/>
      <w:marRight w:val="0"/>
      <w:marTop w:val="0"/>
      <w:marBottom w:val="0"/>
      <w:divBdr>
        <w:top w:val="none" w:sz="0" w:space="0" w:color="auto"/>
        <w:left w:val="none" w:sz="0" w:space="0" w:color="auto"/>
        <w:bottom w:val="none" w:sz="0" w:space="0" w:color="auto"/>
        <w:right w:val="none" w:sz="0" w:space="0" w:color="auto"/>
      </w:divBdr>
      <w:divsChild>
        <w:div w:id="340546818">
          <w:marLeft w:val="0"/>
          <w:marRight w:val="0"/>
          <w:marTop w:val="0"/>
          <w:marBottom w:val="0"/>
          <w:divBdr>
            <w:top w:val="none" w:sz="0" w:space="0" w:color="auto"/>
            <w:left w:val="none" w:sz="0" w:space="0" w:color="auto"/>
            <w:bottom w:val="none" w:sz="0" w:space="0" w:color="auto"/>
            <w:right w:val="none" w:sz="0" w:space="0" w:color="auto"/>
          </w:divBdr>
        </w:div>
      </w:divsChild>
    </w:div>
    <w:div w:id="1109424426">
      <w:marLeft w:val="0"/>
      <w:marRight w:val="0"/>
      <w:marTop w:val="180"/>
      <w:marBottom w:val="0"/>
      <w:divBdr>
        <w:top w:val="none" w:sz="0" w:space="0" w:color="auto"/>
        <w:left w:val="none" w:sz="0" w:space="0" w:color="auto"/>
        <w:bottom w:val="none" w:sz="0" w:space="0" w:color="auto"/>
        <w:right w:val="none" w:sz="0" w:space="0" w:color="auto"/>
      </w:divBdr>
    </w:div>
    <w:div w:id="1111314339">
      <w:marLeft w:val="0"/>
      <w:marRight w:val="0"/>
      <w:marTop w:val="180"/>
      <w:marBottom w:val="0"/>
      <w:divBdr>
        <w:top w:val="none" w:sz="0" w:space="0" w:color="auto"/>
        <w:left w:val="none" w:sz="0" w:space="0" w:color="auto"/>
        <w:bottom w:val="none" w:sz="0" w:space="0" w:color="auto"/>
        <w:right w:val="none" w:sz="0" w:space="0" w:color="auto"/>
      </w:divBdr>
    </w:div>
    <w:div w:id="1111514517">
      <w:marLeft w:val="0"/>
      <w:marRight w:val="0"/>
      <w:marTop w:val="0"/>
      <w:marBottom w:val="0"/>
      <w:divBdr>
        <w:top w:val="none" w:sz="0" w:space="0" w:color="auto"/>
        <w:left w:val="none" w:sz="0" w:space="0" w:color="auto"/>
        <w:bottom w:val="none" w:sz="0" w:space="0" w:color="auto"/>
        <w:right w:val="none" w:sz="0" w:space="0" w:color="auto"/>
      </w:divBdr>
    </w:div>
    <w:div w:id="1114403602">
      <w:marLeft w:val="0"/>
      <w:marRight w:val="0"/>
      <w:marTop w:val="0"/>
      <w:marBottom w:val="0"/>
      <w:divBdr>
        <w:top w:val="none" w:sz="0" w:space="0" w:color="auto"/>
        <w:left w:val="none" w:sz="0" w:space="0" w:color="auto"/>
        <w:bottom w:val="none" w:sz="0" w:space="0" w:color="auto"/>
        <w:right w:val="none" w:sz="0" w:space="0" w:color="auto"/>
      </w:divBdr>
      <w:divsChild>
        <w:div w:id="477652375">
          <w:marLeft w:val="0"/>
          <w:marRight w:val="0"/>
          <w:marTop w:val="0"/>
          <w:marBottom w:val="0"/>
          <w:divBdr>
            <w:top w:val="none" w:sz="0" w:space="0" w:color="auto"/>
            <w:left w:val="none" w:sz="0" w:space="0" w:color="auto"/>
            <w:bottom w:val="none" w:sz="0" w:space="0" w:color="auto"/>
            <w:right w:val="none" w:sz="0" w:space="0" w:color="auto"/>
          </w:divBdr>
        </w:div>
        <w:div w:id="1986204758">
          <w:marLeft w:val="0"/>
          <w:marRight w:val="0"/>
          <w:marTop w:val="0"/>
          <w:marBottom w:val="0"/>
          <w:divBdr>
            <w:top w:val="none" w:sz="0" w:space="0" w:color="auto"/>
            <w:left w:val="none" w:sz="0" w:space="0" w:color="auto"/>
            <w:bottom w:val="none" w:sz="0" w:space="0" w:color="auto"/>
            <w:right w:val="none" w:sz="0" w:space="0" w:color="auto"/>
          </w:divBdr>
        </w:div>
      </w:divsChild>
    </w:div>
    <w:div w:id="1115490475">
      <w:marLeft w:val="0"/>
      <w:marRight w:val="0"/>
      <w:marTop w:val="180"/>
      <w:marBottom w:val="0"/>
      <w:divBdr>
        <w:top w:val="none" w:sz="0" w:space="0" w:color="auto"/>
        <w:left w:val="none" w:sz="0" w:space="0" w:color="auto"/>
        <w:bottom w:val="none" w:sz="0" w:space="0" w:color="auto"/>
        <w:right w:val="none" w:sz="0" w:space="0" w:color="auto"/>
      </w:divBdr>
    </w:div>
    <w:div w:id="1118526591">
      <w:marLeft w:val="0"/>
      <w:marRight w:val="0"/>
      <w:marTop w:val="100"/>
      <w:marBottom w:val="0"/>
      <w:divBdr>
        <w:top w:val="none" w:sz="0" w:space="0" w:color="auto"/>
        <w:left w:val="none" w:sz="0" w:space="0" w:color="auto"/>
        <w:bottom w:val="none" w:sz="0" w:space="0" w:color="auto"/>
        <w:right w:val="none" w:sz="0" w:space="0" w:color="auto"/>
      </w:divBdr>
    </w:div>
    <w:div w:id="1120997275">
      <w:marLeft w:val="0"/>
      <w:marRight w:val="0"/>
      <w:marTop w:val="100"/>
      <w:marBottom w:val="0"/>
      <w:divBdr>
        <w:top w:val="none" w:sz="0" w:space="0" w:color="auto"/>
        <w:left w:val="none" w:sz="0" w:space="0" w:color="auto"/>
        <w:bottom w:val="none" w:sz="0" w:space="0" w:color="auto"/>
        <w:right w:val="none" w:sz="0" w:space="0" w:color="auto"/>
      </w:divBdr>
    </w:div>
    <w:div w:id="1126044445">
      <w:marLeft w:val="0"/>
      <w:marRight w:val="0"/>
      <w:marTop w:val="0"/>
      <w:marBottom w:val="0"/>
      <w:divBdr>
        <w:top w:val="none" w:sz="0" w:space="0" w:color="auto"/>
        <w:left w:val="none" w:sz="0" w:space="0" w:color="auto"/>
        <w:bottom w:val="none" w:sz="0" w:space="0" w:color="auto"/>
        <w:right w:val="none" w:sz="0" w:space="0" w:color="auto"/>
      </w:divBdr>
      <w:divsChild>
        <w:div w:id="464277882">
          <w:marLeft w:val="0"/>
          <w:marRight w:val="0"/>
          <w:marTop w:val="0"/>
          <w:marBottom w:val="0"/>
          <w:divBdr>
            <w:top w:val="none" w:sz="0" w:space="0" w:color="auto"/>
            <w:left w:val="none" w:sz="0" w:space="0" w:color="auto"/>
            <w:bottom w:val="none" w:sz="0" w:space="0" w:color="auto"/>
            <w:right w:val="none" w:sz="0" w:space="0" w:color="auto"/>
          </w:divBdr>
        </w:div>
      </w:divsChild>
    </w:div>
    <w:div w:id="1127506821">
      <w:marLeft w:val="0"/>
      <w:marRight w:val="0"/>
      <w:marTop w:val="100"/>
      <w:marBottom w:val="0"/>
      <w:divBdr>
        <w:top w:val="none" w:sz="0" w:space="0" w:color="auto"/>
        <w:left w:val="none" w:sz="0" w:space="0" w:color="auto"/>
        <w:bottom w:val="none" w:sz="0" w:space="0" w:color="auto"/>
        <w:right w:val="none" w:sz="0" w:space="0" w:color="auto"/>
      </w:divBdr>
    </w:div>
    <w:div w:id="1129011363">
      <w:marLeft w:val="0"/>
      <w:marRight w:val="0"/>
      <w:marTop w:val="0"/>
      <w:marBottom w:val="0"/>
      <w:divBdr>
        <w:top w:val="none" w:sz="0" w:space="0" w:color="auto"/>
        <w:left w:val="none" w:sz="0" w:space="0" w:color="auto"/>
        <w:bottom w:val="none" w:sz="0" w:space="0" w:color="auto"/>
        <w:right w:val="none" w:sz="0" w:space="0" w:color="auto"/>
      </w:divBdr>
    </w:div>
    <w:div w:id="1131677686">
      <w:marLeft w:val="0"/>
      <w:marRight w:val="0"/>
      <w:marTop w:val="100"/>
      <w:marBottom w:val="0"/>
      <w:divBdr>
        <w:top w:val="none" w:sz="0" w:space="0" w:color="auto"/>
        <w:left w:val="none" w:sz="0" w:space="0" w:color="auto"/>
        <w:bottom w:val="none" w:sz="0" w:space="0" w:color="auto"/>
        <w:right w:val="none" w:sz="0" w:space="0" w:color="auto"/>
      </w:divBdr>
    </w:div>
    <w:div w:id="1133870416">
      <w:marLeft w:val="0"/>
      <w:marRight w:val="0"/>
      <w:marTop w:val="0"/>
      <w:marBottom w:val="0"/>
      <w:divBdr>
        <w:top w:val="none" w:sz="0" w:space="0" w:color="auto"/>
        <w:left w:val="none" w:sz="0" w:space="0" w:color="auto"/>
        <w:bottom w:val="none" w:sz="0" w:space="0" w:color="auto"/>
        <w:right w:val="none" w:sz="0" w:space="0" w:color="auto"/>
      </w:divBdr>
    </w:div>
    <w:div w:id="1136606966">
      <w:marLeft w:val="0"/>
      <w:marRight w:val="0"/>
      <w:marTop w:val="0"/>
      <w:marBottom w:val="0"/>
      <w:divBdr>
        <w:top w:val="none" w:sz="0" w:space="0" w:color="auto"/>
        <w:left w:val="none" w:sz="0" w:space="0" w:color="auto"/>
        <w:bottom w:val="none" w:sz="0" w:space="0" w:color="auto"/>
        <w:right w:val="none" w:sz="0" w:space="0" w:color="auto"/>
      </w:divBdr>
      <w:divsChild>
        <w:div w:id="2012177123">
          <w:marLeft w:val="0"/>
          <w:marRight w:val="0"/>
          <w:marTop w:val="0"/>
          <w:marBottom w:val="0"/>
          <w:divBdr>
            <w:top w:val="none" w:sz="0" w:space="0" w:color="auto"/>
            <w:left w:val="none" w:sz="0" w:space="0" w:color="auto"/>
            <w:bottom w:val="none" w:sz="0" w:space="0" w:color="auto"/>
            <w:right w:val="none" w:sz="0" w:space="0" w:color="auto"/>
          </w:divBdr>
        </w:div>
      </w:divsChild>
    </w:div>
    <w:div w:id="1145005033">
      <w:marLeft w:val="0"/>
      <w:marRight w:val="0"/>
      <w:marTop w:val="0"/>
      <w:marBottom w:val="120"/>
      <w:divBdr>
        <w:top w:val="none" w:sz="0" w:space="0" w:color="auto"/>
        <w:left w:val="none" w:sz="0" w:space="0" w:color="auto"/>
        <w:bottom w:val="none" w:sz="0" w:space="0" w:color="auto"/>
        <w:right w:val="none" w:sz="0" w:space="0" w:color="auto"/>
      </w:divBdr>
    </w:div>
    <w:div w:id="1147740470">
      <w:marLeft w:val="0"/>
      <w:marRight w:val="0"/>
      <w:marTop w:val="0"/>
      <w:marBottom w:val="0"/>
      <w:divBdr>
        <w:top w:val="none" w:sz="0" w:space="0" w:color="auto"/>
        <w:left w:val="none" w:sz="0" w:space="0" w:color="auto"/>
        <w:bottom w:val="none" w:sz="0" w:space="0" w:color="auto"/>
        <w:right w:val="none" w:sz="0" w:space="0" w:color="auto"/>
      </w:divBdr>
      <w:divsChild>
        <w:div w:id="2063207770">
          <w:marLeft w:val="0"/>
          <w:marRight w:val="0"/>
          <w:marTop w:val="0"/>
          <w:marBottom w:val="0"/>
          <w:divBdr>
            <w:top w:val="none" w:sz="0" w:space="0" w:color="auto"/>
            <w:left w:val="none" w:sz="0" w:space="0" w:color="auto"/>
            <w:bottom w:val="none" w:sz="0" w:space="0" w:color="auto"/>
            <w:right w:val="none" w:sz="0" w:space="0" w:color="auto"/>
          </w:divBdr>
        </w:div>
      </w:divsChild>
    </w:div>
    <w:div w:id="1148863677">
      <w:marLeft w:val="0"/>
      <w:marRight w:val="0"/>
      <w:marTop w:val="0"/>
      <w:marBottom w:val="0"/>
      <w:divBdr>
        <w:top w:val="none" w:sz="0" w:space="0" w:color="auto"/>
        <w:left w:val="none" w:sz="0" w:space="0" w:color="auto"/>
        <w:bottom w:val="none" w:sz="0" w:space="0" w:color="auto"/>
        <w:right w:val="none" w:sz="0" w:space="0" w:color="auto"/>
      </w:divBdr>
    </w:div>
    <w:div w:id="1149051115">
      <w:marLeft w:val="0"/>
      <w:marRight w:val="0"/>
      <w:marTop w:val="0"/>
      <w:marBottom w:val="0"/>
      <w:divBdr>
        <w:top w:val="none" w:sz="0" w:space="0" w:color="auto"/>
        <w:left w:val="none" w:sz="0" w:space="0" w:color="auto"/>
        <w:bottom w:val="none" w:sz="0" w:space="0" w:color="auto"/>
        <w:right w:val="none" w:sz="0" w:space="0" w:color="auto"/>
      </w:divBdr>
    </w:div>
    <w:div w:id="1156532467">
      <w:marLeft w:val="0"/>
      <w:marRight w:val="0"/>
      <w:marTop w:val="0"/>
      <w:marBottom w:val="0"/>
      <w:divBdr>
        <w:top w:val="none" w:sz="0" w:space="0" w:color="auto"/>
        <w:left w:val="none" w:sz="0" w:space="0" w:color="auto"/>
        <w:bottom w:val="none" w:sz="0" w:space="0" w:color="auto"/>
        <w:right w:val="none" w:sz="0" w:space="0" w:color="auto"/>
      </w:divBdr>
    </w:div>
    <w:div w:id="1157576042">
      <w:marLeft w:val="0"/>
      <w:marRight w:val="0"/>
      <w:marTop w:val="0"/>
      <w:marBottom w:val="60"/>
      <w:divBdr>
        <w:top w:val="none" w:sz="0" w:space="0" w:color="auto"/>
        <w:left w:val="none" w:sz="0" w:space="0" w:color="auto"/>
        <w:bottom w:val="none" w:sz="0" w:space="0" w:color="auto"/>
        <w:right w:val="none" w:sz="0" w:space="0" w:color="auto"/>
      </w:divBdr>
    </w:div>
    <w:div w:id="1158113920">
      <w:marLeft w:val="0"/>
      <w:marRight w:val="0"/>
      <w:marTop w:val="0"/>
      <w:marBottom w:val="0"/>
      <w:divBdr>
        <w:top w:val="none" w:sz="0" w:space="0" w:color="auto"/>
        <w:left w:val="none" w:sz="0" w:space="0" w:color="auto"/>
        <w:bottom w:val="none" w:sz="0" w:space="0" w:color="auto"/>
        <w:right w:val="none" w:sz="0" w:space="0" w:color="auto"/>
      </w:divBdr>
      <w:divsChild>
        <w:div w:id="309991010">
          <w:marLeft w:val="0"/>
          <w:marRight w:val="0"/>
          <w:marTop w:val="0"/>
          <w:marBottom w:val="0"/>
          <w:divBdr>
            <w:top w:val="none" w:sz="0" w:space="0" w:color="auto"/>
            <w:left w:val="none" w:sz="0" w:space="0" w:color="auto"/>
            <w:bottom w:val="none" w:sz="0" w:space="0" w:color="auto"/>
            <w:right w:val="none" w:sz="0" w:space="0" w:color="auto"/>
          </w:divBdr>
        </w:div>
      </w:divsChild>
    </w:div>
    <w:div w:id="1158229460">
      <w:marLeft w:val="0"/>
      <w:marRight w:val="0"/>
      <w:marTop w:val="0"/>
      <w:marBottom w:val="0"/>
      <w:divBdr>
        <w:top w:val="none" w:sz="0" w:space="0" w:color="auto"/>
        <w:left w:val="none" w:sz="0" w:space="0" w:color="auto"/>
        <w:bottom w:val="none" w:sz="0" w:space="0" w:color="auto"/>
        <w:right w:val="none" w:sz="0" w:space="0" w:color="auto"/>
      </w:divBdr>
    </w:div>
    <w:div w:id="1159999899">
      <w:marLeft w:val="0"/>
      <w:marRight w:val="0"/>
      <w:marTop w:val="0"/>
      <w:marBottom w:val="0"/>
      <w:divBdr>
        <w:top w:val="none" w:sz="0" w:space="0" w:color="auto"/>
        <w:left w:val="none" w:sz="0" w:space="0" w:color="auto"/>
        <w:bottom w:val="none" w:sz="0" w:space="0" w:color="auto"/>
        <w:right w:val="none" w:sz="0" w:space="0" w:color="auto"/>
      </w:divBdr>
    </w:div>
    <w:div w:id="1160543016">
      <w:marLeft w:val="0"/>
      <w:marRight w:val="0"/>
      <w:marTop w:val="0"/>
      <w:marBottom w:val="0"/>
      <w:divBdr>
        <w:top w:val="none" w:sz="0" w:space="0" w:color="auto"/>
        <w:left w:val="none" w:sz="0" w:space="0" w:color="auto"/>
        <w:bottom w:val="none" w:sz="0" w:space="0" w:color="auto"/>
        <w:right w:val="none" w:sz="0" w:space="0" w:color="auto"/>
      </w:divBdr>
    </w:div>
    <w:div w:id="1168789285">
      <w:marLeft w:val="0"/>
      <w:marRight w:val="0"/>
      <w:marTop w:val="0"/>
      <w:marBottom w:val="0"/>
      <w:divBdr>
        <w:top w:val="none" w:sz="0" w:space="0" w:color="auto"/>
        <w:left w:val="none" w:sz="0" w:space="0" w:color="auto"/>
        <w:bottom w:val="none" w:sz="0" w:space="0" w:color="auto"/>
        <w:right w:val="none" w:sz="0" w:space="0" w:color="auto"/>
      </w:divBdr>
      <w:divsChild>
        <w:div w:id="1595824606">
          <w:marLeft w:val="0"/>
          <w:marRight w:val="0"/>
          <w:marTop w:val="0"/>
          <w:marBottom w:val="0"/>
          <w:divBdr>
            <w:top w:val="none" w:sz="0" w:space="0" w:color="auto"/>
            <w:left w:val="none" w:sz="0" w:space="0" w:color="auto"/>
            <w:bottom w:val="none" w:sz="0" w:space="0" w:color="auto"/>
            <w:right w:val="none" w:sz="0" w:space="0" w:color="auto"/>
          </w:divBdr>
        </w:div>
      </w:divsChild>
    </w:div>
    <w:div w:id="1169247103">
      <w:marLeft w:val="0"/>
      <w:marRight w:val="0"/>
      <w:marTop w:val="180"/>
      <w:marBottom w:val="0"/>
      <w:divBdr>
        <w:top w:val="none" w:sz="0" w:space="0" w:color="auto"/>
        <w:left w:val="none" w:sz="0" w:space="0" w:color="auto"/>
        <w:bottom w:val="none" w:sz="0" w:space="0" w:color="auto"/>
        <w:right w:val="none" w:sz="0" w:space="0" w:color="auto"/>
      </w:divBdr>
    </w:div>
    <w:div w:id="1174301659">
      <w:marLeft w:val="0"/>
      <w:marRight w:val="0"/>
      <w:marTop w:val="0"/>
      <w:marBottom w:val="0"/>
      <w:divBdr>
        <w:top w:val="none" w:sz="0" w:space="0" w:color="auto"/>
        <w:left w:val="none" w:sz="0" w:space="0" w:color="auto"/>
        <w:bottom w:val="none" w:sz="0" w:space="0" w:color="auto"/>
        <w:right w:val="none" w:sz="0" w:space="0" w:color="auto"/>
      </w:divBdr>
    </w:div>
    <w:div w:id="1175221010">
      <w:marLeft w:val="0"/>
      <w:marRight w:val="0"/>
      <w:marTop w:val="0"/>
      <w:marBottom w:val="0"/>
      <w:divBdr>
        <w:top w:val="none" w:sz="0" w:space="0" w:color="auto"/>
        <w:left w:val="none" w:sz="0" w:space="0" w:color="auto"/>
        <w:bottom w:val="none" w:sz="0" w:space="0" w:color="auto"/>
        <w:right w:val="none" w:sz="0" w:space="0" w:color="auto"/>
      </w:divBdr>
    </w:div>
    <w:div w:id="1180046274">
      <w:marLeft w:val="0"/>
      <w:marRight w:val="0"/>
      <w:marTop w:val="100"/>
      <w:marBottom w:val="100"/>
      <w:divBdr>
        <w:top w:val="none" w:sz="0" w:space="0" w:color="auto"/>
        <w:left w:val="none" w:sz="0" w:space="0" w:color="auto"/>
        <w:bottom w:val="none" w:sz="0" w:space="0" w:color="auto"/>
        <w:right w:val="none" w:sz="0" w:space="0" w:color="auto"/>
      </w:divBdr>
    </w:div>
    <w:div w:id="1180434569">
      <w:marLeft w:val="0"/>
      <w:marRight w:val="0"/>
      <w:marTop w:val="0"/>
      <w:marBottom w:val="0"/>
      <w:divBdr>
        <w:top w:val="none" w:sz="0" w:space="0" w:color="auto"/>
        <w:left w:val="none" w:sz="0" w:space="0" w:color="auto"/>
        <w:bottom w:val="none" w:sz="0" w:space="0" w:color="auto"/>
        <w:right w:val="none" w:sz="0" w:space="0" w:color="auto"/>
      </w:divBdr>
      <w:divsChild>
        <w:div w:id="522283392">
          <w:marLeft w:val="0"/>
          <w:marRight w:val="0"/>
          <w:marTop w:val="0"/>
          <w:marBottom w:val="0"/>
          <w:divBdr>
            <w:top w:val="none" w:sz="0" w:space="0" w:color="auto"/>
            <w:left w:val="none" w:sz="0" w:space="0" w:color="auto"/>
            <w:bottom w:val="none" w:sz="0" w:space="0" w:color="auto"/>
            <w:right w:val="none" w:sz="0" w:space="0" w:color="auto"/>
          </w:divBdr>
        </w:div>
        <w:div w:id="12536085">
          <w:marLeft w:val="0"/>
          <w:marRight w:val="0"/>
          <w:marTop w:val="0"/>
          <w:marBottom w:val="0"/>
          <w:divBdr>
            <w:top w:val="none" w:sz="0" w:space="0" w:color="auto"/>
            <w:left w:val="none" w:sz="0" w:space="0" w:color="auto"/>
            <w:bottom w:val="none" w:sz="0" w:space="0" w:color="auto"/>
            <w:right w:val="none" w:sz="0" w:space="0" w:color="auto"/>
          </w:divBdr>
        </w:div>
      </w:divsChild>
    </w:div>
    <w:div w:id="1180578900">
      <w:marLeft w:val="0"/>
      <w:marRight w:val="0"/>
      <w:marTop w:val="0"/>
      <w:marBottom w:val="60"/>
      <w:divBdr>
        <w:top w:val="none" w:sz="0" w:space="0" w:color="auto"/>
        <w:left w:val="none" w:sz="0" w:space="0" w:color="auto"/>
        <w:bottom w:val="none" w:sz="0" w:space="0" w:color="auto"/>
        <w:right w:val="none" w:sz="0" w:space="0" w:color="auto"/>
      </w:divBdr>
    </w:div>
    <w:div w:id="1182355848">
      <w:marLeft w:val="0"/>
      <w:marRight w:val="0"/>
      <w:marTop w:val="0"/>
      <w:marBottom w:val="0"/>
      <w:divBdr>
        <w:top w:val="none" w:sz="0" w:space="0" w:color="auto"/>
        <w:left w:val="none" w:sz="0" w:space="0" w:color="auto"/>
        <w:bottom w:val="none" w:sz="0" w:space="0" w:color="auto"/>
        <w:right w:val="none" w:sz="0" w:space="0" w:color="auto"/>
      </w:divBdr>
    </w:div>
    <w:div w:id="1185442213">
      <w:marLeft w:val="0"/>
      <w:marRight w:val="0"/>
      <w:marTop w:val="0"/>
      <w:marBottom w:val="0"/>
      <w:divBdr>
        <w:top w:val="none" w:sz="0" w:space="0" w:color="auto"/>
        <w:left w:val="none" w:sz="0" w:space="0" w:color="auto"/>
        <w:bottom w:val="none" w:sz="0" w:space="0" w:color="auto"/>
        <w:right w:val="none" w:sz="0" w:space="0" w:color="auto"/>
      </w:divBdr>
    </w:div>
    <w:div w:id="1186481782">
      <w:marLeft w:val="0"/>
      <w:marRight w:val="0"/>
      <w:marTop w:val="0"/>
      <w:marBottom w:val="0"/>
      <w:divBdr>
        <w:top w:val="none" w:sz="0" w:space="0" w:color="auto"/>
        <w:left w:val="none" w:sz="0" w:space="0" w:color="auto"/>
        <w:bottom w:val="none" w:sz="0" w:space="0" w:color="auto"/>
        <w:right w:val="none" w:sz="0" w:space="0" w:color="auto"/>
      </w:divBdr>
      <w:divsChild>
        <w:div w:id="69694587">
          <w:marLeft w:val="0"/>
          <w:marRight w:val="0"/>
          <w:marTop w:val="0"/>
          <w:marBottom w:val="0"/>
          <w:divBdr>
            <w:top w:val="none" w:sz="0" w:space="0" w:color="auto"/>
            <w:left w:val="none" w:sz="0" w:space="0" w:color="auto"/>
            <w:bottom w:val="none" w:sz="0" w:space="0" w:color="auto"/>
            <w:right w:val="none" w:sz="0" w:space="0" w:color="auto"/>
          </w:divBdr>
        </w:div>
      </w:divsChild>
    </w:div>
    <w:div w:id="1187601023">
      <w:marLeft w:val="0"/>
      <w:marRight w:val="0"/>
      <w:marTop w:val="0"/>
      <w:marBottom w:val="0"/>
      <w:divBdr>
        <w:top w:val="none" w:sz="0" w:space="0" w:color="auto"/>
        <w:left w:val="none" w:sz="0" w:space="0" w:color="auto"/>
        <w:bottom w:val="none" w:sz="0" w:space="0" w:color="auto"/>
        <w:right w:val="none" w:sz="0" w:space="0" w:color="auto"/>
      </w:divBdr>
      <w:divsChild>
        <w:div w:id="1135683221">
          <w:marLeft w:val="0"/>
          <w:marRight w:val="0"/>
          <w:marTop w:val="0"/>
          <w:marBottom w:val="0"/>
          <w:divBdr>
            <w:top w:val="none" w:sz="0" w:space="0" w:color="auto"/>
            <w:left w:val="none" w:sz="0" w:space="0" w:color="auto"/>
            <w:bottom w:val="none" w:sz="0" w:space="0" w:color="auto"/>
            <w:right w:val="none" w:sz="0" w:space="0" w:color="auto"/>
          </w:divBdr>
        </w:div>
        <w:div w:id="991062472">
          <w:marLeft w:val="0"/>
          <w:marRight w:val="0"/>
          <w:marTop w:val="0"/>
          <w:marBottom w:val="0"/>
          <w:divBdr>
            <w:top w:val="none" w:sz="0" w:space="0" w:color="auto"/>
            <w:left w:val="none" w:sz="0" w:space="0" w:color="auto"/>
            <w:bottom w:val="none" w:sz="0" w:space="0" w:color="auto"/>
            <w:right w:val="none" w:sz="0" w:space="0" w:color="auto"/>
          </w:divBdr>
        </w:div>
      </w:divsChild>
    </w:div>
    <w:div w:id="1191651392">
      <w:marLeft w:val="0"/>
      <w:marRight w:val="0"/>
      <w:marTop w:val="0"/>
      <w:marBottom w:val="0"/>
      <w:divBdr>
        <w:top w:val="none" w:sz="0" w:space="0" w:color="auto"/>
        <w:left w:val="none" w:sz="0" w:space="0" w:color="auto"/>
        <w:bottom w:val="none" w:sz="0" w:space="0" w:color="auto"/>
        <w:right w:val="none" w:sz="0" w:space="0" w:color="auto"/>
      </w:divBdr>
    </w:div>
    <w:div w:id="1191991025">
      <w:marLeft w:val="0"/>
      <w:marRight w:val="0"/>
      <w:marTop w:val="0"/>
      <w:marBottom w:val="0"/>
      <w:divBdr>
        <w:top w:val="none" w:sz="0" w:space="0" w:color="auto"/>
        <w:left w:val="none" w:sz="0" w:space="0" w:color="auto"/>
        <w:bottom w:val="none" w:sz="0" w:space="0" w:color="auto"/>
        <w:right w:val="none" w:sz="0" w:space="0" w:color="auto"/>
      </w:divBdr>
    </w:div>
    <w:div w:id="1196387698">
      <w:marLeft w:val="0"/>
      <w:marRight w:val="0"/>
      <w:marTop w:val="0"/>
      <w:marBottom w:val="0"/>
      <w:divBdr>
        <w:top w:val="none" w:sz="0" w:space="0" w:color="auto"/>
        <w:left w:val="none" w:sz="0" w:space="0" w:color="auto"/>
        <w:bottom w:val="none" w:sz="0" w:space="0" w:color="auto"/>
        <w:right w:val="none" w:sz="0" w:space="0" w:color="auto"/>
      </w:divBdr>
      <w:divsChild>
        <w:div w:id="1547255320">
          <w:marLeft w:val="0"/>
          <w:marRight w:val="0"/>
          <w:marTop w:val="0"/>
          <w:marBottom w:val="0"/>
          <w:divBdr>
            <w:top w:val="none" w:sz="0" w:space="0" w:color="auto"/>
            <w:left w:val="none" w:sz="0" w:space="0" w:color="auto"/>
            <w:bottom w:val="none" w:sz="0" w:space="0" w:color="auto"/>
            <w:right w:val="none" w:sz="0" w:space="0" w:color="auto"/>
          </w:divBdr>
        </w:div>
      </w:divsChild>
    </w:div>
    <w:div w:id="1197499859">
      <w:marLeft w:val="0"/>
      <w:marRight w:val="0"/>
      <w:marTop w:val="100"/>
      <w:marBottom w:val="0"/>
      <w:divBdr>
        <w:top w:val="none" w:sz="0" w:space="0" w:color="auto"/>
        <w:left w:val="none" w:sz="0" w:space="0" w:color="auto"/>
        <w:bottom w:val="none" w:sz="0" w:space="0" w:color="auto"/>
        <w:right w:val="none" w:sz="0" w:space="0" w:color="auto"/>
      </w:divBdr>
    </w:div>
    <w:div w:id="1197616029">
      <w:marLeft w:val="0"/>
      <w:marRight w:val="0"/>
      <w:marTop w:val="0"/>
      <w:marBottom w:val="0"/>
      <w:divBdr>
        <w:top w:val="none" w:sz="0" w:space="0" w:color="auto"/>
        <w:left w:val="none" w:sz="0" w:space="0" w:color="auto"/>
        <w:bottom w:val="none" w:sz="0" w:space="0" w:color="auto"/>
        <w:right w:val="none" w:sz="0" w:space="0" w:color="auto"/>
      </w:divBdr>
    </w:div>
    <w:div w:id="1198933441">
      <w:marLeft w:val="0"/>
      <w:marRight w:val="0"/>
      <w:marTop w:val="0"/>
      <w:marBottom w:val="0"/>
      <w:divBdr>
        <w:top w:val="none" w:sz="0" w:space="0" w:color="auto"/>
        <w:left w:val="none" w:sz="0" w:space="0" w:color="auto"/>
        <w:bottom w:val="none" w:sz="0" w:space="0" w:color="auto"/>
        <w:right w:val="none" w:sz="0" w:space="0" w:color="auto"/>
      </w:divBdr>
    </w:div>
    <w:div w:id="1201896223">
      <w:marLeft w:val="0"/>
      <w:marRight w:val="0"/>
      <w:marTop w:val="0"/>
      <w:marBottom w:val="0"/>
      <w:divBdr>
        <w:top w:val="none" w:sz="0" w:space="0" w:color="auto"/>
        <w:left w:val="none" w:sz="0" w:space="0" w:color="auto"/>
        <w:bottom w:val="none" w:sz="0" w:space="0" w:color="auto"/>
        <w:right w:val="none" w:sz="0" w:space="0" w:color="auto"/>
      </w:divBdr>
      <w:divsChild>
        <w:div w:id="1028137777">
          <w:marLeft w:val="0"/>
          <w:marRight w:val="0"/>
          <w:marTop w:val="0"/>
          <w:marBottom w:val="0"/>
          <w:divBdr>
            <w:top w:val="none" w:sz="0" w:space="0" w:color="auto"/>
            <w:left w:val="none" w:sz="0" w:space="0" w:color="auto"/>
            <w:bottom w:val="none" w:sz="0" w:space="0" w:color="auto"/>
            <w:right w:val="none" w:sz="0" w:space="0" w:color="auto"/>
          </w:divBdr>
        </w:div>
        <w:div w:id="727843205">
          <w:marLeft w:val="0"/>
          <w:marRight w:val="0"/>
          <w:marTop w:val="0"/>
          <w:marBottom w:val="0"/>
          <w:divBdr>
            <w:top w:val="none" w:sz="0" w:space="0" w:color="auto"/>
            <w:left w:val="none" w:sz="0" w:space="0" w:color="auto"/>
            <w:bottom w:val="none" w:sz="0" w:space="0" w:color="auto"/>
            <w:right w:val="none" w:sz="0" w:space="0" w:color="auto"/>
          </w:divBdr>
        </w:div>
      </w:divsChild>
    </w:div>
    <w:div w:id="1202742318">
      <w:marLeft w:val="0"/>
      <w:marRight w:val="0"/>
      <w:marTop w:val="0"/>
      <w:marBottom w:val="0"/>
      <w:divBdr>
        <w:top w:val="none" w:sz="0" w:space="0" w:color="auto"/>
        <w:left w:val="none" w:sz="0" w:space="0" w:color="auto"/>
        <w:bottom w:val="none" w:sz="0" w:space="0" w:color="auto"/>
        <w:right w:val="none" w:sz="0" w:space="0" w:color="auto"/>
      </w:divBdr>
    </w:div>
    <w:div w:id="1202941274">
      <w:marLeft w:val="0"/>
      <w:marRight w:val="0"/>
      <w:marTop w:val="0"/>
      <w:marBottom w:val="0"/>
      <w:divBdr>
        <w:top w:val="none" w:sz="0" w:space="0" w:color="auto"/>
        <w:left w:val="none" w:sz="0" w:space="0" w:color="auto"/>
        <w:bottom w:val="none" w:sz="0" w:space="0" w:color="auto"/>
        <w:right w:val="none" w:sz="0" w:space="0" w:color="auto"/>
      </w:divBdr>
    </w:div>
    <w:div w:id="1206215282">
      <w:marLeft w:val="0"/>
      <w:marRight w:val="0"/>
      <w:marTop w:val="0"/>
      <w:marBottom w:val="0"/>
      <w:divBdr>
        <w:top w:val="none" w:sz="0" w:space="0" w:color="auto"/>
        <w:left w:val="none" w:sz="0" w:space="0" w:color="auto"/>
        <w:bottom w:val="none" w:sz="0" w:space="0" w:color="auto"/>
        <w:right w:val="none" w:sz="0" w:space="0" w:color="auto"/>
      </w:divBdr>
      <w:divsChild>
        <w:div w:id="1873492050">
          <w:marLeft w:val="0"/>
          <w:marRight w:val="0"/>
          <w:marTop w:val="0"/>
          <w:marBottom w:val="0"/>
          <w:divBdr>
            <w:top w:val="none" w:sz="0" w:space="0" w:color="auto"/>
            <w:left w:val="none" w:sz="0" w:space="0" w:color="auto"/>
            <w:bottom w:val="none" w:sz="0" w:space="0" w:color="auto"/>
            <w:right w:val="none" w:sz="0" w:space="0" w:color="auto"/>
          </w:divBdr>
        </w:div>
      </w:divsChild>
    </w:div>
    <w:div w:id="1206984761">
      <w:marLeft w:val="0"/>
      <w:marRight w:val="0"/>
      <w:marTop w:val="0"/>
      <w:marBottom w:val="0"/>
      <w:divBdr>
        <w:top w:val="none" w:sz="0" w:space="0" w:color="auto"/>
        <w:left w:val="none" w:sz="0" w:space="0" w:color="auto"/>
        <w:bottom w:val="none" w:sz="0" w:space="0" w:color="auto"/>
        <w:right w:val="none" w:sz="0" w:space="0" w:color="auto"/>
      </w:divBdr>
      <w:divsChild>
        <w:div w:id="1434470494">
          <w:marLeft w:val="0"/>
          <w:marRight w:val="0"/>
          <w:marTop w:val="0"/>
          <w:marBottom w:val="0"/>
          <w:divBdr>
            <w:top w:val="none" w:sz="0" w:space="0" w:color="auto"/>
            <w:left w:val="none" w:sz="0" w:space="0" w:color="auto"/>
            <w:bottom w:val="none" w:sz="0" w:space="0" w:color="auto"/>
            <w:right w:val="none" w:sz="0" w:space="0" w:color="auto"/>
          </w:divBdr>
        </w:div>
        <w:div w:id="1388341594">
          <w:marLeft w:val="0"/>
          <w:marRight w:val="0"/>
          <w:marTop w:val="0"/>
          <w:marBottom w:val="0"/>
          <w:divBdr>
            <w:top w:val="none" w:sz="0" w:space="0" w:color="auto"/>
            <w:left w:val="none" w:sz="0" w:space="0" w:color="auto"/>
            <w:bottom w:val="none" w:sz="0" w:space="0" w:color="auto"/>
            <w:right w:val="none" w:sz="0" w:space="0" w:color="auto"/>
          </w:divBdr>
        </w:div>
      </w:divsChild>
    </w:div>
    <w:div w:id="1207909802">
      <w:marLeft w:val="0"/>
      <w:marRight w:val="0"/>
      <w:marTop w:val="0"/>
      <w:marBottom w:val="0"/>
      <w:divBdr>
        <w:top w:val="none" w:sz="0" w:space="0" w:color="auto"/>
        <w:left w:val="none" w:sz="0" w:space="0" w:color="auto"/>
        <w:bottom w:val="none" w:sz="0" w:space="0" w:color="auto"/>
        <w:right w:val="none" w:sz="0" w:space="0" w:color="auto"/>
      </w:divBdr>
      <w:divsChild>
        <w:div w:id="451440253">
          <w:marLeft w:val="0"/>
          <w:marRight w:val="0"/>
          <w:marTop w:val="0"/>
          <w:marBottom w:val="0"/>
          <w:divBdr>
            <w:top w:val="none" w:sz="0" w:space="0" w:color="auto"/>
            <w:left w:val="none" w:sz="0" w:space="0" w:color="auto"/>
            <w:bottom w:val="none" w:sz="0" w:space="0" w:color="auto"/>
            <w:right w:val="none" w:sz="0" w:space="0" w:color="auto"/>
          </w:divBdr>
        </w:div>
      </w:divsChild>
    </w:div>
    <w:div w:id="1207989726">
      <w:marLeft w:val="0"/>
      <w:marRight w:val="0"/>
      <w:marTop w:val="80"/>
      <w:marBottom w:val="0"/>
      <w:divBdr>
        <w:top w:val="none" w:sz="0" w:space="0" w:color="auto"/>
        <w:left w:val="none" w:sz="0" w:space="0" w:color="auto"/>
        <w:bottom w:val="none" w:sz="0" w:space="0" w:color="auto"/>
        <w:right w:val="none" w:sz="0" w:space="0" w:color="auto"/>
      </w:divBdr>
    </w:div>
    <w:div w:id="1208879881">
      <w:marLeft w:val="0"/>
      <w:marRight w:val="0"/>
      <w:marTop w:val="0"/>
      <w:marBottom w:val="0"/>
      <w:divBdr>
        <w:top w:val="none" w:sz="0" w:space="0" w:color="auto"/>
        <w:left w:val="none" w:sz="0" w:space="0" w:color="auto"/>
        <w:bottom w:val="none" w:sz="0" w:space="0" w:color="auto"/>
        <w:right w:val="none" w:sz="0" w:space="0" w:color="auto"/>
      </w:divBdr>
    </w:div>
    <w:div w:id="1209730854">
      <w:marLeft w:val="0"/>
      <w:marRight w:val="0"/>
      <w:marTop w:val="0"/>
      <w:marBottom w:val="0"/>
      <w:divBdr>
        <w:top w:val="none" w:sz="0" w:space="0" w:color="auto"/>
        <w:left w:val="none" w:sz="0" w:space="0" w:color="auto"/>
        <w:bottom w:val="none" w:sz="0" w:space="0" w:color="auto"/>
        <w:right w:val="none" w:sz="0" w:space="0" w:color="auto"/>
      </w:divBdr>
    </w:div>
    <w:div w:id="1210651137">
      <w:marLeft w:val="0"/>
      <w:marRight w:val="0"/>
      <w:marTop w:val="0"/>
      <w:marBottom w:val="0"/>
      <w:divBdr>
        <w:top w:val="none" w:sz="0" w:space="0" w:color="auto"/>
        <w:left w:val="none" w:sz="0" w:space="0" w:color="auto"/>
        <w:bottom w:val="none" w:sz="0" w:space="0" w:color="auto"/>
        <w:right w:val="none" w:sz="0" w:space="0" w:color="auto"/>
      </w:divBdr>
    </w:div>
    <w:div w:id="1213152283">
      <w:marLeft w:val="0"/>
      <w:marRight w:val="0"/>
      <w:marTop w:val="0"/>
      <w:marBottom w:val="0"/>
      <w:divBdr>
        <w:top w:val="none" w:sz="0" w:space="0" w:color="auto"/>
        <w:left w:val="none" w:sz="0" w:space="0" w:color="auto"/>
        <w:bottom w:val="none" w:sz="0" w:space="0" w:color="auto"/>
        <w:right w:val="none" w:sz="0" w:space="0" w:color="auto"/>
      </w:divBdr>
    </w:div>
    <w:div w:id="1216425965">
      <w:marLeft w:val="0"/>
      <w:marRight w:val="0"/>
      <w:marTop w:val="100"/>
      <w:marBottom w:val="0"/>
      <w:divBdr>
        <w:top w:val="none" w:sz="0" w:space="0" w:color="auto"/>
        <w:left w:val="none" w:sz="0" w:space="0" w:color="auto"/>
        <w:bottom w:val="none" w:sz="0" w:space="0" w:color="auto"/>
        <w:right w:val="none" w:sz="0" w:space="0" w:color="auto"/>
      </w:divBdr>
    </w:div>
    <w:div w:id="1216502787">
      <w:marLeft w:val="0"/>
      <w:marRight w:val="0"/>
      <w:marTop w:val="0"/>
      <w:marBottom w:val="0"/>
      <w:divBdr>
        <w:top w:val="none" w:sz="0" w:space="0" w:color="auto"/>
        <w:left w:val="none" w:sz="0" w:space="0" w:color="auto"/>
        <w:bottom w:val="none" w:sz="0" w:space="0" w:color="auto"/>
        <w:right w:val="none" w:sz="0" w:space="0" w:color="auto"/>
      </w:divBdr>
    </w:div>
    <w:div w:id="1219049077">
      <w:marLeft w:val="0"/>
      <w:marRight w:val="0"/>
      <w:marTop w:val="0"/>
      <w:marBottom w:val="0"/>
      <w:divBdr>
        <w:top w:val="none" w:sz="0" w:space="0" w:color="auto"/>
        <w:left w:val="none" w:sz="0" w:space="0" w:color="auto"/>
        <w:bottom w:val="none" w:sz="0" w:space="0" w:color="auto"/>
        <w:right w:val="none" w:sz="0" w:space="0" w:color="auto"/>
      </w:divBdr>
    </w:div>
    <w:div w:id="1221592332">
      <w:marLeft w:val="0"/>
      <w:marRight w:val="0"/>
      <w:marTop w:val="0"/>
      <w:marBottom w:val="0"/>
      <w:divBdr>
        <w:top w:val="none" w:sz="0" w:space="0" w:color="auto"/>
        <w:left w:val="none" w:sz="0" w:space="0" w:color="auto"/>
        <w:bottom w:val="none" w:sz="0" w:space="0" w:color="auto"/>
        <w:right w:val="none" w:sz="0" w:space="0" w:color="auto"/>
      </w:divBdr>
      <w:divsChild>
        <w:div w:id="934051660">
          <w:marLeft w:val="0"/>
          <w:marRight w:val="0"/>
          <w:marTop w:val="0"/>
          <w:marBottom w:val="0"/>
          <w:divBdr>
            <w:top w:val="none" w:sz="0" w:space="0" w:color="auto"/>
            <w:left w:val="none" w:sz="0" w:space="0" w:color="auto"/>
            <w:bottom w:val="none" w:sz="0" w:space="0" w:color="auto"/>
            <w:right w:val="none" w:sz="0" w:space="0" w:color="auto"/>
          </w:divBdr>
        </w:div>
        <w:div w:id="989678182">
          <w:marLeft w:val="0"/>
          <w:marRight w:val="0"/>
          <w:marTop w:val="0"/>
          <w:marBottom w:val="0"/>
          <w:divBdr>
            <w:top w:val="none" w:sz="0" w:space="0" w:color="auto"/>
            <w:left w:val="none" w:sz="0" w:space="0" w:color="auto"/>
            <w:bottom w:val="none" w:sz="0" w:space="0" w:color="auto"/>
            <w:right w:val="none" w:sz="0" w:space="0" w:color="auto"/>
          </w:divBdr>
        </w:div>
      </w:divsChild>
    </w:div>
    <w:div w:id="1222402483">
      <w:marLeft w:val="0"/>
      <w:marRight w:val="0"/>
      <w:marTop w:val="0"/>
      <w:marBottom w:val="0"/>
      <w:divBdr>
        <w:top w:val="none" w:sz="0" w:space="0" w:color="auto"/>
        <w:left w:val="none" w:sz="0" w:space="0" w:color="auto"/>
        <w:bottom w:val="none" w:sz="0" w:space="0" w:color="auto"/>
        <w:right w:val="none" w:sz="0" w:space="0" w:color="auto"/>
      </w:divBdr>
    </w:div>
    <w:div w:id="1224751674">
      <w:marLeft w:val="0"/>
      <w:marRight w:val="0"/>
      <w:marTop w:val="0"/>
      <w:marBottom w:val="0"/>
      <w:divBdr>
        <w:top w:val="none" w:sz="0" w:space="0" w:color="auto"/>
        <w:left w:val="none" w:sz="0" w:space="0" w:color="auto"/>
        <w:bottom w:val="none" w:sz="0" w:space="0" w:color="auto"/>
        <w:right w:val="none" w:sz="0" w:space="0" w:color="auto"/>
      </w:divBdr>
      <w:divsChild>
        <w:div w:id="1123109445">
          <w:marLeft w:val="0"/>
          <w:marRight w:val="0"/>
          <w:marTop w:val="0"/>
          <w:marBottom w:val="0"/>
          <w:divBdr>
            <w:top w:val="none" w:sz="0" w:space="0" w:color="auto"/>
            <w:left w:val="none" w:sz="0" w:space="0" w:color="auto"/>
            <w:bottom w:val="none" w:sz="0" w:space="0" w:color="auto"/>
            <w:right w:val="none" w:sz="0" w:space="0" w:color="auto"/>
          </w:divBdr>
        </w:div>
      </w:divsChild>
    </w:div>
    <w:div w:id="1225601113">
      <w:marLeft w:val="0"/>
      <w:marRight w:val="0"/>
      <w:marTop w:val="0"/>
      <w:marBottom w:val="0"/>
      <w:divBdr>
        <w:top w:val="none" w:sz="0" w:space="0" w:color="auto"/>
        <w:left w:val="none" w:sz="0" w:space="0" w:color="auto"/>
        <w:bottom w:val="none" w:sz="0" w:space="0" w:color="auto"/>
        <w:right w:val="none" w:sz="0" w:space="0" w:color="auto"/>
      </w:divBdr>
      <w:divsChild>
        <w:div w:id="1647783547">
          <w:marLeft w:val="0"/>
          <w:marRight w:val="0"/>
          <w:marTop w:val="0"/>
          <w:marBottom w:val="0"/>
          <w:divBdr>
            <w:top w:val="none" w:sz="0" w:space="0" w:color="auto"/>
            <w:left w:val="none" w:sz="0" w:space="0" w:color="auto"/>
            <w:bottom w:val="none" w:sz="0" w:space="0" w:color="auto"/>
            <w:right w:val="none" w:sz="0" w:space="0" w:color="auto"/>
          </w:divBdr>
        </w:div>
      </w:divsChild>
    </w:div>
    <w:div w:id="1232689632">
      <w:marLeft w:val="0"/>
      <w:marRight w:val="0"/>
      <w:marTop w:val="0"/>
      <w:marBottom w:val="120"/>
      <w:divBdr>
        <w:top w:val="none" w:sz="0" w:space="0" w:color="auto"/>
        <w:left w:val="none" w:sz="0" w:space="0" w:color="auto"/>
        <w:bottom w:val="none" w:sz="0" w:space="0" w:color="auto"/>
        <w:right w:val="none" w:sz="0" w:space="0" w:color="auto"/>
      </w:divBdr>
    </w:div>
    <w:div w:id="1233660739">
      <w:marLeft w:val="0"/>
      <w:marRight w:val="0"/>
      <w:marTop w:val="0"/>
      <w:marBottom w:val="160"/>
      <w:divBdr>
        <w:top w:val="none" w:sz="0" w:space="0" w:color="auto"/>
        <w:left w:val="none" w:sz="0" w:space="0" w:color="auto"/>
        <w:bottom w:val="none" w:sz="0" w:space="0" w:color="auto"/>
        <w:right w:val="none" w:sz="0" w:space="0" w:color="auto"/>
      </w:divBdr>
    </w:div>
    <w:div w:id="1237203313">
      <w:marLeft w:val="0"/>
      <w:marRight w:val="0"/>
      <w:marTop w:val="120"/>
      <w:marBottom w:val="120"/>
      <w:divBdr>
        <w:top w:val="none" w:sz="0" w:space="0" w:color="auto"/>
        <w:left w:val="none" w:sz="0" w:space="0" w:color="auto"/>
        <w:bottom w:val="none" w:sz="0" w:space="0" w:color="auto"/>
        <w:right w:val="none" w:sz="0" w:space="0" w:color="auto"/>
      </w:divBdr>
    </w:div>
    <w:div w:id="1237782398">
      <w:marLeft w:val="0"/>
      <w:marRight w:val="0"/>
      <w:marTop w:val="0"/>
      <w:marBottom w:val="0"/>
      <w:divBdr>
        <w:top w:val="none" w:sz="0" w:space="0" w:color="auto"/>
        <w:left w:val="none" w:sz="0" w:space="0" w:color="auto"/>
        <w:bottom w:val="none" w:sz="0" w:space="0" w:color="auto"/>
        <w:right w:val="none" w:sz="0" w:space="0" w:color="auto"/>
      </w:divBdr>
      <w:divsChild>
        <w:div w:id="808787120">
          <w:marLeft w:val="0"/>
          <w:marRight w:val="0"/>
          <w:marTop w:val="0"/>
          <w:marBottom w:val="0"/>
          <w:divBdr>
            <w:top w:val="none" w:sz="0" w:space="0" w:color="auto"/>
            <w:left w:val="none" w:sz="0" w:space="0" w:color="auto"/>
            <w:bottom w:val="none" w:sz="0" w:space="0" w:color="auto"/>
            <w:right w:val="none" w:sz="0" w:space="0" w:color="auto"/>
          </w:divBdr>
        </w:div>
        <w:div w:id="416291677">
          <w:marLeft w:val="0"/>
          <w:marRight w:val="0"/>
          <w:marTop w:val="0"/>
          <w:marBottom w:val="0"/>
          <w:divBdr>
            <w:top w:val="none" w:sz="0" w:space="0" w:color="auto"/>
            <w:left w:val="none" w:sz="0" w:space="0" w:color="auto"/>
            <w:bottom w:val="none" w:sz="0" w:space="0" w:color="auto"/>
            <w:right w:val="none" w:sz="0" w:space="0" w:color="auto"/>
          </w:divBdr>
        </w:div>
      </w:divsChild>
    </w:div>
    <w:div w:id="1238586825">
      <w:marLeft w:val="0"/>
      <w:marRight w:val="0"/>
      <w:marTop w:val="0"/>
      <w:marBottom w:val="120"/>
      <w:divBdr>
        <w:top w:val="none" w:sz="0" w:space="0" w:color="auto"/>
        <w:left w:val="none" w:sz="0" w:space="0" w:color="auto"/>
        <w:bottom w:val="none" w:sz="0" w:space="0" w:color="auto"/>
        <w:right w:val="none" w:sz="0" w:space="0" w:color="auto"/>
      </w:divBdr>
    </w:div>
    <w:div w:id="1239828296">
      <w:marLeft w:val="0"/>
      <w:marRight w:val="0"/>
      <w:marTop w:val="0"/>
      <w:marBottom w:val="0"/>
      <w:divBdr>
        <w:top w:val="none" w:sz="0" w:space="0" w:color="auto"/>
        <w:left w:val="none" w:sz="0" w:space="0" w:color="auto"/>
        <w:bottom w:val="none" w:sz="0" w:space="0" w:color="auto"/>
        <w:right w:val="none" w:sz="0" w:space="0" w:color="auto"/>
      </w:divBdr>
    </w:div>
    <w:div w:id="1240166731">
      <w:marLeft w:val="0"/>
      <w:marRight w:val="0"/>
      <w:marTop w:val="100"/>
      <w:marBottom w:val="0"/>
      <w:divBdr>
        <w:top w:val="none" w:sz="0" w:space="0" w:color="auto"/>
        <w:left w:val="none" w:sz="0" w:space="0" w:color="auto"/>
        <w:bottom w:val="none" w:sz="0" w:space="0" w:color="auto"/>
        <w:right w:val="none" w:sz="0" w:space="0" w:color="auto"/>
      </w:divBdr>
    </w:div>
    <w:div w:id="1241334674">
      <w:marLeft w:val="0"/>
      <w:marRight w:val="0"/>
      <w:marTop w:val="0"/>
      <w:marBottom w:val="0"/>
      <w:divBdr>
        <w:top w:val="none" w:sz="0" w:space="0" w:color="auto"/>
        <w:left w:val="none" w:sz="0" w:space="0" w:color="auto"/>
        <w:bottom w:val="none" w:sz="0" w:space="0" w:color="auto"/>
        <w:right w:val="none" w:sz="0" w:space="0" w:color="auto"/>
      </w:divBdr>
    </w:div>
    <w:div w:id="1243951998">
      <w:marLeft w:val="0"/>
      <w:marRight w:val="0"/>
      <w:marTop w:val="100"/>
      <w:marBottom w:val="0"/>
      <w:divBdr>
        <w:top w:val="none" w:sz="0" w:space="0" w:color="auto"/>
        <w:left w:val="none" w:sz="0" w:space="0" w:color="auto"/>
        <w:bottom w:val="none" w:sz="0" w:space="0" w:color="auto"/>
        <w:right w:val="none" w:sz="0" w:space="0" w:color="auto"/>
      </w:divBdr>
    </w:div>
    <w:div w:id="1245535379">
      <w:marLeft w:val="0"/>
      <w:marRight w:val="0"/>
      <w:marTop w:val="100"/>
      <w:marBottom w:val="0"/>
      <w:divBdr>
        <w:top w:val="none" w:sz="0" w:space="0" w:color="auto"/>
        <w:left w:val="none" w:sz="0" w:space="0" w:color="auto"/>
        <w:bottom w:val="none" w:sz="0" w:space="0" w:color="auto"/>
        <w:right w:val="none" w:sz="0" w:space="0" w:color="auto"/>
      </w:divBdr>
    </w:div>
    <w:div w:id="1247494966">
      <w:marLeft w:val="0"/>
      <w:marRight w:val="0"/>
      <w:marTop w:val="0"/>
      <w:marBottom w:val="0"/>
      <w:divBdr>
        <w:top w:val="none" w:sz="0" w:space="0" w:color="auto"/>
        <w:left w:val="none" w:sz="0" w:space="0" w:color="auto"/>
        <w:bottom w:val="none" w:sz="0" w:space="0" w:color="auto"/>
        <w:right w:val="none" w:sz="0" w:space="0" w:color="auto"/>
      </w:divBdr>
      <w:divsChild>
        <w:div w:id="1067336928">
          <w:marLeft w:val="0"/>
          <w:marRight w:val="0"/>
          <w:marTop w:val="0"/>
          <w:marBottom w:val="0"/>
          <w:divBdr>
            <w:top w:val="none" w:sz="0" w:space="0" w:color="auto"/>
            <w:left w:val="none" w:sz="0" w:space="0" w:color="auto"/>
            <w:bottom w:val="none" w:sz="0" w:space="0" w:color="auto"/>
            <w:right w:val="none" w:sz="0" w:space="0" w:color="auto"/>
          </w:divBdr>
        </w:div>
        <w:div w:id="1686857470">
          <w:marLeft w:val="0"/>
          <w:marRight w:val="0"/>
          <w:marTop w:val="0"/>
          <w:marBottom w:val="0"/>
          <w:divBdr>
            <w:top w:val="none" w:sz="0" w:space="0" w:color="auto"/>
            <w:left w:val="none" w:sz="0" w:space="0" w:color="auto"/>
            <w:bottom w:val="none" w:sz="0" w:space="0" w:color="auto"/>
            <w:right w:val="none" w:sz="0" w:space="0" w:color="auto"/>
          </w:divBdr>
        </w:div>
      </w:divsChild>
    </w:div>
    <w:div w:id="1250509036">
      <w:marLeft w:val="0"/>
      <w:marRight w:val="0"/>
      <w:marTop w:val="100"/>
      <w:marBottom w:val="0"/>
      <w:divBdr>
        <w:top w:val="none" w:sz="0" w:space="0" w:color="auto"/>
        <w:left w:val="none" w:sz="0" w:space="0" w:color="auto"/>
        <w:bottom w:val="none" w:sz="0" w:space="0" w:color="auto"/>
        <w:right w:val="none" w:sz="0" w:space="0" w:color="auto"/>
      </w:divBdr>
    </w:div>
    <w:div w:id="1250652809">
      <w:marLeft w:val="0"/>
      <w:marRight w:val="0"/>
      <w:marTop w:val="0"/>
      <w:marBottom w:val="0"/>
      <w:divBdr>
        <w:top w:val="none" w:sz="0" w:space="0" w:color="auto"/>
        <w:left w:val="none" w:sz="0" w:space="0" w:color="auto"/>
        <w:bottom w:val="none" w:sz="0" w:space="0" w:color="auto"/>
        <w:right w:val="none" w:sz="0" w:space="0" w:color="auto"/>
      </w:divBdr>
    </w:div>
    <w:div w:id="1252353080">
      <w:marLeft w:val="0"/>
      <w:marRight w:val="0"/>
      <w:marTop w:val="100"/>
      <w:marBottom w:val="0"/>
      <w:divBdr>
        <w:top w:val="none" w:sz="0" w:space="0" w:color="auto"/>
        <w:left w:val="none" w:sz="0" w:space="0" w:color="auto"/>
        <w:bottom w:val="none" w:sz="0" w:space="0" w:color="auto"/>
        <w:right w:val="none" w:sz="0" w:space="0" w:color="auto"/>
      </w:divBdr>
    </w:div>
    <w:div w:id="1257985425">
      <w:marLeft w:val="0"/>
      <w:marRight w:val="0"/>
      <w:marTop w:val="0"/>
      <w:marBottom w:val="0"/>
      <w:divBdr>
        <w:top w:val="none" w:sz="0" w:space="0" w:color="auto"/>
        <w:left w:val="none" w:sz="0" w:space="0" w:color="auto"/>
        <w:bottom w:val="none" w:sz="0" w:space="0" w:color="auto"/>
        <w:right w:val="none" w:sz="0" w:space="0" w:color="auto"/>
      </w:divBdr>
      <w:divsChild>
        <w:div w:id="307633953">
          <w:marLeft w:val="0"/>
          <w:marRight w:val="0"/>
          <w:marTop w:val="0"/>
          <w:marBottom w:val="0"/>
          <w:divBdr>
            <w:top w:val="none" w:sz="0" w:space="0" w:color="auto"/>
            <w:left w:val="none" w:sz="0" w:space="0" w:color="auto"/>
            <w:bottom w:val="none" w:sz="0" w:space="0" w:color="auto"/>
            <w:right w:val="none" w:sz="0" w:space="0" w:color="auto"/>
          </w:divBdr>
        </w:div>
      </w:divsChild>
    </w:div>
    <w:div w:id="1259675586">
      <w:marLeft w:val="0"/>
      <w:marRight w:val="0"/>
      <w:marTop w:val="0"/>
      <w:marBottom w:val="0"/>
      <w:divBdr>
        <w:top w:val="none" w:sz="0" w:space="0" w:color="auto"/>
        <w:left w:val="none" w:sz="0" w:space="0" w:color="auto"/>
        <w:bottom w:val="none" w:sz="0" w:space="0" w:color="auto"/>
        <w:right w:val="none" w:sz="0" w:space="0" w:color="auto"/>
      </w:divBdr>
    </w:div>
    <w:div w:id="1259831064">
      <w:marLeft w:val="0"/>
      <w:marRight w:val="0"/>
      <w:marTop w:val="0"/>
      <w:marBottom w:val="0"/>
      <w:divBdr>
        <w:top w:val="none" w:sz="0" w:space="0" w:color="auto"/>
        <w:left w:val="none" w:sz="0" w:space="0" w:color="auto"/>
        <w:bottom w:val="none" w:sz="0" w:space="0" w:color="auto"/>
        <w:right w:val="none" w:sz="0" w:space="0" w:color="auto"/>
      </w:divBdr>
      <w:divsChild>
        <w:div w:id="107312268">
          <w:marLeft w:val="0"/>
          <w:marRight w:val="0"/>
          <w:marTop w:val="0"/>
          <w:marBottom w:val="0"/>
          <w:divBdr>
            <w:top w:val="none" w:sz="0" w:space="0" w:color="auto"/>
            <w:left w:val="none" w:sz="0" w:space="0" w:color="auto"/>
            <w:bottom w:val="none" w:sz="0" w:space="0" w:color="auto"/>
            <w:right w:val="none" w:sz="0" w:space="0" w:color="auto"/>
          </w:divBdr>
        </w:div>
      </w:divsChild>
    </w:div>
    <w:div w:id="1260025320">
      <w:marLeft w:val="0"/>
      <w:marRight w:val="0"/>
      <w:marTop w:val="0"/>
      <w:marBottom w:val="0"/>
      <w:divBdr>
        <w:top w:val="none" w:sz="0" w:space="0" w:color="auto"/>
        <w:left w:val="none" w:sz="0" w:space="0" w:color="auto"/>
        <w:bottom w:val="none" w:sz="0" w:space="0" w:color="auto"/>
        <w:right w:val="none" w:sz="0" w:space="0" w:color="auto"/>
      </w:divBdr>
    </w:div>
    <w:div w:id="1266228396">
      <w:marLeft w:val="0"/>
      <w:marRight w:val="0"/>
      <w:marTop w:val="100"/>
      <w:marBottom w:val="0"/>
      <w:divBdr>
        <w:top w:val="none" w:sz="0" w:space="0" w:color="auto"/>
        <w:left w:val="none" w:sz="0" w:space="0" w:color="auto"/>
        <w:bottom w:val="none" w:sz="0" w:space="0" w:color="auto"/>
        <w:right w:val="none" w:sz="0" w:space="0" w:color="auto"/>
      </w:divBdr>
    </w:div>
    <w:div w:id="1268195702">
      <w:marLeft w:val="0"/>
      <w:marRight w:val="0"/>
      <w:marTop w:val="0"/>
      <w:marBottom w:val="0"/>
      <w:divBdr>
        <w:top w:val="none" w:sz="0" w:space="0" w:color="auto"/>
        <w:left w:val="none" w:sz="0" w:space="0" w:color="auto"/>
        <w:bottom w:val="none" w:sz="0" w:space="0" w:color="auto"/>
        <w:right w:val="none" w:sz="0" w:space="0" w:color="auto"/>
      </w:divBdr>
    </w:div>
    <w:div w:id="1269459967">
      <w:marLeft w:val="0"/>
      <w:marRight w:val="0"/>
      <w:marTop w:val="0"/>
      <w:marBottom w:val="0"/>
      <w:divBdr>
        <w:top w:val="none" w:sz="0" w:space="0" w:color="auto"/>
        <w:left w:val="none" w:sz="0" w:space="0" w:color="auto"/>
        <w:bottom w:val="none" w:sz="0" w:space="0" w:color="auto"/>
        <w:right w:val="none" w:sz="0" w:space="0" w:color="auto"/>
      </w:divBdr>
    </w:div>
    <w:div w:id="1271011185">
      <w:marLeft w:val="0"/>
      <w:marRight w:val="0"/>
      <w:marTop w:val="0"/>
      <w:marBottom w:val="0"/>
      <w:divBdr>
        <w:top w:val="none" w:sz="0" w:space="0" w:color="auto"/>
        <w:left w:val="none" w:sz="0" w:space="0" w:color="auto"/>
        <w:bottom w:val="none" w:sz="0" w:space="0" w:color="auto"/>
        <w:right w:val="none" w:sz="0" w:space="0" w:color="auto"/>
      </w:divBdr>
      <w:divsChild>
        <w:div w:id="1949310773">
          <w:marLeft w:val="0"/>
          <w:marRight w:val="0"/>
          <w:marTop w:val="0"/>
          <w:marBottom w:val="0"/>
          <w:divBdr>
            <w:top w:val="none" w:sz="0" w:space="0" w:color="auto"/>
            <w:left w:val="none" w:sz="0" w:space="0" w:color="auto"/>
            <w:bottom w:val="none" w:sz="0" w:space="0" w:color="auto"/>
            <w:right w:val="none" w:sz="0" w:space="0" w:color="auto"/>
          </w:divBdr>
        </w:div>
      </w:divsChild>
    </w:div>
    <w:div w:id="1272204604">
      <w:marLeft w:val="0"/>
      <w:marRight w:val="0"/>
      <w:marTop w:val="0"/>
      <w:marBottom w:val="0"/>
      <w:divBdr>
        <w:top w:val="none" w:sz="0" w:space="0" w:color="auto"/>
        <w:left w:val="none" w:sz="0" w:space="0" w:color="auto"/>
        <w:bottom w:val="none" w:sz="0" w:space="0" w:color="auto"/>
        <w:right w:val="none" w:sz="0" w:space="0" w:color="auto"/>
      </w:divBdr>
      <w:divsChild>
        <w:div w:id="1634869609">
          <w:marLeft w:val="0"/>
          <w:marRight w:val="0"/>
          <w:marTop w:val="0"/>
          <w:marBottom w:val="0"/>
          <w:divBdr>
            <w:top w:val="none" w:sz="0" w:space="0" w:color="auto"/>
            <w:left w:val="none" w:sz="0" w:space="0" w:color="auto"/>
            <w:bottom w:val="none" w:sz="0" w:space="0" w:color="auto"/>
            <w:right w:val="none" w:sz="0" w:space="0" w:color="auto"/>
          </w:divBdr>
        </w:div>
      </w:divsChild>
    </w:div>
    <w:div w:id="1272467353">
      <w:marLeft w:val="0"/>
      <w:marRight w:val="0"/>
      <w:marTop w:val="120"/>
      <w:marBottom w:val="120"/>
      <w:divBdr>
        <w:top w:val="none" w:sz="0" w:space="0" w:color="auto"/>
        <w:left w:val="none" w:sz="0" w:space="0" w:color="auto"/>
        <w:bottom w:val="none" w:sz="0" w:space="0" w:color="auto"/>
        <w:right w:val="none" w:sz="0" w:space="0" w:color="auto"/>
      </w:divBdr>
    </w:div>
    <w:div w:id="1276716076">
      <w:marLeft w:val="0"/>
      <w:marRight w:val="0"/>
      <w:marTop w:val="0"/>
      <w:marBottom w:val="0"/>
      <w:divBdr>
        <w:top w:val="none" w:sz="0" w:space="0" w:color="auto"/>
        <w:left w:val="none" w:sz="0" w:space="0" w:color="auto"/>
        <w:bottom w:val="none" w:sz="0" w:space="0" w:color="auto"/>
        <w:right w:val="none" w:sz="0" w:space="0" w:color="auto"/>
      </w:divBdr>
    </w:div>
    <w:div w:id="1278368661">
      <w:marLeft w:val="0"/>
      <w:marRight w:val="0"/>
      <w:marTop w:val="0"/>
      <w:marBottom w:val="0"/>
      <w:divBdr>
        <w:top w:val="none" w:sz="0" w:space="0" w:color="auto"/>
        <w:left w:val="none" w:sz="0" w:space="0" w:color="auto"/>
        <w:bottom w:val="none" w:sz="0" w:space="0" w:color="auto"/>
        <w:right w:val="none" w:sz="0" w:space="0" w:color="auto"/>
      </w:divBdr>
      <w:divsChild>
        <w:div w:id="1792548464">
          <w:marLeft w:val="0"/>
          <w:marRight w:val="0"/>
          <w:marTop w:val="0"/>
          <w:marBottom w:val="0"/>
          <w:divBdr>
            <w:top w:val="none" w:sz="0" w:space="0" w:color="auto"/>
            <w:left w:val="none" w:sz="0" w:space="0" w:color="auto"/>
            <w:bottom w:val="none" w:sz="0" w:space="0" w:color="auto"/>
            <w:right w:val="none" w:sz="0" w:space="0" w:color="auto"/>
          </w:divBdr>
        </w:div>
      </w:divsChild>
    </w:div>
    <w:div w:id="1279142504">
      <w:marLeft w:val="0"/>
      <w:marRight w:val="0"/>
      <w:marTop w:val="0"/>
      <w:marBottom w:val="0"/>
      <w:divBdr>
        <w:top w:val="none" w:sz="0" w:space="0" w:color="auto"/>
        <w:left w:val="none" w:sz="0" w:space="0" w:color="auto"/>
        <w:bottom w:val="none" w:sz="0" w:space="0" w:color="auto"/>
        <w:right w:val="none" w:sz="0" w:space="0" w:color="auto"/>
      </w:divBdr>
    </w:div>
    <w:div w:id="1279532291">
      <w:marLeft w:val="0"/>
      <w:marRight w:val="0"/>
      <w:marTop w:val="0"/>
      <w:marBottom w:val="0"/>
      <w:divBdr>
        <w:top w:val="none" w:sz="0" w:space="0" w:color="auto"/>
        <w:left w:val="none" w:sz="0" w:space="0" w:color="auto"/>
        <w:bottom w:val="none" w:sz="0" w:space="0" w:color="auto"/>
        <w:right w:val="none" w:sz="0" w:space="0" w:color="auto"/>
      </w:divBdr>
      <w:divsChild>
        <w:div w:id="1960068829">
          <w:marLeft w:val="0"/>
          <w:marRight w:val="0"/>
          <w:marTop w:val="0"/>
          <w:marBottom w:val="0"/>
          <w:divBdr>
            <w:top w:val="none" w:sz="0" w:space="0" w:color="auto"/>
            <w:left w:val="none" w:sz="0" w:space="0" w:color="auto"/>
            <w:bottom w:val="none" w:sz="0" w:space="0" w:color="auto"/>
            <w:right w:val="none" w:sz="0" w:space="0" w:color="auto"/>
          </w:divBdr>
        </w:div>
        <w:div w:id="832062130">
          <w:marLeft w:val="0"/>
          <w:marRight w:val="0"/>
          <w:marTop w:val="0"/>
          <w:marBottom w:val="0"/>
          <w:divBdr>
            <w:top w:val="none" w:sz="0" w:space="0" w:color="auto"/>
            <w:left w:val="none" w:sz="0" w:space="0" w:color="auto"/>
            <w:bottom w:val="none" w:sz="0" w:space="0" w:color="auto"/>
            <w:right w:val="none" w:sz="0" w:space="0" w:color="auto"/>
          </w:divBdr>
        </w:div>
      </w:divsChild>
    </w:div>
    <w:div w:id="1282033993">
      <w:marLeft w:val="0"/>
      <w:marRight w:val="0"/>
      <w:marTop w:val="0"/>
      <w:marBottom w:val="0"/>
      <w:divBdr>
        <w:top w:val="none" w:sz="0" w:space="0" w:color="auto"/>
        <w:left w:val="none" w:sz="0" w:space="0" w:color="auto"/>
        <w:bottom w:val="none" w:sz="0" w:space="0" w:color="auto"/>
        <w:right w:val="none" w:sz="0" w:space="0" w:color="auto"/>
      </w:divBdr>
    </w:div>
    <w:div w:id="1286815823">
      <w:marLeft w:val="0"/>
      <w:marRight w:val="0"/>
      <w:marTop w:val="0"/>
      <w:marBottom w:val="0"/>
      <w:divBdr>
        <w:top w:val="none" w:sz="0" w:space="0" w:color="auto"/>
        <w:left w:val="none" w:sz="0" w:space="0" w:color="auto"/>
        <w:bottom w:val="none" w:sz="0" w:space="0" w:color="auto"/>
        <w:right w:val="none" w:sz="0" w:space="0" w:color="auto"/>
      </w:divBdr>
      <w:divsChild>
        <w:div w:id="696857819">
          <w:marLeft w:val="0"/>
          <w:marRight w:val="0"/>
          <w:marTop w:val="0"/>
          <w:marBottom w:val="0"/>
          <w:divBdr>
            <w:top w:val="none" w:sz="0" w:space="0" w:color="auto"/>
            <w:left w:val="none" w:sz="0" w:space="0" w:color="auto"/>
            <w:bottom w:val="none" w:sz="0" w:space="0" w:color="auto"/>
            <w:right w:val="none" w:sz="0" w:space="0" w:color="auto"/>
          </w:divBdr>
        </w:div>
      </w:divsChild>
    </w:div>
    <w:div w:id="1287004654">
      <w:marLeft w:val="0"/>
      <w:marRight w:val="0"/>
      <w:marTop w:val="100"/>
      <w:marBottom w:val="0"/>
      <w:divBdr>
        <w:top w:val="none" w:sz="0" w:space="0" w:color="auto"/>
        <w:left w:val="none" w:sz="0" w:space="0" w:color="auto"/>
        <w:bottom w:val="none" w:sz="0" w:space="0" w:color="auto"/>
        <w:right w:val="none" w:sz="0" w:space="0" w:color="auto"/>
      </w:divBdr>
    </w:div>
    <w:div w:id="1291014291">
      <w:marLeft w:val="0"/>
      <w:marRight w:val="0"/>
      <w:marTop w:val="0"/>
      <w:marBottom w:val="0"/>
      <w:divBdr>
        <w:top w:val="none" w:sz="0" w:space="0" w:color="auto"/>
        <w:left w:val="none" w:sz="0" w:space="0" w:color="auto"/>
        <w:bottom w:val="none" w:sz="0" w:space="0" w:color="auto"/>
        <w:right w:val="none" w:sz="0" w:space="0" w:color="auto"/>
      </w:divBdr>
    </w:div>
    <w:div w:id="1291518631">
      <w:marLeft w:val="0"/>
      <w:marRight w:val="0"/>
      <w:marTop w:val="0"/>
      <w:marBottom w:val="0"/>
      <w:divBdr>
        <w:top w:val="none" w:sz="0" w:space="0" w:color="auto"/>
        <w:left w:val="none" w:sz="0" w:space="0" w:color="auto"/>
        <w:bottom w:val="none" w:sz="0" w:space="0" w:color="auto"/>
        <w:right w:val="none" w:sz="0" w:space="0" w:color="auto"/>
      </w:divBdr>
    </w:div>
    <w:div w:id="1293898539">
      <w:marLeft w:val="0"/>
      <w:marRight w:val="0"/>
      <w:marTop w:val="0"/>
      <w:marBottom w:val="60"/>
      <w:divBdr>
        <w:top w:val="none" w:sz="0" w:space="0" w:color="auto"/>
        <w:left w:val="none" w:sz="0" w:space="0" w:color="auto"/>
        <w:bottom w:val="none" w:sz="0" w:space="0" w:color="auto"/>
        <w:right w:val="none" w:sz="0" w:space="0" w:color="auto"/>
      </w:divBdr>
    </w:div>
    <w:div w:id="1293947424">
      <w:marLeft w:val="0"/>
      <w:marRight w:val="0"/>
      <w:marTop w:val="0"/>
      <w:marBottom w:val="0"/>
      <w:divBdr>
        <w:top w:val="none" w:sz="0" w:space="0" w:color="auto"/>
        <w:left w:val="none" w:sz="0" w:space="0" w:color="auto"/>
        <w:bottom w:val="none" w:sz="0" w:space="0" w:color="auto"/>
        <w:right w:val="none" w:sz="0" w:space="0" w:color="auto"/>
      </w:divBdr>
    </w:div>
    <w:div w:id="1296259474">
      <w:marLeft w:val="0"/>
      <w:marRight w:val="0"/>
      <w:marTop w:val="0"/>
      <w:marBottom w:val="0"/>
      <w:divBdr>
        <w:top w:val="none" w:sz="0" w:space="0" w:color="auto"/>
        <w:left w:val="none" w:sz="0" w:space="0" w:color="auto"/>
        <w:bottom w:val="none" w:sz="0" w:space="0" w:color="auto"/>
        <w:right w:val="none" w:sz="0" w:space="0" w:color="auto"/>
      </w:divBdr>
    </w:div>
    <w:div w:id="1298801816">
      <w:marLeft w:val="0"/>
      <w:marRight w:val="0"/>
      <w:marTop w:val="0"/>
      <w:marBottom w:val="0"/>
      <w:divBdr>
        <w:top w:val="none" w:sz="0" w:space="0" w:color="auto"/>
        <w:left w:val="none" w:sz="0" w:space="0" w:color="auto"/>
        <w:bottom w:val="none" w:sz="0" w:space="0" w:color="auto"/>
        <w:right w:val="none" w:sz="0" w:space="0" w:color="auto"/>
      </w:divBdr>
    </w:div>
    <w:div w:id="1299843220">
      <w:marLeft w:val="0"/>
      <w:marRight w:val="0"/>
      <w:marTop w:val="0"/>
      <w:marBottom w:val="0"/>
      <w:divBdr>
        <w:top w:val="none" w:sz="0" w:space="0" w:color="auto"/>
        <w:left w:val="none" w:sz="0" w:space="0" w:color="auto"/>
        <w:bottom w:val="none" w:sz="0" w:space="0" w:color="auto"/>
        <w:right w:val="none" w:sz="0" w:space="0" w:color="auto"/>
      </w:divBdr>
    </w:div>
    <w:div w:id="1302232574">
      <w:marLeft w:val="0"/>
      <w:marRight w:val="0"/>
      <w:marTop w:val="180"/>
      <w:marBottom w:val="0"/>
      <w:divBdr>
        <w:top w:val="none" w:sz="0" w:space="0" w:color="auto"/>
        <w:left w:val="none" w:sz="0" w:space="0" w:color="auto"/>
        <w:bottom w:val="none" w:sz="0" w:space="0" w:color="auto"/>
        <w:right w:val="none" w:sz="0" w:space="0" w:color="auto"/>
      </w:divBdr>
    </w:div>
    <w:div w:id="1303773856">
      <w:marLeft w:val="0"/>
      <w:marRight w:val="0"/>
      <w:marTop w:val="180"/>
      <w:marBottom w:val="0"/>
      <w:divBdr>
        <w:top w:val="none" w:sz="0" w:space="0" w:color="auto"/>
        <w:left w:val="none" w:sz="0" w:space="0" w:color="auto"/>
        <w:bottom w:val="none" w:sz="0" w:space="0" w:color="auto"/>
        <w:right w:val="none" w:sz="0" w:space="0" w:color="auto"/>
      </w:divBdr>
    </w:div>
    <w:div w:id="1306355586">
      <w:marLeft w:val="0"/>
      <w:marRight w:val="0"/>
      <w:marTop w:val="0"/>
      <w:marBottom w:val="120"/>
      <w:divBdr>
        <w:top w:val="none" w:sz="0" w:space="0" w:color="auto"/>
        <w:left w:val="none" w:sz="0" w:space="0" w:color="auto"/>
        <w:bottom w:val="none" w:sz="0" w:space="0" w:color="auto"/>
        <w:right w:val="none" w:sz="0" w:space="0" w:color="auto"/>
      </w:divBdr>
    </w:div>
    <w:div w:id="1308239632">
      <w:marLeft w:val="0"/>
      <w:marRight w:val="0"/>
      <w:marTop w:val="0"/>
      <w:marBottom w:val="0"/>
      <w:divBdr>
        <w:top w:val="none" w:sz="0" w:space="0" w:color="auto"/>
        <w:left w:val="none" w:sz="0" w:space="0" w:color="auto"/>
        <w:bottom w:val="none" w:sz="0" w:space="0" w:color="auto"/>
        <w:right w:val="none" w:sz="0" w:space="0" w:color="auto"/>
      </w:divBdr>
    </w:div>
    <w:div w:id="1310405535">
      <w:marLeft w:val="0"/>
      <w:marRight w:val="0"/>
      <w:marTop w:val="0"/>
      <w:marBottom w:val="0"/>
      <w:divBdr>
        <w:top w:val="none" w:sz="0" w:space="0" w:color="auto"/>
        <w:left w:val="none" w:sz="0" w:space="0" w:color="auto"/>
        <w:bottom w:val="none" w:sz="0" w:space="0" w:color="auto"/>
        <w:right w:val="none" w:sz="0" w:space="0" w:color="auto"/>
      </w:divBdr>
      <w:divsChild>
        <w:div w:id="396055917">
          <w:marLeft w:val="0"/>
          <w:marRight w:val="0"/>
          <w:marTop w:val="0"/>
          <w:marBottom w:val="0"/>
          <w:divBdr>
            <w:top w:val="none" w:sz="0" w:space="0" w:color="auto"/>
            <w:left w:val="none" w:sz="0" w:space="0" w:color="auto"/>
            <w:bottom w:val="none" w:sz="0" w:space="0" w:color="auto"/>
            <w:right w:val="none" w:sz="0" w:space="0" w:color="auto"/>
          </w:divBdr>
        </w:div>
      </w:divsChild>
    </w:div>
    <w:div w:id="1311667507">
      <w:marLeft w:val="0"/>
      <w:marRight w:val="0"/>
      <w:marTop w:val="80"/>
      <w:marBottom w:val="0"/>
      <w:divBdr>
        <w:top w:val="none" w:sz="0" w:space="0" w:color="auto"/>
        <w:left w:val="none" w:sz="0" w:space="0" w:color="auto"/>
        <w:bottom w:val="none" w:sz="0" w:space="0" w:color="auto"/>
        <w:right w:val="none" w:sz="0" w:space="0" w:color="auto"/>
      </w:divBdr>
    </w:div>
    <w:div w:id="1312637093">
      <w:marLeft w:val="0"/>
      <w:marRight w:val="0"/>
      <w:marTop w:val="0"/>
      <w:marBottom w:val="0"/>
      <w:divBdr>
        <w:top w:val="none" w:sz="0" w:space="0" w:color="auto"/>
        <w:left w:val="none" w:sz="0" w:space="0" w:color="auto"/>
        <w:bottom w:val="none" w:sz="0" w:space="0" w:color="auto"/>
        <w:right w:val="none" w:sz="0" w:space="0" w:color="auto"/>
      </w:divBdr>
    </w:div>
    <w:div w:id="1313295789">
      <w:marLeft w:val="0"/>
      <w:marRight w:val="0"/>
      <w:marTop w:val="0"/>
      <w:marBottom w:val="0"/>
      <w:divBdr>
        <w:top w:val="none" w:sz="0" w:space="0" w:color="auto"/>
        <w:left w:val="none" w:sz="0" w:space="0" w:color="auto"/>
        <w:bottom w:val="none" w:sz="0" w:space="0" w:color="auto"/>
        <w:right w:val="none" w:sz="0" w:space="0" w:color="auto"/>
      </w:divBdr>
      <w:divsChild>
        <w:div w:id="242758381">
          <w:marLeft w:val="0"/>
          <w:marRight w:val="0"/>
          <w:marTop w:val="0"/>
          <w:marBottom w:val="0"/>
          <w:divBdr>
            <w:top w:val="none" w:sz="0" w:space="0" w:color="auto"/>
            <w:left w:val="none" w:sz="0" w:space="0" w:color="auto"/>
            <w:bottom w:val="none" w:sz="0" w:space="0" w:color="auto"/>
            <w:right w:val="none" w:sz="0" w:space="0" w:color="auto"/>
          </w:divBdr>
        </w:div>
      </w:divsChild>
    </w:div>
    <w:div w:id="1313408146">
      <w:marLeft w:val="0"/>
      <w:marRight w:val="0"/>
      <w:marTop w:val="0"/>
      <w:marBottom w:val="0"/>
      <w:divBdr>
        <w:top w:val="none" w:sz="0" w:space="0" w:color="auto"/>
        <w:left w:val="none" w:sz="0" w:space="0" w:color="auto"/>
        <w:bottom w:val="none" w:sz="0" w:space="0" w:color="auto"/>
        <w:right w:val="none" w:sz="0" w:space="0" w:color="auto"/>
      </w:divBdr>
      <w:divsChild>
        <w:div w:id="1716927136">
          <w:marLeft w:val="0"/>
          <w:marRight w:val="0"/>
          <w:marTop w:val="0"/>
          <w:marBottom w:val="0"/>
          <w:divBdr>
            <w:top w:val="none" w:sz="0" w:space="0" w:color="auto"/>
            <w:left w:val="none" w:sz="0" w:space="0" w:color="auto"/>
            <w:bottom w:val="none" w:sz="0" w:space="0" w:color="auto"/>
            <w:right w:val="none" w:sz="0" w:space="0" w:color="auto"/>
          </w:divBdr>
        </w:div>
        <w:div w:id="723141182">
          <w:marLeft w:val="0"/>
          <w:marRight w:val="0"/>
          <w:marTop w:val="0"/>
          <w:marBottom w:val="0"/>
          <w:divBdr>
            <w:top w:val="none" w:sz="0" w:space="0" w:color="auto"/>
            <w:left w:val="none" w:sz="0" w:space="0" w:color="auto"/>
            <w:bottom w:val="none" w:sz="0" w:space="0" w:color="auto"/>
            <w:right w:val="none" w:sz="0" w:space="0" w:color="auto"/>
          </w:divBdr>
        </w:div>
      </w:divsChild>
    </w:div>
    <w:div w:id="1314216897">
      <w:marLeft w:val="0"/>
      <w:marRight w:val="0"/>
      <w:marTop w:val="100"/>
      <w:marBottom w:val="0"/>
      <w:divBdr>
        <w:top w:val="none" w:sz="0" w:space="0" w:color="auto"/>
        <w:left w:val="none" w:sz="0" w:space="0" w:color="auto"/>
        <w:bottom w:val="none" w:sz="0" w:space="0" w:color="auto"/>
        <w:right w:val="none" w:sz="0" w:space="0" w:color="auto"/>
      </w:divBdr>
      <w:divsChild>
        <w:div w:id="72047029">
          <w:marLeft w:val="0"/>
          <w:marRight w:val="0"/>
          <w:marTop w:val="0"/>
          <w:marBottom w:val="0"/>
          <w:divBdr>
            <w:top w:val="none" w:sz="0" w:space="0" w:color="auto"/>
            <w:left w:val="none" w:sz="0" w:space="0" w:color="auto"/>
            <w:bottom w:val="none" w:sz="0" w:space="0" w:color="auto"/>
            <w:right w:val="none" w:sz="0" w:space="0" w:color="auto"/>
          </w:divBdr>
        </w:div>
      </w:divsChild>
    </w:div>
    <w:div w:id="1315722198">
      <w:marLeft w:val="0"/>
      <w:marRight w:val="0"/>
      <w:marTop w:val="0"/>
      <w:marBottom w:val="0"/>
      <w:divBdr>
        <w:top w:val="none" w:sz="0" w:space="0" w:color="auto"/>
        <w:left w:val="none" w:sz="0" w:space="0" w:color="auto"/>
        <w:bottom w:val="none" w:sz="0" w:space="0" w:color="auto"/>
        <w:right w:val="none" w:sz="0" w:space="0" w:color="auto"/>
      </w:divBdr>
    </w:div>
    <w:div w:id="1322271011">
      <w:marLeft w:val="0"/>
      <w:marRight w:val="0"/>
      <w:marTop w:val="0"/>
      <w:marBottom w:val="0"/>
      <w:divBdr>
        <w:top w:val="none" w:sz="0" w:space="0" w:color="auto"/>
        <w:left w:val="none" w:sz="0" w:space="0" w:color="auto"/>
        <w:bottom w:val="none" w:sz="0" w:space="0" w:color="auto"/>
        <w:right w:val="none" w:sz="0" w:space="0" w:color="auto"/>
      </w:divBdr>
      <w:divsChild>
        <w:div w:id="1709838091">
          <w:marLeft w:val="0"/>
          <w:marRight w:val="0"/>
          <w:marTop w:val="0"/>
          <w:marBottom w:val="0"/>
          <w:divBdr>
            <w:top w:val="none" w:sz="0" w:space="0" w:color="auto"/>
            <w:left w:val="none" w:sz="0" w:space="0" w:color="auto"/>
            <w:bottom w:val="none" w:sz="0" w:space="0" w:color="auto"/>
            <w:right w:val="none" w:sz="0" w:space="0" w:color="auto"/>
          </w:divBdr>
        </w:div>
        <w:div w:id="816923474">
          <w:marLeft w:val="0"/>
          <w:marRight w:val="0"/>
          <w:marTop w:val="0"/>
          <w:marBottom w:val="0"/>
          <w:divBdr>
            <w:top w:val="none" w:sz="0" w:space="0" w:color="auto"/>
            <w:left w:val="none" w:sz="0" w:space="0" w:color="auto"/>
            <w:bottom w:val="none" w:sz="0" w:space="0" w:color="auto"/>
            <w:right w:val="none" w:sz="0" w:space="0" w:color="auto"/>
          </w:divBdr>
        </w:div>
      </w:divsChild>
    </w:div>
    <w:div w:id="1323240423">
      <w:marLeft w:val="0"/>
      <w:marRight w:val="0"/>
      <w:marTop w:val="0"/>
      <w:marBottom w:val="0"/>
      <w:divBdr>
        <w:top w:val="none" w:sz="0" w:space="0" w:color="auto"/>
        <w:left w:val="none" w:sz="0" w:space="0" w:color="auto"/>
        <w:bottom w:val="none" w:sz="0" w:space="0" w:color="auto"/>
        <w:right w:val="none" w:sz="0" w:space="0" w:color="auto"/>
      </w:divBdr>
      <w:divsChild>
        <w:div w:id="2030599779">
          <w:marLeft w:val="0"/>
          <w:marRight w:val="0"/>
          <w:marTop w:val="0"/>
          <w:marBottom w:val="0"/>
          <w:divBdr>
            <w:top w:val="none" w:sz="0" w:space="0" w:color="auto"/>
            <w:left w:val="none" w:sz="0" w:space="0" w:color="auto"/>
            <w:bottom w:val="none" w:sz="0" w:space="0" w:color="auto"/>
            <w:right w:val="none" w:sz="0" w:space="0" w:color="auto"/>
          </w:divBdr>
        </w:div>
      </w:divsChild>
    </w:div>
    <w:div w:id="1325862625">
      <w:marLeft w:val="0"/>
      <w:marRight w:val="0"/>
      <w:marTop w:val="0"/>
      <w:marBottom w:val="0"/>
      <w:divBdr>
        <w:top w:val="none" w:sz="0" w:space="0" w:color="auto"/>
        <w:left w:val="none" w:sz="0" w:space="0" w:color="auto"/>
        <w:bottom w:val="none" w:sz="0" w:space="0" w:color="auto"/>
        <w:right w:val="none" w:sz="0" w:space="0" w:color="auto"/>
      </w:divBdr>
      <w:divsChild>
        <w:div w:id="2038041910">
          <w:marLeft w:val="0"/>
          <w:marRight w:val="0"/>
          <w:marTop w:val="0"/>
          <w:marBottom w:val="0"/>
          <w:divBdr>
            <w:top w:val="none" w:sz="0" w:space="0" w:color="auto"/>
            <w:left w:val="none" w:sz="0" w:space="0" w:color="auto"/>
            <w:bottom w:val="none" w:sz="0" w:space="0" w:color="auto"/>
            <w:right w:val="none" w:sz="0" w:space="0" w:color="auto"/>
          </w:divBdr>
        </w:div>
      </w:divsChild>
    </w:div>
    <w:div w:id="1327709512">
      <w:marLeft w:val="0"/>
      <w:marRight w:val="0"/>
      <w:marTop w:val="0"/>
      <w:marBottom w:val="0"/>
      <w:divBdr>
        <w:top w:val="none" w:sz="0" w:space="0" w:color="auto"/>
        <w:left w:val="none" w:sz="0" w:space="0" w:color="auto"/>
        <w:bottom w:val="none" w:sz="0" w:space="0" w:color="auto"/>
        <w:right w:val="none" w:sz="0" w:space="0" w:color="auto"/>
      </w:divBdr>
    </w:div>
    <w:div w:id="1329602931">
      <w:marLeft w:val="0"/>
      <w:marRight w:val="0"/>
      <w:marTop w:val="0"/>
      <w:marBottom w:val="0"/>
      <w:divBdr>
        <w:top w:val="none" w:sz="0" w:space="0" w:color="auto"/>
        <w:left w:val="none" w:sz="0" w:space="0" w:color="auto"/>
        <w:bottom w:val="none" w:sz="0" w:space="0" w:color="auto"/>
        <w:right w:val="none" w:sz="0" w:space="0" w:color="auto"/>
      </w:divBdr>
    </w:div>
    <w:div w:id="1331519107">
      <w:marLeft w:val="0"/>
      <w:marRight w:val="0"/>
      <w:marTop w:val="0"/>
      <w:marBottom w:val="0"/>
      <w:divBdr>
        <w:top w:val="none" w:sz="0" w:space="0" w:color="auto"/>
        <w:left w:val="none" w:sz="0" w:space="0" w:color="auto"/>
        <w:bottom w:val="none" w:sz="0" w:space="0" w:color="auto"/>
        <w:right w:val="none" w:sz="0" w:space="0" w:color="auto"/>
      </w:divBdr>
      <w:divsChild>
        <w:div w:id="1275405333">
          <w:marLeft w:val="0"/>
          <w:marRight w:val="0"/>
          <w:marTop w:val="0"/>
          <w:marBottom w:val="0"/>
          <w:divBdr>
            <w:top w:val="none" w:sz="0" w:space="0" w:color="auto"/>
            <w:left w:val="none" w:sz="0" w:space="0" w:color="auto"/>
            <w:bottom w:val="none" w:sz="0" w:space="0" w:color="auto"/>
            <w:right w:val="none" w:sz="0" w:space="0" w:color="auto"/>
          </w:divBdr>
        </w:div>
        <w:div w:id="1521160582">
          <w:marLeft w:val="0"/>
          <w:marRight w:val="0"/>
          <w:marTop w:val="0"/>
          <w:marBottom w:val="0"/>
          <w:divBdr>
            <w:top w:val="none" w:sz="0" w:space="0" w:color="auto"/>
            <w:left w:val="none" w:sz="0" w:space="0" w:color="auto"/>
            <w:bottom w:val="none" w:sz="0" w:space="0" w:color="auto"/>
            <w:right w:val="none" w:sz="0" w:space="0" w:color="auto"/>
          </w:divBdr>
        </w:div>
      </w:divsChild>
    </w:div>
    <w:div w:id="1336029285">
      <w:marLeft w:val="0"/>
      <w:marRight w:val="0"/>
      <w:marTop w:val="0"/>
      <w:marBottom w:val="0"/>
      <w:divBdr>
        <w:top w:val="none" w:sz="0" w:space="0" w:color="auto"/>
        <w:left w:val="none" w:sz="0" w:space="0" w:color="auto"/>
        <w:bottom w:val="none" w:sz="0" w:space="0" w:color="auto"/>
        <w:right w:val="none" w:sz="0" w:space="0" w:color="auto"/>
      </w:divBdr>
      <w:divsChild>
        <w:div w:id="683825347">
          <w:marLeft w:val="0"/>
          <w:marRight w:val="0"/>
          <w:marTop w:val="0"/>
          <w:marBottom w:val="0"/>
          <w:divBdr>
            <w:top w:val="none" w:sz="0" w:space="0" w:color="auto"/>
            <w:left w:val="none" w:sz="0" w:space="0" w:color="auto"/>
            <w:bottom w:val="none" w:sz="0" w:space="0" w:color="auto"/>
            <w:right w:val="none" w:sz="0" w:space="0" w:color="auto"/>
          </w:divBdr>
        </w:div>
      </w:divsChild>
    </w:div>
    <w:div w:id="1336030477">
      <w:marLeft w:val="0"/>
      <w:marRight w:val="0"/>
      <w:marTop w:val="0"/>
      <w:marBottom w:val="0"/>
      <w:divBdr>
        <w:top w:val="none" w:sz="0" w:space="0" w:color="auto"/>
        <w:left w:val="none" w:sz="0" w:space="0" w:color="auto"/>
        <w:bottom w:val="none" w:sz="0" w:space="0" w:color="auto"/>
        <w:right w:val="none" w:sz="0" w:space="0" w:color="auto"/>
      </w:divBdr>
    </w:div>
    <w:div w:id="1336881196">
      <w:marLeft w:val="0"/>
      <w:marRight w:val="0"/>
      <w:marTop w:val="0"/>
      <w:marBottom w:val="60"/>
      <w:divBdr>
        <w:top w:val="none" w:sz="0" w:space="0" w:color="auto"/>
        <w:left w:val="none" w:sz="0" w:space="0" w:color="auto"/>
        <w:bottom w:val="none" w:sz="0" w:space="0" w:color="auto"/>
        <w:right w:val="none" w:sz="0" w:space="0" w:color="auto"/>
      </w:divBdr>
    </w:div>
    <w:div w:id="1340157552">
      <w:marLeft w:val="0"/>
      <w:marRight w:val="0"/>
      <w:marTop w:val="0"/>
      <w:marBottom w:val="0"/>
      <w:divBdr>
        <w:top w:val="none" w:sz="0" w:space="0" w:color="auto"/>
        <w:left w:val="none" w:sz="0" w:space="0" w:color="auto"/>
        <w:bottom w:val="none" w:sz="0" w:space="0" w:color="auto"/>
        <w:right w:val="none" w:sz="0" w:space="0" w:color="auto"/>
      </w:divBdr>
      <w:divsChild>
        <w:div w:id="1521621124">
          <w:marLeft w:val="0"/>
          <w:marRight w:val="0"/>
          <w:marTop w:val="0"/>
          <w:marBottom w:val="0"/>
          <w:divBdr>
            <w:top w:val="none" w:sz="0" w:space="0" w:color="auto"/>
            <w:left w:val="none" w:sz="0" w:space="0" w:color="auto"/>
            <w:bottom w:val="none" w:sz="0" w:space="0" w:color="auto"/>
            <w:right w:val="none" w:sz="0" w:space="0" w:color="auto"/>
          </w:divBdr>
        </w:div>
        <w:div w:id="2133404554">
          <w:marLeft w:val="0"/>
          <w:marRight w:val="0"/>
          <w:marTop w:val="0"/>
          <w:marBottom w:val="0"/>
          <w:divBdr>
            <w:top w:val="none" w:sz="0" w:space="0" w:color="auto"/>
            <w:left w:val="none" w:sz="0" w:space="0" w:color="auto"/>
            <w:bottom w:val="none" w:sz="0" w:space="0" w:color="auto"/>
            <w:right w:val="none" w:sz="0" w:space="0" w:color="auto"/>
          </w:divBdr>
        </w:div>
      </w:divsChild>
    </w:div>
    <w:div w:id="1341391908">
      <w:marLeft w:val="0"/>
      <w:marRight w:val="0"/>
      <w:marTop w:val="0"/>
      <w:marBottom w:val="0"/>
      <w:divBdr>
        <w:top w:val="none" w:sz="0" w:space="0" w:color="auto"/>
        <w:left w:val="none" w:sz="0" w:space="0" w:color="auto"/>
        <w:bottom w:val="none" w:sz="0" w:space="0" w:color="auto"/>
        <w:right w:val="none" w:sz="0" w:space="0" w:color="auto"/>
      </w:divBdr>
      <w:divsChild>
        <w:div w:id="1391613485">
          <w:marLeft w:val="0"/>
          <w:marRight w:val="0"/>
          <w:marTop w:val="0"/>
          <w:marBottom w:val="0"/>
          <w:divBdr>
            <w:top w:val="none" w:sz="0" w:space="0" w:color="auto"/>
            <w:left w:val="none" w:sz="0" w:space="0" w:color="auto"/>
            <w:bottom w:val="none" w:sz="0" w:space="0" w:color="auto"/>
            <w:right w:val="none" w:sz="0" w:space="0" w:color="auto"/>
          </w:divBdr>
        </w:div>
        <w:div w:id="690573523">
          <w:marLeft w:val="0"/>
          <w:marRight w:val="0"/>
          <w:marTop w:val="0"/>
          <w:marBottom w:val="0"/>
          <w:divBdr>
            <w:top w:val="none" w:sz="0" w:space="0" w:color="auto"/>
            <w:left w:val="none" w:sz="0" w:space="0" w:color="auto"/>
            <w:bottom w:val="none" w:sz="0" w:space="0" w:color="auto"/>
            <w:right w:val="none" w:sz="0" w:space="0" w:color="auto"/>
          </w:divBdr>
        </w:div>
      </w:divsChild>
    </w:div>
    <w:div w:id="1343315411">
      <w:marLeft w:val="0"/>
      <w:marRight w:val="0"/>
      <w:marTop w:val="0"/>
      <w:marBottom w:val="0"/>
      <w:divBdr>
        <w:top w:val="none" w:sz="0" w:space="0" w:color="auto"/>
        <w:left w:val="none" w:sz="0" w:space="0" w:color="auto"/>
        <w:bottom w:val="none" w:sz="0" w:space="0" w:color="auto"/>
        <w:right w:val="none" w:sz="0" w:space="0" w:color="auto"/>
      </w:divBdr>
    </w:div>
    <w:div w:id="1346591987">
      <w:marLeft w:val="0"/>
      <w:marRight w:val="0"/>
      <w:marTop w:val="0"/>
      <w:marBottom w:val="0"/>
      <w:divBdr>
        <w:top w:val="none" w:sz="0" w:space="0" w:color="auto"/>
        <w:left w:val="none" w:sz="0" w:space="0" w:color="auto"/>
        <w:bottom w:val="none" w:sz="0" w:space="0" w:color="auto"/>
        <w:right w:val="none" w:sz="0" w:space="0" w:color="auto"/>
      </w:divBdr>
      <w:divsChild>
        <w:div w:id="2010592725">
          <w:marLeft w:val="0"/>
          <w:marRight w:val="0"/>
          <w:marTop w:val="0"/>
          <w:marBottom w:val="0"/>
          <w:divBdr>
            <w:top w:val="none" w:sz="0" w:space="0" w:color="auto"/>
            <w:left w:val="none" w:sz="0" w:space="0" w:color="auto"/>
            <w:bottom w:val="none" w:sz="0" w:space="0" w:color="auto"/>
            <w:right w:val="none" w:sz="0" w:space="0" w:color="auto"/>
          </w:divBdr>
        </w:div>
      </w:divsChild>
    </w:div>
    <w:div w:id="1348094471">
      <w:marLeft w:val="0"/>
      <w:marRight w:val="0"/>
      <w:marTop w:val="0"/>
      <w:marBottom w:val="0"/>
      <w:divBdr>
        <w:top w:val="none" w:sz="0" w:space="0" w:color="auto"/>
        <w:left w:val="none" w:sz="0" w:space="0" w:color="auto"/>
        <w:bottom w:val="none" w:sz="0" w:space="0" w:color="auto"/>
        <w:right w:val="none" w:sz="0" w:space="0" w:color="auto"/>
      </w:divBdr>
    </w:div>
    <w:div w:id="1348211409">
      <w:marLeft w:val="0"/>
      <w:marRight w:val="0"/>
      <w:marTop w:val="0"/>
      <w:marBottom w:val="0"/>
      <w:divBdr>
        <w:top w:val="none" w:sz="0" w:space="0" w:color="auto"/>
        <w:left w:val="none" w:sz="0" w:space="0" w:color="auto"/>
        <w:bottom w:val="none" w:sz="0" w:space="0" w:color="auto"/>
        <w:right w:val="none" w:sz="0" w:space="0" w:color="auto"/>
      </w:divBdr>
    </w:div>
    <w:div w:id="1352292236">
      <w:marLeft w:val="0"/>
      <w:marRight w:val="0"/>
      <w:marTop w:val="0"/>
      <w:marBottom w:val="0"/>
      <w:divBdr>
        <w:top w:val="none" w:sz="0" w:space="0" w:color="auto"/>
        <w:left w:val="none" w:sz="0" w:space="0" w:color="auto"/>
        <w:bottom w:val="none" w:sz="0" w:space="0" w:color="auto"/>
        <w:right w:val="none" w:sz="0" w:space="0" w:color="auto"/>
      </w:divBdr>
      <w:divsChild>
        <w:div w:id="223880236">
          <w:marLeft w:val="0"/>
          <w:marRight w:val="0"/>
          <w:marTop w:val="0"/>
          <w:marBottom w:val="0"/>
          <w:divBdr>
            <w:top w:val="none" w:sz="0" w:space="0" w:color="auto"/>
            <w:left w:val="none" w:sz="0" w:space="0" w:color="auto"/>
            <w:bottom w:val="none" w:sz="0" w:space="0" w:color="auto"/>
            <w:right w:val="none" w:sz="0" w:space="0" w:color="auto"/>
          </w:divBdr>
        </w:div>
      </w:divsChild>
    </w:div>
    <w:div w:id="1353845118">
      <w:marLeft w:val="0"/>
      <w:marRight w:val="0"/>
      <w:marTop w:val="0"/>
      <w:marBottom w:val="0"/>
      <w:divBdr>
        <w:top w:val="none" w:sz="0" w:space="0" w:color="auto"/>
        <w:left w:val="none" w:sz="0" w:space="0" w:color="auto"/>
        <w:bottom w:val="none" w:sz="0" w:space="0" w:color="auto"/>
        <w:right w:val="none" w:sz="0" w:space="0" w:color="auto"/>
      </w:divBdr>
      <w:divsChild>
        <w:div w:id="350448247">
          <w:marLeft w:val="0"/>
          <w:marRight w:val="0"/>
          <w:marTop w:val="0"/>
          <w:marBottom w:val="0"/>
          <w:divBdr>
            <w:top w:val="none" w:sz="0" w:space="0" w:color="auto"/>
            <w:left w:val="none" w:sz="0" w:space="0" w:color="auto"/>
            <w:bottom w:val="none" w:sz="0" w:space="0" w:color="auto"/>
            <w:right w:val="none" w:sz="0" w:space="0" w:color="auto"/>
          </w:divBdr>
        </w:div>
        <w:div w:id="2027749912">
          <w:marLeft w:val="0"/>
          <w:marRight w:val="0"/>
          <w:marTop w:val="0"/>
          <w:marBottom w:val="0"/>
          <w:divBdr>
            <w:top w:val="none" w:sz="0" w:space="0" w:color="auto"/>
            <w:left w:val="none" w:sz="0" w:space="0" w:color="auto"/>
            <w:bottom w:val="none" w:sz="0" w:space="0" w:color="auto"/>
            <w:right w:val="none" w:sz="0" w:space="0" w:color="auto"/>
          </w:divBdr>
        </w:div>
      </w:divsChild>
    </w:div>
    <w:div w:id="1354108444">
      <w:marLeft w:val="0"/>
      <w:marRight w:val="0"/>
      <w:marTop w:val="0"/>
      <w:marBottom w:val="0"/>
      <w:divBdr>
        <w:top w:val="none" w:sz="0" w:space="0" w:color="auto"/>
        <w:left w:val="none" w:sz="0" w:space="0" w:color="auto"/>
        <w:bottom w:val="none" w:sz="0" w:space="0" w:color="auto"/>
        <w:right w:val="none" w:sz="0" w:space="0" w:color="auto"/>
      </w:divBdr>
      <w:divsChild>
        <w:div w:id="157308349">
          <w:marLeft w:val="0"/>
          <w:marRight w:val="0"/>
          <w:marTop w:val="0"/>
          <w:marBottom w:val="0"/>
          <w:divBdr>
            <w:top w:val="none" w:sz="0" w:space="0" w:color="auto"/>
            <w:left w:val="none" w:sz="0" w:space="0" w:color="auto"/>
            <w:bottom w:val="none" w:sz="0" w:space="0" w:color="auto"/>
            <w:right w:val="none" w:sz="0" w:space="0" w:color="auto"/>
          </w:divBdr>
        </w:div>
      </w:divsChild>
    </w:div>
    <w:div w:id="1358700872">
      <w:marLeft w:val="0"/>
      <w:marRight w:val="0"/>
      <w:marTop w:val="100"/>
      <w:marBottom w:val="0"/>
      <w:divBdr>
        <w:top w:val="none" w:sz="0" w:space="0" w:color="auto"/>
        <w:left w:val="none" w:sz="0" w:space="0" w:color="auto"/>
        <w:bottom w:val="none" w:sz="0" w:space="0" w:color="auto"/>
        <w:right w:val="none" w:sz="0" w:space="0" w:color="auto"/>
      </w:divBdr>
    </w:div>
    <w:div w:id="1359772118">
      <w:marLeft w:val="0"/>
      <w:marRight w:val="0"/>
      <w:marTop w:val="60"/>
      <w:marBottom w:val="60"/>
      <w:divBdr>
        <w:top w:val="none" w:sz="0" w:space="0" w:color="auto"/>
        <w:left w:val="none" w:sz="0" w:space="0" w:color="auto"/>
        <w:bottom w:val="none" w:sz="0" w:space="0" w:color="auto"/>
        <w:right w:val="none" w:sz="0" w:space="0" w:color="auto"/>
      </w:divBdr>
    </w:div>
    <w:div w:id="1361009109">
      <w:marLeft w:val="0"/>
      <w:marRight w:val="0"/>
      <w:marTop w:val="100"/>
      <w:marBottom w:val="0"/>
      <w:divBdr>
        <w:top w:val="none" w:sz="0" w:space="0" w:color="auto"/>
        <w:left w:val="none" w:sz="0" w:space="0" w:color="auto"/>
        <w:bottom w:val="none" w:sz="0" w:space="0" w:color="auto"/>
        <w:right w:val="none" w:sz="0" w:space="0" w:color="auto"/>
      </w:divBdr>
    </w:div>
    <w:div w:id="1361198314">
      <w:marLeft w:val="0"/>
      <w:marRight w:val="0"/>
      <w:marTop w:val="0"/>
      <w:marBottom w:val="0"/>
      <w:divBdr>
        <w:top w:val="none" w:sz="0" w:space="0" w:color="auto"/>
        <w:left w:val="none" w:sz="0" w:space="0" w:color="auto"/>
        <w:bottom w:val="none" w:sz="0" w:space="0" w:color="auto"/>
        <w:right w:val="none" w:sz="0" w:space="0" w:color="auto"/>
      </w:divBdr>
    </w:div>
    <w:div w:id="1363433747">
      <w:marLeft w:val="0"/>
      <w:marRight w:val="0"/>
      <w:marTop w:val="0"/>
      <w:marBottom w:val="0"/>
      <w:divBdr>
        <w:top w:val="none" w:sz="0" w:space="0" w:color="auto"/>
        <w:left w:val="none" w:sz="0" w:space="0" w:color="auto"/>
        <w:bottom w:val="none" w:sz="0" w:space="0" w:color="auto"/>
        <w:right w:val="none" w:sz="0" w:space="0" w:color="auto"/>
      </w:divBdr>
      <w:divsChild>
        <w:div w:id="260800069">
          <w:marLeft w:val="0"/>
          <w:marRight w:val="0"/>
          <w:marTop w:val="0"/>
          <w:marBottom w:val="0"/>
          <w:divBdr>
            <w:top w:val="none" w:sz="0" w:space="0" w:color="auto"/>
            <w:left w:val="none" w:sz="0" w:space="0" w:color="auto"/>
            <w:bottom w:val="none" w:sz="0" w:space="0" w:color="auto"/>
            <w:right w:val="none" w:sz="0" w:space="0" w:color="auto"/>
          </w:divBdr>
        </w:div>
      </w:divsChild>
    </w:div>
    <w:div w:id="1365446595">
      <w:marLeft w:val="0"/>
      <w:marRight w:val="0"/>
      <w:marTop w:val="0"/>
      <w:marBottom w:val="0"/>
      <w:divBdr>
        <w:top w:val="none" w:sz="0" w:space="0" w:color="auto"/>
        <w:left w:val="none" w:sz="0" w:space="0" w:color="auto"/>
        <w:bottom w:val="none" w:sz="0" w:space="0" w:color="auto"/>
        <w:right w:val="none" w:sz="0" w:space="0" w:color="auto"/>
      </w:divBdr>
    </w:div>
    <w:div w:id="1365865097">
      <w:marLeft w:val="0"/>
      <w:marRight w:val="0"/>
      <w:marTop w:val="0"/>
      <w:marBottom w:val="0"/>
      <w:divBdr>
        <w:top w:val="none" w:sz="0" w:space="0" w:color="auto"/>
        <w:left w:val="none" w:sz="0" w:space="0" w:color="auto"/>
        <w:bottom w:val="none" w:sz="0" w:space="0" w:color="auto"/>
        <w:right w:val="none" w:sz="0" w:space="0" w:color="auto"/>
      </w:divBdr>
    </w:div>
    <w:div w:id="1367677641">
      <w:marLeft w:val="0"/>
      <w:marRight w:val="0"/>
      <w:marTop w:val="100"/>
      <w:marBottom w:val="0"/>
      <w:divBdr>
        <w:top w:val="none" w:sz="0" w:space="0" w:color="auto"/>
        <w:left w:val="none" w:sz="0" w:space="0" w:color="auto"/>
        <w:bottom w:val="none" w:sz="0" w:space="0" w:color="auto"/>
        <w:right w:val="none" w:sz="0" w:space="0" w:color="auto"/>
      </w:divBdr>
    </w:div>
    <w:div w:id="1367944853">
      <w:marLeft w:val="0"/>
      <w:marRight w:val="0"/>
      <w:marTop w:val="0"/>
      <w:marBottom w:val="0"/>
      <w:divBdr>
        <w:top w:val="none" w:sz="0" w:space="0" w:color="auto"/>
        <w:left w:val="none" w:sz="0" w:space="0" w:color="auto"/>
        <w:bottom w:val="none" w:sz="0" w:space="0" w:color="auto"/>
        <w:right w:val="none" w:sz="0" w:space="0" w:color="auto"/>
      </w:divBdr>
      <w:divsChild>
        <w:div w:id="192812546">
          <w:marLeft w:val="0"/>
          <w:marRight w:val="0"/>
          <w:marTop w:val="0"/>
          <w:marBottom w:val="0"/>
          <w:divBdr>
            <w:top w:val="none" w:sz="0" w:space="0" w:color="auto"/>
            <w:left w:val="none" w:sz="0" w:space="0" w:color="auto"/>
            <w:bottom w:val="none" w:sz="0" w:space="0" w:color="auto"/>
            <w:right w:val="none" w:sz="0" w:space="0" w:color="auto"/>
          </w:divBdr>
        </w:div>
      </w:divsChild>
    </w:div>
    <w:div w:id="1368871670">
      <w:marLeft w:val="0"/>
      <w:marRight w:val="0"/>
      <w:marTop w:val="0"/>
      <w:marBottom w:val="0"/>
      <w:divBdr>
        <w:top w:val="none" w:sz="0" w:space="0" w:color="auto"/>
        <w:left w:val="none" w:sz="0" w:space="0" w:color="auto"/>
        <w:bottom w:val="none" w:sz="0" w:space="0" w:color="auto"/>
        <w:right w:val="none" w:sz="0" w:space="0" w:color="auto"/>
      </w:divBdr>
      <w:divsChild>
        <w:div w:id="493299793">
          <w:marLeft w:val="0"/>
          <w:marRight w:val="0"/>
          <w:marTop w:val="0"/>
          <w:marBottom w:val="0"/>
          <w:divBdr>
            <w:top w:val="none" w:sz="0" w:space="0" w:color="auto"/>
            <w:left w:val="none" w:sz="0" w:space="0" w:color="auto"/>
            <w:bottom w:val="none" w:sz="0" w:space="0" w:color="auto"/>
            <w:right w:val="none" w:sz="0" w:space="0" w:color="auto"/>
          </w:divBdr>
        </w:div>
        <w:div w:id="1049842159">
          <w:marLeft w:val="0"/>
          <w:marRight w:val="0"/>
          <w:marTop w:val="0"/>
          <w:marBottom w:val="0"/>
          <w:divBdr>
            <w:top w:val="none" w:sz="0" w:space="0" w:color="auto"/>
            <w:left w:val="none" w:sz="0" w:space="0" w:color="auto"/>
            <w:bottom w:val="none" w:sz="0" w:space="0" w:color="auto"/>
            <w:right w:val="none" w:sz="0" w:space="0" w:color="auto"/>
          </w:divBdr>
        </w:div>
      </w:divsChild>
    </w:div>
    <w:div w:id="1369835554">
      <w:marLeft w:val="0"/>
      <w:marRight w:val="0"/>
      <w:marTop w:val="0"/>
      <w:marBottom w:val="0"/>
      <w:divBdr>
        <w:top w:val="none" w:sz="0" w:space="0" w:color="auto"/>
        <w:left w:val="none" w:sz="0" w:space="0" w:color="auto"/>
        <w:bottom w:val="none" w:sz="0" w:space="0" w:color="auto"/>
        <w:right w:val="none" w:sz="0" w:space="0" w:color="auto"/>
      </w:divBdr>
    </w:div>
    <w:div w:id="1371413332">
      <w:marLeft w:val="0"/>
      <w:marRight w:val="0"/>
      <w:marTop w:val="0"/>
      <w:marBottom w:val="0"/>
      <w:divBdr>
        <w:top w:val="none" w:sz="0" w:space="0" w:color="auto"/>
        <w:left w:val="none" w:sz="0" w:space="0" w:color="auto"/>
        <w:bottom w:val="none" w:sz="0" w:space="0" w:color="auto"/>
        <w:right w:val="none" w:sz="0" w:space="0" w:color="auto"/>
      </w:divBdr>
    </w:div>
    <w:div w:id="1376277946">
      <w:marLeft w:val="0"/>
      <w:marRight w:val="0"/>
      <w:marTop w:val="0"/>
      <w:marBottom w:val="0"/>
      <w:divBdr>
        <w:top w:val="none" w:sz="0" w:space="0" w:color="auto"/>
        <w:left w:val="none" w:sz="0" w:space="0" w:color="auto"/>
        <w:bottom w:val="none" w:sz="0" w:space="0" w:color="auto"/>
        <w:right w:val="none" w:sz="0" w:space="0" w:color="auto"/>
      </w:divBdr>
      <w:divsChild>
        <w:div w:id="1562324133">
          <w:marLeft w:val="0"/>
          <w:marRight w:val="0"/>
          <w:marTop w:val="0"/>
          <w:marBottom w:val="0"/>
          <w:divBdr>
            <w:top w:val="none" w:sz="0" w:space="0" w:color="auto"/>
            <w:left w:val="none" w:sz="0" w:space="0" w:color="auto"/>
            <w:bottom w:val="none" w:sz="0" w:space="0" w:color="auto"/>
            <w:right w:val="none" w:sz="0" w:space="0" w:color="auto"/>
          </w:divBdr>
        </w:div>
        <w:div w:id="1246382614">
          <w:marLeft w:val="0"/>
          <w:marRight w:val="0"/>
          <w:marTop w:val="0"/>
          <w:marBottom w:val="0"/>
          <w:divBdr>
            <w:top w:val="none" w:sz="0" w:space="0" w:color="auto"/>
            <w:left w:val="none" w:sz="0" w:space="0" w:color="auto"/>
            <w:bottom w:val="none" w:sz="0" w:space="0" w:color="auto"/>
            <w:right w:val="none" w:sz="0" w:space="0" w:color="auto"/>
          </w:divBdr>
        </w:div>
      </w:divsChild>
    </w:div>
    <w:div w:id="1378353752">
      <w:marLeft w:val="0"/>
      <w:marRight w:val="0"/>
      <w:marTop w:val="0"/>
      <w:marBottom w:val="0"/>
      <w:divBdr>
        <w:top w:val="none" w:sz="0" w:space="0" w:color="auto"/>
        <w:left w:val="none" w:sz="0" w:space="0" w:color="auto"/>
        <w:bottom w:val="none" w:sz="0" w:space="0" w:color="auto"/>
        <w:right w:val="none" w:sz="0" w:space="0" w:color="auto"/>
      </w:divBdr>
    </w:div>
    <w:div w:id="1379428441">
      <w:marLeft w:val="0"/>
      <w:marRight w:val="0"/>
      <w:marTop w:val="0"/>
      <w:marBottom w:val="0"/>
      <w:divBdr>
        <w:top w:val="none" w:sz="0" w:space="0" w:color="auto"/>
        <w:left w:val="none" w:sz="0" w:space="0" w:color="auto"/>
        <w:bottom w:val="none" w:sz="0" w:space="0" w:color="auto"/>
        <w:right w:val="none" w:sz="0" w:space="0" w:color="auto"/>
      </w:divBdr>
    </w:div>
    <w:div w:id="1379820929">
      <w:marLeft w:val="0"/>
      <w:marRight w:val="0"/>
      <w:marTop w:val="0"/>
      <w:marBottom w:val="0"/>
      <w:divBdr>
        <w:top w:val="none" w:sz="0" w:space="0" w:color="auto"/>
        <w:left w:val="none" w:sz="0" w:space="0" w:color="auto"/>
        <w:bottom w:val="none" w:sz="0" w:space="0" w:color="auto"/>
        <w:right w:val="none" w:sz="0" w:space="0" w:color="auto"/>
      </w:divBdr>
      <w:divsChild>
        <w:div w:id="86851721">
          <w:marLeft w:val="0"/>
          <w:marRight w:val="0"/>
          <w:marTop w:val="0"/>
          <w:marBottom w:val="0"/>
          <w:divBdr>
            <w:top w:val="none" w:sz="0" w:space="0" w:color="auto"/>
            <w:left w:val="none" w:sz="0" w:space="0" w:color="auto"/>
            <w:bottom w:val="none" w:sz="0" w:space="0" w:color="auto"/>
            <w:right w:val="none" w:sz="0" w:space="0" w:color="auto"/>
          </w:divBdr>
        </w:div>
        <w:div w:id="1577930763">
          <w:marLeft w:val="0"/>
          <w:marRight w:val="0"/>
          <w:marTop w:val="0"/>
          <w:marBottom w:val="0"/>
          <w:divBdr>
            <w:top w:val="none" w:sz="0" w:space="0" w:color="auto"/>
            <w:left w:val="none" w:sz="0" w:space="0" w:color="auto"/>
            <w:bottom w:val="none" w:sz="0" w:space="0" w:color="auto"/>
            <w:right w:val="none" w:sz="0" w:space="0" w:color="auto"/>
          </w:divBdr>
        </w:div>
      </w:divsChild>
    </w:div>
    <w:div w:id="1394812038">
      <w:marLeft w:val="0"/>
      <w:marRight w:val="0"/>
      <w:marTop w:val="0"/>
      <w:marBottom w:val="0"/>
      <w:divBdr>
        <w:top w:val="none" w:sz="0" w:space="0" w:color="auto"/>
        <w:left w:val="none" w:sz="0" w:space="0" w:color="auto"/>
        <w:bottom w:val="none" w:sz="0" w:space="0" w:color="auto"/>
        <w:right w:val="none" w:sz="0" w:space="0" w:color="auto"/>
      </w:divBdr>
    </w:div>
    <w:div w:id="1396005238">
      <w:marLeft w:val="0"/>
      <w:marRight w:val="0"/>
      <w:marTop w:val="0"/>
      <w:marBottom w:val="0"/>
      <w:divBdr>
        <w:top w:val="none" w:sz="0" w:space="0" w:color="auto"/>
        <w:left w:val="none" w:sz="0" w:space="0" w:color="auto"/>
        <w:bottom w:val="none" w:sz="0" w:space="0" w:color="auto"/>
        <w:right w:val="none" w:sz="0" w:space="0" w:color="auto"/>
      </w:divBdr>
    </w:div>
    <w:div w:id="1399404038">
      <w:marLeft w:val="0"/>
      <w:marRight w:val="0"/>
      <w:marTop w:val="0"/>
      <w:marBottom w:val="0"/>
      <w:divBdr>
        <w:top w:val="none" w:sz="0" w:space="0" w:color="auto"/>
        <w:left w:val="none" w:sz="0" w:space="0" w:color="auto"/>
        <w:bottom w:val="none" w:sz="0" w:space="0" w:color="auto"/>
        <w:right w:val="none" w:sz="0" w:space="0" w:color="auto"/>
      </w:divBdr>
    </w:div>
    <w:div w:id="1400905980">
      <w:marLeft w:val="0"/>
      <w:marRight w:val="0"/>
      <w:marTop w:val="0"/>
      <w:marBottom w:val="0"/>
      <w:divBdr>
        <w:top w:val="none" w:sz="0" w:space="0" w:color="auto"/>
        <w:left w:val="none" w:sz="0" w:space="0" w:color="auto"/>
        <w:bottom w:val="none" w:sz="0" w:space="0" w:color="auto"/>
        <w:right w:val="none" w:sz="0" w:space="0" w:color="auto"/>
      </w:divBdr>
      <w:divsChild>
        <w:div w:id="787771451">
          <w:marLeft w:val="0"/>
          <w:marRight w:val="0"/>
          <w:marTop w:val="0"/>
          <w:marBottom w:val="0"/>
          <w:divBdr>
            <w:top w:val="none" w:sz="0" w:space="0" w:color="auto"/>
            <w:left w:val="none" w:sz="0" w:space="0" w:color="auto"/>
            <w:bottom w:val="none" w:sz="0" w:space="0" w:color="auto"/>
            <w:right w:val="none" w:sz="0" w:space="0" w:color="auto"/>
          </w:divBdr>
        </w:div>
        <w:div w:id="1030647758">
          <w:marLeft w:val="0"/>
          <w:marRight w:val="0"/>
          <w:marTop w:val="0"/>
          <w:marBottom w:val="0"/>
          <w:divBdr>
            <w:top w:val="none" w:sz="0" w:space="0" w:color="auto"/>
            <w:left w:val="none" w:sz="0" w:space="0" w:color="auto"/>
            <w:bottom w:val="none" w:sz="0" w:space="0" w:color="auto"/>
            <w:right w:val="none" w:sz="0" w:space="0" w:color="auto"/>
          </w:divBdr>
        </w:div>
      </w:divsChild>
    </w:div>
    <w:div w:id="1414469324">
      <w:marLeft w:val="0"/>
      <w:marRight w:val="0"/>
      <w:marTop w:val="0"/>
      <w:marBottom w:val="0"/>
      <w:divBdr>
        <w:top w:val="none" w:sz="0" w:space="0" w:color="auto"/>
        <w:left w:val="none" w:sz="0" w:space="0" w:color="auto"/>
        <w:bottom w:val="none" w:sz="0" w:space="0" w:color="auto"/>
        <w:right w:val="none" w:sz="0" w:space="0" w:color="auto"/>
      </w:divBdr>
      <w:divsChild>
        <w:div w:id="2010406391">
          <w:marLeft w:val="0"/>
          <w:marRight w:val="0"/>
          <w:marTop w:val="0"/>
          <w:marBottom w:val="0"/>
          <w:divBdr>
            <w:top w:val="none" w:sz="0" w:space="0" w:color="auto"/>
            <w:left w:val="none" w:sz="0" w:space="0" w:color="auto"/>
            <w:bottom w:val="none" w:sz="0" w:space="0" w:color="auto"/>
            <w:right w:val="none" w:sz="0" w:space="0" w:color="auto"/>
          </w:divBdr>
        </w:div>
        <w:div w:id="1761832469">
          <w:marLeft w:val="0"/>
          <w:marRight w:val="0"/>
          <w:marTop w:val="0"/>
          <w:marBottom w:val="0"/>
          <w:divBdr>
            <w:top w:val="none" w:sz="0" w:space="0" w:color="auto"/>
            <w:left w:val="none" w:sz="0" w:space="0" w:color="auto"/>
            <w:bottom w:val="none" w:sz="0" w:space="0" w:color="auto"/>
            <w:right w:val="none" w:sz="0" w:space="0" w:color="auto"/>
          </w:divBdr>
        </w:div>
      </w:divsChild>
    </w:div>
    <w:div w:id="1419061494">
      <w:marLeft w:val="0"/>
      <w:marRight w:val="0"/>
      <w:marTop w:val="0"/>
      <w:marBottom w:val="0"/>
      <w:divBdr>
        <w:top w:val="none" w:sz="0" w:space="0" w:color="auto"/>
        <w:left w:val="none" w:sz="0" w:space="0" w:color="auto"/>
        <w:bottom w:val="none" w:sz="0" w:space="0" w:color="auto"/>
        <w:right w:val="none" w:sz="0" w:space="0" w:color="auto"/>
      </w:divBdr>
      <w:divsChild>
        <w:div w:id="2024555521">
          <w:marLeft w:val="0"/>
          <w:marRight w:val="0"/>
          <w:marTop w:val="0"/>
          <w:marBottom w:val="0"/>
          <w:divBdr>
            <w:top w:val="none" w:sz="0" w:space="0" w:color="auto"/>
            <w:left w:val="none" w:sz="0" w:space="0" w:color="auto"/>
            <w:bottom w:val="none" w:sz="0" w:space="0" w:color="auto"/>
            <w:right w:val="none" w:sz="0" w:space="0" w:color="auto"/>
          </w:divBdr>
        </w:div>
        <w:div w:id="1821848021">
          <w:marLeft w:val="0"/>
          <w:marRight w:val="0"/>
          <w:marTop w:val="0"/>
          <w:marBottom w:val="0"/>
          <w:divBdr>
            <w:top w:val="none" w:sz="0" w:space="0" w:color="auto"/>
            <w:left w:val="none" w:sz="0" w:space="0" w:color="auto"/>
            <w:bottom w:val="none" w:sz="0" w:space="0" w:color="auto"/>
            <w:right w:val="none" w:sz="0" w:space="0" w:color="auto"/>
          </w:divBdr>
        </w:div>
      </w:divsChild>
    </w:div>
    <w:div w:id="1419214027">
      <w:marLeft w:val="0"/>
      <w:marRight w:val="0"/>
      <w:marTop w:val="0"/>
      <w:marBottom w:val="0"/>
      <w:divBdr>
        <w:top w:val="none" w:sz="0" w:space="0" w:color="auto"/>
        <w:left w:val="none" w:sz="0" w:space="0" w:color="auto"/>
        <w:bottom w:val="none" w:sz="0" w:space="0" w:color="auto"/>
        <w:right w:val="none" w:sz="0" w:space="0" w:color="auto"/>
      </w:divBdr>
    </w:div>
    <w:div w:id="1421365730">
      <w:marLeft w:val="0"/>
      <w:marRight w:val="0"/>
      <w:marTop w:val="0"/>
      <w:marBottom w:val="0"/>
      <w:divBdr>
        <w:top w:val="none" w:sz="0" w:space="0" w:color="auto"/>
        <w:left w:val="none" w:sz="0" w:space="0" w:color="auto"/>
        <w:bottom w:val="none" w:sz="0" w:space="0" w:color="auto"/>
        <w:right w:val="none" w:sz="0" w:space="0" w:color="auto"/>
      </w:divBdr>
      <w:divsChild>
        <w:div w:id="585921260">
          <w:marLeft w:val="0"/>
          <w:marRight w:val="0"/>
          <w:marTop w:val="0"/>
          <w:marBottom w:val="0"/>
          <w:divBdr>
            <w:top w:val="none" w:sz="0" w:space="0" w:color="auto"/>
            <w:left w:val="none" w:sz="0" w:space="0" w:color="auto"/>
            <w:bottom w:val="none" w:sz="0" w:space="0" w:color="auto"/>
            <w:right w:val="none" w:sz="0" w:space="0" w:color="auto"/>
          </w:divBdr>
        </w:div>
        <w:div w:id="1716541588">
          <w:marLeft w:val="0"/>
          <w:marRight w:val="0"/>
          <w:marTop w:val="0"/>
          <w:marBottom w:val="0"/>
          <w:divBdr>
            <w:top w:val="none" w:sz="0" w:space="0" w:color="auto"/>
            <w:left w:val="none" w:sz="0" w:space="0" w:color="auto"/>
            <w:bottom w:val="none" w:sz="0" w:space="0" w:color="auto"/>
            <w:right w:val="none" w:sz="0" w:space="0" w:color="auto"/>
          </w:divBdr>
        </w:div>
      </w:divsChild>
    </w:div>
    <w:div w:id="1422488238">
      <w:marLeft w:val="0"/>
      <w:marRight w:val="0"/>
      <w:marTop w:val="100"/>
      <w:marBottom w:val="0"/>
      <w:divBdr>
        <w:top w:val="none" w:sz="0" w:space="0" w:color="auto"/>
        <w:left w:val="none" w:sz="0" w:space="0" w:color="auto"/>
        <w:bottom w:val="none" w:sz="0" w:space="0" w:color="auto"/>
        <w:right w:val="none" w:sz="0" w:space="0" w:color="auto"/>
      </w:divBdr>
    </w:div>
    <w:div w:id="1426344178">
      <w:marLeft w:val="0"/>
      <w:marRight w:val="0"/>
      <w:marTop w:val="0"/>
      <w:marBottom w:val="0"/>
      <w:divBdr>
        <w:top w:val="none" w:sz="0" w:space="0" w:color="auto"/>
        <w:left w:val="none" w:sz="0" w:space="0" w:color="auto"/>
        <w:bottom w:val="none" w:sz="0" w:space="0" w:color="auto"/>
        <w:right w:val="none" w:sz="0" w:space="0" w:color="auto"/>
      </w:divBdr>
    </w:div>
    <w:div w:id="1429623130">
      <w:marLeft w:val="0"/>
      <w:marRight w:val="0"/>
      <w:marTop w:val="0"/>
      <w:marBottom w:val="0"/>
      <w:divBdr>
        <w:top w:val="none" w:sz="0" w:space="0" w:color="auto"/>
        <w:left w:val="none" w:sz="0" w:space="0" w:color="auto"/>
        <w:bottom w:val="none" w:sz="0" w:space="0" w:color="auto"/>
        <w:right w:val="none" w:sz="0" w:space="0" w:color="auto"/>
      </w:divBdr>
      <w:divsChild>
        <w:div w:id="412699602">
          <w:marLeft w:val="0"/>
          <w:marRight w:val="0"/>
          <w:marTop w:val="0"/>
          <w:marBottom w:val="0"/>
          <w:divBdr>
            <w:top w:val="none" w:sz="0" w:space="0" w:color="auto"/>
            <w:left w:val="none" w:sz="0" w:space="0" w:color="auto"/>
            <w:bottom w:val="none" w:sz="0" w:space="0" w:color="auto"/>
            <w:right w:val="none" w:sz="0" w:space="0" w:color="auto"/>
          </w:divBdr>
        </w:div>
      </w:divsChild>
    </w:div>
    <w:div w:id="1433088215">
      <w:marLeft w:val="0"/>
      <w:marRight w:val="0"/>
      <w:marTop w:val="0"/>
      <w:marBottom w:val="0"/>
      <w:divBdr>
        <w:top w:val="none" w:sz="0" w:space="0" w:color="auto"/>
        <w:left w:val="none" w:sz="0" w:space="0" w:color="auto"/>
        <w:bottom w:val="none" w:sz="0" w:space="0" w:color="auto"/>
        <w:right w:val="none" w:sz="0" w:space="0" w:color="auto"/>
      </w:divBdr>
    </w:div>
    <w:div w:id="1439445257">
      <w:marLeft w:val="0"/>
      <w:marRight w:val="0"/>
      <w:marTop w:val="0"/>
      <w:marBottom w:val="160"/>
      <w:divBdr>
        <w:top w:val="none" w:sz="0" w:space="0" w:color="auto"/>
        <w:left w:val="none" w:sz="0" w:space="0" w:color="auto"/>
        <w:bottom w:val="none" w:sz="0" w:space="0" w:color="auto"/>
        <w:right w:val="none" w:sz="0" w:space="0" w:color="auto"/>
      </w:divBdr>
    </w:div>
    <w:div w:id="1439645739">
      <w:marLeft w:val="0"/>
      <w:marRight w:val="0"/>
      <w:marTop w:val="180"/>
      <w:marBottom w:val="180"/>
      <w:divBdr>
        <w:top w:val="none" w:sz="0" w:space="0" w:color="auto"/>
        <w:left w:val="none" w:sz="0" w:space="0" w:color="auto"/>
        <w:bottom w:val="none" w:sz="0" w:space="0" w:color="auto"/>
        <w:right w:val="none" w:sz="0" w:space="0" w:color="auto"/>
      </w:divBdr>
    </w:div>
    <w:div w:id="1440107215">
      <w:marLeft w:val="0"/>
      <w:marRight w:val="0"/>
      <w:marTop w:val="0"/>
      <w:marBottom w:val="0"/>
      <w:divBdr>
        <w:top w:val="none" w:sz="0" w:space="0" w:color="auto"/>
        <w:left w:val="none" w:sz="0" w:space="0" w:color="auto"/>
        <w:bottom w:val="none" w:sz="0" w:space="0" w:color="auto"/>
        <w:right w:val="none" w:sz="0" w:space="0" w:color="auto"/>
      </w:divBdr>
      <w:divsChild>
        <w:div w:id="796533951">
          <w:marLeft w:val="0"/>
          <w:marRight w:val="0"/>
          <w:marTop w:val="0"/>
          <w:marBottom w:val="0"/>
          <w:divBdr>
            <w:top w:val="none" w:sz="0" w:space="0" w:color="auto"/>
            <w:left w:val="none" w:sz="0" w:space="0" w:color="auto"/>
            <w:bottom w:val="none" w:sz="0" w:space="0" w:color="auto"/>
            <w:right w:val="none" w:sz="0" w:space="0" w:color="auto"/>
          </w:divBdr>
        </w:div>
        <w:div w:id="1003821373">
          <w:marLeft w:val="0"/>
          <w:marRight w:val="0"/>
          <w:marTop w:val="0"/>
          <w:marBottom w:val="0"/>
          <w:divBdr>
            <w:top w:val="none" w:sz="0" w:space="0" w:color="auto"/>
            <w:left w:val="none" w:sz="0" w:space="0" w:color="auto"/>
            <w:bottom w:val="none" w:sz="0" w:space="0" w:color="auto"/>
            <w:right w:val="none" w:sz="0" w:space="0" w:color="auto"/>
          </w:divBdr>
        </w:div>
      </w:divsChild>
    </w:div>
    <w:div w:id="1441610660">
      <w:marLeft w:val="0"/>
      <w:marRight w:val="0"/>
      <w:marTop w:val="0"/>
      <w:marBottom w:val="0"/>
      <w:divBdr>
        <w:top w:val="none" w:sz="0" w:space="0" w:color="auto"/>
        <w:left w:val="none" w:sz="0" w:space="0" w:color="auto"/>
        <w:bottom w:val="none" w:sz="0" w:space="0" w:color="auto"/>
        <w:right w:val="none" w:sz="0" w:space="0" w:color="auto"/>
      </w:divBdr>
      <w:divsChild>
        <w:div w:id="91241308">
          <w:marLeft w:val="0"/>
          <w:marRight w:val="0"/>
          <w:marTop w:val="0"/>
          <w:marBottom w:val="0"/>
          <w:divBdr>
            <w:top w:val="none" w:sz="0" w:space="0" w:color="auto"/>
            <w:left w:val="none" w:sz="0" w:space="0" w:color="auto"/>
            <w:bottom w:val="none" w:sz="0" w:space="0" w:color="auto"/>
            <w:right w:val="none" w:sz="0" w:space="0" w:color="auto"/>
          </w:divBdr>
        </w:div>
        <w:div w:id="1690838755">
          <w:marLeft w:val="0"/>
          <w:marRight w:val="0"/>
          <w:marTop w:val="0"/>
          <w:marBottom w:val="0"/>
          <w:divBdr>
            <w:top w:val="none" w:sz="0" w:space="0" w:color="auto"/>
            <w:left w:val="none" w:sz="0" w:space="0" w:color="auto"/>
            <w:bottom w:val="none" w:sz="0" w:space="0" w:color="auto"/>
            <w:right w:val="none" w:sz="0" w:space="0" w:color="auto"/>
          </w:divBdr>
        </w:div>
      </w:divsChild>
    </w:div>
    <w:div w:id="1442914202">
      <w:marLeft w:val="0"/>
      <w:marRight w:val="0"/>
      <w:marTop w:val="0"/>
      <w:marBottom w:val="60"/>
      <w:divBdr>
        <w:top w:val="none" w:sz="0" w:space="0" w:color="auto"/>
        <w:left w:val="none" w:sz="0" w:space="0" w:color="auto"/>
        <w:bottom w:val="none" w:sz="0" w:space="0" w:color="auto"/>
        <w:right w:val="none" w:sz="0" w:space="0" w:color="auto"/>
      </w:divBdr>
    </w:div>
    <w:div w:id="1444424125">
      <w:marLeft w:val="0"/>
      <w:marRight w:val="0"/>
      <w:marTop w:val="0"/>
      <w:marBottom w:val="0"/>
      <w:divBdr>
        <w:top w:val="none" w:sz="0" w:space="0" w:color="auto"/>
        <w:left w:val="none" w:sz="0" w:space="0" w:color="auto"/>
        <w:bottom w:val="none" w:sz="0" w:space="0" w:color="auto"/>
        <w:right w:val="none" w:sz="0" w:space="0" w:color="auto"/>
      </w:divBdr>
    </w:div>
    <w:div w:id="1452481072">
      <w:marLeft w:val="0"/>
      <w:marRight w:val="0"/>
      <w:marTop w:val="100"/>
      <w:marBottom w:val="0"/>
      <w:divBdr>
        <w:top w:val="none" w:sz="0" w:space="0" w:color="auto"/>
        <w:left w:val="none" w:sz="0" w:space="0" w:color="auto"/>
        <w:bottom w:val="none" w:sz="0" w:space="0" w:color="auto"/>
        <w:right w:val="none" w:sz="0" w:space="0" w:color="auto"/>
      </w:divBdr>
    </w:div>
    <w:div w:id="1454249649">
      <w:marLeft w:val="0"/>
      <w:marRight w:val="0"/>
      <w:marTop w:val="0"/>
      <w:marBottom w:val="60"/>
      <w:divBdr>
        <w:top w:val="none" w:sz="0" w:space="0" w:color="auto"/>
        <w:left w:val="none" w:sz="0" w:space="0" w:color="auto"/>
        <w:bottom w:val="none" w:sz="0" w:space="0" w:color="auto"/>
        <w:right w:val="none" w:sz="0" w:space="0" w:color="auto"/>
      </w:divBdr>
    </w:div>
    <w:div w:id="1454862701">
      <w:marLeft w:val="0"/>
      <w:marRight w:val="0"/>
      <w:marTop w:val="0"/>
      <w:marBottom w:val="0"/>
      <w:divBdr>
        <w:top w:val="none" w:sz="0" w:space="0" w:color="auto"/>
        <w:left w:val="none" w:sz="0" w:space="0" w:color="auto"/>
        <w:bottom w:val="none" w:sz="0" w:space="0" w:color="auto"/>
        <w:right w:val="none" w:sz="0" w:space="0" w:color="auto"/>
      </w:divBdr>
    </w:div>
    <w:div w:id="1459763298">
      <w:marLeft w:val="0"/>
      <w:marRight w:val="0"/>
      <w:marTop w:val="0"/>
      <w:marBottom w:val="200"/>
      <w:divBdr>
        <w:top w:val="none" w:sz="0" w:space="0" w:color="auto"/>
        <w:left w:val="none" w:sz="0" w:space="0" w:color="auto"/>
        <w:bottom w:val="none" w:sz="0" w:space="0" w:color="auto"/>
        <w:right w:val="none" w:sz="0" w:space="0" w:color="auto"/>
      </w:divBdr>
    </w:div>
    <w:div w:id="1460998133">
      <w:marLeft w:val="0"/>
      <w:marRight w:val="0"/>
      <w:marTop w:val="0"/>
      <w:marBottom w:val="0"/>
      <w:divBdr>
        <w:top w:val="none" w:sz="0" w:space="0" w:color="auto"/>
        <w:left w:val="none" w:sz="0" w:space="0" w:color="auto"/>
        <w:bottom w:val="none" w:sz="0" w:space="0" w:color="auto"/>
        <w:right w:val="none" w:sz="0" w:space="0" w:color="auto"/>
      </w:divBdr>
    </w:div>
    <w:div w:id="1468008845">
      <w:marLeft w:val="0"/>
      <w:marRight w:val="0"/>
      <w:marTop w:val="0"/>
      <w:marBottom w:val="0"/>
      <w:divBdr>
        <w:top w:val="none" w:sz="0" w:space="0" w:color="auto"/>
        <w:left w:val="none" w:sz="0" w:space="0" w:color="auto"/>
        <w:bottom w:val="none" w:sz="0" w:space="0" w:color="auto"/>
        <w:right w:val="none" w:sz="0" w:space="0" w:color="auto"/>
      </w:divBdr>
    </w:div>
    <w:div w:id="1468356275">
      <w:marLeft w:val="0"/>
      <w:marRight w:val="0"/>
      <w:marTop w:val="0"/>
      <w:marBottom w:val="0"/>
      <w:divBdr>
        <w:top w:val="none" w:sz="0" w:space="0" w:color="auto"/>
        <w:left w:val="none" w:sz="0" w:space="0" w:color="auto"/>
        <w:bottom w:val="none" w:sz="0" w:space="0" w:color="auto"/>
        <w:right w:val="none" w:sz="0" w:space="0" w:color="auto"/>
      </w:divBdr>
    </w:div>
    <w:div w:id="1468666320">
      <w:marLeft w:val="0"/>
      <w:marRight w:val="0"/>
      <w:marTop w:val="100"/>
      <w:marBottom w:val="0"/>
      <w:divBdr>
        <w:top w:val="none" w:sz="0" w:space="0" w:color="auto"/>
        <w:left w:val="none" w:sz="0" w:space="0" w:color="auto"/>
        <w:bottom w:val="none" w:sz="0" w:space="0" w:color="auto"/>
        <w:right w:val="none" w:sz="0" w:space="0" w:color="auto"/>
      </w:divBdr>
    </w:div>
    <w:div w:id="1471630497">
      <w:marLeft w:val="0"/>
      <w:marRight w:val="0"/>
      <w:marTop w:val="0"/>
      <w:marBottom w:val="0"/>
      <w:divBdr>
        <w:top w:val="none" w:sz="0" w:space="0" w:color="auto"/>
        <w:left w:val="none" w:sz="0" w:space="0" w:color="auto"/>
        <w:bottom w:val="none" w:sz="0" w:space="0" w:color="auto"/>
        <w:right w:val="none" w:sz="0" w:space="0" w:color="auto"/>
      </w:divBdr>
    </w:div>
    <w:div w:id="1477138154">
      <w:marLeft w:val="0"/>
      <w:marRight w:val="0"/>
      <w:marTop w:val="0"/>
      <w:marBottom w:val="0"/>
      <w:divBdr>
        <w:top w:val="none" w:sz="0" w:space="0" w:color="auto"/>
        <w:left w:val="none" w:sz="0" w:space="0" w:color="auto"/>
        <w:bottom w:val="none" w:sz="0" w:space="0" w:color="auto"/>
        <w:right w:val="none" w:sz="0" w:space="0" w:color="auto"/>
      </w:divBdr>
    </w:div>
    <w:div w:id="1487012666">
      <w:marLeft w:val="0"/>
      <w:marRight w:val="0"/>
      <w:marTop w:val="0"/>
      <w:marBottom w:val="0"/>
      <w:divBdr>
        <w:top w:val="none" w:sz="0" w:space="0" w:color="auto"/>
        <w:left w:val="none" w:sz="0" w:space="0" w:color="auto"/>
        <w:bottom w:val="none" w:sz="0" w:space="0" w:color="auto"/>
        <w:right w:val="none" w:sz="0" w:space="0" w:color="auto"/>
      </w:divBdr>
      <w:divsChild>
        <w:div w:id="1591347860">
          <w:marLeft w:val="0"/>
          <w:marRight w:val="0"/>
          <w:marTop w:val="0"/>
          <w:marBottom w:val="0"/>
          <w:divBdr>
            <w:top w:val="none" w:sz="0" w:space="0" w:color="auto"/>
            <w:left w:val="none" w:sz="0" w:space="0" w:color="auto"/>
            <w:bottom w:val="none" w:sz="0" w:space="0" w:color="auto"/>
            <w:right w:val="none" w:sz="0" w:space="0" w:color="auto"/>
          </w:divBdr>
        </w:div>
      </w:divsChild>
    </w:div>
    <w:div w:id="1496871345">
      <w:marLeft w:val="0"/>
      <w:marRight w:val="0"/>
      <w:marTop w:val="0"/>
      <w:marBottom w:val="0"/>
      <w:divBdr>
        <w:top w:val="none" w:sz="0" w:space="0" w:color="auto"/>
        <w:left w:val="none" w:sz="0" w:space="0" w:color="auto"/>
        <w:bottom w:val="none" w:sz="0" w:space="0" w:color="auto"/>
        <w:right w:val="none" w:sz="0" w:space="0" w:color="auto"/>
      </w:divBdr>
      <w:divsChild>
        <w:div w:id="2138529724">
          <w:marLeft w:val="0"/>
          <w:marRight w:val="0"/>
          <w:marTop w:val="0"/>
          <w:marBottom w:val="0"/>
          <w:divBdr>
            <w:top w:val="none" w:sz="0" w:space="0" w:color="auto"/>
            <w:left w:val="none" w:sz="0" w:space="0" w:color="auto"/>
            <w:bottom w:val="none" w:sz="0" w:space="0" w:color="auto"/>
            <w:right w:val="none" w:sz="0" w:space="0" w:color="auto"/>
          </w:divBdr>
        </w:div>
      </w:divsChild>
    </w:div>
    <w:div w:id="1497720812">
      <w:marLeft w:val="0"/>
      <w:marRight w:val="0"/>
      <w:marTop w:val="100"/>
      <w:marBottom w:val="0"/>
      <w:divBdr>
        <w:top w:val="none" w:sz="0" w:space="0" w:color="auto"/>
        <w:left w:val="none" w:sz="0" w:space="0" w:color="auto"/>
        <w:bottom w:val="none" w:sz="0" w:space="0" w:color="auto"/>
        <w:right w:val="none" w:sz="0" w:space="0" w:color="auto"/>
      </w:divBdr>
    </w:div>
    <w:div w:id="1498493010">
      <w:marLeft w:val="0"/>
      <w:marRight w:val="0"/>
      <w:marTop w:val="0"/>
      <w:marBottom w:val="0"/>
      <w:divBdr>
        <w:top w:val="none" w:sz="0" w:space="0" w:color="auto"/>
        <w:left w:val="none" w:sz="0" w:space="0" w:color="auto"/>
        <w:bottom w:val="none" w:sz="0" w:space="0" w:color="auto"/>
        <w:right w:val="none" w:sz="0" w:space="0" w:color="auto"/>
      </w:divBdr>
    </w:div>
    <w:div w:id="1498495502">
      <w:marLeft w:val="0"/>
      <w:marRight w:val="0"/>
      <w:marTop w:val="0"/>
      <w:marBottom w:val="0"/>
      <w:divBdr>
        <w:top w:val="none" w:sz="0" w:space="0" w:color="auto"/>
        <w:left w:val="none" w:sz="0" w:space="0" w:color="auto"/>
        <w:bottom w:val="none" w:sz="0" w:space="0" w:color="auto"/>
        <w:right w:val="none" w:sz="0" w:space="0" w:color="auto"/>
      </w:divBdr>
    </w:div>
    <w:div w:id="1498769735">
      <w:marLeft w:val="0"/>
      <w:marRight w:val="0"/>
      <w:marTop w:val="0"/>
      <w:marBottom w:val="0"/>
      <w:divBdr>
        <w:top w:val="none" w:sz="0" w:space="0" w:color="auto"/>
        <w:left w:val="none" w:sz="0" w:space="0" w:color="auto"/>
        <w:bottom w:val="none" w:sz="0" w:space="0" w:color="auto"/>
        <w:right w:val="none" w:sz="0" w:space="0" w:color="auto"/>
      </w:divBdr>
      <w:divsChild>
        <w:div w:id="1903324566">
          <w:marLeft w:val="0"/>
          <w:marRight w:val="0"/>
          <w:marTop w:val="0"/>
          <w:marBottom w:val="0"/>
          <w:divBdr>
            <w:top w:val="none" w:sz="0" w:space="0" w:color="auto"/>
            <w:left w:val="none" w:sz="0" w:space="0" w:color="auto"/>
            <w:bottom w:val="none" w:sz="0" w:space="0" w:color="auto"/>
            <w:right w:val="none" w:sz="0" w:space="0" w:color="auto"/>
          </w:divBdr>
        </w:div>
        <w:div w:id="1229534948">
          <w:marLeft w:val="0"/>
          <w:marRight w:val="0"/>
          <w:marTop w:val="0"/>
          <w:marBottom w:val="0"/>
          <w:divBdr>
            <w:top w:val="none" w:sz="0" w:space="0" w:color="auto"/>
            <w:left w:val="none" w:sz="0" w:space="0" w:color="auto"/>
            <w:bottom w:val="none" w:sz="0" w:space="0" w:color="auto"/>
            <w:right w:val="none" w:sz="0" w:space="0" w:color="auto"/>
          </w:divBdr>
        </w:div>
      </w:divsChild>
    </w:div>
    <w:div w:id="1501581754">
      <w:marLeft w:val="0"/>
      <w:marRight w:val="0"/>
      <w:marTop w:val="0"/>
      <w:marBottom w:val="0"/>
      <w:divBdr>
        <w:top w:val="none" w:sz="0" w:space="0" w:color="auto"/>
        <w:left w:val="none" w:sz="0" w:space="0" w:color="auto"/>
        <w:bottom w:val="none" w:sz="0" w:space="0" w:color="auto"/>
        <w:right w:val="none" w:sz="0" w:space="0" w:color="auto"/>
      </w:divBdr>
      <w:divsChild>
        <w:div w:id="1580866014">
          <w:marLeft w:val="0"/>
          <w:marRight w:val="0"/>
          <w:marTop w:val="0"/>
          <w:marBottom w:val="0"/>
          <w:divBdr>
            <w:top w:val="none" w:sz="0" w:space="0" w:color="auto"/>
            <w:left w:val="none" w:sz="0" w:space="0" w:color="auto"/>
            <w:bottom w:val="none" w:sz="0" w:space="0" w:color="auto"/>
            <w:right w:val="none" w:sz="0" w:space="0" w:color="auto"/>
          </w:divBdr>
        </w:div>
      </w:divsChild>
    </w:div>
    <w:div w:id="1506044535">
      <w:marLeft w:val="0"/>
      <w:marRight w:val="0"/>
      <w:marTop w:val="0"/>
      <w:marBottom w:val="0"/>
      <w:divBdr>
        <w:top w:val="none" w:sz="0" w:space="0" w:color="auto"/>
        <w:left w:val="none" w:sz="0" w:space="0" w:color="auto"/>
        <w:bottom w:val="none" w:sz="0" w:space="0" w:color="auto"/>
        <w:right w:val="none" w:sz="0" w:space="0" w:color="auto"/>
      </w:divBdr>
      <w:divsChild>
        <w:div w:id="1464695739">
          <w:marLeft w:val="0"/>
          <w:marRight w:val="0"/>
          <w:marTop w:val="0"/>
          <w:marBottom w:val="0"/>
          <w:divBdr>
            <w:top w:val="none" w:sz="0" w:space="0" w:color="auto"/>
            <w:left w:val="none" w:sz="0" w:space="0" w:color="auto"/>
            <w:bottom w:val="none" w:sz="0" w:space="0" w:color="auto"/>
            <w:right w:val="none" w:sz="0" w:space="0" w:color="auto"/>
          </w:divBdr>
        </w:div>
      </w:divsChild>
    </w:div>
    <w:div w:id="1510097170">
      <w:marLeft w:val="0"/>
      <w:marRight w:val="0"/>
      <w:marTop w:val="0"/>
      <w:marBottom w:val="0"/>
      <w:divBdr>
        <w:top w:val="none" w:sz="0" w:space="0" w:color="auto"/>
        <w:left w:val="none" w:sz="0" w:space="0" w:color="auto"/>
        <w:bottom w:val="none" w:sz="0" w:space="0" w:color="auto"/>
        <w:right w:val="none" w:sz="0" w:space="0" w:color="auto"/>
      </w:divBdr>
      <w:divsChild>
        <w:div w:id="1968076700">
          <w:marLeft w:val="0"/>
          <w:marRight w:val="0"/>
          <w:marTop w:val="0"/>
          <w:marBottom w:val="0"/>
          <w:divBdr>
            <w:top w:val="none" w:sz="0" w:space="0" w:color="auto"/>
            <w:left w:val="none" w:sz="0" w:space="0" w:color="auto"/>
            <w:bottom w:val="none" w:sz="0" w:space="0" w:color="auto"/>
            <w:right w:val="none" w:sz="0" w:space="0" w:color="auto"/>
          </w:divBdr>
        </w:div>
        <w:div w:id="1473907665">
          <w:marLeft w:val="0"/>
          <w:marRight w:val="0"/>
          <w:marTop w:val="0"/>
          <w:marBottom w:val="0"/>
          <w:divBdr>
            <w:top w:val="none" w:sz="0" w:space="0" w:color="auto"/>
            <w:left w:val="none" w:sz="0" w:space="0" w:color="auto"/>
            <w:bottom w:val="none" w:sz="0" w:space="0" w:color="auto"/>
            <w:right w:val="none" w:sz="0" w:space="0" w:color="auto"/>
          </w:divBdr>
        </w:div>
      </w:divsChild>
    </w:div>
    <w:div w:id="1511411168">
      <w:marLeft w:val="0"/>
      <w:marRight w:val="0"/>
      <w:marTop w:val="0"/>
      <w:marBottom w:val="0"/>
      <w:divBdr>
        <w:top w:val="none" w:sz="0" w:space="0" w:color="auto"/>
        <w:left w:val="none" w:sz="0" w:space="0" w:color="auto"/>
        <w:bottom w:val="none" w:sz="0" w:space="0" w:color="auto"/>
        <w:right w:val="none" w:sz="0" w:space="0" w:color="auto"/>
      </w:divBdr>
    </w:div>
    <w:div w:id="1511993680">
      <w:marLeft w:val="0"/>
      <w:marRight w:val="0"/>
      <w:marTop w:val="60"/>
      <w:marBottom w:val="60"/>
      <w:divBdr>
        <w:top w:val="none" w:sz="0" w:space="0" w:color="auto"/>
        <w:left w:val="none" w:sz="0" w:space="0" w:color="auto"/>
        <w:bottom w:val="none" w:sz="0" w:space="0" w:color="auto"/>
        <w:right w:val="none" w:sz="0" w:space="0" w:color="auto"/>
      </w:divBdr>
    </w:div>
    <w:div w:id="1512379607">
      <w:marLeft w:val="0"/>
      <w:marRight w:val="0"/>
      <w:marTop w:val="0"/>
      <w:marBottom w:val="0"/>
      <w:divBdr>
        <w:top w:val="none" w:sz="0" w:space="0" w:color="auto"/>
        <w:left w:val="none" w:sz="0" w:space="0" w:color="auto"/>
        <w:bottom w:val="none" w:sz="0" w:space="0" w:color="auto"/>
        <w:right w:val="none" w:sz="0" w:space="0" w:color="auto"/>
      </w:divBdr>
      <w:divsChild>
        <w:div w:id="1797017644">
          <w:marLeft w:val="0"/>
          <w:marRight w:val="0"/>
          <w:marTop w:val="0"/>
          <w:marBottom w:val="0"/>
          <w:divBdr>
            <w:top w:val="none" w:sz="0" w:space="0" w:color="auto"/>
            <w:left w:val="none" w:sz="0" w:space="0" w:color="auto"/>
            <w:bottom w:val="none" w:sz="0" w:space="0" w:color="auto"/>
            <w:right w:val="none" w:sz="0" w:space="0" w:color="auto"/>
          </w:divBdr>
        </w:div>
        <w:div w:id="1081634646">
          <w:marLeft w:val="0"/>
          <w:marRight w:val="0"/>
          <w:marTop w:val="0"/>
          <w:marBottom w:val="0"/>
          <w:divBdr>
            <w:top w:val="none" w:sz="0" w:space="0" w:color="auto"/>
            <w:left w:val="none" w:sz="0" w:space="0" w:color="auto"/>
            <w:bottom w:val="none" w:sz="0" w:space="0" w:color="auto"/>
            <w:right w:val="none" w:sz="0" w:space="0" w:color="auto"/>
          </w:divBdr>
        </w:div>
      </w:divsChild>
    </w:div>
    <w:div w:id="1512986480">
      <w:marLeft w:val="0"/>
      <w:marRight w:val="0"/>
      <w:marTop w:val="0"/>
      <w:marBottom w:val="0"/>
      <w:divBdr>
        <w:top w:val="none" w:sz="0" w:space="0" w:color="auto"/>
        <w:left w:val="none" w:sz="0" w:space="0" w:color="auto"/>
        <w:bottom w:val="none" w:sz="0" w:space="0" w:color="auto"/>
        <w:right w:val="none" w:sz="0" w:space="0" w:color="auto"/>
      </w:divBdr>
      <w:divsChild>
        <w:div w:id="121114223">
          <w:marLeft w:val="0"/>
          <w:marRight w:val="0"/>
          <w:marTop w:val="0"/>
          <w:marBottom w:val="0"/>
          <w:divBdr>
            <w:top w:val="none" w:sz="0" w:space="0" w:color="auto"/>
            <w:left w:val="none" w:sz="0" w:space="0" w:color="auto"/>
            <w:bottom w:val="none" w:sz="0" w:space="0" w:color="auto"/>
            <w:right w:val="none" w:sz="0" w:space="0" w:color="auto"/>
          </w:divBdr>
        </w:div>
        <w:div w:id="901983611">
          <w:marLeft w:val="0"/>
          <w:marRight w:val="0"/>
          <w:marTop w:val="0"/>
          <w:marBottom w:val="0"/>
          <w:divBdr>
            <w:top w:val="none" w:sz="0" w:space="0" w:color="auto"/>
            <w:left w:val="none" w:sz="0" w:space="0" w:color="auto"/>
            <w:bottom w:val="none" w:sz="0" w:space="0" w:color="auto"/>
            <w:right w:val="none" w:sz="0" w:space="0" w:color="auto"/>
          </w:divBdr>
        </w:div>
      </w:divsChild>
    </w:div>
    <w:div w:id="1514807080">
      <w:marLeft w:val="0"/>
      <w:marRight w:val="0"/>
      <w:marTop w:val="100"/>
      <w:marBottom w:val="0"/>
      <w:divBdr>
        <w:top w:val="none" w:sz="0" w:space="0" w:color="auto"/>
        <w:left w:val="none" w:sz="0" w:space="0" w:color="auto"/>
        <w:bottom w:val="none" w:sz="0" w:space="0" w:color="auto"/>
        <w:right w:val="none" w:sz="0" w:space="0" w:color="auto"/>
      </w:divBdr>
    </w:div>
    <w:div w:id="1525247864">
      <w:marLeft w:val="0"/>
      <w:marRight w:val="0"/>
      <w:marTop w:val="100"/>
      <w:marBottom w:val="0"/>
      <w:divBdr>
        <w:top w:val="none" w:sz="0" w:space="0" w:color="auto"/>
        <w:left w:val="none" w:sz="0" w:space="0" w:color="auto"/>
        <w:bottom w:val="none" w:sz="0" w:space="0" w:color="auto"/>
        <w:right w:val="none" w:sz="0" w:space="0" w:color="auto"/>
      </w:divBdr>
    </w:div>
    <w:div w:id="1526597071">
      <w:marLeft w:val="0"/>
      <w:marRight w:val="0"/>
      <w:marTop w:val="0"/>
      <w:marBottom w:val="0"/>
      <w:divBdr>
        <w:top w:val="none" w:sz="0" w:space="0" w:color="auto"/>
        <w:left w:val="none" w:sz="0" w:space="0" w:color="auto"/>
        <w:bottom w:val="none" w:sz="0" w:space="0" w:color="auto"/>
        <w:right w:val="none" w:sz="0" w:space="0" w:color="auto"/>
      </w:divBdr>
    </w:div>
    <w:div w:id="1528710772">
      <w:marLeft w:val="0"/>
      <w:marRight w:val="0"/>
      <w:marTop w:val="0"/>
      <w:marBottom w:val="60"/>
      <w:divBdr>
        <w:top w:val="none" w:sz="0" w:space="0" w:color="auto"/>
        <w:left w:val="none" w:sz="0" w:space="0" w:color="auto"/>
        <w:bottom w:val="none" w:sz="0" w:space="0" w:color="auto"/>
        <w:right w:val="none" w:sz="0" w:space="0" w:color="auto"/>
      </w:divBdr>
    </w:div>
    <w:div w:id="1528985812">
      <w:marLeft w:val="0"/>
      <w:marRight w:val="0"/>
      <w:marTop w:val="100"/>
      <w:marBottom w:val="0"/>
      <w:divBdr>
        <w:top w:val="none" w:sz="0" w:space="0" w:color="auto"/>
        <w:left w:val="none" w:sz="0" w:space="0" w:color="auto"/>
        <w:bottom w:val="none" w:sz="0" w:space="0" w:color="auto"/>
        <w:right w:val="none" w:sz="0" w:space="0" w:color="auto"/>
      </w:divBdr>
    </w:div>
    <w:div w:id="1531987039">
      <w:marLeft w:val="0"/>
      <w:marRight w:val="0"/>
      <w:marTop w:val="0"/>
      <w:marBottom w:val="0"/>
      <w:divBdr>
        <w:top w:val="none" w:sz="0" w:space="0" w:color="auto"/>
        <w:left w:val="none" w:sz="0" w:space="0" w:color="auto"/>
        <w:bottom w:val="none" w:sz="0" w:space="0" w:color="auto"/>
        <w:right w:val="none" w:sz="0" w:space="0" w:color="auto"/>
      </w:divBdr>
      <w:divsChild>
        <w:div w:id="1714767917">
          <w:marLeft w:val="0"/>
          <w:marRight w:val="0"/>
          <w:marTop w:val="0"/>
          <w:marBottom w:val="0"/>
          <w:divBdr>
            <w:top w:val="none" w:sz="0" w:space="0" w:color="auto"/>
            <w:left w:val="none" w:sz="0" w:space="0" w:color="auto"/>
            <w:bottom w:val="none" w:sz="0" w:space="0" w:color="auto"/>
            <w:right w:val="none" w:sz="0" w:space="0" w:color="auto"/>
          </w:divBdr>
        </w:div>
        <w:div w:id="1891840966">
          <w:marLeft w:val="0"/>
          <w:marRight w:val="0"/>
          <w:marTop w:val="0"/>
          <w:marBottom w:val="0"/>
          <w:divBdr>
            <w:top w:val="none" w:sz="0" w:space="0" w:color="auto"/>
            <w:left w:val="none" w:sz="0" w:space="0" w:color="auto"/>
            <w:bottom w:val="none" w:sz="0" w:space="0" w:color="auto"/>
            <w:right w:val="none" w:sz="0" w:space="0" w:color="auto"/>
          </w:divBdr>
        </w:div>
      </w:divsChild>
    </w:div>
    <w:div w:id="1532257068">
      <w:marLeft w:val="0"/>
      <w:marRight w:val="0"/>
      <w:marTop w:val="0"/>
      <w:marBottom w:val="60"/>
      <w:divBdr>
        <w:top w:val="none" w:sz="0" w:space="0" w:color="auto"/>
        <w:left w:val="none" w:sz="0" w:space="0" w:color="auto"/>
        <w:bottom w:val="none" w:sz="0" w:space="0" w:color="auto"/>
        <w:right w:val="none" w:sz="0" w:space="0" w:color="auto"/>
      </w:divBdr>
    </w:div>
    <w:div w:id="1536382968">
      <w:marLeft w:val="0"/>
      <w:marRight w:val="0"/>
      <w:marTop w:val="100"/>
      <w:marBottom w:val="0"/>
      <w:divBdr>
        <w:top w:val="none" w:sz="0" w:space="0" w:color="auto"/>
        <w:left w:val="none" w:sz="0" w:space="0" w:color="auto"/>
        <w:bottom w:val="none" w:sz="0" w:space="0" w:color="auto"/>
        <w:right w:val="none" w:sz="0" w:space="0" w:color="auto"/>
      </w:divBdr>
    </w:div>
    <w:div w:id="1540364087">
      <w:marLeft w:val="0"/>
      <w:marRight w:val="0"/>
      <w:marTop w:val="100"/>
      <w:marBottom w:val="0"/>
      <w:divBdr>
        <w:top w:val="none" w:sz="0" w:space="0" w:color="auto"/>
        <w:left w:val="none" w:sz="0" w:space="0" w:color="auto"/>
        <w:bottom w:val="none" w:sz="0" w:space="0" w:color="auto"/>
        <w:right w:val="none" w:sz="0" w:space="0" w:color="auto"/>
      </w:divBdr>
    </w:div>
    <w:div w:id="1541745447">
      <w:marLeft w:val="0"/>
      <w:marRight w:val="0"/>
      <w:marTop w:val="0"/>
      <w:marBottom w:val="0"/>
      <w:divBdr>
        <w:top w:val="none" w:sz="0" w:space="0" w:color="auto"/>
        <w:left w:val="none" w:sz="0" w:space="0" w:color="auto"/>
        <w:bottom w:val="none" w:sz="0" w:space="0" w:color="auto"/>
        <w:right w:val="none" w:sz="0" w:space="0" w:color="auto"/>
      </w:divBdr>
    </w:div>
    <w:div w:id="1543788278">
      <w:marLeft w:val="0"/>
      <w:marRight w:val="0"/>
      <w:marTop w:val="60"/>
      <w:marBottom w:val="60"/>
      <w:divBdr>
        <w:top w:val="none" w:sz="0" w:space="0" w:color="auto"/>
        <w:left w:val="none" w:sz="0" w:space="0" w:color="auto"/>
        <w:bottom w:val="none" w:sz="0" w:space="0" w:color="auto"/>
        <w:right w:val="none" w:sz="0" w:space="0" w:color="auto"/>
      </w:divBdr>
    </w:div>
    <w:div w:id="1544098394">
      <w:marLeft w:val="0"/>
      <w:marRight w:val="0"/>
      <w:marTop w:val="100"/>
      <w:marBottom w:val="0"/>
      <w:divBdr>
        <w:top w:val="none" w:sz="0" w:space="0" w:color="auto"/>
        <w:left w:val="none" w:sz="0" w:space="0" w:color="auto"/>
        <w:bottom w:val="none" w:sz="0" w:space="0" w:color="auto"/>
        <w:right w:val="none" w:sz="0" w:space="0" w:color="auto"/>
      </w:divBdr>
    </w:div>
    <w:div w:id="1552498531">
      <w:marLeft w:val="0"/>
      <w:marRight w:val="0"/>
      <w:marTop w:val="0"/>
      <w:marBottom w:val="0"/>
      <w:divBdr>
        <w:top w:val="none" w:sz="0" w:space="0" w:color="auto"/>
        <w:left w:val="none" w:sz="0" w:space="0" w:color="auto"/>
        <w:bottom w:val="none" w:sz="0" w:space="0" w:color="auto"/>
        <w:right w:val="none" w:sz="0" w:space="0" w:color="auto"/>
      </w:divBdr>
    </w:div>
    <w:div w:id="1552960659">
      <w:marLeft w:val="0"/>
      <w:marRight w:val="0"/>
      <w:marTop w:val="0"/>
      <w:marBottom w:val="0"/>
      <w:divBdr>
        <w:top w:val="none" w:sz="0" w:space="0" w:color="auto"/>
        <w:left w:val="none" w:sz="0" w:space="0" w:color="auto"/>
        <w:bottom w:val="none" w:sz="0" w:space="0" w:color="auto"/>
        <w:right w:val="none" w:sz="0" w:space="0" w:color="auto"/>
      </w:divBdr>
    </w:div>
    <w:div w:id="1557664572">
      <w:marLeft w:val="0"/>
      <w:marRight w:val="0"/>
      <w:marTop w:val="0"/>
      <w:marBottom w:val="0"/>
      <w:divBdr>
        <w:top w:val="none" w:sz="0" w:space="0" w:color="auto"/>
        <w:left w:val="none" w:sz="0" w:space="0" w:color="auto"/>
        <w:bottom w:val="none" w:sz="0" w:space="0" w:color="auto"/>
        <w:right w:val="none" w:sz="0" w:space="0" w:color="auto"/>
      </w:divBdr>
    </w:div>
    <w:div w:id="1571502154">
      <w:marLeft w:val="0"/>
      <w:marRight w:val="0"/>
      <w:marTop w:val="0"/>
      <w:marBottom w:val="0"/>
      <w:divBdr>
        <w:top w:val="none" w:sz="0" w:space="0" w:color="auto"/>
        <w:left w:val="none" w:sz="0" w:space="0" w:color="auto"/>
        <w:bottom w:val="none" w:sz="0" w:space="0" w:color="auto"/>
        <w:right w:val="none" w:sz="0" w:space="0" w:color="auto"/>
      </w:divBdr>
    </w:div>
    <w:div w:id="1572546127">
      <w:marLeft w:val="0"/>
      <w:marRight w:val="0"/>
      <w:marTop w:val="0"/>
      <w:marBottom w:val="0"/>
      <w:divBdr>
        <w:top w:val="none" w:sz="0" w:space="0" w:color="auto"/>
        <w:left w:val="none" w:sz="0" w:space="0" w:color="auto"/>
        <w:bottom w:val="none" w:sz="0" w:space="0" w:color="auto"/>
        <w:right w:val="none" w:sz="0" w:space="0" w:color="auto"/>
      </w:divBdr>
      <w:divsChild>
        <w:div w:id="1655986061">
          <w:marLeft w:val="0"/>
          <w:marRight w:val="0"/>
          <w:marTop w:val="0"/>
          <w:marBottom w:val="0"/>
          <w:divBdr>
            <w:top w:val="none" w:sz="0" w:space="0" w:color="auto"/>
            <w:left w:val="none" w:sz="0" w:space="0" w:color="auto"/>
            <w:bottom w:val="none" w:sz="0" w:space="0" w:color="auto"/>
            <w:right w:val="none" w:sz="0" w:space="0" w:color="auto"/>
          </w:divBdr>
        </w:div>
      </w:divsChild>
    </w:div>
    <w:div w:id="1572738768">
      <w:marLeft w:val="0"/>
      <w:marRight w:val="0"/>
      <w:marTop w:val="0"/>
      <w:marBottom w:val="0"/>
      <w:divBdr>
        <w:top w:val="none" w:sz="0" w:space="0" w:color="auto"/>
        <w:left w:val="none" w:sz="0" w:space="0" w:color="auto"/>
        <w:bottom w:val="none" w:sz="0" w:space="0" w:color="auto"/>
        <w:right w:val="none" w:sz="0" w:space="0" w:color="auto"/>
      </w:divBdr>
      <w:divsChild>
        <w:div w:id="241070220">
          <w:marLeft w:val="0"/>
          <w:marRight w:val="0"/>
          <w:marTop w:val="0"/>
          <w:marBottom w:val="0"/>
          <w:divBdr>
            <w:top w:val="none" w:sz="0" w:space="0" w:color="auto"/>
            <w:left w:val="none" w:sz="0" w:space="0" w:color="auto"/>
            <w:bottom w:val="none" w:sz="0" w:space="0" w:color="auto"/>
            <w:right w:val="none" w:sz="0" w:space="0" w:color="auto"/>
          </w:divBdr>
        </w:div>
      </w:divsChild>
    </w:div>
    <w:div w:id="1573586109">
      <w:marLeft w:val="0"/>
      <w:marRight w:val="0"/>
      <w:marTop w:val="0"/>
      <w:marBottom w:val="0"/>
      <w:divBdr>
        <w:top w:val="none" w:sz="0" w:space="0" w:color="auto"/>
        <w:left w:val="none" w:sz="0" w:space="0" w:color="auto"/>
        <w:bottom w:val="none" w:sz="0" w:space="0" w:color="auto"/>
        <w:right w:val="none" w:sz="0" w:space="0" w:color="auto"/>
      </w:divBdr>
    </w:div>
    <w:div w:id="1574467773">
      <w:marLeft w:val="0"/>
      <w:marRight w:val="0"/>
      <w:marTop w:val="0"/>
      <w:marBottom w:val="0"/>
      <w:divBdr>
        <w:top w:val="none" w:sz="0" w:space="0" w:color="auto"/>
        <w:left w:val="none" w:sz="0" w:space="0" w:color="auto"/>
        <w:bottom w:val="none" w:sz="0" w:space="0" w:color="auto"/>
        <w:right w:val="none" w:sz="0" w:space="0" w:color="auto"/>
      </w:divBdr>
    </w:div>
    <w:div w:id="1578787878">
      <w:marLeft w:val="0"/>
      <w:marRight w:val="0"/>
      <w:marTop w:val="0"/>
      <w:marBottom w:val="0"/>
      <w:divBdr>
        <w:top w:val="none" w:sz="0" w:space="0" w:color="auto"/>
        <w:left w:val="none" w:sz="0" w:space="0" w:color="auto"/>
        <w:bottom w:val="none" w:sz="0" w:space="0" w:color="auto"/>
        <w:right w:val="none" w:sz="0" w:space="0" w:color="auto"/>
      </w:divBdr>
    </w:div>
    <w:div w:id="1581326244">
      <w:marLeft w:val="0"/>
      <w:marRight w:val="0"/>
      <w:marTop w:val="0"/>
      <w:marBottom w:val="0"/>
      <w:divBdr>
        <w:top w:val="none" w:sz="0" w:space="0" w:color="auto"/>
        <w:left w:val="none" w:sz="0" w:space="0" w:color="auto"/>
        <w:bottom w:val="none" w:sz="0" w:space="0" w:color="auto"/>
        <w:right w:val="none" w:sz="0" w:space="0" w:color="auto"/>
      </w:divBdr>
      <w:divsChild>
        <w:div w:id="340930803">
          <w:marLeft w:val="0"/>
          <w:marRight w:val="0"/>
          <w:marTop w:val="0"/>
          <w:marBottom w:val="0"/>
          <w:divBdr>
            <w:top w:val="none" w:sz="0" w:space="0" w:color="auto"/>
            <w:left w:val="none" w:sz="0" w:space="0" w:color="auto"/>
            <w:bottom w:val="none" w:sz="0" w:space="0" w:color="auto"/>
            <w:right w:val="none" w:sz="0" w:space="0" w:color="auto"/>
          </w:divBdr>
        </w:div>
      </w:divsChild>
    </w:div>
    <w:div w:id="1588997524">
      <w:marLeft w:val="0"/>
      <w:marRight w:val="0"/>
      <w:marTop w:val="0"/>
      <w:marBottom w:val="60"/>
      <w:divBdr>
        <w:top w:val="none" w:sz="0" w:space="0" w:color="auto"/>
        <w:left w:val="none" w:sz="0" w:space="0" w:color="auto"/>
        <w:bottom w:val="none" w:sz="0" w:space="0" w:color="auto"/>
        <w:right w:val="none" w:sz="0" w:space="0" w:color="auto"/>
      </w:divBdr>
    </w:div>
    <w:div w:id="1589803912">
      <w:marLeft w:val="0"/>
      <w:marRight w:val="0"/>
      <w:marTop w:val="0"/>
      <w:marBottom w:val="0"/>
      <w:divBdr>
        <w:top w:val="none" w:sz="0" w:space="0" w:color="auto"/>
        <w:left w:val="none" w:sz="0" w:space="0" w:color="auto"/>
        <w:bottom w:val="none" w:sz="0" w:space="0" w:color="auto"/>
        <w:right w:val="none" w:sz="0" w:space="0" w:color="auto"/>
      </w:divBdr>
      <w:divsChild>
        <w:div w:id="657073605">
          <w:marLeft w:val="0"/>
          <w:marRight w:val="0"/>
          <w:marTop w:val="0"/>
          <w:marBottom w:val="0"/>
          <w:divBdr>
            <w:top w:val="none" w:sz="0" w:space="0" w:color="auto"/>
            <w:left w:val="none" w:sz="0" w:space="0" w:color="auto"/>
            <w:bottom w:val="none" w:sz="0" w:space="0" w:color="auto"/>
            <w:right w:val="none" w:sz="0" w:space="0" w:color="auto"/>
          </w:divBdr>
        </w:div>
        <w:div w:id="262224532">
          <w:marLeft w:val="0"/>
          <w:marRight w:val="0"/>
          <w:marTop w:val="0"/>
          <w:marBottom w:val="0"/>
          <w:divBdr>
            <w:top w:val="none" w:sz="0" w:space="0" w:color="auto"/>
            <w:left w:val="none" w:sz="0" w:space="0" w:color="auto"/>
            <w:bottom w:val="none" w:sz="0" w:space="0" w:color="auto"/>
            <w:right w:val="none" w:sz="0" w:space="0" w:color="auto"/>
          </w:divBdr>
        </w:div>
      </w:divsChild>
    </w:div>
    <w:div w:id="1591622389">
      <w:marLeft w:val="0"/>
      <w:marRight w:val="0"/>
      <w:marTop w:val="0"/>
      <w:marBottom w:val="160"/>
      <w:divBdr>
        <w:top w:val="none" w:sz="0" w:space="0" w:color="auto"/>
        <w:left w:val="none" w:sz="0" w:space="0" w:color="auto"/>
        <w:bottom w:val="none" w:sz="0" w:space="0" w:color="auto"/>
        <w:right w:val="none" w:sz="0" w:space="0" w:color="auto"/>
      </w:divBdr>
    </w:div>
    <w:div w:id="1599169852">
      <w:marLeft w:val="0"/>
      <w:marRight w:val="0"/>
      <w:marTop w:val="0"/>
      <w:marBottom w:val="0"/>
      <w:divBdr>
        <w:top w:val="none" w:sz="0" w:space="0" w:color="auto"/>
        <w:left w:val="none" w:sz="0" w:space="0" w:color="auto"/>
        <w:bottom w:val="none" w:sz="0" w:space="0" w:color="auto"/>
        <w:right w:val="none" w:sz="0" w:space="0" w:color="auto"/>
      </w:divBdr>
      <w:divsChild>
        <w:div w:id="1602378444">
          <w:marLeft w:val="0"/>
          <w:marRight w:val="0"/>
          <w:marTop w:val="0"/>
          <w:marBottom w:val="0"/>
          <w:divBdr>
            <w:top w:val="none" w:sz="0" w:space="0" w:color="auto"/>
            <w:left w:val="none" w:sz="0" w:space="0" w:color="auto"/>
            <w:bottom w:val="none" w:sz="0" w:space="0" w:color="auto"/>
            <w:right w:val="none" w:sz="0" w:space="0" w:color="auto"/>
          </w:divBdr>
        </w:div>
        <w:div w:id="1519200952">
          <w:marLeft w:val="0"/>
          <w:marRight w:val="0"/>
          <w:marTop w:val="0"/>
          <w:marBottom w:val="0"/>
          <w:divBdr>
            <w:top w:val="none" w:sz="0" w:space="0" w:color="auto"/>
            <w:left w:val="none" w:sz="0" w:space="0" w:color="auto"/>
            <w:bottom w:val="none" w:sz="0" w:space="0" w:color="auto"/>
            <w:right w:val="none" w:sz="0" w:space="0" w:color="auto"/>
          </w:divBdr>
        </w:div>
      </w:divsChild>
    </w:div>
    <w:div w:id="1600141550">
      <w:marLeft w:val="0"/>
      <w:marRight w:val="0"/>
      <w:marTop w:val="0"/>
      <w:marBottom w:val="0"/>
      <w:divBdr>
        <w:top w:val="none" w:sz="0" w:space="0" w:color="auto"/>
        <w:left w:val="none" w:sz="0" w:space="0" w:color="auto"/>
        <w:bottom w:val="none" w:sz="0" w:space="0" w:color="auto"/>
        <w:right w:val="none" w:sz="0" w:space="0" w:color="auto"/>
      </w:divBdr>
      <w:divsChild>
        <w:div w:id="220140408">
          <w:marLeft w:val="0"/>
          <w:marRight w:val="0"/>
          <w:marTop w:val="0"/>
          <w:marBottom w:val="0"/>
          <w:divBdr>
            <w:top w:val="none" w:sz="0" w:space="0" w:color="auto"/>
            <w:left w:val="none" w:sz="0" w:space="0" w:color="auto"/>
            <w:bottom w:val="none" w:sz="0" w:space="0" w:color="auto"/>
            <w:right w:val="none" w:sz="0" w:space="0" w:color="auto"/>
          </w:divBdr>
        </w:div>
      </w:divsChild>
    </w:div>
    <w:div w:id="1604455097">
      <w:marLeft w:val="0"/>
      <w:marRight w:val="0"/>
      <w:marTop w:val="0"/>
      <w:marBottom w:val="0"/>
      <w:divBdr>
        <w:top w:val="none" w:sz="0" w:space="0" w:color="auto"/>
        <w:left w:val="none" w:sz="0" w:space="0" w:color="auto"/>
        <w:bottom w:val="none" w:sz="0" w:space="0" w:color="auto"/>
        <w:right w:val="none" w:sz="0" w:space="0" w:color="auto"/>
      </w:divBdr>
    </w:div>
    <w:div w:id="1607735109">
      <w:marLeft w:val="0"/>
      <w:marRight w:val="0"/>
      <w:marTop w:val="0"/>
      <w:marBottom w:val="0"/>
      <w:divBdr>
        <w:top w:val="none" w:sz="0" w:space="0" w:color="auto"/>
        <w:left w:val="none" w:sz="0" w:space="0" w:color="auto"/>
        <w:bottom w:val="none" w:sz="0" w:space="0" w:color="auto"/>
        <w:right w:val="none" w:sz="0" w:space="0" w:color="auto"/>
      </w:divBdr>
    </w:div>
    <w:div w:id="1610701477">
      <w:marLeft w:val="0"/>
      <w:marRight w:val="0"/>
      <w:marTop w:val="0"/>
      <w:marBottom w:val="0"/>
      <w:divBdr>
        <w:top w:val="none" w:sz="0" w:space="0" w:color="auto"/>
        <w:left w:val="none" w:sz="0" w:space="0" w:color="auto"/>
        <w:bottom w:val="none" w:sz="0" w:space="0" w:color="auto"/>
        <w:right w:val="none" w:sz="0" w:space="0" w:color="auto"/>
      </w:divBdr>
    </w:div>
    <w:div w:id="1615869663">
      <w:marLeft w:val="0"/>
      <w:marRight w:val="0"/>
      <w:marTop w:val="0"/>
      <w:marBottom w:val="0"/>
      <w:divBdr>
        <w:top w:val="none" w:sz="0" w:space="0" w:color="auto"/>
        <w:left w:val="none" w:sz="0" w:space="0" w:color="auto"/>
        <w:bottom w:val="none" w:sz="0" w:space="0" w:color="auto"/>
        <w:right w:val="none" w:sz="0" w:space="0" w:color="auto"/>
      </w:divBdr>
    </w:div>
    <w:div w:id="1616717698">
      <w:marLeft w:val="0"/>
      <w:marRight w:val="0"/>
      <w:marTop w:val="0"/>
      <w:marBottom w:val="0"/>
      <w:divBdr>
        <w:top w:val="none" w:sz="0" w:space="0" w:color="auto"/>
        <w:left w:val="none" w:sz="0" w:space="0" w:color="auto"/>
        <w:bottom w:val="none" w:sz="0" w:space="0" w:color="auto"/>
        <w:right w:val="none" w:sz="0" w:space="0" w:color="auto"/>
      </w:divBdr>
    </w:div>
    <w:div w:id="1617373482">
      <w:marLeft w:val="0"/>
      <w:marRight w:val="0"/>
      <w:marTop w:val="100"/>
      <w:marBottom w:val="0"/>
      <w:divBdr>
        <w:top w:val="none" w:sz="0" w:space="0" w:color="auto"/>
        <w:left w:val="none" w:sz="0" w:space="0" w:color="auto"/>
        <w:bottom w:val="none" w:sz="0" w:space="0" w:color="auto"/>
        <w:right w:val="none" w:sz="0" w:space="0" w:color="auto"/>
      </w:divBdr>
    </w:div>
    <w:div w:id="1620529438">
      <w:marLeft w:val="0"/>
      <w:marRight w:val="0"/>
      <w:marTop w:val="0"/>
      <w:marBottom w:val="200"/>
      <w:divBdr>
        <w:top w:val="none" w:sz="0" w:space="0" w:color="auto"/>
        <w:left w:val="none" w:sz="0" w:space="0" w:color="auto"/>
        <w:bottom w:val="none" w:sz="0" w:space="0" w:color="auto"/>
        <w:right w:val="none" w:sz="0" w:space="0" w:color="auto"/>
      </w:divBdr>
    </w:div>
    <w:div w:id="1635057678">
      <w:marLeft w:val="0"/>
      <w:marRight w:val="0"/>
      <w:marTop w:val="0"/>
      <w:marBottom w:val="0"/>
      <w:divBdr>
        <w:top w:val="none" w:sz="0" w:space="0" w:color="auto"/>
        <w:left w:val="none" w:sz="0" w:space="0" w:color="auto"/>
        <w:bottom w:val="none" w:sz="0" w:space="0" w:color="auto"/>
        <w:right w:val="none" w:sz="0" w:space="0" w:color="auto"/>
      </w:divBdr>
    </w:div>
    <w:div w:id="1635522355">
      <w:marLeft w:val="0"/>
      <w:marRight w:val="0"/>
      <w:marTop w:val="0"/>
      <w:marBottom w:val="0"/>
      <w:divBdr>
        <w:top w:val="none" w:sz="0" w:space="0" w:color="auto"/>
        <w:left w:val="none" w:sz="0" w:space="0" w:color="auto"/>
        <w:bottom w:val="none" w:sz="0" w:space="0" w:color="auto"/>
        <w:right w:val="none" w:sz="0" w:space="0" w:color="auto"/>
      </w:divBdr>
    </w:div>
    <w:div w:id="1638488342">
      <w:marLeft w:val="0"/>
      <w:marRight w:val="0"/>
      <w:marTop w:val="0"/>
      <w:marBottom w:val="0"/>
      <w:divBdr>
        <w:top w:val="none" w:sz="0" w:space="0" w:color="auto"/>
        <w:left w:val="none" w:sz="0" w:space="0" w:color="auto"/>
        <w:bottom w:val="none" w:sz="0" w:space="0" w:color="auto"/>
        <w:right w:val="none" w:sz="0" w:space="0" w:color="auto"/>
      </w:divBdr>
      <w:divsChild>
        <w:div w:id="718016192">
          <w:marLeft w:val="0"/>
          <w:marRight w:val="0"/>
          <w:marTop w:val="0"/>
          <w:marBottom w:val="0"/>
          <w:divBdr>
            <w:top w:val="none" w:sz="0" w:space="0" w:color="auto"/>
            <w:left w:val="none" w:sz="0" w:space="0" w:color="auto"/>
            <w:bottom w:val="none" w:sz="0" w:space="0" w:color="auto"/>
            <w:right w:val="none" w:sz="0" w:space="0" w:color="auto"/>
          </w:divBdr>
        </w:div>
      </w:divsChild>
    </w:div>
    <w:div w:id="1645350161">
      <w:marLeft w:val="0"/>
      <w:marRight w:val="0"/>
      <w:marTop w:val="0"/>
      <w:marBottom w:val="0"/>
      <w:divBdr>
        <w:top w:val="none" w:sz="0" w:space="0" w:color="auto"/>
        <w:left w:val="none" w:sz="0" w:space="0" w:color="auto"/>
        <w:bottom w:val="none" w:sz="0" w:space="0" w:color="auto"/>
        <w:right w:val="none" w:sz="0" w:space="0" w:color="auto"/>
      </w:divBdr>
    </w:div>
    <w:div w:id="1652098183">
      <w:marLeft w:val="0"/>
      <w:marRight w:val="0"/>
      <w:marTop w:val="100"/>
      <w:marBottom w:val="0"/>
      <w:divBdr>
        <w:top w:val="none" w:sz="0" w:space="0" w:color="auto"/>
        <w:left w:val="none" w:sz="0" w:space="0" w:color="auto"/>
        <w:bottom w:val="none" w:sz="0" w:space="0" w:color="auto"/>
        <w:right w:val="none" w:sz="0" w:space="0" w:color="auto"/>
      </w:divBdr>
    </w:div>
    <w:div w:id="1657568088">
      <w:marLeft w:val="0"/>
      <w:marRight w:val="0"/>
      <w:marTop w:val="0"/>
      <w:marBottom w:val="0"/>
      <w:divBdr>
        <w:top w:val="none" w:sz="0" w:space="0" w:color="auto"/>
        <w:left w:val="none" w:sz="0" w:space="0" w:color="auto"/>
        <w:bottom w:val="none" w:sz="0" w:space="0" w:color="auto"/>
        <w:right w:val="none" w:sz="0" w:space="0" w:color="auto"/>
      </w:divBdr>
      <w:divsChild>
        <w:div w:id="689143237">
          <w:marLeft w:val="0"/>
          <w:marRight w:val="0"/>
          <w:marTop w:val="0"/>
          <w:marBottom w:val="0"/>
          <w:divBdr>
            <w:top w:val="none" w:sz="0" w:space="0" w:color="auto"/>
            <w:left w:val="none" w:sz="0" w:space="0" w:color="auto"/>
            <w:bottom w:val="none" w:sz="0" w:space="0" w:color="auto"/>
            <w:right w:val="none" w:sz="0" w:space="0" w:color="auto"/>
          </w:divBdr>
        </w:div>
        <w:div w:id="356388504">
          <w:marLeft w:val="0"/>
          <w:marRight w:val="0"/>
          <w:marTop w:val="0"/>
          <w:marBottom w:val="0"/>
          <w:divBdr>
            <w:top w:val="none" w:sz="0" w:space="0" w:color="auto"/>
            <w:left w:val="none" w:sz="0" w:space="0" w:color="auto"/>
            <w:bottom w:val="none" w:sz="0" w:space="0" w:color="auto"/>
            <w:right w:val="none" w:sz="0" w:space="0" w:color="auto"/>
          </w:divBdr>
        </w:div>
      </w:divsChild>
    </w:div>
    <w:div w:id="1657685232">
      <w:marLeft w:val="0"/>
      <w:marRight w:val="0"/>
      <w:marTop w:val="0"/>
      <w:marBottom w:val="0"/>
      <w:divBdr>
        <w:top w:val="none" w:sz="0" w:space="0" w:color="auto"/>
        <w:left w:val="none" w:sz="0" w:space="0" w:color="auto"/>
        <w:bottom w:val="none" w:sz="0" w:space="0" w:color="auto"/>
        <w:right w:val="none" w:sz="0" w:space="0" w:color="auto"/>
      </w:divBdr>
      <w:divsChild>
        <w:div w:id="627592815">
          <w:marLeft w:val="0"/>
          <w:marRight w:val="0"/>
          <w:marTop w:val="0"/>
          <w:marBottom w:val="0"/>
          <w:divBdr>
            <w:top w:val="none" w:sz="0" w:space="0" w:color="auto"/>
            <w:left w:val="none" w:sz="0" w:space="0" w:color="auto"/>
            <w:bottom w:val="none" w:sz="0" w:space="0" w:color="auto"/>
            <w:right w:val="none" w:sz="0" w:space="0" w:color="auto"/>
          </w:divBdr>
        </w:div>
        <w:div w:id="643388978">
          <w:marLeft w:val="0"/>
          <w:marRight w:val="0"/>
          <w:marTop w:val="0"/>
          <w:marBottom w:val="0"/>
          <w:divBdr>
            <w:top w:val="none" w:sz="0" w:space="0" w:color="auto"/>
            <w:left w:val="none" w:sz="0" w:space="0" w:color="auto"/>
            <w:bottom w:val="none" w:sz="0" w:space="0" w:color="auto"/>
            <w:right w:val="none" w:sz="0" w:space="0" w:color="auto"/>
          </w:divBdr>
        </w:div>
      </w:divsChild>
    </w:div>
    <w:div w:id="1658920108">
      <w:marLeft w:val="0"/>
      <w:marRight w:val="0"/>
      <w:marTop w:val="0"/>
      <w:marBottom w:val="200"/>
      <w:divBdr>
        <w:top w:val="none" w:sz="0" w:space="0" w:color="auto"/>
        <w:left w:val="none" w:sz="0" w:space="0" w:color="auto"/>
        <w:bottom w:val="none" w:sz="0" w:space="0" w:color="auto"/>
        <w:right w:val="none" w:sz="0" w:space="0" w:color="auto"/>
      </w:divBdr>
    </w:div>
    <w:div w:id="1663579290">
      <w:marLeft w:val="0"/>
      <w:marRight w:val="0"/>
      <w:marTop w:val="0"/>
      <w:marBottom w:val="0"/>
      <w:divBdr>
        <w:top w:val="none" w:sz="0" w:space="0" w:color="auto"/>
        <w:left w:val="none" w:sz="0" w:space="0" w:color="auto"/>
        <w:bottom w:val="none" w:sz="0" w:space="0" w:color="auto"/>
        <w:right w:val="none" w:sz="0" w:space="0" w:color="auto"/>
      </w:divBdr>
      <w:divsChild>
        <w:div w:id="699432801">
          <w:marLeft w:val="0"/>
          <w:marRight w:val="0"/>
          <w:marTop w:val="0"/>
          <w:marBottom w:val="0"/>
          <w:divBdr>
            <w:top w:val="none" w:sz="0" w:space="0" w:color="auto"/>
            <w:left w:val="none" w:sz="0" w:space="0" w:color="auto"/>
            <w:bottom w:val="none" w:sz="0" w:space="0" w:color="auto"/>
            <w:right w:val="none" w:sz="0" w:space="0" w:color="auto"/>
          </w:divBdr>
        </w:div>
        <w:div w:id="1458064091">
          <w:marLeft w:val="0"/>
          <w:marRight w:val="0"/>
          <w:marTop w:val="0"/>
          <w:marBottom w:val="0"/>
          <w:divBdr>
            <w:top w:val="none" w:sz="0" w:space="0" w:color="auto"/>
            <w:left w:val="none" w:sz="0" w:space="0" w:color="auto"/>
            <w:bottom w:val="none" w:sz="0" w:space="0" w:color="auto"/>
            <w:right w:val="none" w:sz="0" w:space="0" w:color="auto"/>
          </w:divBdr>
        </w:div>
      </w:divsChild>
    </w:div>
    <w:div w:id="1669672717">
      <w:marLeft w:val="0"/>
      <w:marRight w:val="0"/>
      <w:marTop w:val="0"/>
      <w:marBottom w:val="0"/>
      <w:divBdr>
        <w:top w:val="none" w:sz="0" w:space="0" w:color="auto"/>
        <w:left w:val="none" w:sz="0" w:space="0" w:color="auto"/>
        <w:bottom w:val="none" w:sz="0" w:space="0" w:color="auto"/>
        <w:right w:val="none" w:sz="0" w:space="0" w:color="auto"/>
      </w:divBdr>
      <w:divsChild>
        <w:div w:id="1779790598">
          <w:marLeft w:val="0"/>
          <w:marRight w:val="0"/>
          <w:marTop w:val="0"/>
          <w:marBottom w:val="0"/>
          <w:divBdr>
            <w:top w:val="none" w:sz="0" w:space="0" w:color="auto"/>
            <w:left w:val="none" w:sz="0" w:space="0" w:color="auto"/>
            <w:bottom w:val="none" w:sz="0" w:space="0" w:color="auto"/>
            <w:right w:val="none" w:sz="0" w:space="0" w:color="auto"/>
          </w:divBdr>
        </w:div>
      </w:divsChild>
    </w:div>
    <w:div w:id="1674916117">
      <w:marLeft w:val="0"/>
      <w:marRight w:val="0"/>
      <w:marTop w:val="0"/>
      <w:marBottom w:val="0"/>
      <w:divBdr>
        <w:top w:val="none" w:sz="0" w:space="0" w:color="auto"/>
        <w:left w:val="none" w:sz="0" w:space="0" w:color="auto"/>
        <w:bottom w:val="none" w:sz="0" w:space="0" w:color="auto"/>
        <w:right w:val="none" w:sz="0" w:space="0" w:color="auto"/>
      </w:divBdr>
    </w:div>
    <w:div w:id="1675454194">
      <w:marLeft w:val="0"/>
      <w:marRight w:val="0"/>
      <w:marTop w:val="0"/>
      <w:marBottom w:val="0"/>
      <w:divBdr>
        <w:top w:val="none" w:sz="0" w:space="0" w:color="auto"/>
        <w:left w:val="none" w:sz="0" w:space="0" w:color="auto"/>
        <w:bottom w:val="none" w:sz="0" w:space="0" w:color="auto"/>
        <w:right w:val="none" w:sz="0" w:space="0" w:color="auto"/>
      </w:divBdr>
    </w:div>
    <w:div w:id="1678187047">
      <w:marLeft w:val="0"/>
      <w:marRight w:val="0"/>
      <w:marTop w:val="0"/>
      <w:marBottom w:val="0"/>
      <w:divBdr>
        <w:top w:val="none" w:sz="0" w:space="0" w:color="auto"/>
        <w:left w:val="none" w:sz="0" w:space="0" w:color="auto"/>
        <w:bottom w:val="none" w:sz="0" w:space="0" w:color="auto"/>
        <w:right w:val="none" w:sz="0" w:space="0" w:color="auto"/>
      </w:divBdr>
      <w:divsChild>
        <w:div w:id="320351542">
          <w:marLeft w:val="0"/>
          <w:marRight w:val="0"/>
          <w:marTop w:val="0"/>
          <w:marBottom w:val="0"/>
          <w:divBdr>
            <w:top w:val="none" w:sz="0" w:space="0" w:color="auto"/>
            <w:left w:val="none" w:sz="0" w:space="0" w:color="auto"/>
            <w:bottom w:val="none" w:sz="0" w:space="0" w:color="auto"/>
            <w:right w:val="none" w:sz="0" w:space="0" w:color="auto"/>
          </w:divBdr>
        </w:div>
        <w:div w:id="210726785">
          <w:marLeft w:val="0"/>
          <w:marRight w:val="0"/>
          <w:marTop w:val="0"/>
          <w:marBottom w:val="0"/>
          <w:divBdr>
            <w:top w:val="none" w:sz="0" w:space="0" w:color="auto"/>
            <w:left w:val="none" w:sz="0" w:space="0" w:color="auto"/>
            <w:bottom w:val="none" w:sz="0" w:space="0" w:color="auto"/>
            <w:right w:val="none" w:sz="0" w:space="0" w:color="auto"/>
          </w:divBdr>
        </w:div>
      </w:divsChild>
    </w:div>
    <w:div w:id="1679425634">
      <w:marLeft w:val="0"/>
      <w:marRight w:val="0"/>
      <w:marTop w:val="0"/>
      <w:marBottom w:val="0"/>
      <w:divBdr>
        <w:top w:val="none" w:sz="0" w:space="0" w:color="auto"/>
        <w:left w:val="none" w:sz="0" w:space="0" w:color="auto"/>
        <w:bottom w:val="none" w:sz="0" w:space="0" w:color="auto"/>
        <w:right w:val="none" w:sz="0" w:space="0" w:color="auto"/>
      </w:divBdr>
    </w:div>
    <w:div w:id="1682664766">
      <w:marLeft w:val="0"/>
      <w:marRight w:val="0"/>
      <w:marTop w:val="180"/>
      <w:marBottom w:val="180"/>
      <w:divBdr>
        <w:top w:val="none" w:sz="0" w:space="0" w:color="auto"/>
        <w:left w:val="none" w:sz="0" w:space="0" w:color="auto"/>
        <w:bottom w:val="none" w:sz="0" w:space="0" w:color="auto"/>
        <w:right w:val="none" w:sz="0" w:space="0" w:color="auto"/>
      </w:divBdr>
    </w:div>
    <w:div w:id="1686520402">
      <w:marLeft w:val="0"/>
      <w:marRight w:val="0"/>
      <w:marTop w:val="0"/>
      <w:marBottom w:val="0"/>
      <w:divBdr>
        <w:top w:val="none" w:sz="0" w:space="0" w:color="auto"/>
        <w:left w:val="none" w:sz="0" w:space="0" w:color="auto"/>
        <w:bottom w:val="none" w:sz="0" w:space="0" w:color="auto"/>
        <w:right w:val="none" w:sz="0" w:space="0" w:color="auto"/>
      </w:divBdr>
      <w:divsChild>
        <w:div w:id="1688671589">
          <w:marLeft w:val="0"/>
          <w:marRight w:val="0"/>
          <w:marTop w:val="0"/>
          <w:marBottom w:val="0"/>
          <w:divBdr>
            <w:top w:val="none" w:sz="0" w:space="0" w:color="auto"/>
            <w:left w:val="none" w:sz="0" w:space="0" w:color="auto"/>
            <w:bottom w:val="none" w:sz="0" w:space="0" w:color="auto"/>
            <w:right w:val="none" w:sz="0" w:space="0" w:color="auto"/>
          </w:divBdr>
        </w:div>
      </w:divsChild>
    </w:div>
    <w:div w:id="1687560181">
      <w:marLeft w:val="0"/>
      <w:marRight w:val="0"/>
      <w:marTop w:val="0"/>
      <w:marBottom w:val="0"/>
      <w:divBdr>
        <w:top w:val="none" w:sz="0" w:space="0" w:color="auto"/>
        <w:left w:val="none" w:sz="0" w:space="0" w:color="auto"/>
        <w:bottom w:val="none" w:sz="0" w:space="0" w:color="auto"/>
        <w:right w:val="none" w:sz="0" w:space="0" w:color="auto"/>
      </w:divBdr>
    </w:div>
    <w:div w:id="1689214616">
      <w:marLeft w:val="0"/>
      <w:marRight w:val="0"/>
      <w:marTop w:val="0"/>
      <w:marBottom w:val="0"/>
      <w:divBdr>
        <w:top w:val="none" w:sz="0" w:space="0" w:color="auto"/>
        <w:left w:val="none" w:sz="0" w:space="0" w:color="auto"/>
        <w:bottom w:val="none" w:sz="0" w:space="0" w:color="auto"/>
        <w:right w:val="none" w:sz="0" w:space="0" w:color="auto"/>
      </w:divBdr>
      <w:divsChild>
        <w:div w:id="188373344">
          <w:marLeft w:val="0"/>
          <w:marRight w:val="0"/>
          <w:marTop w:val="0"/>
          <w:marBottom w:val="0"/>
          <w:divBdr>
            <w:top w:val="none" w:sz="0" w:space="0" w:color="auto"/>
            <w:left w:val="none" w:sz="0" w:space="0" w:color="auto"/>
            <w:bottom w:val="none" w:sz="0" w:space="0" w:color="auto"/>
            <w:right w:val="none" w:sz="0" w:space="0" w:color="auto"/>
          </w:divBdr>
        </w:div>
      </w:divsChild>
    </w:div>
    <w:div w:id="1692955835">
      <w:marLeft w:val="0"/>
      <w:marRight w:val="0"/>
      <w:marTop w:val="0"/>
      <w:marBottom w:val="0"/>
      <w:divBdr>
        <w:top w:val="none" w:sz="0" w:space="0" w:color="auto"/>
        <w:left w:val="none" w:sz="0" w:space="0" w:color="auto"/>
        <w:bottom w:val="none" w:sz="0" w:space="0" w:color="auto"/>
        <w:right w:val="none" w:sz="0" w:space="0" w:color="auto"/>
      </w:divBdr>
    </w:div>
    <w:div w:id="1694921366">
      <w:marLeft w:val="0"/>
      <w:marRight w:val="0"/>
      <w:marTop w:val="0"/>
      <w:marBottom w:val="0"/>
      <w:divBdr>
        <w:top w:val="none" w:sz="0" w:space="0" w:color="auto"/>
        <w:left w:val="none" w:sz="0" w:space="0" w:color="auto"/>
        <w:bottom w:val="none" w:sz="0" w:space="0" w:color="auto"/>
        <w:right w:val="none" w:sz="0" w:space="0" w:color="auto"/>
      </w:divBdr>
      <w:divsChild>
        <w:div w:id="1504930121">
          <w:marLeft w:val="0"/>
          <w:marRight w:val="0"/>
          <w:marTop w:val="0"/>
          <w:marBottom w:val="0"/>
          <w:divBdr>
            <w:top w:val="none" w:sz="0" w:space="0" w:color="auto"/>
            <w:left w:val="none" w:sz="0" w:space="0" w:color="auto"/>
            <w:bottom w:val="none" w:sz="0" w:space="0" w:color="auto"/>
            <w:right w:val="none" w:sz="0" w:space="0" w:color="auto"/>
          </w:divBdr>
        </w:div>
        <w:div w:id="1082675692">
          <w:marLeft w:val="0"/>
          <w:marRight w:val="0"/>
          <w:marTop w:val="0"/>
          <w:marBottom w:val="0"/>
          <w:divBdr>
            <w:top w:val="none" w:sz="0" w:space="0" w:color="auto"/>
            <w:left w:val="none" w:sz="0" w:space="0" w:color="auto"/>
            <w:bottom w:val="none" w:sz="0" w:space="0" w:color="auto"/>
            <w:right w:val="none" w:sz="0" w:space="0" w:color="auto"/>
          </w:divBdr>
        </w:div>
      </w:divsChild>
    </w:div>
    <w:div w:id="1697777634">
      <w:marLeft w:val="0"/>
      <w:marRight w:val="0"/>
      <w:marTop w:val="0"/>
      <w:marBottom w:val="0"/>
      <w:divBdr>
        <w:top w:val="none" w:sz="0" w:space="0" w:color="auto"/>
        <w:left w:val="none" w:sz="0" w:space="0" w:color="auto"/>
        <w:bottom w:val="none" w:sz="0" w:space="0" w:color="auto"/>
        <w:right w:val="none" w:sz="0" w:space="0" w:color="auto"/>
      </w:divBdr>
    </w:div>
    <w:div w:id="1705055384">
      <w:marLeft w:val="0"/>
      <w:marRight w:val="0"/>
      <w:marTop w:val="0"/>
      <w:marBottom w:val="0"/>
      <w:divBdr>
        <w:top w:val="none" w:sz="0" w:space="0" w:color="auto"/>
        <w:left w:val="none" w:sz="0" w:space="0" w:color="auto"/>
        <w:bottom w:val="none" w:sz="0" w:space="0" w:color="auto"/>
        <w:right w:val="none" w:sz="0" w:space="0" w:color="auto"/>
      </w:divBdr>
    </w:div>
    <w:div w:id="1706907155">
      <w:marLeft w:val="0"/>
      <w:marRight w:val="0"/>
      <w:marTop w:val="0"/>
      <w:marBottom w:val="0"/>
      <w:divBdr>
        <w:top w:val="none" w:sz="0" w:space="0" w:color="auto"/>
        <w:left w:val="none" w:sz="0" w:space="0" w:color="auto"/>
        <w:bottom w:val="none" w:sz="0" w:space="0" w:color="auto"/>
        <w:right w:val="none" w:sz="0" w:space="0" w:color="auto"/>
      </w:divBdr>
    </w:div>
    <w:div w:id="1709253780">
      <w:marLeft w:val="0"/>
      <w:marRight w:val="0"/>
      <w:marTop w:val="100"/>
      <w:marBottom w:val="0"/>
      <w:divBdr>
        <w:top w:val="none" w:sz="0" w:space="0" w:color="auto"/>
        <w:left w:val="none" w:sz="0" w:space="0" w:color="auto"/>
        <w:bottom w:val="none" w:sz="0" w:space="0" w:color="auto"/>
        <w:right w:val="none" w:sz="0" w:space="0" w:color="auto"/>
      </w:divBdr>
    </w:div>
    <w:div w:id="1709452152">
      <w:marLeft w:val="0"/>
      <w:marRight w:val="0"/>
      <w:marTop w:val="0"/>
      <w:marBottom w:val="0"/>
      <w:divBdr>
        <w:top w:val="none" w:sz="0" w:space="0" w:color="auto"/>
        <w:left w:val="none" w:sz="0" w:space="0" w:color="auto"/>
        <w:bottom w:val="none" w:sz="0" w:space="0" w:color="auto"/>
        <w:right w:val="none" w:sz="0" w:space="0" w:color="auto"/>
      </w:divBdr>
      <w:divsChild>
        <w:div w:id="405809975">
          <w:marLeft w:val="0"/>
          <w:marRight w:val="0"/>
          <w:marTop w:val="0"/>
          <w:marBottom w:val="0"/>
          <w:divBdr>
            <w:top w:val="none" w:sz="0" w:space="0" w:color="auto"/>
            <w:left w:val="none" w:sz="0" w:space="0" w:color="auto"/>
            <w:bottom w:val="none" w:sz="0" w:space="0" w:color="auto"/>
            <w:right w:val="none" w:sz="0" w:space="0" w:color="auto"/>
          </w:divBdr>
        </w:div>
        <w:div w:id="1871644225">
          <w:marLeft w:val="0"/>
          <w:marRight w:val="0"/>
          <w:marTop w:val="0"/>
          <w:marBottom w:val="0"/>
          <w:divBdr>
            <w:top w:val="none" w:sz="0" w:space="0" w:color="auto"/>
            <w:left w:val="none" w:sz="0" w:space="0" w:color="auto"/>
            <w:bottom w:val="none" w:sz="0" w:space="0" w:color="auto"/>
            <w:right w:val="none" w:sz="0" w:space="0" w:color="auto"/>
          </w:divBdr>
        </w:div>
      </w:divsChild>
    </w:div>
    <w:div w:id="1713186399">
      <w:marLeft w:val="0"/>
      <w:marRight w:val="0"/>
      <w:marTop w:val="0"/>
      <w:marBottom w:val="0"/>
      <w:divBdr>
        <w:top w:val="none" w:sz="0" w:space="0" w:color="auto"/>
        <w:left w:val="none" w:sz="0" w:space="0" w:color="auto"/>
        <w:bottom w:val="none" w:sz="0" w:space="0" w:color="auto"/>
        <w:right w:val="none" w:sz="0" w:space="0" w:color="auto"/>
      </w:divBdr>
      <w:divsChild>
        <w:div w:id="1638294484">
          <w:marLeft w:val="0"/>
          <w:marRight w:val="0"/>
          <w:marTop w:val="0"/>
          <w:marBottom w:val="0"/>
          <w:divBdr>
            <w:top w:val="none" w:sz="0" w:space="0" w:color="auto"/>
            <w:left w:val="none" w:sz="0" w:space="0" w:color="auto"/>
            <w:bottom w:val="none" w:sz="0" w:space="0" w:color="auto"/>
            <w:right w:val="none" w:sz="0" w:space="0" w:color="auto"/>
          </w:divBdr>
        </w:div>
      </w:divsChild>
    </w:div>
    <w:div w:id="1715881462">
      <w:marLeft w:val="0"/>
      <w:marRight w:val="0"/>
      <w:marTop w:val="0"/>
      <w:marBottom w:val="0"/>
      <w:divBdr>
        <w:top w:val="none" w:sz="0" w:space="0" w:color="auto"/>
        <w:left w:val="none" w:sz="0" w:space="0" w:color="auto"/>
        <w:bottom w:val="none" w:sz="0" w:space="0" w:color="auto"/>
        <w:right w:val="none" w:sz="0" w:space="0" w:color="auto"/>
      </w:divBdr>
      <w:divsChild>
        <w:div w:id="261307836">
          <w:marLeft w:val="0"/>
          <w:marRight w:val="0"/>
          <w:marTop w:val="0"/>
          <w:marBottom w:val="0"/>
          <w:divBdr>
            <w:top w:val="none" w:sz="0" w:space="0" w:color="auto"/>
            <w:left w:val="none" w:sz="0" w:space="0" w:color="auto"/>
            <w:bottom w:val="none" w:sz="0" w:space="0" w:color="auto"/>
            <w:right w:val="none" w:sz="0" w:space="0" w:color="auto"/>
          </w:divBdr>
        </w:div>
        <w:div w:id="1779836089">
          <w:marLeft w:val="0"/>
          <w:marRight w:val="0"/>
          <w:marTop w:val="0"/>
          <w:marBottom w:val="0"/>
          <w:divBdr>
            <w:top w:val="none" w:sz="0" w:space="0" w:color="auto"/>
            <w:left w:val="none" w:sz="0" w:space="0" w:color="auto"/>
            <w:bottom w:val="none" w:sz="0" w:space="0" w:color="auto"/>
            <w:right w:val="none" w:sz="0" w:space="0" w:color="auto"/>
          </w:divBdr>
        </w:div>
      </w:divsChild>
    </w:div>
    <w:div w:id="1716001319">
      <w:marLeft w:val="0"/>
      <w:marRight w:val="0"/>
      <w:marTop w:val="0"/>
      <w:marBottom w:val="0"/>
      <w:divBdr>
        <w:top w:val="none" w:sz="0" w:space="0" w:color="auto"/>
        <w:left w:val="none" w:sz="0" w:space="0" w:color="auto"/>
        <w:bottom w:val="none" w:sz="0" w:space="0" w:color="auto"/>
        <w:right w:val="none" w:sz="0" w:space="0" w:color="auto"/>
      </w:divBdr>
      <w:divsChild>
        <w:div w:id="1713536038">
          <w:marLeft w:val="0"/>
          <w:marRight w:val="0"/>
          <w:marTop w:val="0"/>
          <w:marBottom w:val="0"/>
          <w:divBdr>
            <w:top w:val="none" w:sz="0" w:space="0" w:color="auto"/>
            <w:left w:val="none" w:sz="0" w:space="0" w:color="auto"/>
            <w:bottom w:val="none" w:sz="0" w:space="0" w:color="auto"/>
            <w:right w:val="none" w:sz="0" w:space="0" w:color="auto"/>
          </w:divBdr>
        </w:div>
      </w:divsChild>
    </w:div>
    <w:div w:id="1717847326">
      <w:marLeft w:val="0"/>
      <w:marRight w:val="0"/>
      <w:marTop w:val="0"/>
      <w:marBottom w:val="0"/>
      <w:divBdr>
        <w:top w:val="none" w:sz="0" w:space="0" w:color="auto"/>
        <w:left w:val="none" w:sz="0" w:space="0" w:color="auto"/>
        <w:bottom w:val="none" w:sz="0" w:space="0" w:color="auto"/>
        <w:right w:val="none" w:sz="0" w:space="0" w:color="auto"/>
      </w:divBdr>
    </w:div>
    <w:div w:id="1718779408">
      <w:marLeft w:val="0"/>
      <w:marRight w:val="0"/>
      <w:marTop w:val="0"/>
      <w:marBottom w:val="0"/>
      <w:divBdr>
        <w:top w:val="none" w:sz="0" w:space="0" w:color="auto"/>
        <w:left w:val="none" w:sz="0" w:space="0" w:color="auto"/>
        <w:bottom w:val="none" w:sz="0" w:space="0" w:color="auto"/>
        <w:right w:val="none" w:sz="0" w:space="0" w:color="auto"/>
      </w:divBdr>
      <w:divsChild>
        <w:div w:id="1475416061">
          <w:marLeft w:val="0"/>
          <w:marRight w:val="0"/>
          <w:marTop w:val="0"/>
          <w:marBottom w:val="0"/>
          <w:divBdr>
            <w:top w:val="none" w:sz="0" w:space="0" w:color="auto"/>
            <w:left w:val="none" w:sz="0" w:space="0" w:color="auto"/>
            <w:bottom w:val="none" w:sz="0" w:space="0" w:color="auto"/>
            <w:right w:val="none" w:sz="0" w:space="0" w:color="auto"/>
          </w:divBdr>
        </w:div>
        <w:div w:id="1526483539">
          <w:marLeft w:val="0"/>
          <w:marRight w:val="0"/>
          <w:marTop w:val="0"/>
          <w:marBottom w:val="0"/>
          <w:divBdr>
            <w:top w:val="none" w:sz="0" w:space="0" w:color="auto"/>
            <w:left w:val="none" w:sz="0" w:space="0" w:color="auto"/>
            <w:bottom w:val="none" w:sz="0" w:space="0" w:color="auto"/>
            <w:right w:val="none" w:sz="0" w:space="0" w:color="auto"/>
          </w:divBdr>
        </w:div>
      </w:divsChild>
    </w:div>
    <w:div w:id="1722095826">
      <w:marLeft w:val="0"/>
      <w:marRight w:val="0"/>
      <w:marTop w:val="0"/>
      <w:marBottom w:val="0"/>
      <w:divBdr>
        <w:top w:val="none" w:sz="0" w:space="0" w:color="auto"/>
        <w:left w:val="none" w:sz="0" w:space="0" w:color="auto"/>
        <w:bottom w:val="none" w:sz="0" w:space="0" w:color="auto"/>
        <w:right w:val="none" w:sz="0" w:space="0" w:color="auto"/>
      </w:divBdr>
    </w:div>
    <w:div w:id="1726100339">
      <w:marLeft w:val="0"/>
      <w:marRight w:val="0"/>
      <w:marTop w:val="0"/>
      <w:marBottom w:val="0"/>
      <w:divBdr>
        <w:top w:val="none" w:sz="0" w:space="0" w:color="auto"/>
        <w:left w:val="none" w:sz="0" w:space="0" w:color="auto"/>
        <w:bottom w:val="none" w:sz="0" w:space="0" w:color="auto"/>
        <w:right w:val="none" w:sz="0" w:space="0" w:color="auto"/>
      </w:divBdr>
      <w:divsChild>
        <w:div w:id="999700666">
          <w:marLeft w:val="0"/>
          <w:marRight w:val="0"/>
          <w:marTop w:val="0"/>
          <w:marBottom w:val="0"/>
          <w:divBdr>
            <w:top w:val="none" w:sz="0" w:space="0" w:color="auto"/>
            <w:left w:val="none" w:sz="0" w:space="0" w:color="auto"/>
            <w:bottom w:val="none" w:sz="0" w:space="0" w:color="auto"/>
            <w:right w:val="none" w:sz="0" w:space="0" w:color="auto"/>
          </w:divBdr>
        </w:div>
        <w:div w:id="1052388898">
          <w:marLeft w:val="0"/>
          <w:marRight w:val="0"/>
          <w:marTop w:val="0"/>
          <w:marBottom w:val="0"/>
          <w:divBdr>
            <w:top w:val="none" w:sz="0" w:space="0" w:color="auto"/>
            <w:left w:val="none" w:sz="0" w:space="0" w:color="auto"/>
            <w:bottom w:val="none" w:sz="0" w:space="0" w:color="auto"/>
            <w:right w:val="none" w:sz="0" w:space="0" w:color="auto"/>
          </w:divBdr>
        </w:div>
      </w:divsChild>
    </w:div>
    <w:div w:id="1732776169">
      <w:marLeft w:val="0"/>
      <w:marRight w:val="0"/>
      <w:marTop w:val="0"/>
      <w:marBottom w:val="0"/>
      <w:divBdr>
        <w:top w:val="none" w:sz="0" w:space="0" w:color="auto"/>
        <w:left w:val="none" w:sz="0" w:space="0" w:color="auto"/>
        <w:bottom w:val="none" w:sz="0" w:space="0" w:color="auto"/>
        <w:right w:val="none" w:sz="0" w:space="0" w:color="auto"/>
      </w:divBdr>
      <w:divsChild>
        <w:div w:id="215822956">
          <w:marLeft w:val="0"/>
          <w:marRight w:val="0"/>
          <w:marTop w:val="0"/>
          <w:marBottom w:val="0"/>
          <w:divBdr>
            <w:top w:val="none" w:sz="0" w:space="0" w:color="auto"/>
            <w:left w:val="none" w:sz="0" w:space="0" w:color="auto"/>
            <w:bottom w:val="none" w:sz="0" w:space="0" w:color="auto"/>
            <w:right w:val="none" w:sz="0" w:space="0" w:color="auto"/>
          </w:divBdr>
        </w:div>
      </w:divsChild>
    </w:div>
    <w:div w:id="1733625866">
      <w:marLeft w:val="0"/>
      <w:marRight w:val="0"/>
      <w:marTop w:val="0"/>
      <w:marBottom w:val="0"/>
      <w:divBdr>
        <w:top w:val="none" w:sz="0" w:space="0" w:color="auto"/>
        <w:left w:val="none" w:sz="0" w:space="0" w:color="auto"/>
        <w:bottom w:val="none" w:sz="0" w:space="0" w:color="auto"/>
        <w:right w:val="none" w:sz="0" w:space="0" w:color="auto"/>
      </w:divBdr>
      <w:divsChild>
        <w:div w:id="736174654">
          <w:marLeft w:val="0"/>
          <w:marRight w:val="0"/>
          <w:marTop w:val="0"/>
          <w:marBottom w:val="0"/>
          <w:divBdr>
            <w:top w:val="none" w:sz="0" w:space="0" w:color="auto"/>
            <w:left w:val="none" w:sz="0" w:space="0" w:color="auto"/>
            <w:bottom w:val="none" w:sz="0" w:space="0" w:color="auto"/>
            <w:right w:val="none" w:sz="0" w:space="0" w:color="auto"/>
          </w:divBdr>
        </w:div>
        <w:div w:id="705636698">
          <w:marLeft w:val="0"/>
          <w:marRight w:val="0"/>
          <w:marTop w:val="0"/>
          <w:marBottom w:val="0"/>
          <w:divBdr>
            <w:top w:val="none" w:sz="0" w:space="0" w:color="auto"/>
            <w:left w:val="none" w:sz="0" w:space="0" w:color="auto"/>
            <w:bottom w:val="none" w:sz="0" w:space="0" w:color="auto"/>
            <w:right w:val="none" w:sz="0" w:space="0" w:color="auto"/>
          </w:divBdr>
        </w:div>
      </w:divsChild>
    </w:div>
    <w:div w:id="1733767195">
      <w:marLeft w:val="0"/>
      <w:marRight w:val="0"/>
      <w:marTop w:val="0"/>
      <w:marBottom w:val="120"/>
      <w:divBdr>
        <w:top w:val="none" w:sz="0" w:space="0" w:color="auto"/>
        <w:left w:val="none" w:sz="0" w:space="0" w:color="auto"/>
        <w:bottom w:val="none" w:sz="0" w:space="0" w:color="auto"/>
        <w:right w:val="none" w:sz="0" w:space="0" w:color="auto"/>
      </w:divBdr>
    </w:div>
    <w:div w:id="1736270703">
      <w:marLeft w:val="0"/>
      <w:marRight w:val="0"/>
      <w:marTop w:val="0"/>
      <w:marBottom w:val="0"/>
      <w:divBdr>
        <w:top w:val="none" w:sz="0" w:space="0" w:color="auto"/>
        <w:left w:val="none" w:sz="0" w:space="0" w:color="auto"/>
        <w:bottom w:val="none" w:sz="0" w:space="0" w:color="auto"/>
        <w:right w:val="none" w:sz="0" w:space="0" w:color="auto"/>
      </w:divBdr>
    </w:div>
    <w:div w:id="1736271287">
      <w:marLeft w:val="0"/>
      <w:marRight w:val="0"/>
      <w:marTop w:val="0"/>
      <w:marBottom w:val="0"/>
      <w:divBdr>
        <w:top w:val="none" w:sz="0" w:space="0" w:color="auto"/>
        <w:left w:val="none" w:sz="0" w:space="0" w:color="auto"/>
        <w:bottom w:val="none" w:sz="0" w:space="0" w:color="auto"/>
        <w:right w:val="none" w:sz="0" w:space="0" w:color="auto"/>
      </w:divBdr>
      <w:divsChild>
        <w:div w:id="1716537490">
          <w:marLeft w:val="0"/>
          <w:marRight w:val="0"/>
          <w:marTop w:val="0"/>
          <w:marBottom w:val="0"/>
          <w:divBdr>
            <w:top w:val="none" w:sz="0" w:space="0" w:color="auto"/>
            <w:left w:val="none" w:sz="0" w:space="0" w:color="auto"/>
            <w:bottom w:val="none" w:sz="0" w:space="0" w:color="auto"/>
            <w:right w:val="none" w:sz="0" w:space="0" w:color="auto"/>
          </w:divBdr>
        </w:div>
        <w:div w:id="896861254">
          <w:marLeft w:val="0"/>
          <w:marRight w:val="0"/>
          <w:marTop w:val="0"/>
          <w:marBottom w:val="0"/>
          <w:divBdr>
            <w:top w:val="none" w:sz="0" w:space="0" w:color="auto"/>
            <w:left w:val="none" w:sz="0" w:space="0" w:color="auto"/>
            <w:bottom w:val="none" w:sz="0" w:space="0" w:color="auto"/>
            <w:right w:val="none" w:sz="0" w:space="0" w:color="auto"/>
          </w:divBdr>
        </w:div>
      </w:divsChild>
    </w:div>
    <w:div w:id="1741561989">
      <w:marLeft w:val="0"/>
      <w:marRight w:val="0"/>
      <w:marTop w:val="0"/>
      <w:marBottom w:val="0"/>
      <w:divBdr>
        <w:top w:val="none" w:sz="0" w:space="0" w:color="auto"/>
        <w:left w:val="none" w:sz="0" w:space="0" w:color="auto"/>
        <w:bottom w:val="none" w:sz="0" w:space="0" w:color="auto"/>
        <w:right w:val="none" w:sz="0" w:space="0" w:color="auto"/>
      </w:divBdr>
    </w:div>
    <w:div w:id="1742099011">
      <w:marLeft w:val="0"/>
      <w:marRight w:val="0"/>
      <w:marTop w:val="100"/>
      <w:marBottom w:val="100"/>
      <w:divBdr>
        <w:top w:val="none" w:sz="0" w:space="0" w:color="auto"/>
        <w:left w:val="none" w:sz="0" w:space="0" w:color="auto"/>
        <w:bottom w:val="none" w:sz="0" w:space="0" w:color="auto"/>
        <w:right w:val="none" w:sz="0" w:space="0" w:color="auto"/>
      </w:divBdr>
    </w:div>
    <w:div w:id="1744260585">
      <w:marLeft w:val="0"/>
      <w:marRight w:val="0"/>
      <w:marTop w:val="100"/>
      <w:marBottom w:val="100"/>
      <w:divBdr>
        <w:top w:val="none" w:sz="0" w:space="0" w:color="auto"/>
        <w:left w:val="none" w:sz="0" w:space="0" w:color="auto"/>
        <w:bottom w:val="none" w:sz="0" w:space="0" w:color="auto"/>
        <w:right w:val="none" w:sz="0" w:space="0" w:color="auto"/>
      </w:divBdr>
      <w:divsChild>
        <w:div w:id="68312234">
          <w:marLeft w:val="0"/>
          <w:marRight w:val="0"/>
          <w:marTop w:val="0"/>
          <w:marBottom w:val="0"/>
          <w:divBdr>
            <w:top w:val="none" w:sz="0" w:space="0" w:color="auto"/>
            <w:left w:val="none" w:sz="0" w:space="0" w:color="auto"/>
            <w:bottom w:val="none" w:sz="0" w:space="0" w:color="auto"/>
            <w:right w:val="none" w:sz="0" w:space="0" w:color="auto"/>
          </w:divBdr>
        </w:div>
        <w:div w:id="2055229742">
          <w:marLeft w:val="0"/>
          <w:marRight w:val="0"/>
          <w:marTop w:val="0"/>
          <w:marBottom w:val="0"/>
          <w:divBdr>
            <w:top w:val="none" w:sz="0" w:space="0" w:color="auto"/>
            <w:left w:val="none" w:sz="0" w:space="0" w:color="auto"/>
            <w:bottom w:val="none" w:sz="0" w:space="0" w:color="auto"/>
            <w:right w:val="none" w:sz="0" w:space="0" w:color="auto"/>
          </w:divBdr>
        </w:div>
      </w:divsChild>
    </w:div>
    <w:div w:id="1748192193">
      <w:marLeft w:val="0"/>
      <w:marRight w:val="0"/>
      <w:marTop w:val="120"/>
      <w:marBottom w:val="120"/>
      <w:divBdr>
        <w:top w:val="none" w:sz="0" w:space="0" w:color="auto"/>
        <w:left w:val="none" w:sz="0" w:space="0" w:color="auto"/>
        <w:bottom w:val="none" w:sz="0" w:space="0" w:color="auto"/>
        <w:right w:val="none" w:sz="0" w:space="0" w:color="auto"/>
      </w:divBdr>
    </w:div>
    <w:div w:id="1751078657">
      <w:marLeft w:val="0"/>
      <w:marRight w:val="0"/>
      <w:marTop w:val="100"/>
      <w:marBottom w:val="0"/>
      <w:divBdr>
        <w:top w:val="none" w:sz="0" w:space="0" w:color="auto"/>
        <w:left w:val="none" w:sz="0" w:space="0" w:color="auto"/>
        <w:bottom w:val="none" w:sz="0" w:space="0" w:color="auto"/>
        <w:right w:val="none" w:sz="0" w:space="0" w:color="auto"/>
      </w:divBdr>
      <w:divsChild>
        <w:div w:id="293489282">
          <w:marLeft w:val="0"/>
          <w:marRight w:val="0"/>
          <w:marTop w:val="0"/>
          <w:marBottom w:val="0"/>
          <w:divBdr>
            <w:top w:val="none" w:sz="0" w:space="0" w:color="auto"/>
            <w:left w:val="none" w:sz="0" w:space="0" w:color="auto"/>
            <w:bottom w:val="none" w:sz="0" w:space="0" w:color="auto"/>
            <w:right w:val="none" w:sz="0" w:space="0" w:color="auto"/>
          </w:divBdr>
        </w:div>
        <w:div w:id="1895310997">
          <w:marLeft w:val="0"/>
          <w:marRight w:val="0"/>
          <w:marTop w:val="0"/>
          <w:marBottom w:val="0"/>
          <w:divBdr>
            <w:top w:val="none" w:sz="0" w:space="0" w:color="auto"/>
            <w:left w:val="none" w:sz="0" w:space="0" w:color="auto"/>
            <w:bottom w:val="none" w:sz="0" w:space="0" w:color="auto"/>
            <w:right w:val="none" w:sz="0" w:space="0" w:color="auto"/>
          </w:divBdr>
        </w:div>
        <w:div w:id="1091313892">
          <w:marLeft w:val="0"/>
          <w:marRight w:val="0"/>
          <w:marTop w:val="0"/>
          <w:marBottom w:val="0"/>
          <w:divBdr>
            <w:top w:val="none" w:sz="0" w:space="0" w:color="auto"/>
            <w:left w:val="none" w:sz="0" w:space="0" w:color="auto"/>
            <w:bottom w:val="none" w:sz="0" w:space="0" w:color="auto"/>
            <w:right w:val="none" w:sz="0" w:space="0" w:color="auto"/>
          </w:divBdr>
        </w:div>
        <w:div w:id="1449347579">
          <w:marLeft w:val="0"/>
          <w:marRight w:val="0"/>
          <w:marTop w:val="0"/>
          <w:marBottom w:val="0"/>
          <w:divBdr>
            <w:top w:val="none" w:sz="0" w:space="0" w:color="auto"/>
            <w:left w:val="none" w:sz="0" w:space="0" w:color="auto"/>
            <w:bottom w:val="none" w:sz="0" w:space="0" w:color="auto"/>
            <w:right w:val="none" w:sz="0" w:space="0" w:color="auto"/>
          </w:divBdr>
        </w:div>
      </w:divsChild>
    </w:div>
    <w:div w:id="1759207657">
      <w:marLeft w:val="0"/>
      <w:marRight w:val="0"/>
      <w:marTop w:val="0"/>
      <w:marBottom w:val="0"/>
      <w:divBdr>
        <w:top w:val="none" w:sz="0" w:space="0" w:color="auto"/>
        <w:left w:val="none" w:sz="0" w:space="0" w:color="auto"/>
        <w:bottom w:val="none" w:sz="0" w:space="0" w:color="auto"/>
        <w:right w:val="none" w:sz="0" w:space="0" w:color="auto"/>
      </w:divBdr>
    </w:div>
    <w:div w:id="1759981254">
      <w:marLeft w:val="0"/>
      <w:marRight w:val="0"/>
      <w:marTop w:val="0"/>
      <w:marBottom w:val="0"/>
      <w:divBdr>
        <w:top w:val="none" w:sz="0" w:space="0" w:color="auto"/>
        <w:left w:val="none" w:sz="0" w:space="0" w:color="auto"/>
        <w:bottom w:val="none" w:sz="0" w:space="0" w:color="auto"/>
        <w:right w:val="none" w:sz="0" w:space="0" w:color="auto"/>
      </w:divBdr>
    </w:div>
    <w:div w:id="1761950012">
      <w:marLeft w:val="0"/>
      <w:marRight w:val="0"/>
      <w:marTop w:val="0"/>
      <w:marBottom w:val="160"/>
      <w:divBdr>
        <w:top w:val="none" w:sz="0" w:space="0" w:color="auto"/>
        <w:left w:val="none" w:sz="0" w:space="0" w:color="auto"/>
        <w:bottom w:val="none" w:sz="0" w:space="0" w:color="auto"/>
        <w:right w:val="none" w:sz="0" w:space="0" w:color="auto"/>
      </w:divBdr>
    </w:div>
    <w:div w:id="1765802477">
      <w:marLeft w:val="0"/>
      <w:marRight w:val="0"/>
      <w:marTop w:val="0"/>
      <w:marBottom w:val="60"/>
      <w:divBdr>
        <w:top w:val="none" w:sz="0" w:space="0" w:color="auto"/>
        <w:left w:val="none" w:sz="0" w:space="0" w:color="auto"/>
        <w:bottom w:val="none" w:sz="0" w:space="0" w:color="auto"/>
        <w:right w:val="none" w:sz="0" w:space="0" w:color="auto"/>
      </w:divBdr>
    </w:div>
    <w:div w:id="1766150378">
      <w:marLeft w:val="0"/>
      <w:marRight w:val="0"/>
      <w:marTop w:val="0"/>
      <w:marBottom w:val="0"/>
      <w:divBdr>
        <w:top w:val="none" w:sz="0" w:space="0" w:color="auto"/>
        <w:left w:val="none" w:sz="0" w:space="0" w:color="auto"/>
        <w:bottom w:val="none" w:sz="0" w:space="0" w:color="auto"/>
        <w:right w:val="none" w:sz="0" w:space="0" w:color="auto"/>
      </w:divBdr>
    </w:div>
    <w:div w:id="1767338355">
      <w:marLeft w:val="0"/>
      <w:marRight w:val="0"/>
      <w:marTop w:val="0"/>
      <w:marBottom w:val="0"/>
      <w:divBdr>
        <w:top w:val="none" w:sz="0" w:space="0" w:color="auto"/>
        <w:left w:val="none" w:sz="0" w:space="0" w:color="auto"/>
        <w:bottom w:val="none" w:sz="0" w:space="0" w:color="auto"/>
        <w:right w:val="none" w:sz="0" w:space="0" w:color="auto"/>
      </w:divBdr>
      <w:divsChild>
        <w:div w:id="109863734">
          <w:marLeft w:val="0"/>
          <w:marRight w:val="0"/>
          <w:marTop w:val="0"/>
          <w:marBottom w:val="0"/>
          <w:divBdr>
            <w:top w:val="none" w:sz="0" w:space="0" w:color="auto"/>
            <w:left w:val="none" w:sz="0" w:space="0" w:color="auto"/>
            <w:bottom w:val="none" w:sz="0" w:space="0" w:color="auto"/>
            <w:right w:val="none" w:sz="0" w:space="0" w:color="auto"/>
          </w:divBdr>
        </w:div>
        <w:div w:id="1101223311">
          <w:marLeft w:val="0"/>
          <w:marRight w:val="0"/>
          <w:marTop w:val="0"/>
          <w:marBottom w:val="0"/>
          <w:divBdr>
            <w:top w:val="none" w:sz="0" w:space="0" w:color="auto"/>
            <w:left w:val="none" w:sz="0" w:space="0" w:color="auto"/>
            <w:bottom w:val="none" w:sz="0" w:space="0" w:color="auto"/>
            <w:right w:val="none" w:sz="0" w:space="0" w:color="auto"/>
          </w:divBdr>
        </w:div>
      </w:divsChild>
    </w:div>
    <w:div w:id="1769539161">
      <w:marLeft w:val="0"/>
      <w:marRight w:val="0"/>
      <w:marTop w:val="0"/>
      <w:marBottom w:val="0"/>
      <w:divBdr>
        <w:top w:val="none" w:sz="0" w:space="0" w:color="auto"/>
        <w:left w:val="none" w:sz="0" w:space="0" w:color="auto"/>
        <w:bottom w:val="none" w:sz="0" w:space="0" w:color="auto"/>
        <w:right w:val="none" w:sz="0" w:space="0" w:color="auto"/>
      </w:divBdr>
    </w:div>
    <w:div w:id="1770352976">
      <w:marLeft w:val="0"/>
      <w:marRight w:val="0"/>
      <w:marTop w:val="100"/>
      <w:marBottom w:val="0"/>
      <w:divBdr>
        <w:top w:val="none" w:sz="0" w:space="0" w:color="auto"/>
        <w:left w:val="none" w:sz="0" w:space="0" w:color="auto"/>
        <w:bottom w:val="none" w:sz="0" w:space="0" w:color="auto"/>
        <w:right w:val="none" w:sz="0" w:space="0" w:color="auto"/>
      </w:divBdr>
    </w:div>
    <w:div w:id="1772696994">
      <w:marLeft w:val="0"/>
      <w:marRight w:val="0"/>
      <w:marTop w:val="100"/>
      <w:marBottom w:val="0"/>
      <w:divBdr>
        <w:top w:val="none" w:sz="0" w:space="0" w:color="auto"/>
        <w:left w:val="none" w:sz="0" w:space="0" w:color="auto"/>
        <w:bottom w:val="none" w:sz="0" w:space="0" w:color="auto"/>
        <w:right w:val="none" w:sz="0" w:space="0" w:color="auto"/>
      </w:divBdr>
    </w:div>
    <w:div w:id="1774082748">
      <w:marLeft w:val="0"/>
      <w:marRight w:val="0"/>
      <w:marTop w:val="0"/>
      <w:marBottom w:val="0"/>
      <w:divBdr>
        <w:top w:val="none" w:sz="0" w:space="0" w:color="auto"/>
        <w:left w:val="none" w:sz="0" w:space="0" w:color="auto"/>
        <w:bottom w:val="none" w:sz="0" w:space="0" w:color="auto"/>
        <w:right w:val="none" w:sz="0" w:space="0" w:color="auto"/>
      </w:divBdr>
      <w:divsChild>
        <w:div w:id="736247238">
          <w:marLeft w:val="0"/>
          <w:marRight w:val="0"/>
          <w:marTop w:val="0"/>
          <w:marBottom w:val="0"/>
          <w:divBdr>
            <w:top w:val="none" w:sz="0" w:space="0" w:color="auto"/>
            <w:left w:val="none" w:sz="0" w:space="0" w:color="auto"/>
            <w:bottom w:val="none" w:sz="0" w:space="0" w:color="auto"/>
            <w:right w:val="none" w:sz="0" w:space="0" w:color="auto"/>
          </w:divBdr>
        </w:div>
      </w:divsChild>
    </w:div>
    <w:div w:id="1774663378">
      <w:marLeft w:val="0"/>
      <w:marRight w:val="0"/>
      <w:marTop w:val="0"/>
      <w:marBottom w:val="0"/>
      <w:divBdr>
        <w:top w:val="none" w:sz="0" w:space="0" w:color="auto"/>
        <w:left w:val="none" w:sz="0" w:space="0" w:color="auto"/>
        <w:bottom w:val="none" w:sz="0" w:space="0" w:color="auto"/>
        <w:right w:val="none" w:sz="0" w:space="0" w:color="auto"/>
      </w:divBdr>
    </w:div>
    <w:div w:id="1777556435">
      <w:marLeft w:val="0"/>
      <w:marRight w:val="0"/>
      <w:marTop w:val="0"/>
      <w:marBottom w:val="0"/>
      <w:divBdr>
        <w:top w:val="none" w:sz="0" w:space="0" w:color="auto"/>
        <w:left w:val="none" w:sz="0" w:space="0" w:color="auto"/>
        <w:bottom w:val="none" w:sz="0" w:space="0" w:color="auto"/>
        <w:right w:val="none" w:sz="0" w:space="0" w:color="auto"/>
      </w:divBdr>
    </w:div>
    <w:div w:id="1778407059">
      <w:marLeft w:val="0"/>
      <w:marRight w:val="0"/>
      <w:marTop w:val="0"/>
      <w:marBottom w:val="0"/>
      <w:divBdr>
        <w:top w:val="none" w:sz="0" w:space="0" w:color="auto"/>
        <w:left w:val="none" w:sz="0" w:space="0" w:color="auto"/>
        <w:bottom w:val="none" w:sz="0" w:space="0" w:color="auto"/>
        <w:right w:val="none" w:sz="0" w:space="0" w:color="auto"/>
      </w:divBdr>
    </w:div>
    <w:div w:id="1779253534">
      <w:marLeft w:val="0"/>
      <w:marRight w:val="0"/>
      <w:marTop w:val="0"/>
      <w:marBottom w:val="0"/>
      <w:divBdr>
        <w:top w:val="none" w:sz="0" w:space="0" w:color="auto"/>
        <w:left w:val="none" w:sz="0" w:space="0" w:color="auto"/>
        <w:bottom w:val="none" w:sz="0" w:space="0" w:color="auto"/>
        <w:right w:val="none" w:sz="0" w:space="0" w:color="auto"/>
      </w:divBdr>
      <w:divsChild>
        <w:div w:id="742069365">
          <w:marLeft w:val="0"/>
          <w:marRight w:val="0"/>
          <w:marTop w:val="0"/>
          <w:marBottom w:val="0"/>
          <w:divBdr>
            <w:top w:val="none" w:sz="0" w:space="0" w:color="auto"/>
            <w:left w:val="none" w:sz="0" w:space="0" w:color="auto"/>
            <w:bottom w:val="none" w:sz="0" w:space="0" w:color="auto"/>
            <w:right w:val="none" w:sz="0" w:space="0" w:color="auto"/>
          </w:divBdr>
        </w:div>
        <w:div w:id="1821264207">
          <w:marLeft w:val="0"/>
          <w:marRight w:val="0"/>
          <w:marTop w:val="0"/>
          <w:marBottom w:val="0"/>
          <w:divBdr>
            <w:top w:val="none" w:sz="0" w:space="0" w:color="auto"/>
            <w:left w:val="none" w:sz="0" w:space="0" w:color="auto"/>
            <w:bottom w:val="none" w:sz="0" w:space="0" w:color="auto"/>
            <w:right w:val="none" w:sz="0" w:space="0" w:color="auto"/>
          </w:divBdr>
        </w:div>
      </w:divsChild>
    </w:div>
    <w:div w:id="1779399992">
      <w:marLeft w:val="0"/>
      <w:marRight w:val="0"/>
      <w:marTop w:val="0"/>
      <w:marBottom w:val="0"/>
      <w:divBdr>
        <w:top w:val="none" w:sz="0" w:space="0" w:color="auto"/>
        <w:left w:val="none" w:sz="0" w:space="0" w:color="auto"/>
        <w:bottom w:val="none" w:sz="0" w:space="0" w:color="auto"/>
        <w:right w:val="none" w:sz="0" w:space="0" w:color="auto"/>
      </w:divBdr>
    </w:div>
    <w:div w:id="1780641266">
      <w:marLeft w:val="0"/>
      <w:marRight w:val="0"/>
      <w:marTop w:val="0"/>
      <w:marBottom w:val="0"/>
      <w:divBdr>
        <w:top w:val="none" w:sz="0" w:space="0" w:color="auto"/>
        <w:left w:val="none" w:sz="0" w:space="0" w:color="auto"/>
        <w:bottom w:val="none" w:sz="0" w:space="0" w:color="auto"/>
        <w:right w:val="none" w:sz="0" w:space="0" w:color="auto"/>
      </w:divBdr>
    </w:div>
    <w:div w:id="1786773829">
      <w:marLeft w:val="0"/>
      <w:marRight w:val="0"/>
      <w:marTop w:val="100"/>
      <w:marBottom w:val="0"/>
      <w:divBdr>
        <w:top w:val="none" w:sz="0" w:space="0" w:color="auto"/>
        <w:left w:val="none" w:sz="0" w:space="0" w:color="auto"/>
        <w:bottom w:val="none" w:sz="0" w:space="0" w:color="auto"/>
        <w:right w:val="none" w:sz="0" w:space="0" w:color="auto"/>
      </w:divBdr>
    </w:div>
    <w:div w:id="1788888473">
      <w:marLeft w:val="0"/>
      <w:marRight w:val="0"/>
      <w:marTop w:val="100"/>
      <w:marBottom w:val="0"/>
      <w:divBdr>
        <w:top w:val="none" w:sz="0" w:space="0" w:color="auto"/>
        <w:left w:val="none" w:sz="0" w:space="0" w:color="auto"/>
        <w:bottom w:val="none" w:sz="0" w:space="0" w:color="auto"/>
        <w:right w:val="none" w:sz="0" w:space="0" w:color="auto"/>
      </w:divBdr>
    </w:div>
    <w:div w:id="1789155742">
      <w:marLeft w:val="0"/>
      <w:marRight w:val="0"/>
      <w:marTop w:val="0"/>
      <w:marBottom w:val="0"/>
      <w:divBdr>
        <w:top w:val="none" w:sz="0" w:space="0" w:color="auto"/>
        <w:left w:val="none" w:sz="0" w:space="0" w:color="auto"/>
        <w:bottom w:val="none" w:sz="0" w:space="0" w:color="auto"/>
        <w:right w:val="none" w:sz="0" w:space="0" w:color="auto"/>
      </w:divBdr>
      <w:divsChild>
        <w:div w:id="1926105822">
          <w:marLeft w:val="0"/>
          <w:marRight w:val="0"/>
          <w:marTop w:val="0"/>
          <w:marBottom w:val="0"/>
          <w:divBdr>
            <w:top w:val="none" w:sz="0" w:space="0" w:color="auto"/>
            <w:left w:val="none" w:sz="0" w:space="0" w:color="auto"/>
            <w:bottom w:val="none" w:sz="0" w:space="0" w:color="auto"/>
            <w:right w:val="none" w:sz="0" w:space="0" w:color="auto"/>
          </w:divBdr>
        </w:div>
      </w:divsChild>
    </w:div>
    <w:div w:id="1791432626">
      <w:marLeft w:val="0"/>
      <w:marRight w:val="0"/>
      <w:marTop w:val="0"/>
      <w:marBottom w:val="0"/>
      <w:divBdr>
        <w:top w:val="none" w:sz="0" w:space="0" w:color="auto"/>
        <w:left w:val="none" w:sz="0" w:space="0" w:color="auto"/>
        <w:bottom w:val="none" w:sz="0" w:space="0" w:color="auto"/>
        <w:right w:val="none" w:sz="0" w:space="0" w:color="auto"/>
      </w:divBdr>
    </w:div>
    <w:div w:id="1793207070">
      <w:marLeft w:val="0"/>
      <w:marRight w:val="0"/>
      <w:marTop w:val="0"/>
      <w:marBottom w:val="0"/>
      <w:divBdr>
        <w:top w:val="none" w:sz="0" w:space="0" w:color="auto"/>
        <w:left w:val="none" w:sz="0" w:space="0" w:color="auto"/>
        <w:bottom w:val="none" w:sz="0" w:space="0" w:color="auto"/>
        <w:right w:val="none" w:sz="0" w:space="0" w:color="auto"/>
      </w:divBdr>
      <w:divsChild>
        <w:div w:id="2050300742">
          <w:marLeft w:val="0"/>
          <w:marRight w:val="0"/>
          <w:marTop w:val="0"/>
          <w:marBottom w:val="0"/>
          <w:divBdr>
            <w:top w:val="none" w:sz="0" w:space="0" w:color="auto"/>
            <w:left w:val="none" w:sz="0" w:space="0" w:color="auto"/>
            <w:bottom w:val="none" w:sz="0" w:space="0" w:color="auto"/>
            <w:right w:val="none" w:sz="0" w:space="0" w:color="auto"/>
          </w:divBdr>
        </w:div>
      </w:divsChild>
    </w:div>
    <w:div w:id="1795634867">
      <w:marLeft w:val="0"/>
      <w:marRight w:val="0"/>
      <w:marTop w:val="0"/>
      <w:marBottom w:val="0"/>
      <w:divBdr>
        <w:top w:val="none" w:sz="0" w:space="0" w:color="auto"/>
        <w:left w:val="none" w:sz="0" w:space="0" w:color="auto"/>
        <w:bottom w:val="none" w:sz="0" w:space="0" w:color="auto"/>
        <w:right w:val="none" w:sz="0" w:space="0" w:color="auto"/>
      </w:divBdr>
      <w:divsChild>
        <w:div w:id="605770294">
          <w:marLeft w:val="0"/>
          <w:marRight w:val="0"/>
          <w:marTop w:val="0"/>
          <w:marBottom w:val="0"/>
          <w:divBdr>
            <w:top w:val="none" w:sz="0" w:space="0" w:color="auto"/>
            <w:left w:val="none" w:sz="0" w:space="0" w:color="auto"/>
            <w:bottom w:val="none" w:sz="0" w:space="0" w:color="auto"/>
            <w:right w:val="none" w:sz="0" w:space="0" w:color="auto"/>
          </w:divBdr>
        </w:div>
        <w:div w:id="2068263655">
          <w:marLeft w:val="0"/>
          <w:marRight w:val="0"/>
          <w:marTop w:val="0"/>
          <w:marBottom w:val="0"/>
          <w:divBdr>
            <w:top w:val="none" w:sz="0" w:space="0" w:color="auto"/>
            <w:left w:val="none" w:sz="0" w:space="0" w:color="auto"/>
            <w:bottom w:val="none" w:sz="0" w:space="0" w:color="auto"/>
            <w:right w:val="none" w:sz="0" w:space="0" w:color="auto"/>
          </w:divBdr>
        </w:div>
      </w:divsChild>
    </w:div>
    <w:div w:id="1799910352">
      <w:marLeft w:val="0"/>
      <w:marRight w:val="0"/>
      <w:marTop w:val="0"/>
      <w:marBottom w:val="0"/>
      <w:divBdr>
        <w:top w:val="none" w:sz="0" w:space="0" w:color="auto"/>
        <w:left w:val="none" w:sz="0" w:space="0" w:color="auto"/>
        <w:bottom w:val="none" w:sz="0" w:space="0" w:color="auto"/>
        <w:right w:val="none" w:sz="0" w:space="0" w:color="auto"/>
      </w:divBdr>
      <w:divsChild>
        <w:div w:id="1734543590">
          <w:marLeft w:val="0"/>
          <w:marRight w:val="0"/>
          <w:marTop w:val="0"/>
          <w:marBottom w:val="0"/>
          <w:divBdr>
            <w:top w:val="none" w:sz="0" w:space="0" w:color="auto"/>
            <w:left w:val="none" w:sz="0" w:space="0" w:color="auto"/>
            <w:bottom w:val="none" w:sz="0" w:space="0" w:color="auto"/>
            <w:right w:val="none" w:sz="0" w:space="0" w:color="auto"/>
          </w:divBdr>
        </w:div>
      </w:divsChild>
    </w:div>
    <w:div w:id="1805198109">
      <w:marLeft w:val="0"/>
      <w:marRight w:val="0"/>
      <w:marTop w:val="0"/>
      <w:marBottom w:val="0"/>
      <w:divBdr>
        <w:top w:val="none" w:sz="0" w:space="0" w:color="auto"/>
        <w:left w:val="none" w:sz="0" w:space="0" w:color="auto"/>
        <w:bottom w:val="none" w:sz="0" w:space="0" w:color="auto"/>
        <w:right w:val="none" w:sz="0" w:space="0" w:color="auto"/>
      </w:divBdr>
      <w:divsChild>
        <w:div w:id="1340081265">
          <w:marLeft w:val="0"/>
          <w:marRight w:val="0"/>
          <w:marTop w:val="0"/>
          <w:marBottom w:val="0"/>
          <w:divBdr>
            <w:top w:val="none" w:sz="0" w:space="0" w:color="auto"/>
            <w:left w:val="none" w:sz="0" w:space="0" w:color="auto"/>
            <w:bottom w:val="none" w:sz="0" w:space="0" w:color="auto"/>
            <w:right w:val="none" w:sz="0" w:space="0" w:color="auto"/>
          </w:divBdr>
        </w:div>
        <w:div w:id="1594437645">
          <w:marLeft w:val="0"/>
          <w:marRight w:val="0"/>
          <w:marTop w:val="0"/>
          <w:marBottom w:val="0"/>
          <w:divBdr>
            <w:top w:val="none" w:sz="0" w:space="0" w:color="auto"/>
            <w:left w:val="none" w:sz="0" w:space="0" w:color="auto"/>
            <w:bottom w:val="none" w:sz="0" w:space="0" w:color="auto"/>
            <w:right w:val="none" w:sz="0" w:space="0" w:color="auto"/>
          </w:divBdr>
        </w:div>
      </w:divsChild>
    </w:div>
    <w:div w:id="1806387957">
      <w:marLeft w:val="0"/>
      <w:marRight w:val="0"/>
      <w:marTop w:val="0"/>
      <w:marBottom w:val="0"/>
      <w:divBdr>
        <w:top w:val="none" w:sz="0" w:space="0" w:color="auto"/>
        <w:left w:val="none" w:sz="0" w:space="0" w:color="auto"/>
        <w:bottom w:val="none" w:sz="0" w:space="0" w:color="auto"/>
        <w:right w:val="none" w:sz="0" w:space="0" w:color="auto"/>
      </w:divBdr>
      <w:divsChild>
        <w:div w:id="2120373820">
          <w:marLeft w:val="0"/>
          <w:marRight w:val="0"/>
          <w:marTop w:val="0"/>
          <w:marBottom w:val="0"/>
          <w:divBdr>
            <w:top w:val="none" w:sz="0" w:space="0" w:color="auto"/>
            <w:left w:val="none" w:sz="0" w:space="0" w:color="auto"/>
            <w:bottom w:val="none" w:sz="0" w:space="0" w:color="auto"/>
            <w:right w:val="none" w:sz="0" w:space="0" w:color="auto"/>
          </w:divBdr>
        </w:div>
      </w:divsChild>
    </w:div>
    <w:div w:id="1806502182">
      <w:marLeft w:val="0"/>
      <w:marRight w:val="0"/>
      <w:marTop w:val="0"/>
      <w:marBottom w:val="0"/>
      <w:divBdr>
        <w:top w:val="none" w:sz="0" w:space="0" w:color="auto"/>
        <w:left w:val="none" w:sz="0" w:space="0" w:color="auto"/>
        <w:bottom w:val="none" w:sz="0" w:space="0" w:color="auto"/>
        <w:right w:val="none" w:sz="0" w:space="0" w:color="auto"/>
      </w:divBdr>
    </w:div>
    <w:div w:id="1810825626">
      <w:marLeft w:val="0"/>
      <w:marRight w:val="0"/>
      <w:marTop w:val="0"/>
      <w:marBottom w:val="0"/>
      <w:divBdr>
        <w:top w:val="none" w:sz="0" w:space="0" w:color="auto"/>
        <w:left w:val="none" w:sz="0" w:space="0" w:color="auto"/>
        <w:bottom w:val="none" w:sz="0" w:space="0" w:color="auto"/>
        <w:right w:val="none" w:sz="0" w:space="0" w:color="auto"/>
      </w:divBdr>
    </w:div>
    <w:div w:id="1812478747">
      <w:marLeft w:val="0"/>
      <w:marRight w:val="0"/>
      <w:marTop w:val="280"/>
      <w:marBottom w:val="0"/>
      <w:divBdr>
        <w:top w:val="none" w:sz="0" w:space="0" w:color="auto"/>
        <w:left w:val="none" w:sz="0" w:space="0" w:color="auto"/>
        <w:bottom w:val="none" w:sz="0" w:space="0" w:color="auto"/>
        <w:right w:val="none" w:sz="0" w:space="0" w:color="auto"/>
      </w:divBdr>
      <w:divsChild>
        <w:div w:id="634062388">
          <w:marLeft w:val="0"/>
          <w:marRight w:val="0"/>
          <w:marTop w:val="0"/>
          <w:marBottom w:val="0"/>
          <w:divBdr>
            <w:top w:val="none" w:sz="0" w:space="0" w:color="auto"/>
            <w:left w:val="none" w:sz="0" w:space="0" w:color="auto"/>
            <w:bottom w:val="none" w:sz="0" w:space="0" w:color="auto"/>
            <w:right w:val="none" w:sz="0" w:space="0" w:color="auto"/>
          </w:divBdr>
        </w:div>
      </w:divsChild>
    </w:div>
    <w:div w:id="1815946433">
      <w:marLeft w:val="0"/>
      <w:marRight w:val="0"/>
      <w:marTop w:val="0"/>
      <w:marBottom w:val="0"/>
      <w:divBdr>
        <w:top w:val="none" w:sz="0" w:space="0" w:color="auto"/>
        <w:left w:val="none" w:sz="0" w:space="0" w:color="auto"/>
        <w:bottom w:val="none" w:sz="0" w:space="0" w:color="auto"/>
        <w:right w:val="none" w:sz="0" w:space="0" w:color="auto"/>
      </w:divBdr>
    </w:div>
    <w:div w:id="1816095589">
      <w:marLeft w:val="0"/>
      <w:marRight w:val="0"/>
      <w:marTop w:val="0"/>
      <w:marBottom w:val="0"/>
      <w:divBdr>
        <w:top w:val="none" w:sz="0" w:space="0" w:color="auto"/>
        <w:left w:val="none" w:sz="0" w:space="0" w:color="auto"/>
        <w:bottom w:val="none" w:sz="0" w:space="0" w:color="auto"/>
        <w:right w:val="none" w:sz="0" w:space="0" w:color="auto"/>
      </w:divBdr>
      <w:divsChild>
        <w:div w:id="14036715">
          <w:marLeft w:val="0"/>
          <w:marRight w:val="0"/>
          <w:marTop w:val="0"/>
          <w:marBottom w:val="0"/>
          <w:divBdr>
            <w:top w:val="none" w:sz="0" w:space="0" w:color="auto"/>
            <w:left w:val="none" w:sz="0" w:space="0" w:color="auto"/>
            <w:bottom w:val="none" w:sz="0" w:space="0" w:color="auto"/>
            <w:right w:val="none" w:sz="0" w:space="0" w:color="auto"/>
          </w:divBdr>
        </w:div>
        <w:div w:id="52581711">
          <w:marLeft w:val="0"/>
          <w:marRight w:val="0"/>
          <w:marTop w:val="0"/>
          <w:marBottom w:val="0"/>
          <w:divBdr>
            <w:top w:val="none" w:sz="0" w:space="0" w:color="auto"/>
            <w:left w:val="none" w:sz="0" w:space="0" w:color="auto"/>
            <w:bottom w:val="none" w:sz="0" w:space="0" w:color="auto"/>
            <w:right w:val="none" w:sz="0" w:space="0" w:color="auto"/>
          </w:divBdr>
        </w:div>
      </w:divsChild>
    </w:div>
    <w:div w:id="1816214880">
      <w:marLeft w:val="0"/>
      <w:marRight w:val="0"/>
      <w:marTop w:val="100"/>
      <w:marBottom w:val="0"/>
      <w:divBdr>
        <w:top w:val="none" w:sz="0" w:space="0" w:color="auto"/>
        <w:left w:val="none" w:sz="0" w:space="0" w:color="auto"/>
        <w:bottom w:val="none" w:sz="0" w:space="0" w:color="auto"/>
        <w:right w:val="none" w:sz="0" w:space="0" w:color="auto"/>
      </w:divBdr>
    </w:div>
    <w:div w:id="1822845254">
      <w:marLeft w:val="0"/>
      <w:marRight w:val="0"/>
      <w:marTop w:val="0"/>
      <w:marBottom w:val="0"/>
      <w:divBdr>
        <w:top w:val="none" w:sz="0" w:space="0" w:color="auto"/>
        <w:left w:val="none" w:sz="0" w:space="0" w:color="auto"/>
        <w:bottom w:val="none" w:sz="0" w:space="0" w:color="auto"/>
        <w:right w:val="none" w:sz="0" w:space="0" w:color="auto"/>
      </w:divBdr>
      <w:divsChild>
        <w:div w:id="1277834146">
          <w:marLeft w:val="0"/>
          <w:marRight w:val="0"/>
          <w:marTop w:val="0"/>
          <w:marBottom w:val="0"/>
          <w:divBdr>
            <w:top w:val="none" w:sz="0" w:space="0" w:color="auto"/>
            <w:left w:val="none" w:sz="0" w:space="0" w:color="auto"/>
            <w:bottom w:val="none" w:sz="0" w:space="0" w:color="auto"/>
            <w:right w:val="none" w:sz="0" w:space="0" w:color="auto"/>
          </w:divBdr>
        </w:div>
      </w:divsChild>
    </w:div>
    <w:div w:id="1823034921">
      <w:marLeft w:val="0"/>
      <w:marRight w:val="0"/>
      <w:marTop w:val="100"/>
      <w:marBottom w:val="0"/>
      <w:divBdr>
        <w:top w:val="none" w:sz="0" w:space="0" w:color="auto"/>
        <w:left w:val="none" w:sz="0" w:space="0" w:color="auto"/>
        <w:bottom w:val="none" w:sz="0" w:space="0" w:color="auto"/>
        <w:right w:val="none" w:sz="0" w:space="0" w:color="auto"/>
      </w:divBdr>
      <w:divsChild>
        <w:div w:id="1600598065">
          <w:marLeft w:val="0"/>
          <w:marRight w:val="0"/>
          <w:marTop w:val="0"/>
          <w:marBottom w:val="0"/>
          <w:divBdr>
            <w:top w:val="none" w:sz="0" w:space="0" w:color="auto"/>
            <w:left w:val="none" w:sz="0" w:space="0" w:color="auto"/>
            <w:bottom w:val="none" w:sz="0" w:space="0" w:color="auto"/>
            <w:right w:val="none" w:sz="0" w:space="0" w:color="auto"/>
          </w:divBdr>
        </w:div>
        <w:div w:id="1564442575">
          <w:marLeft w:val="0"/>
          <w:marRight w:val="0"/>
          <w:marTop w:val="0"/>
          <w:marBottom w:val="0"/>
          <w:divBdr>
            <w:top w:val="none" w:sz="0" w:space="0" w:color="auto"/>
            <w:left w:val="none" w:sz="0" w:space="0" w:color="auto"/>
            <w:bottom w:val="none" w:sz="0" w:space="0" w:color="auto"/>
            <w:right w:val="none" w:sz="0" w:space="0" w:color="auto"/>
          </w:divBdr>
        </w:div>
        <w:div w:id="1280987560">
          <w:marLeft w:val="0"/>
          <w:marRight w:val="0"/>
          <w:marTop w:val="0"/>
          <w:marBottom w:val="0"/>
          <w:divBdr>
            <w:top w:val="none" w:sz="0" w:space="0" w:color="auto"/>
            <w:left w:val="none" w:sz="0" w:space="0" w:color="auto"/>
            <w:bottom w:val="none" w:sz="0" w:space="0" w:color="auto"/>
            <w:right w:val="none" w:sz="0" w:space="0" w:color="auto"/>
          </w:divBdr>
        </w:div>
        <w:div w:id="1018198475">
          <w:marLeft w:val="0"/>
          <w:marRight w:val="0"/>
          <w:marTop w:val="0"/>
          <w:marBottom w:val="0"/>
          <w:divBdr>
            <w:top w:val="none" w:sz="0" w:space="0" w:color="auto"/>
            <w:left w:val="none" w:sz="0" w:space="0" w:color="auto"/>
            <w:bottom w:val="none" w:sz="0" w:space="0" w:color="auto"/>
            <w:right w:val="none" w:sz="0" w:space="0" w:color="auto"/>
          </w:divBdr>
        </w:div>
        <w:div w:id="212155616">
          <w:marLeft w:val="0"/>
          <w:marRight w:val="0"/>
          <w:marTop w:val="0"/>
          <w:marBottom w:val="0"/>
          <w:divBdr>
            <w:top w:val="none" w:sz="0" w:space="0" w:color="auto"/>
            <w:left w:val="none" w:sz="0" w:space="0" w:color="auto"/>
            <w:bottom w:val="none" w:sz="0" w:space="0" w:color="auto"/>
            <w:right w:val="none" w:sz="0" w:space="0" w:color="auto"/>
          </w:divBdr>
        </w:div>
        <w:div w:id="24447317">
          <w:marLeft w:val="0"/>
          <w:marRight w:val="0"/>
          <w:marTop w:val="0"/>
          <w:marBottom w:val="0"/>
          <w:divBdr>
            <w:top w:val="none" w:sz="0" w:space="0" w:color="auto"/>
            <w:left w:val="none" w:sz="0" w:space="0" w:color="auto"/>
            <w:bottom w:val="none" w:sz="0" w:space="0" w:color="auto"/>
            <w:right w:val="none" w:sz="0" w:space="0" w:color="auto"/>
          </w:divBdr>
        </w:div>
      </w:divsChild>
    </w:div>
    <w:div w:id="1823812662">
      <w:marLeft w:val="0"/>
      <w:marRight w:val="0"/>
      <w:marTop w:val="0"/>
      <w:marBottom w:val="0"/>
      <w:divBdr>
        <w:top w:val="none" w:sz="0" w:space="0" w:color="auto"/>
        <w:left w:val="none" w:sz="0" w:space="0" w:color="auto"/>
        <w:bottom w:val="none" w:sz="0" w:space="0" w:color="auto"/>
        <w:right w:val="none" w:sz="0" w:space="0" w:color="auto"/>
      </w:divBdr>
    </w:div>
    <w:div w:id="1824808811">
      <w:marLeft w:val="0"/>
      <w:marRight w:val="0"/>
      <w:marTop w:val="0"/>
      <w:marBottom w:val="0"/>
      <w:divBdr>
        <w:top w:val="none" w:sz="0" w:space="0" w:color="auto"/>
        <w:left w:val="none" w:sz="0" w:space="0" w:color="auto"/>
        <w:bottom w:val="none" w:sz="0" w:space="0" w:color="auto"/>
        <w:right w:val="none" w:sz="0" w:space="0" w:color="auto"/>
      </w:divBdr>
    </w:div>
    <w:div w:id="1825119930">
      <w:marLeft w:val="0"/>
      <w:marRight w:val="0"/>
      <w:marTop w:val="0"/>
      <w:marBottom w:val="0"/>
      <w:divBdr>
        <w:top w:val="none" w:sz="0" w:space="0" w:color="auto"/>
        <w:left w:val="none" w:sz="0" w:space="0" w:color="auto"/>
        <w:bottom w:val="none" w:sz="0" w:space="0" w:color="auto"/>
        <w:right w:val="none" w:sz="0" w:space="0" w:color="auto"/>
      </w:divBdr>
      <w:divsChild>
        <w:div w:id="1553688616">
          <w:marLeft w:val="0"/>
          <w:marRight w:val="0"/>
          <w:marTop w:val="0"/>
          <w:marBottom w:val="0"/>
          <w:divBdr>
            <w:top w:val="none" w:sz="0" w:space="0" w:color="auto"/>
            <w:left w:val="none" w:sz="0" w:space="0" w:color="auto"/>
            <w:bottom w:val="none" w:sz="0" w:space="0" w:color="auto"/>
            <w:right w:val="none" w:sz="0" w:space="0" w:color="auto"/>
          </w:divBdr>
        </w:div>
        <w:div w:id="1671562500">
          <w:marLeft w:val="0"/>
          <w:marRight w:val="0"/>
          <w:marTop w:val="0"/>
          <w:marBottom w:val="0"/>
          <w:divBdr>
            <w:top w:val="none" w:sz="0" w:space="0" w:color="auto"/>
            <w:left w:val="none" w:sz="0" w:space="0" w:color="auto"/>
            <w:bottom w:val="none" w:sz="0" w:space="0" w:color="auto"/>
            <w:right w:val="none" w:sz="0" w:space="0" w:color="auto"/>
          </w:divBdr>
        </w:div>
      </w:divsChild>
    </w:div>
    <w:div w:id="1827820135">
      <w:marLeft w:val="0"/>
      <w:marRight w:val="0"/>
      <w:marTop w:val="0"/>
      <w:marBottom w:val="0"/>
      <w:divBdr>
        <w:top w:val="none" w:sz="0" w:space="0" w:color="auto"/>
        <w:left w:val="none" w:sz="0" w:space="0" w:color="auto"/>
        <w:bottom w:val="none" w:sz="0" w:space="0" w:color="auto"/>
        <w:right w:val="none" w:sz="0" w:space="0" w:color="auto"/>
      </w:divBdr>
      <w:divsChild>
        <w:div w:id="555624213">
          <w:marLeft w:val="0"/>
          <w:marRight w:val="0"/>
          <w:marTop w:val="0"/>
          <w:marBottom w:val="0"/>
          <w:divBdr>
            <w:top w:val="none" w:sz="0" w:space="0" w:color="auto"/>
            <w:left w:val="none" w:sz="0" w:space="0" w:color="auto"/>
            <w:bottom w:val="none" w:sz="0" w:space="0" w:color="auto"/>
            <w:right w:val="none" w:sz="0" w:space="0" w:color="auto"/>
          </w:divBdr>
        </w:div>
      </w:divsChild>
    </w:div>
    <w:div w:id="1830906489">
      <w:marLeft w:val="0"/>
      <w:marRight w:val="0"/>
      <w:marTop w:val="0"/>
      <w:marBottom w:val="0"/>
      <w:divBdr>
        <w:top w:val="none" w:sz="0" w:space="0" w:color="auto"/>
        <w:left w:val="none" w:sz="0" w:space="0" w:color="auto"/>
        <w:bottom w:val="none" w:sz="0" w:space="0" w:color="auto"/>
        <w:right w:val="none" w:sz="0" w:space="0" w:color="auto"/>
      </w:divBdr>
      <w:divsChild>
        <w:div w:id="567035785">
          <w:marLeft w:val="0"/>
          <w:marRight w:val="0"/>
          <w:marTop w:val="0"/>
          <w:marBottom w:val="0"/>
          <w:divBdr>
            <w:top w:val="none" w:sz="0" w:space="0" w:color="auto"/>
            <w:left w:val="none" w:sz="0" w:space="0" w:color="auto"/>
            <w:bottom w:val="none" w:sz="0" w:space="0" w:color="auto"/>
            <w:right w:val="none" w:sz="0" w:space="0" w:color="auto"/>
          </w:divBdr>
          <w:divsChild>
            <w:div w:id="18559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70090">
      <w:marLeft w:val="0"/>
      <w:marRight w:val="0"/>
      <w:marTop w:val="0"/>
      <w:marBottom w:val="0"/>
      <w:divBdr>
        <w:top w:val="none" w:sz="0" w:space="0" w:color="auto"/>
        <w:left w:val="none" w:sz="0" w:space="0" w:color="auto"/>
        <w:bottom w:val="none" w:sz="0" w:space="0" w:color="auto"/>
        <w:right w:val="none" w:sz="0" w:space="0" w:color="auto"/>
      </w:divBdr>
    </w:div>
    <w:div w:id="1834492805">
      <w:marLeft w:val="0"/>
      <w:marRight w:val="0"/>
      <w:marTop w:val="0"/>
      <w:marBottom w:val="0"/>
      <w:divBdr>
        <w:top w:val="none" w:sz="0" w:space="0" w:color="auto"/>
        <w:left w:val="none" w:sz="0" w:space="0" w:color="auto"/>
        <w:bottom w:val="none" w:sz="0" w:space="0" w:color="auto"/>
        <w:right w:val="none" w:sz="0" w:space="0" w:color="auto"/>
      </w:divBdr>
    </w:div>
    <w:div w:id="1843743473">
      <w:marLeft w:val="0"/>
      <w:marRight w:val="0"/>
      <w:marTop w:val="80"/>
      <w:marBottom w:val="0"/>
      <w:divBdr>
        <w:top w:val="none" w:sz="0" w:space="0" w:color="auto"/>
        <w:left w:val="none" w:sz="0" w:space="0" w:color="auto"/>
        <w:bottom w:val="none" w:sz="0" w:space="0" w:color="auto"/>
        <w:right w:val="none" w:sz="0" w:space="0" w:color="auto"/>
      </w:divBdr>
    </w:div>
    <w:div w:id="1846045123">
      <w:marLeft w:val="0"/>
      <w:marRight w:val="0"/>
      <w:marTop w:val="0"/>
      <w:marBottom w:val="0"/>
      <w:divBdr>
        <w:top w:val="none" w:sz="0" w:space="0" w:color="auto"/>
        <w:left w:val="none" w:sz="0" w:space="0" w:color="auto"/>
        <w:bottom w:val="none" w:sz="0" w:space="0" w:color="auto"/>
        <w:right w:val="none" w:sz="0" w:space="0" w:color="auto"/>
      </w:divBdr>
      <w:divsChild>
        <w:div w:id="340858004">
          <w:marLeft w:val="0"/>
          <w:marRight w:val="0"/>
          <w:marTop w:val="0"/>
          <w:marBottom w:val="0"/>
          <w:divBdr>
            <w:top w:val="none" w:sz="0" w:space="0" w:color="auto"/>
            <w:left w:val="none" w:sz="0" w:space="0" w:color="auto"/>
            <w:bottom w:val="none" w:sz="0" w:space="0" w:color="auto"/>
            <w:right w:val="none" w:sz="0" w:space="0" w:color="auto"/>
          </w:divBdr>
        </w:div>
      </w:divsChild>
    </w:div>
    <w:div w:id="1846358604">
      <w:marLeft w:val="0"/>
      <w:marRight w:val="0"/>
      <w:marTop w:val="0"/>
      <w:marBottom w:val="120"/>
      <w:divBdr>
        <w:top w:val="none" w:sz="0" w:space="0" w:color="auto"/>
        <w:left w:val="none" w:sz="0" w:space="0" w:color="auto"/>
        <w:bottom w:val="none" w:sz="0" w:space="0" w:color="auto"/>
        <w:right w:val="none" w:sz="0" w:space="0" w:color="auto"/>
      </w:divBdr>
    </w:div>
    <w:div w:id="1851330217">
      <w:marLeft w:val="0"/>
      <w:marRight w:val="0"/>
      <w:marTop w:val="0"/>
      <w:marBottom w:val="0"/>
      <w:divBdr>
        <w:top w:val="none" w:sz="0" w:space="0" w:color="auto"/>
        <w:left w:val="none" w:sz="0" w:space="0" w:color="auto"/>
        <w:bottom w:val="none" w:sz="0" w:space="0" w:color="auto"/>
        <w:right w:val="none" w:sz="0" w:space="0" w:color="auto"/>
      </w:divBdr>
    </w:div>
    <w:div w:id="1852451569">
      <w:marLeft w:val="0"/>
      <w:marRight w:val="0"/>
      <w:marTop w:val="0"/>
      <w:marBottom w:val="0"/>
      <w:divBdr>
        <w:top w:val="none" w:sz="0" w:space="0" w:color="auto"/>
        <w:left w:val="none" w:sz="0" w:space="0" w:color="auto"/>
        <w:bottom w:val="none" w:sz="0" w:space="0" w:color="auto"/>
        <w:right w:val="none" w:sz="0" w:space="0" w:color="auto"/>
      </w:divBdr>
    </w:div>
    <w:div w:id="1857304927">
      <w:marLeft w:val="0"/>
      <w:marRight w:val="0"/>
      <w:marTop w:val="0"/>
      <w:marBottom w:val="0"/>
      <w:divBdr>
        <w:top w:val="none" w:sz="0" w:space="0" w:color="auto"/>
        <w:left w:val="none" w:sz="0" w:space="0" w:color="auto"/>
        <w:bottom w:val="none" w:sz="0" w:space="0" w:color="auto"/>
        <w:right w:val="none" w:sz="0" w:space="0" w:color="auto"/>
      </w:divBdr>
    </w:div>
    <w:div w:id="1857495417">
      <w:marLeft w:val="0"/>
      <w:marRight w:val="0"/>
      <w:marTop w:val="0"/>
      <w:marBottom w:val="0"/>
      <w:divBdr>
        <w:top w:val="none" w:sz="0" w:space="0" w:color="auto"/>
        <w:left w:val="none" w:sz="0" w:space="0" w:color="auto"/>
        <w:bottom w:val="none" w:sz="0" w:space="0" w:color="auto"/>
        <w:right w:val="none" w:sz="0" w:space="0" w:color="auto"/>
      </w:divBdr>
    </w:div>
    <w:div w:id="1858542672">
      <w:marLeft w:val="0"/>
      <w:marRight w:val="0"/>
      <w:marTop w:val="0"/>
      <w:marBottom w:val="0"/>
      <w:divBdr>
        <w:top w:val="none" w:sz="0" w:space="0" w:color="auto"/>
        <w:left w:val="none" w:sz="0" w:space="0" w:color="auto"/>
        <w:bottom w:val="none" w:sz="0" w:space="0" w:color="auto"/>
        <w:right w:val="none" w:sz="0" w:space="0" w:color="auto"/>
      </w:divBdr>
    </w:div>
    <w:div w:id="1858739669">
      <w:marLeft w:val="0"/>
      <w:marRight w:val="0"/>
      <w:marTop w:val="100"/>
      <w:marBottom w:val="0"/>
      <w:divBdr>
        <w:top w:val="none" w:sz="0" w:space="0" w:color="auto"/>
        <w:left w:val="none" w:sz="0" w:space="0" w:color="auto"/>
        <w:bottom w:val="none" w:sz="0" w:space="0" w:color="auto"/>
        <w:right w:val="none" w:sz="0" w:space="0" w:color="auto"/>
      </w:divBdr>
    </w:div>
    <w:div w:id="1865558829">
      <w:marLeft w:val="0"/>
      <w:marRight w:val="0"/>
      <w:marTop w:val="0"/>
      <w:marBottom w:val="0"/>
      <w:divBdr>
        <w:top w:val="none" w:sz="0" w:space="0" w:color="auto"/>
        <w:left w:val="none" w:sz="0" w:space="0" w:color="auto"/>
        <w:bottom w:val="none" w:sz="0" w:space="0" w:color="auto"/>
        <w:right w:val="none" w:sz="0" w:space="0" w:color="auto"/>
      </w:divBdr>
    </w:div>
    <w:div w:id="1877888006">
      <w:marLeft w:val="0"/>
      <w:marRight w:val="0"/>
      <w:marTop w:val="0"/>
      <w:marBottom w:val="0"/>
      <w:divBdr>
        <w:top w:val="none" w:sz="0" w:space="0" w:color="auto"/>
        <w:left w:val="none" w:sz="0" w:space="0" w:color="auto"/>
        <w:bottom w:val="none" w:sz="0" w:space="0" w:color="auto"/>
        <w:right w:val="none" w:sz="0" w:space="0" w:color="auto"/>
      </w:divBdr>
    </w:div>
    <w:div w:id="1882353732">
      <w:marLeft w:val="0"/>
      <w:marRight w:val="0"/>
      <w:marTop w:val="100"/>
      <w:marBottom w:val="0"/>
      <w:divBdr>
        <w:top w:val="none" w:sz="0" w:space="0" w:color="auto"/>
        <w:left w:val="none" w:sz="0" w:space="0" w:color="auto"/>
        <w:bottom w:val="none" w:sz="0" w:space="0" w:color="auto"/>
        <w:right w:val="none" w:sz="0" w:space="0" w:color="auto"/>
      </w:divBdr>
    </w:div>
    <w:div w:id="1883135179">
      <w:marLeft w:val="0"/>
      <w:marRight w:val="0"/>
      <w:marTop w:val="0"/>
      <w:marBottom w:val="0"/>
      <w:divBdr>
        <w:top w:val="none" w:sz="0" w:space="0" w:color="auto"/>
        <w:left w:val="none" w:sz="0" w:space="0" w:color="auto"/>
        <w:bottom w:val="none" w:sz="0" w:space="0" w:color="auto"/>
        <w:right w:val="none" w:sz="0" w:space="0" w:color="auto"/>
      </w:divBdr>
      <w:divsChild>
        <w:div w:id="620310137">
          <w:marLeft w:val="0"/>
          <w:marRight w:val="0"/>
          <w:marTop w:val="0"/>
          <w:marBottom w:val="0"/>
          <w:divBdr>
            <w:top w:val="none" w:sz="0" w:space="0" w:color="auto"/>
            <w:left w:val="none" w:sz="0" w:space="0" w:color="auto"/>
            <w:bottom w:val="none" w:sz="0" w:space="0" w:color="auto"/>
            <w:right w:val="none" w:sz="0" w:space="0" w:color="auto"/>
          </w:divBdr>
        </w:div>
        <w:div w:id="1917863253">
          <w:marLeft w:val="0"/>
          <w:marRight w:val="0"/>
          <w:marTop w:val="0"/>
          <w:marBottom w:val="0"/>
          <w:divBdr>
            <w:top w:val="none" w:sz="0" w:space="0" w:color="auto"/>
            <w:left w:val="none" w:sz="0" w:space="0" w:color="auto"/>
            <w:bottom w:val="none" w:sz="0" w:space="0" w:color="auto"/>
            <w:right w:val="none" w:sz="0" w:space="0" w:color="auto"/>
          </w:divBdr>
        </w:div>
      </w:divsChild>
    </w:div>
    <w:div w:id="1884755531">
      <w:marLeft w:val="0"/>
      <w:marRight w:val="0"/>
      <w:marTop w:val="0"/>
      <w:marBottom w:val="0"/>
      <w:divBdr>
        <w:top w:val="none" w:sz="0" w:space="0" w:color="auto"/>
        <w:left w:val="none" w:sz="0" w:space="0" w:color="auto"/>
        <w:bottom w:val="none" w:sz="0" w:space="0" w:color="auto"/>
        <w:right w:val="none" w:sz="0" w:space="0" w:color="auto"/>
      </w:divBdr>
    </w:div>
    <w:div w:id="1888451264">
      <w:marLeft w:val="0"/>
      <w:marRight w:val="0"/>
      <w:marTop w:val="0"/>
      <w:marBottom w:val="0"/>
      <w:divBdr>
        <w:top w:val="none" w:sz="0" w:space="0" w:color="auto"/>
        <w:left w:val="none" w:sz="0" w:space="0" w:color="auto"/>
        <w:bottom w:val="none" w:sz="0" w:space="0" w:color="auto"/>
        <w:right w:val="none" w:sz="0" w:space="0" w:color="auto"/>
      </w:divBdr>
    </w:div>
    <w:div w:id="1888491134">
      <w:marLeft w:val="0"/>
      <w:marRight w:val="0"/>
      <w:marTop w:val="0"/>
      <w:marBottom w:val="0"/>
      <w:divBdr>
        <w:top w:val="none" w:sz="0" w:space="0" w:color="auto"/>
        <w:left w:val="none" w:sz="0" w:space="0" w:color="auto"/>
        <w:bottom w:val="none" w:sz="0" w:space="0" w:color="auto"/>
        <w:right w:val="none" w:sz="0" w:space="0" w:color="auto"/>
      </w:divBdr>
    </w:div>
    <w:div w:id="1889997486">
      <w:marLeft w:val="0"/>
      <w:marRight w:val="0"/>
      <w:marTop w:val="0"/>
      <w:marBottom w:val="0"/>
      <w:divBdr>
        <w:top w:val="none" w:sz="0" w:space="0" w:color="auto"/>
        <w:left w:val="none" w:sz="0" w:space="0" w:color="auto"/>
        <w:bottom w:val="none" w:sz="0" w:space="0" w:color="auto"/>
        <w:right w:val="none" w:sz="0" w:space="0" w:color="auto"/>
      </w:divBdr>
      <w:divsChild>
        <w:div w:id="1405370324">
          <w:marLeft w:val="0"/>
          <w:marRight w:val="0"/>
          <w:marTop w:val="0"/>
          <w:marBottom w:val="0"/>
          <w:divBdr>
            <w:top w:val="none" w:sz="0" w:space="0" w:color="auto"/>
            <w:left w:val="none" w:sz="0" w:space="0" w:color="auto"/>
            <w:bottom w:val="none" w:sz="0" w:space="0" w:color="auto"/>
            <w:right w:val="none" w:sz="0" w:space="0" w:color="auto"/>
          </w:divBdr>
        </w:div>
        <w:div w:id="1170101530">
          <w:marLeft w:val="0"/>
          <w:marRight w:val="0"/>
          <w:marTop w:val="0"/>
          <w:marBottom w:val="0"/>
          <w:divBdr>
            <w:top w:val="none" w:sz="0" w:space="0" w:color="auto"/>
            <w:left w:val="none" w:sz="0" w:space="0" w:color="auto"/>
            <w:bottom w:val="none" w:sz="0" w:space="0" w:color="auto"/>
            <w:right w:val="none" w:sz="0" w:space="0" w:color="auto"/>
          </w:divBdr>
        </w:div>
      </w:divsChild>
    </w:div>
    <w:div w:id="1894852486">
      <w:marLeft w:val="0"/>
      <w:marRight w:val="0"/>
      <w:marTop w:val="0"/>
      <w:marBottom w:val="0"/>
      <w:divBdr>
        <w:top w:val="none" w:sz="0" w:space="0" w:color="auto"/>
        <w:left w:val="none" w:sz="0" w:space="0" w:color="auto"/>
        <w:bottom w:val="none" w:sz="0" w:space="0" w:color="auto"/>
        <w:right w:val="none" w:sz="0" w:space="0" w:color="auto"/>
      </w:divBdr>
    </w:div>
    <w:div w:id="1903902292">
      <w:marLeft w:val="0"/>
      <w:marRight w:val="0"/>
      <w:marTop w:val="0"/>
      <w:marBottom w:val="0"/>
      <w:divBdr>
        <w:top w:val="none" w:sz="0" w:space="0" w:color="auto"/>
        <w:left w:val="none" w:sz="0" w:space="0" w:color="auto"/>
        <w:bottom w:val="none" w:sz="0" w:space="0" w:color="auto"/>
        <w:right w:val="none" w:sz="0" w:space="0" w:color="auto"/>
      </w:divBdr>
    </w:div>
    <w:div w:id="1905677893">
      <w:marLeft w:val="0"/>
      <w:marRight w:val="0"/>
      <w:marTop w:val="0"/>
      <w:marBottom w:val="0"/>
      <w:divBdr>
        <w:top w:val="none" w:sz="0" w:space="0" w:color="auto"/>
        <w:left w:val="none" w:sz="0" w:space="0" w:color="auto"/>
        <w:bottom w:val="none" w:sz="0" w:space="0" w:color="auto"/>
        <w:right w:val="none" w:sz="0" w:space="0" w:color="auto"/>
      </w:divBdr>
      <w:divsChild>
        <w:div w:id="926619870">
          <w:marLeft w:val="0"/>
          <w:marRight w:val="0"/>
          <w:marTop w:val="0"/>
          <w:marBottom w:val="0"/>
          <w:divBdr>
            <w:top w:val="none" w:sz="0" w:space="0" w:color="auto"/>
            <w:left w:val="none" w:sz="0" w:space="0" w:color="auto"/>
            <w:bottom w:val="none" w:sz="0" w:space="0" w:color="auto"/>
            <w:right w:val="none" w:sz="0" w:space="0" w:color="auto"/>
          </w:divBdr>
        </w:div>
        <w:div w:id="2122525832">
          <w:marLeft w:val="0"/>
          <w:marRight w:val="0"/>
          <w:marTop w:val="0"/>
          <w:marBottom w:val="0"/>
          <w:divBdr>
            <w:top w:val="none" w:sz="0" w:space="0" w:color="auto"/>
            <w:left w:val="none" w:sz="0" w:space="0" w:color="auto"/>
            <w:bottom w:val="none" w:sz="0" w:space="0" w:color="auto"/>
            <w:right w:val="none" w:sz="0" w:space="0" w:color="auto"/>
          </w:divBdr>
        </w:div>
      </w:divsChild>
    </w:div>
    <w:div w:id="1905793214">
      <w:marLeft w:val="0"/>
      <w:marRight w:val="0"/>
      <w:marTop w:val="0"/>
      <w:marBottom w:val="0"/>
      <w:divBdr>
        <w:top w:val="none" w:sz="0" w:space="0" w:color="auto"/>
        <w:left w:val="none" w:sz="0" w:space="0" w:color="auto"/>
        <w:bottom w:val="none" w:sz="0" w:space="0" w:color="auto"/>
        <w:right w:val="none" w:sz="0" w:space="0" w:color="auto"/>
      </w:divBdr>
    </w:div>
    <w:div w:id="1906137716">
      <w:marLeft w:val="0"/>
      <w:marRight w:val="0"/>
      <w:marTop w:val="120"/>
      <w:marBottom w:val="120"/>
      <w:divBdr>
        <w:top w:val="none" w:sz="0" w:space="0" w:color="auto"/>
        <w:left w:val="none" w:sz="0" w:space="0" w:color="auto"/>
        <w:bottom w:val="none" w:sz="0" w:space="0" w:color="auto"/>
        <w:right w:val="none" w:sz="0" w:space="0" w:color="auto"/>
      </w:divBdr>
    </w:div>
    <w:div w:id="1908759597">
      <w:marLeft w:val="0"/>
      <w:marRight w:val="0"/>
      <w:marTop w:val="180"/>
      <w:marBottom w:val="0"/>
      <w:divBdr>
        <w:top w:val="none" w:sz="0" w:space="0" w:color="auto"/>
        <w:left w:val="none" w:sz="0" w:space="0" w:color="auto"/>
        <w:bottom w:val="none" w:sz="0" w:space="0" w:color="auto"/>
        <w:right w:val="none" w:sz="0" w:space="0" w:color="auto"/>
      </w:divBdr>
    </w:div>
    <w:div w:id="1913467273">
      <w:marLeft w:val="0"/>
      <w:marRight w:val="0"/>
      <w:marTop w:val="0"/>
      <w:marBottom w:val="0"/>
      <w:divBdr>
        <w:top w:val="none" w:sz="0" w:space="0" w:color="auto"/>
        <w:left w:val="none" w:sz="0" w:space="0" w:color="auto"/>
        <w:bottom w:val="none" w:sz="0" w:space="0" w:color="auto"/>
        <w:right w:val="none" w:sz="0" w:space="0" w:color="auto"/>
      </w:divBdr>
      <w:divsChild>
        <w:div w:id="36318157">
          <w:marLeft w:val="0"/>
          <w:marRight w:val="0"/>
          <w:marTop w:val="0"/>
          <w:marBottom w:val="0"/>
          <w:divBdr>
            <w:top w:val="none" w:sz="0" w:space="0" w:color="auto"/>
            <w:left w:val="none" w:sz="0" w:space="0" w:color="auto"/>
            <w:bottom w:val="none" w:sz="0" w:space="0" w:color="auto"/>
            <w:right w:val="none" w:sz="0" w:space="0" w:color="auto"/>
          </w:divBdr>
        </w:div>
      </w:divsChild>
    </w:div>
    <w:div w:id="1915507409">
      <w:marLeft w:val="0"/>
      <w:marRight w:val="0"/>
      <w:marTop w:val="0"/>
      <w:marBottom w:val="0"/>
      <w:divBdr>
        <w:top w:val="none" w:sz="0" w:space="0" w:color="auto"/>
        <w:left w:val="none" w:sz="0" w:space="0" w:color="auto"/>
        <w:bottom w:val="none" w:sz="0" w:space="0" w:color="auto"/>
        <w:right w:val="none" w:sz="0" w:space="0" w:color="auto"/>
      </w:divBdr>
    </w:div>
    <w:div w:id="1915578387">
      <w:marLeft w:val="0"/>
      <w:marRight w:val="0"/>
      <w:marTop w:val="0"/>
      <w:marBottom w:val="0"/>
      <w:divBdr>
        <w:top w:val="none" w:sz="0" w:space="0" w:color="auto"/>
        <w:left w:val="none" w:sz="0" w:space="0" w:color="auto"/>
        <w:bottom w:val="none" w:sz="0" w:space="0" w:color="auto"/>
        <w:right w:val="none" w:sz="0" w:space="0" w:color="auto"/>
      </w:divBdr>
      <w:divsChild>
        <w:div w:id="1695879749">
          <w:marLeft w:val="0"/>
          <w:marRight w:val="0"/>
          <w:marTop w:val="0"/>
          <w:marBottom w:val="0"/>
          <w:divBdr>
            <w:top w:val="none" w:sz="0" w:space="0" w:color="auto"/>
            <w:left w:val="none" w:sz="0" w:space="0" w:color="auto"/>
            <w:bottom w:val="none" w:sz="0" w:space="0" w:color="auto"/>
            <w:right w:val="none" w:sz="0" w:space="0" w:color="auto"/>
          </w:divBdr>
        </w:div>
      </w:divsChild>
    </w:div>
    <w:div w:id="1916431165">
      <w:marLeft w:val="0"/>
      <w:marRight w:val="0"/>
      <w:marTop w:val="0"/>
      <w:marBottom w:val="0"/>
      <w:divBdr>
        <w:top w:val="none" w:sz="0" w:space="0" w:color="auto"/>
        <w:left w:val="none" w:sz="0" w:space="0" w:color="auto"/>
        <w:bottom w:val="none" w:sz="0" w:space="0" w:color="auto"/>
        <w:right w:val="none" w:sz="0" w:space="0" w:color="auto"/>
      </w:divBdr>
      <w:divsChild>
        <w:div w:id="2129858006">
          <w:marLeft w:val="0"/>
          <w:marRight w:val="0"/>
          <w:marTop w:val="0"/>
          <w:marBottom w:val="0"/>
          <w:divBdr>
            <w:top w:val="none" w:sz="0" w:space="0" w:color="auto"/>
            <w:left w:val="none" w:sz="0" w:space="0" w:color="auto"/>
            <w:bottom w:val="none" w:sz="0" w:space="0" w:color="auto"/>
            <w:right w:val="none" w:sz="0" w:space="0" w:color="auto"/>
          </w:divBdr>
        </w:div>
        <w:div w:id="1755273602">
          <w:marLeft w:val="0"/>
          <w:marRight w:val="0"/>
          <w:marTop w:val="0"/>
          <w:marBottom w:val="0"/>
          <w:divBdr>
            <w:top w:val="none" w:sz="0" w:space="0" w:color="auto"/>
            <w:left w:val="none" w:sz="0" w:space="0" w:color="auto"/>
            <w:bottom w:val="none" w:sz="0" w:space="0" w:color="auto"/>
            <w:right w:val="none" w:sz="0" w:space="0" w:color="auto"/>
          </w:divBdr>
        </w:div>
      </w:divsChild>
    </w:div>
    <w:div w:id="1918400616">
      <w:marLeft w:val="0"/>
      <w:marRight w:val="0"/>
      <w:marTop w:val="0"/>
      <w:marBottom w:val="0"/>
      <w:divBdr>
        <w:top w:val="none" w:sz="0" w:space="0" w:color="auto"/>
        <w:left w:val="none" w:sz="0" w:space="0" w:color="auto"/>
        <w:bottom w:val="none" w:sz="0" w:space="0" w:color="auto"/>
        <w:right w:val="none" w:sz="0" w:space="0" w:color="auto"/>
      </w:divBdr>
    </w:div>
    <w:div w:id="1920943396">
      <w:marLeft w:val="0"/>
      <w:marRight w:val="0"/>
      <w:marTop w:val="100"/>
      <w:marBottom w:val="0"/>
      <w:divBdr>
        <w:top w:val="none" w:sz="0" w:space="0" w:color="auto"/>
        <w:left w:val="none" w:sz="0" w:space="0" w:color="auto"/>
        <w:bottom w:val="none" w:sz="0" w:space="0" w:color="auto"/>
        <w:right w:val="none" w:sz="0" w:space="0" w:color="auto"/>
      </w:divBdr>
    </w:div>
    <w:div w:id="1923485660">
      <w:marLeft w:val="0"/>
      <w:marRight w:val="0"/>
      <w:marTop w:val="0"/>
      <w:marBottom w:val="0"/>
      <w:divBdr>
        <w:top w:val="none" w:sz="0" w:space="0" w:color="auto"/>
        <w:left w:val="none" w:sz="0" w:space="0" w:color="auto"/>
        <w:bottom w:val="none" w:sz="0" w:space="0" w:color="auto"/>
        <w:right w:val="none" w:sz="0" w:space="0" w:color="auto"/>
      </w:divBdr>
      <w:divsChild>
        <w:div w:id="1016661649">
          <w:marLeft w:val="0"/>
          <w:marRight w:val="0"/>
          <w:marTop w:val="0"/>
          <w:marBottom w:val="0"/>
          <w:divBdr>
            <w:top w:val="none" w:sz="0" w:space="0" w:color="auto"/>
            <w:left w:val="none" w:sz="0" w:space="0" w:color="auto"/>
            <w:bottom w:val="none" w:sz="0" w:space="0" w:color="auto"/>
            <w:right w:val="none" w:sz="0" w:space="0" w:color="auto"/>
          </w:divBdr>
        </w:div>
      </w:divsChild>
    </w:div>
    <w:div w:id="1925990347">
      <w:marLeft w:val="0"/>
      <w:marRight w:val="0"/>
      <w:marTop w:val="0"/>
      <w:marBottom w:val="0"/>
      <w:divBdr>
        <w:top w:val="none" w:sz="0" w:space="0" w:color="auto"/>
        <w:left w:val="none" w:sz="0" w:space="0" w:color="auto"/>
        <w:bottom w:val="none" w:sz="0" w:space="0" w:color="auto"/>
        <w:right w:val="none" w:sz="0" w:space="0" w:color="auto"/>
      </w:divBdr>
    </w:div>
    <w:div w:id="1926500143">
      <w:marLeft w:val="0"/>
      <w:marRight w:val="0"/>
      <w:marTop w:val="0"/>
      <w:marBottom w:val="0"/>
      <w:divBdr>
        <w:top w:val="none" w:sz="0" w:space="0" w:color="auto"/>
        <w:left w:val="none" w:sz="0" w:space="0" w:color="auto"/>
        <w:bottom w:val="none" w:sz="0" w:space="0" w:color="auto"/>
        <w:right w:val="none" w:sz="0" w:space="0" w:color="auto"/>
      </w:divBdr>
      <w:divsChild>
        <w:div w:id="1612318977">
          <w:marLeft w:val="0"/>
          <w:marRight w:val="0"/>
          <w:marTop w:val="0"/>
          <w:marBottom w:val="0"/>
          <w:divBdr>
            <w:top w:val="none" w:sz="0" w:space="0" w:color="auto"/>
            <w:left w:val="none" w:sz="0" w:space="0" w:color="auto"/>
            <w:bottom w:val="none" w:sz="0" w:space="0" w:color="auto"/>
            <w:right w:val="none" w:sz="0" w:space="0" w:color="auto"/>
          </w:divBdr>
        </w:div>
        <w:div w:id="1814054923">
          <w:marLeft w:val="0"/>
          <w:marRight w:val="0"/>
          <w:marTop w:val="0"/>
          <w:marBottom w:val="0"/>
          <w:divBdr>
            <w:top w:val="none" w:sz="0" w:space="0" w:color="auto"/>
            <w:left w:val="none" w:sz="0" w:space="0" w:color="auto"/>
            <w:bottom w:val="none" w:sz="0" w:space="0" w:color="auto"/>
            <w:right w:val="none" w:sz="0" w:space="0" w:color="auto"/>
          </w:divBdr>
        </w:div>
      </w:divsChild>
    </w:div>
    <w:div w:id="1928080265">
      <w:marLeft w:val="0"/>
      <w:marRight w:val="0"/>
      <w:marTop w:val="0"/>
      <w:marBottom w:val="0"/>
      <w:divBdr>
        <w:top w:val="none" w:sz="0" w:space="0" w:color="auto"/>
        <w:left w:val="none" w:sz="0" w:space="0" w:color="auto"/>
        <w:bottom w:val="none" w:sz="0" w:space="0" w:color="auto"/>
        <w:right w:val="none" w:sz="0" w:space="0" w:color="auto"/>
      </w:divBdr>
    </w:div>
    <w:div w:id="1928418130">
      <w:marLeft w:val="0"/>
      <w:marRight w:val="0"/>
      <w:marTop w:val="100"/>
      <w:marBottom w:val="0"/>
      <w:divBdr>
        <w:top w:val="none" w:sz="0" w:space="0" w:color="auto"/>
        <w:left w:val="none" w:sz="0" w:space="0" w:color="auto"/>
        <w:bottom w:val="none" w:sz="0" w:space="0" w:color="auto"/>
        <w:right w:val="none" w:sz="0" w:space="0" w:color="auto"/>
      </w:divBdr>
    </w:div>
    <w:div w:id="1928612992">
      <w:marLeft w:val="0"/>
      <w:marRight w:val="0"/>
      <w:marTop w:val="0"/>
      <w:marBottom w:val="0"/>
      <w:divBdr>
        <w:top w:val="none" w:sz="0" w:space="0" w:color="auto"/>
        <w:left w:val="none" w:sz="0" w:space="0" w:color="auto"/>
        <w:bottom w:val="none" w:sz="0" w:space="0" w:color="auto"/>
        <w:right w:val="none" w:sz="0" w:space="0" w:color="auto"/>
      </w:divBdr>
    </w:div>
    <w:div w:id="1929576771">
      <w:marLeft w:val="0"/>
      <w:marRight w:val="0"/>
      <w:marTop w:val="0"/>
      <w:marBottom w:val="0"/>
      <w:divBdr>
        <w:top w:val="none" w:sz="0" w:space="0" w:color="auto"/>
        <w:left w:val="none" w:sz="0" w:space="0" w:color="auto"/>
        <w:bottom w:val="none" w:sz="0" w:space="0" w:color="auto"/>
        <w:right w:val="none" w:sz="0" w:space="0" w:color="auto"/>
      </w:divBdr>
    </w:div>
    <w:div w:id="1930118648">
      <w:marLeft w:val="0"/>
      <w:marRight w:val="0"/>
      <w:marTop w:val="0"/>
      <w:marBottom w:val="60"/>
      <w:divBdr>
        <w:top w:val="none" w:sz="0" w:space="0" w:color="auto"/>
        <w:left w:val="none" w:sz="0" w:space="0" w:color="auto"/>
        <w:bottom w:val="none" w:sz="0" w:space="0" w:color="auto"/>
        <w:right w:val="none" w:sz="0" w:space="0" w:color="auto"/>
      </w:divBdr>
    </w:div>
    <w:div w:id="1932883812">
      <w:marLeft w:val="0"/>
      <w:marRight w:val="0"/>
      <w:marTop w:val="0"/>
      <w:marBottom w:val="0"/>
      <w:divBdr>
        <w:top w:val="none" w:sz="0" w:space="0" w:color="auto"/>
        <w:left w:val="none" w:sz="0" w:space="0" w:color="auto"/>
        <w:bottom w:val="none" w:sz="0" w:space="0" w:color="auto"/>
        <w:right w:val="none" w:sz="0" w:space="0" w:color="auto"/>
      </w:divBdr>
    </w:div>
    <w:div w:id="1933737933">
      <w:marLeft w:val="0"/>
      <w:marRight w:val="0"/>
      <w:marTop w:val="180"/>
      <w:marBottom w:val="0"/>
      <w:divBdr>
        <w:top w:val="none" w:sz="0" w:space="0" w:color="auto"/>
        <w:left w:val="none" w:sz="0" w:space="0" w:color="auto"/>
        <w:bottom w:val="none" w:sz="0" w:space="0" w:color="auto"/>
        <w:right w:val="none" w:sz="0" w:space="0" w:color="auto"/>
      </w:divBdr>
    </w:div>
    <w:div w:id="1934316428">
      <w:marLeft w:val="0"/>
      <w:marRight w:val="0"/>
      <w:marTop w:val="0"/>
      <w:marBottom w:val="0"/>
      <w:divBdr>
        <w:top w:val="none" w:sz="0" w:space="0" w:color="auto"/>
        <w:left w:val="none" w:sz="0" w:space="0" w:color="auto"/>
        <w:bottom w:val="none" w:sz="0" w:space="0" w:color="auto"/>
        <w:right w:val="none" w:sz="0" w:space="0" w:color="auto"/>
      </w:divBdr>
      <w:divsChild>
        <w:div w:id="1643464335">
          <w:marLeft w:val="0"/>
          <w:marRight w:val="0"/>
          <w:marTop w:val="0"/>
          <w:marBottom w:val="0"/>
          <w:divBdr>
            <w:top w:val="none" w:sz="0" w:space="0" w:color="auto"/>
            <w:left w:val="none" w:sz="0" w:space="0" w:color="auto"/>
            <w:bottom w:val="none" w:sz="0" w:space="0" w:color="auto"/>
            <w:right w:val="none" w:sz="0" w:space="0" w:color="auto"/>
          </w:divBdr>
        </w:div>
      </w:divsChild>
    </w:div>
    <w:div w:id="1935701917">
      <w:marLeft w:val="0"/>
      <w:marRight w:val="0"/>
      <w:marTop w:val="0"/>
      <w:marBottom w:val="0"/>
      <w:divBdr>
        <w:top w:val="none" w:sz="0" w:space="0" w:color="auto"/>
        <w:left w:val="none" w:sz="0" w:space="0" w:color="auto"/>
        <w:bottom w:val="none" w:sz="0" w:space="0" w:color="auto"/>
        <w:right w:val="none" w:sz="0" w:space="0" w:color="auto"/>
      </w:divBdr>
    </w:div>
    <w:div w:id="1940991778">
      <w:marLeft w:val="0"/>
      <w:marRight w:val="0"/>
      <w:marTop w:val="0"/>
      <w:marBottom w:val="0"/>
      <w:divBdr>
        <w:top w:val="none" w:sz="0" w:space="0" w:color="auto"/>
        <w:left w:val="none" w:sz="0" w:space="0" w:color="auto"/>
        <w:bottom w:val="none" w:sz="0" w:space="0" w:color="auto"/>
        <w:right w:val="none" w:sz="0" w:space="0" w:color="auto"/>
      </w:divBdr>
    </w:div>
    <w:div w:id="1942835691">
      <w:marLeft w:val="0"/>
      <w:marRight w:val="0"/>
      <w:marTop w:val="0"/>
      <w:marBottom w:val="0"/>
      <w:divBdr>
        <w:top w:val="none" w:sz="0" w:space="0" w:color="auto"/>
        <w:left w:val="none" w:sz="0" w:space="0" w:color="auto"/>
        <w:bottom w:val="none" w:sz="0" w:space="0" w:color="auto"/>
        <w:right w:val="none" w:sz="0" w:space="0" w:color="auto"/>
      </w:divBdr>
      <w:divsChild>
        <w:div w:id="203951052">
          <w:marLeft w:val="0"/>
          <w:marRight w:val="0"/>
          <w:marTop w:val="0"/>
          <w:marBottom w:val="0"/>
          <w:divBdr>
            <w:top w:val="none" w:sz="0" w:space="0" w:color="auto"/>
            <w:left w:val="none" w:sz="0" w:space="0" w:color="auto"/>
            <w:bottom w:val="none" w:sz="0" w:space="0" w:color="auto"/>
            <w:right w:val="none" w:sz="0" w:space="0" w:color="auto"/>
          </w:divBdr>
        </w:div>
        <w:div w:id="179970477">
          <w:marLeft w:val="0"/>
          <w:marRight w:val="0"/>
          <w:marTop w:val="0"/>
          <w:marBottom w:val="0"/>
          <w:divBdr>
            <w:top w:val="none" w:sz="0" w:space="0" w:color="auto"/>
            <w:left w:val="none" w:sz="0" w:space="0" w:color="auto"/>
            <w:bottom w:val="none" w:sz="0" w:space="0" w:color="auto"/>
            <w:right w:val="none" w:sz="0" w:space="0" w:color="auto"/>
          </w:divBdr>
        </w:div>
      </w:divsChild>
    </w:div>
    <w:div w:id="1944268354">
      <w:marLeft w:val="0"/>
      <w:marRight w:val="0"/>
      <w:marTop w:val="0"/>
      <w:marBottom w:val="0"/>
      <w:divBdr>
        <w:top w:val="none" w:sz="0" w:space="0" w:color="auto"/>
        <w:left w:val="none" w:sz="0" w:space="0" w:color="auto"/>
        <w:bottom w:val="none" w:sz="0" w:space="0" w:color="auto"/>
        <w:right w:val="none" w:sz="0" w:space="0" w:color="auto"/>
      </w:divBdr>
    </w:div>
    <w:div w:id="1946419859">
      <w:marLeft w:val="0"/>
      <w:marRight w:val="0"/>
      <w:marTop w:val="0"/>
      <w:marBottom w:val="0"/>
      <w:divBdr>
        <w:top w:val="none" w:sz="0" w:space="0" w:color="auto"/>
        <w:left w:val="none" w:sz="0" w:space="0" w:color="auto"/>
        <w:bottom w:val="none" w:sz="0" w:space="0" w:color="auto"/>
        <w:right w:val="none" w:sz="0" w:space="0" w:color="auto"/>
      </w:divBdr>
      <w:divsChild>
        <w:div w:id="365108302">
          <w:marLeft w:val="0"/>
          <w:marRight w:val="0"/>
          <w:marTop w:val="0"/>
          <w:marBottom w:val="0"/>
          <w:divBdr>
            <w:top w:val="none" w:sz="0" w:space="0" w:color="auto"/>
            <w:left w:val="none" w:sz="0" w:space="0" w:color="auto"/>
            <w:bottom w:val="none" w:sz="0" w:space="0" w:color="auto"/>
            <w:right w:val="none" w:sz="0" w:space="0" w:color="auto"/>
          </w:divBdr>
        </w:div>
      </w:divsChild>
    </w:div>
    <w:div w:id="1947955749">
      <w:marLeft w:val="0"/>
      <w:marRight w:val="0"/>
      <w:marTop w:val="0"/>
      <w:marBottom w:val="0"/>
      <w:divBdr>
        <w:top w:val="none" w:sz="0" w:space="0" w:color="auto"/>
        <w:left w:val="none" w:sz="0" w:space="0" w:color="auto"/>
        <w:bottom w:val="none" w:sz="0" w:space="0" w:color="auto"/>
        <w:right w:val="none" w:sz="0" w:space="0" w:color="auto"/>
      </w:divBdr>
    </w:div>
    <w:div w:id="1947957776">
      <w:marLeft w:val="0"/>
      <w:marRight w:val="0"/>
      <w:marTop w:val="0"/>
      <w:marBottom w:val="0"/>
      <w:divBdr>
        <w:top w:val="none" w:sz="0" w:space="0" w:color="auto"/>
        <w:left w:val="none" w:sz="0" w:space="0" w:color="auto"/>
        <w:bottom w:val="none" w:sz="0" w:space="0" w:color="auto"/>
        <w:right w:val="none" w:sz="0" w:space="0" w:color="auto"/>
      </w:divBdr>
      <w:divsChild>
        <w:div w:id="1461874254">
          <w:marLeft w:val="0"/>
          <w:marRight w:val="0"/>
          <w:marTop w:val="0"/>
          <w:marBottom w:val="0"/>
          <w:divBdr>
            <w:top w:val="none" w:sz="0" w:space="0" w:color="auto"/>
            <w:left w:val="none" w:sz="0" w:space="0" w:color="auto"/>
            <w:bottom w:val="none" w:sz="0" w:space="0" w:color="auto"/>
            <w:right w:val="none" w:sz="0" w:space="0" w:color="auto"/>
          </w:divBdr>
        </w:div>
        <w:div w:id="1635479693">
          <w:marLeft w:val="0"/>
          <w:marRight w:val="0"/>
          <w:marTop w:val="0"/>
          <w:marBottom w:val="0"/>
          <w:divBdr>
            <w:top w:val="none" w:sz="0" w:space="0" w:color="auto"/>
            <w:left w:val="none" w:sz="0" w:space="0" w:color="auto"/>
            <w:bottom w:val="none" w:sz="0" w:space="0" w:color="auto"/>
            <w:right w:val="none" w:sz="0" w:space="0" w:color="auto"/>
          </w:divBdr>
        </w:div>
      </w:divsChild>
    </w:div>
    <w:div w:id="1950965803">
      <w:marLeft w:val="0"/>
      <w:marRight w:val="0"/>
      <w:marTop w:val="0"/>
      <w:marBottom w:val="0"/>
      <w:divBdr>
        <w:top w:val="none" w:sz="0" w:space="0" w:color="auto"/>
        <w:left w:val="none" w:sz="0" w:space="0" w:color="auto"/>
        <w:bottom w:val="none" w:sz="0" w:space="0" w:color="auto"/>
        <w:right w:val="none" w:sz="0" w:space="0" w:color="auto"/>
      </w:divBdr>
    </w:div>
    <w:div w:id="1952518032">
      <w:marLeft w:val="0"/>
      <w:marRight w:val="0"/>
      <w:marTop w:val="100"/>
      <w:marBottom w:val="100"/>
      <w:divBdr>
        <w:top w:val="none" w:sz="0" w:space="0" w:color="auto"/>
        <w:left w:val="none" w:sz="0" w:space="0" w:color="auto"/>
        <w:bottom w:val="none" w:sz="0" w:space="0" w:color="auto"/>
        <w:right w:val="none" w:sz="0" w:space="0" w:color="auto"/>
      </w:divBdr>
    </w:div>
    <w:div w:id="1960255764">
      <w:marLeft w:val="0"/>
      <w:marRight w:val="0"/>
      <w:marTop w:val="0"/>
      <w:marBottom w:val="0"/>
      <w:divBdr>
        <w:top w:val="none" w:sz="0" w:space="0" w:color="auto"/>
        <w:left w:val="none" w:sz="0" w:space="0" w:color="auto"/>
        <w:bottom w:val="none" w:sz="0" w:space="0" w:color="auto"/>
        <w:right w:val="none" w:sz="0" w:space="0" w:color="auto"/>
      </w:divBdr>
    </w:div>
    <w:div w:id="1960456496">
      <w:marLeft w:val="0"/>
      <w:marRight w:val="0"/>
      <w:marTop w:val="0"/>
      <w:marBottom w:val="0"/>
      <w:divBdr>
        <w:top w:val="none" w:sz="0" w:space="0" w:color="auto"/>
        <w:left w:val="none" w:sz="0" w:space="0" w:color="auto"/>
        <w:bottom w:val="none" w:sz="0" w:space="0" w:color="auto"/>
        <w:right w:val="none" w:sz="0" w:space="0" w:color="auto"/>
      </w:divBdr>
      <w:divsChild>
        <w:div w:id="1264652935">
          <w:marLeft w:val="0"/>
          <w:marRight w:val="0"/>
          <w:marTop w:val="0"/>
          <w:marBottom w:val="0"/>
          <w:divBdr>
            <w:top w:val="none" w:sz="0" w:space="0" w:color="auto"/>
            <w:left w:val="none" w:sz="0" w:space="0" w:color="auto"/>
            <w:bottom w:val="none" w:sz="0" w:space="0" w:color="auto"/>
            <w:right w:val="none" w:sz="0" w:space="0" w:color="auto"/>
          </w:divBdr>
        </w:div>
        <w:div w:id="1273710703">
          <w:marLeft w:val="0"/>
          <w:marRight w:val="0"/>
          <w:marTop w:val="0"/>
          <w:marBottom w:val="0"/>
          <w:divBdr>
            <w:top w:val="none" w:sz="0" w:space="0" w:color="auto"/>
            <w:left w:val="none" w:sz="0" w:space="0" w:color="auto"/>
            <w:bottom w:val="none" w:sz="0" w:space="0" w:color="auto"/>
            <w:right w:val="none" w:sz="0" w:space="0" w:color="auto"/>
          </w:divBdr>
        </w:div>
      </w:divsChild>
    </w:div>
    <w:div w:id="1965499543">
      <w:marLeft w:val="0"/>
      <w:marRight w:val="0"/>
      <w:marTop w:val="0"/>
      <w:marBottom w:val="0"/>
      <w:divBdr>
        <w:top w:val="none" w:sz="0" w:space="0" w:color="auto"/>
        <w:left w:val="none" w:sz="0" w:space="0" w:color="auto"/>
        <w:bottom w:val="none" w:sz="0" w:space="0" w:color="auto"/>
        <w:right w:val="none" w:sz="0" w:space="0" w:color="auto"/>
      </w:divBdr>
    </w:div>
    <w:div w:id="1977299529">
      <w:marLeft w:val="0"/>
      <w:marRight w:val="0"/>
      <w:marTop w:val="0"/>
      <w:marBottom w:val="0"/>
      <w:divBdr>
        <w:top w:val="none" w:sz="0" w:space="0" w:color="auto"/>
        <w:left w:val="none" w:sz="0" w:space="0" w:color="auto"/>
        <w:bottom w:val="none" w:sz="0" w:space="0" w:color="auto"/>
        <w:right w:val="none" w:sz="0" w:space="0" w:color="auto"/>
      </w:divBdr>
    </w:div>
    <w:div w:id="1978802698">
      <w:marLeft w:val="0"/>
      <w:marRight w:val="0"/>
      <w:marTop w:val="100"/>
      <w:marBottom w:val="0"/>
      <w:divBdr>
        <w:top w:val="none" w:sz="0" w:space="0" w:color="auto"/>
        <w:left w:val="none" w:sz="0" w:space="0" w:color="auto"/>
        <w:bottom w:val="none" w:sz="0" w:space="0" w:color="auto"/>
        <w:right w:val="none" w:sz="0" w:space="0" w:color="auto"/>
      </w:divBdr>
    </w:div>
    <w:div w:id="1984001579">
      <w:marLeft w:val="0"/>
      <w:marRight w:val="0"/>
      <w:marTop w:val="0"/>
      <w:marBottom w:val="0"/>
      <w:divBdr>
        <w:top w:val="none" w:sz="0" w:space="0" w:color="auto"/>
        <w:left w:val="none" w:sz="0" w:space="0" w:color="auto"/>
        <w:bottom w:val="none" w:sz="0" w:space="0" w:color="auto"/>
        <w:right w:val="none" w:sz="0" w:space="0" w:color="auto"/>
      </w:divBdr>
      <w:divsChild>
        <w:div w:id="1441992772">
          <w:marLeft w:val="0"/>
          <w:marRight w:val="0"/>
          <w:marTop w:val="0"/>
          <w:marBottom w:val="0"/>
          <w:divBdr>
            <w:top w:val="none" w:sz="0" w:space="0" w:color="auto"/>
            <w:left w:val="none" w:sz="0" w:space="0" w:color="auto"/>
            <w:bottom w:val="none" w:sz="0" w:space="0" w:color="auto"/>
            <w:right w:val="none" w:sz="0" w:space="0" w:color="auto"/>
          </w:divBdr>
        </w:div>
        <w:div w:id="344330638">
          <w:marLeft w:val="0"/>
          <w:marRight w:val="0"/>
          <w:marTop w:val="0"/>
          <w:marBottom w:val="0"/>
          <w:divBdr>
            <w:top w:val="none" w:sz="0" w:space="0" w:color="auto"/>
            <w:left w:val="none" w:sz="0" w:space="0" w:color="auto"/>
            <w:bottom w:val="none" w:sz="0" w:space="0" w:color="auto"/>
            <w:right w:val="none" w:sz="0" w:space="0" w:color="auto"/>
          </w:divBdr>
        </w:div>
      </w:divsChild>
    </w:div>
    <w:div w:id="1989895707">
      <w:marLeft w:val="0"/>
      <w:marRight w:val="0"/>
      <w:marTop w:val="0"/>
      <w:marBottom w:val="0"/>
      <w:divBdr>
        <w:top w:val="none" w:sz="0" w:space="0" w:color="auto"/>
        <w:left w:val="none" w:sz="0" w:space="0" w:color="auto"/>
        <w:bottom w:val="none" w:sz="0" w:space="0" w:color="auto"/>
        <w:right w:val="none" w:sz="0" w:space="0" w:color="auto"/>
      </w:divBdr>
    </w:div>
    <w:div w:id="1992126375">
      <w:marLeft w:val="0"/>
      <w:marRight w:val="0"/>
      <w:marTop w:val="100"/>
      <w:marBottom w:val="0"/>
      <w:divBdr>
        <w:top w:val="none" w:sz="0" w:space="0" w:color="auto"/>
        <w:left w:val="none" w:sz="0" w:space="0" w:color="auto"/>
        <w:bottom w:val="none" w:sz="0" w:space="0" w:color="auto"/>
        <w:right w:val="none" w:sz="0" w:space="0" w:color="auto"/>
      </w:divBdr>
    </w:div>
    <w:div w:id="1995378938">
      <w:marLeft w:val="0"/>
      <w:marRight w:val="0"/>
      <w:marTop w:val="0"/>
      <w:marBottom w:val="0"/>
      <w:divBdr>
        <w:top w:val="none" w:sz="0" w:space="0" w:color="auto"/>
        <w:left w:val="none" w:sz="0" w:space="0" w:color="auto"/>
        <w:bottom w:val="none" w:sz="0" w:space="0" w:color="auto"/>
        <w:right w:val="none" w:sz="0" w:space="0" w:color="auto"/>
      </w:divBdr>
      <w:divsChild>
        <w:div w:id="1321150676">
          <w:marLeft w:val="0"/>
          <w:marRight w:val="0"/>
          <w:marTop w:val="0"/>
          <w:marBottom w:val="0"/>
          <w:divBdr>
            <w:top w:val="none" w:sz="0" w:space="0" w:color="auto"/>
            <w:left w:val="none" w:sz="0" w:space="0" w:color="auto"/>
            <w:bottom w:val="none" w:sz="0" w:space="0" w:color="auto"/>
            <w:right w:val="none" w:sz="0" w:space="0" w:color="auto"/>
          </w:divBdr>
        </w:div>
        <w:div w:id="1756244447">
          <w:marLeft w:val="0"/>
          <w:marRight w:val="0"/>
          <w:marTop w:val="0"/>
          <w:marBottom w:val="0"/>
          <w:divBdr>
            <w:top w:val="none" w:sz="0" w:space="0" w:color="auto"/>
            <w:left w:val="none" w:sz="0" w:space="0" w:color="auto"/>
            <w:bottom w:val="none" w:sz="0" w:space="0" w:color="auto"/>
            <w:right w:val="none" w:sz="0" w:space="0" w:color="auto"/>
          </w:divBdr>
        </w:div>
      </w:divsChild>
    </w:div>
    <w:div w:id="1996912635">
      <w:marLeft w:val="0"/>
      <w:marRight w:val="0"/>
      <w:marTop w:val="0"/>
      <w:marBottom w:val="0"/>
      <w:divBdr>
        <w:top w:val="none" w:sz="0" w:space="0" w:color="auto"/>
        <w:left w:val="none" w:sz="0" w:space="0" w:color="auto"/>
        <w:bottom w:val="none" w:sz="0" w:space="0" w:color="auto"/>
        <w:right w:val="none" w:sz="0" w:space="0" w:color="auto"/>
      </w:divBdr>
      <w:divsChild>
        <w:div w:id="765658102">
          <w:marLeft w:val="0"/>
          <w:marRight w:val="0"/>
          <w:marTop w:val="0"/>
          <w:marBottom w:val="0"/>
          <w:divBdr>
            <w:top w:val="none" w:sz="0" w:space="0" w:color="auto"/>
            <w:left w:val="none" w:sz="0" w:space="0" w:color="auto"/>
            <w:bottom w:val="none" w:sz="0" w:space="0" w:color="auto"/>
            <w:right w:val="none" w:sz="0" w:space="0" w:color="auto"/>
          </w:divBdr>
        </w:div>
        <w:div w:id="2082100984">
          <w:marLeft w:val="0"/>
          <w:marRight w:val="0"/>
          <w:marTop w:val="0"/>
          <w:marBottom w:val="0"/>
          <w:divBdr>
            <w:top w:val="none" w:sz="0" w:space="0" w:color="auto"/>
            <w:left w:val="none" w:sz="0" w:space="0" w:color="auto"/>
            <w:bottom w:val="none" w:sz="0" w:space="0" w:color="auto"/>
            <w:right w:val="none" w:sz="0" w:space="0" w:color="auto"/>
          </w:divBdr>
        </w:div>
      </w:divsChild>
    </w:div>
    <w:div w:id="2002157541">
      <w:marLeft w:val="0"/>
      <w:marRight w:val="0"/>
      <w:marTop w:val="100"/>
      <w:marBottom w:val="0"/>
      <w:divBdr>
        <w:top w:val="none" w:sz="0" w:space="0" w:color="auto"/>
        <w:left w:val="none" w:sz="0" w:space="0" w:color="auto"/>
        <w:bottom w:val="none" w:sz="0" w:space="0" w:color="auto"/>
        <w:right w:val="none" w:sz="0" w:space="0" w:color="auto"/>
      </w:divBdr>
    </w:div>
    <w:div w:id="2005040780">
      <w:marLeft w:val="0"/>
      <w:marRight w:val="0"/>
      <w:marTop w:val="0"/>
      <w:marBottom w:val="0"/>
      <w:divBdr>
        <w:top w:val="none" w:sz="0" w:space="0" w:color="auto"/>
        <w:left w:val="none" w:sz="0" w:space="0" w:color="auto"/>
        <w:bottom w:val="none" w:sz="0" w:space="0" w:color="auto"/>
        <w:right w:val="none" w:sz="0" w:space="0" w:color="auto"/>
      </w:divBdr>
      <w:divsChild>
        <w:div w:id="1753895958">
          <w:marLeft w:val="0"/>
          <w:marRight w:val="0"/>
          <w:marTop w:val="0"/>
          <w:marBottom w:val="0"/>
          <w:divBdr>
            <w:top w:val="none" w:sz="0" w:space="0" w:color="auto"/>
            <w:left w:val="none" w:sz="0" w:space="0" w:color="auto"/>
            <w:bottom w:val="none" w:sz="0" w:space="0" w:color="auto"/>
            <w:right w:val="none" w:sz="0" w:space="0" w:color="auto"/>
          </w:divBdr>
        </w:div>
      </w:divsChild>
    </w:div>
    <w:div w:id="2007050717">
      <w:marLeft w:val="0"/>
      <w:marRight w:val="0"/>
      <w:marTop w:val="0"/>
      <w:marBottom w:val="0"/>
      <w:divBdr>
        <w:top w:val="none" w:sz="0" w:space="0" w:color="auto"/>
        <w:left w:val="none" w:sz="0" w:space="0" w:color="auto"/>
        <w:bottom w:val="none" w:sz="0" w:space="0" w:color="auto"/>
        <w:right w:val="none" w:sz="0" w:space="0" w:color="auto"/>
      </w:divBdr>
      <w:divsChild>
        <w:div w:id="713425910">
          <w:marLeft w:val="0"/>
          <w:marRight w:val="0"/>
          <w:marTop w:val="0"/>
          <w:marBottom w:val="0"/>
          <w:divBdr>
            <w:top w:val="none" w:sz="0" w:space="0" w:color="auto"/>
            <w:left w:val="none" w:sz="0" w:space="0" w:color="auto"/>
            <w:bottom w:val="none" w:sz="0" w:space="0" w:color="auto"/>
            <w:right w:val="none" w:sz="0" w:space="0" w:color="auto"/>
          </w:divBdr>
        </w:div>
      </w:divsChild>
    </w:div>
    <w:div w:id="2008828985">
      <w:marLeft w:val="0"/>
      <w:marRight w:val="0"/>
      <w:marTop w:val="0"/>
      <w:marBottom w:val="0"/>
      <w:divBdr>
        <w:top w:val="none" w:sz="0" w:space="0" w:color="auto"/>
        <w:left w:val="none" w:sz="0" w:space="0" w:color="auto"/>
        <w:bottom w:val="none" w:sz="0" w:space="0" w:color="auto"/>
        <w:right w:val="none" w:sz="0" w:space="0" w:color="auto"/>
      </w:divBdr>
    </w:div>
    <w:div w:id="2011518337">
      <w:marLeft w:val="0"/>
      <w:marRight w:val="0"/>
      <w:marTop w:val="180"/>
      <w:marBottom w:val="0"/>
      <w:divBdr>
        <w:top w:val="none" w:sz="0" w:space="0" w:color="auto"/>
        <w:left w:val="none" w:sz="0" w:space="0" w:color="auto"/>
        <w:bottom w:val="none" w:sz="0" w:space="0" w:color="auto"/>
        <w:right w:val="none" w:sz="0" w:space="0" w:color="auto"/>
      </w:divBdr>
    </w:div>
    <w:div w:id="2019765889">
      <w:marLeft w:val="0"/>
      <w:marRight w:val="0"/>
      <w:marTop w:val="0"/>
      <w:marBottom w:val="0"/>
      <w:divBdr>
        <w:top w:val="none" w:sz="0" w:space="0" w:color="auto"/>
        <w:left w:val="none" w:sz="0" w:space="0" w:color="auto"/>
        <w:bottom w:val="none" w:sz="0" w:space="0" w:color="auto"/>
        <w:right w:val="none" w:sz="0" w:space="0" w:color="auto"/>
      </w:divBdr>
      <w:divsChild>
        <w:div w:id="697313743">
          <w:marLeft w:val="0"/>
          <w:marRight w:val="0"/>
          <w:marTop w:val="0"/>
          <w:marBottom w:val="0"/>
          <w:divBdr>
            <w:top w:val="none" w:sz="0" w:space="0" w:color="auto"/>
            <w:left w:val="none" w:sz="0" w:space="0" w:color="auto"/>
            <w:bottom w:val="none" w:sz="0" w:space="0" w:color="auto"/>
            <w:right w:val="none" w:sz="0" w:space="0" w:color="auto"/>
          </w:divBdr>
        </w:div>
      </w:divsChild>
    </w:div>
    <w:div w:id="2021271947">
      <w:marLeft w:val="0"/>
      <w:marRight w:val="0"/>
      <w:marTop w:val="0"/>
      <w:marBottom w:val="0"/>
      <w:divBdr>
        <w:top w:val="none" w:sz="0" w:space="0" w:color="auto"/>
        <w:left w:val="none" w:sz="0" w:space="0" w:color="auto"/>
        <w:bottom w:val="none" w:sz="0" w:space="0" w:color="auto"/>
        <w:right w:val="none" w:sz="0" w:space="0" w:color="auto"/>
      </w:divBdr>
    </w:div>
    <w:div w:id="2022583923">
      <w:marLeft w:val="0"/>
      <w:marRight w:val="0"/>
      <w:marTop w:val="0"/>
      <w:marBottom w:val="0"/>
      <w:divBdr>
        <w:top w:val="none" w:sz="0" w:space="0" w:color="auto"/>
        <w:left w:val="none" w:sz="0" w:space="0" w:color="auto"/>
        <w:bottom w:val="none" w:sz="0" w:space="0" w:color="auto"/>
        <w:right w:val="none" w:sz="0" w:space="0" w:color="auto"/>
      </w:divBdr>
    </w:div>
    <w:div w:id="2023508849">
      <w:marLeft w:val="0"/>
      <w:marRight w:val="0"/>
      <w:marTop w:val="0"/>
      <w:marBottom w:val="0"/>
      <w:divBdr>
        <w:top w:val="none" w:sz="0" w:space="0" w:color="auto"/>
        <w:left w:val="none" w:sz="0" w:space="0" w:color="auto"/>
        <w:bottom w:val="none" w:sz="0" w:space="0" w:color="auto"/>
        <w:right w:val="none" w:sz="0" w:space="0" w:color="auto"/>
      </w:divBdr>
      <w:divsChild>
        <w:div w:id="1885752111">
          <w:marLeft w:val="0"/>
          <w:marRight w:val="0"/>
          <w:marTop w:val="0"/>
          <w:marBottom w:val="0"/>
          <w:divBdr>
            <w:top w:val="none" w:sz="0" w:space="0" w:color="auto"/>
            <w:left w:val="none" w:sz="0" w:space="0" w:color="auto"/>
            <w:bottom w:val="none" w:sz="0" w:space="0" w:color="auto"/>
            <w:right w:val="none" w:sz="0" w:space="0" w:color="auto"/>
          </w:divBdr>
        </w:div>
      </w:divsChild>
    </w:div>
    <w:div w:id="2023973006">
      <w:marLeft w:val="0"/>
      <w:marRight w:val="0"/>
      <w:marTop w:val="180"/>
      <w:marBottom w:val="0"/>
      <w:divBdr>
        <w:top w:val="none" w:sz="0" w:space="0" w:color="auto"/>
        <w:left w:val="none" w:sz="0" w:space="0" w:color="auto"/>
        <w:bottom w:val="none" w:sz="0" w:space="0" w:color="auto"/>
        <w:right w:val="none" w:sz="0" w:space="0" w:color="auto"/>
      </w:divBdr>
    </w:div>
    <w:div w:id="2024550800">
      <w:marLeft w:val="0"/>
      <w:marRight w:val="0"/>
      <w:marTop w:val="0"/>
      <w:marBottom w:val="0"/>
      <w:divBdr>
        <w:top w:val="none" w:sz="0" w:space="0" w:color="auto"/>
        <w:left w:val="none" w:sz="0" w:space="0" w:color="auto"/>
        <w:bottom w:val="none" w:sz="0" w:space="0" w:color="auto"/>
        <w:right w:val="none" w:sz="0" w:space="0" w:color="auto"/>
      </w:divBdr>
    </w:div>
    <w:div w:id="2024814902">
      <w:marLeft w:val="0"/>
      <w:marRight w:val="0"/>
      <w:marTop w:val="0"/>
      <w:marBottom w:val="0"/>
      <w:divBdr>
        <w:top w:val="none" w:sz="0" w:space="0" w:color="auto"/>
        <w:left w:val="none" w:sz="0" w:space="0" w:color="auto"/>
        <w:bottom w:val="none" w:sz="0" w:space="0" w:color="auto"/>
        <w:right w:val="none" w:sz="0" w:space="0" w:color="auto"/>
      </w:divBdr>
      <w:divsChild>
        <w:div w:id="755635125">
          <w:marLeft w:val="0"/>
          <w:marRight w:val="0"/>
          <w:marTop w:val="0"/>
          <w:marBottom w:val="0"/>
          <w:divBdr>
            <w:top w:val="none" w:sz="0" w:space="0" w:color="auto"/>
            <w:left w:val="none" w:sz="0" w:space="0" w:color="auto"/>
            <w:bottom w:val="none" w:sz="0" w:space="0" w:color="auto"/>
            <w:right w:val="none" w:sz="0" w:space="0" w:color="auto"/>
          </w:divBdr>
        </w:div>
        <w:div w:id="228615091">
          <w:marLeft w:val="0"/>
          <w:marRight w:val="0"/>
          <w:marTop w:val="0"/>
          <w:marBottom w:val="0"/>
          <w:divBdr>
            <w:top w:val="none" w:sz="0" w:space="0" w:color="auto"/>
            <w:left w:val="none" w:sz="0" w:space="0" w:color="auto"/>
            <w:bottom w:val="none" w:sz="0" w:space="0" w:color="auto"/>
            <w:right w:val="none" w:sz="0" w:space="0" w:color="auto"/>
          </w:divBdr>
        </w:div>
      </w:divsChild>
    </w:div>
    <w:div w:id="2028211712">
      <w:marLeft w:val="0"/>
      <w:marRight w:val="0"/>
      <w:marTop w:val="0"/>
      <w:marBottom w:val="0"/>
      <w:divBdr>
        <w:top w:val="none" w:sz="0" w:space="0" w:color="auto"/>
        <w:left w:val="none" w:sz="0" w:space="0" w:color="auto"/>
        <w:bottom w:val="none" w:sz="0" w:space="0" w:color="auto"/>
        <w:right w:val="none" w:sz="0" w:space="0" w:color="auto"/>
      </w:divBdr>
      <w:divsChild>
        <w:div w:id="1907452381">
          <w:marLeft w:val="0"/>
          <w:marRight w:val="0"/>
          <w:marTop w:val="0"/>
          <w:marBottom w:val="0"/>
          <w:divBdr>
            <w:top w:val="none" w:sz="0" w:space="0" w:color="auto"/>
            <w:left w:val="none" w:sz="0" w:space="0" w:color="auto"/>
            <w:bottom w:val="none" w:sz="0" w:space="0" w:color="auto"/>
            <w:right w:val="none" w:sz="0" w:space="0" w:color="auto"/>
          </w:divBdr>
        </w:div>
      </w:divsChild>
    </w:div>
    <w:div w:id="2029328305">
      <w:marLeft w:val="0"/>
      <w:marRight w:val="0"/>
      <w:marTop w:val="0"/>
      <w:marBottom w:val="0"/>
      <w:divBdr>
        <w:top w:val="none" w:sz="0" w:space="0" w:color="auto"/>
        <w:left w:val="none" w:sz="0" w:space="0" w:color="auto"/>
        <w:bottom w:val="none" w:sz="0" w:space="0" w:color="auto"/>
        <w:right w:val="none" w:sz="0" w:space="0" w:color="auto"/>
      </w:divBdr>
      <w:divsChild>
        <w:div w:id="79066363">
          <w:marLeft w:val="0"/>
          <w:marRight w:val="0"/>
          <w:marTop w:val="0"/>
          <w:marBottom w:val="0"/>
          <w:divBdr>
            <w:top w:val="none" w:sz="0" w:space="0" w:color="auto"/>
            <w:left w:val="none" w:sz="0" w:space="0" w:color="auto"/>
            <w:bottom w:val="none" w:sz="0" w:space="0" w:color="auto"/>
            <w:right w:val="none" w:sz="0" w:space="0" w:color="auto"/>
          </w:divBdr>
        </w:div>
      </w:divsChild>
    </w:div>
    <w:div w:id="2032753693">
      <w:marLeft w:val="0"/>
      <w:marRight w:val="0"/>
      <w:marTop w:val="0"/>
      <w:marBottom w:val="0"/>
      <w:divBdr>
        <w:top w:val="none" w:sz="0" w:space="0" w:color="auto"/>
        <w:left w:val="none" w:sz="0" w:space="0" w:color="auto"/>
        <w:bottom w:val="none" w:sz="0" w:space="0" w:color="auto"/>
        <w:right w:val="none" w:sz="0" w:space="0" w:color="auto"/>
      </w:divBdr>
      <w:divsChild>
        <w:div w:id="592203378">
          <w:marLeft w:val="0"/>
          <w:marRight w:val="0"/>
          <w:marTop w:val="0"/>
          <w:marBottom w:val="0"/>
          <w:divBdr>
            <w:top w:val="none" w:sz="0" w:space="0" w:color="auto"/>
            <w:left w:val="none" w:sz="0" w:space="0" w:color="auto"/>
            <w:bottom w:val="none" w:sz="0" w:space="0" w:color="auto"/>
            <w:right w:val="none" w:sz="0" w:space="0" w:color="auto"/>
          </w:divBdr>
        </w:div>
      </w:divsChild>
    </w:div>
    <w:div w:id="2034065911">
      <w:marLeft w:val="0"/>
      <w:marRight w:val="0"/>
      <w:marTop w:val="0"/>
      <w:marBottom w:val="0"/>
      <w:divBdr>
        <w:top w:val="none" w:sz="0" w:space="0" w:color="auto"/>
        <w:left w:val="none" w:sz="0" w:space="0" w:color="auto"/>
        <w:bottom w:val="none" w:sz="0" w:space="0" w:color="auto"/>
        <w:right w:val="none" w:sz="0" w:space="0" w:color="auto"/>
      </w:divBdr>
      <w:divsChild>
        <w:div w:id="2026205679">
          <w:marLeft w:val="0"/>
          <w:marRight w:val="0"/>
          <w:marTop w:val="0"/>
          <w:marBottom w:val="0"/>
          <w:divBdr>
            <w:top w:val="none" w:sz="0" w:space="0" w:color="auto"/>
            <w:left w:val="none" w:sz="0" w:space="0" w:color="auto"/>
            <w:bottom w:val="none" w:sz="0" w:space="0" w:color="auto"/>
            <w:right w:val="none" w:sz="0" w:space="0" w:color="auto"/>
          </w:divBdr>
        </w:div>
      </w:divsChild>
    </w:div>
    <w:div w:id="2036926426">
      <w:marLeft w:val="0"/>
      <w:marRight w:val="0"/>
      <w:marTop w:val="100"/>
      <w:marBottom w:val="0"/>
      <w:divBdr>
        <w:top w:val="none" w:sz="0" w:space="0" w:color="auto"/>
        <w:left w:val="none" w:sz="0" w:space="0" w:color="auto"/>
        <w:bottom w:val="none" w:sz="0" w:space="0" w:color="auto"/>
        <w:right w:val="none" w:sz="0" w:space="0" w:color="auto"/>
      </w:divBdr>
    </w:div>
    <w:div w:id="2040007542">
      <w:marLeft w:val="0"/>
      <w:marRight w:val="0"/>
      <w:marTop w:val="0"/>
      <w:marBottom w:val="0"/>
      <w:divBdr>
        <w:top w:val="none" w:sz="0" w:space="0" w:color="auto"/>
        <w:left w:val="none" w:sz="0" w:space="0" w:color="auto"/>
        <w:bottom w:val="none" w:sz="0" w:space="0" w:color="auto"/>
        <w:right w:val="none" w:sz="0" w:space="0" w:color="auto"/>
      </w:divBdr>
      <w:divsChild>
        <w:div w:id="308444101">
          <w:marLeft w:val="0"/>
          <w:marRight w:val="0"/>
          <w:marTop w:val="0"/>
          <w:marBottom w:val="0"/>
          <w:divBdr>
            <w:top w:val="none" w:sz="0" w:space="0" w:color="auto"/>
            <w:left w:val="none" w:sz="0" w:space="0" w:color="auto"/>
            <w:bottom w:val="none" w:sz="0" w:space="0" w:color="auto"/>
            <w:right w:val="none" w:sz="0" w:space="0" w:color="auto"/>
          </w:divBdr>
        </w:div>
        <w:div w:id="1654598395">
          <w:marLeft w:val="0"/>
          <w:marRight w:val="0"/>
          <w:marTop w:val="0"/>
          <w:marBottom w:val="0"/>
          <w:divBdr>
            <w:top w:val="none" w:sz="0" w:space="0" w:color="auto"/>
            <w:left w:val="none" w:sz="0" w:space="0" w:color="auto"/>
            <w:bottom w:val="none" w:sz="0" w:space="0" w:color="auto"/>
            <w:right w:val="none" w:sz="0" w:space="0" w:color="auto"/>
          </w:divBdr>
        </w:div>
      </w:divsChild>
    </w:div>
    <w:div w:id="2040426580">
      <w:marLeft w:val="0"/>
      <w:marRight w:val="0"/>
      <w:marTop w:val="0"/>
      <w:marBottom w:val="0"/>
      <w:divBdr>
        <w:top w:val="none" w:sz="0" w:space="0" w:color="auto"/>
        <w:left w:val="none" w:sz="0" w:space="0" w:color="auto"/>
        <w:bottom w:val="none" w:sz="0" w:space="0" w:color="auto"/>
        <w:right w:val="none" w:sz="0" w:space="0" w:color="auto"/>
      </w:divBdr>
      <w:divsChild>
        <w:div w:id="607274745">
          <w:marLeft w:val="0"/>
          <w:marRight w:val="0"/>
          <w:marTop w:val="0"/>
          <w:marBottom w:val="0"/>
          <w:divBdr>
            <w:top w:val="none" w:sz="0" w:space="0" w:color="auto"/>
            <w:left w:val="none" w:sz="0" w:space="0" w:color="auto"/>
            <w:bottom w:val="none" w:sz="0" w:space="0" w:color="auto"/>
            <w:right w:val="none" w:sz="0" w:space="0" w:color="auto"/>
          </w:divBdr>
        </w:div>
        <w:div w:id="1455321029">
          <w:marLeft w:val="0"/>
          <w:marRight w:val="0"/>
          <w:marTop w:val="0"/>
          <w:marBottom w:val="0"/>
          <w:divBdr>
            <w:top w:val="none" w:sz="0" w:space="0" w:color="auto"/>
            <w:left w:val="none" w:sz="0" w:space="0" w:color="auto"/>
            <w:bottom w:val="none" w:sz="0" w:space="0" w:color="auto"/>
            <w:right w:val="none" w:sz="0" w:space="0" w:color="auto"/>
          </w:divBdr>
        </w:div>
      </w:divsChild>
    </w:div>
    <w:div w:id="2044481880">
      <w:marLeft w:val="0"/>
      <w:marRight w:val="0"/>
      <w:marTop w:val="0"/>
      <w:marBottom w:val="0"/>
      <w:divBdr>
        <w:top w:val="none" w:sz="0" w:space="0" w:color="auto"/>
        <w:left w:val="none" w:sz="0" w:space="0" w:color="auto"/>
        <w:bottom w:val="none" w:sz="0" w:space="0" w:color="auto"/>
        <w:right w:val="none" w:sz="0" w:space="0" w:color="auto"/>
      </w:divBdr>
    </w:div>
    <w:div w:id="2047219005">
      <w:marLeft w:val="0"/>
      <w:marRight w:val="0"/>
      <w:marTop w:val="0"/>
      <w:marBottom w:val="0"/>
      <w:divBdr>
        <w:top w:val="none" w:sz="0" w:space="0" w:color="auto"/>
        <w:left w:val="none" w:sz="0" w:space="0" w:color="auto"/>
        <w:bottom w:val="none" w:sz="0" w:space="0" w:color="auto"/>
        <w:right w:val="none" w:sz="0" w:space="0" w:color="auto"/>
      </w:divBdr>
    </w:div>
    <w:div w:id="2050759470">
      <w:marLeft w:val="0"/>
      <w:marRight w:val="0"/>
      <w:marTop w:val="0"/>
      <w:marBottom w:val="0"/>
      <w:divBdr>
        <w:top w:val="none" w:sz="0" w:space="0" w:color="auto"/>
        <w:left w:val="none" w:sz="0" w:space="0" w:color="auto"/>
        <w:bottom w:val="none" w:sz="0" w:space="0" w:color="auto"/>
        <w:right w:val="none" w:sz="0" w:space="0" w:color="auto"/>
      </w:divBdr>
    </w:div>
    <w:div w:id="2053571170">
      <w:marLeft w:val="0"/>
      <w:marRight w:val="0"/>
      <w:marTop w:val="0"/>
      <w:marBottom w:val="0"/>
      <w:divBdr>
        <w:top w:val="none" w:sz="0" w:space="0" w:color="auto"/>
        <w:left w:val="none" w:sz="0" w:space="0" w:color="auto"/>
        <w:bottom w:val="none" w:sz="0" w:space="0" w:color="auto"/>
        <w:right w:val="none" w:sz="0" w:space="0" w:color="auto"/>
      </w:divBdr>
      <w:divsChild>
        <w:div w:id="750586904">
          <w:marLeft w:val="0"/>
          <w:marRight w:val="0"/>
          <w:marTop w:val="0"/>
          <w:marBottom w:val="0"/>
          <w:divBdr>
            <w:top w:val="none" w:sz="0" w:space="0" w:color="auto"/>
            <w:left w:val="none" w:sz="0" w:space="0" w:color="auto"/>
            <w:bottom w:val="none" w:sz="0" w:space="0" w:color="auto"/>
            <w:right w:val="none" w:sz="0" w:space="0" w:color="auto"/>
          </w:divBdr>
        </w:div>
      </w:divsChild>
    </w:div>
    <w:div w:id="2054034966">
      <w:marLeft w:val="0"/>
      <w:marRight w:val="0"/>
      <w:marTop w:val="0"/>
      <w:marBottom w:val="0"/>
      <w:divBdr>
        <w:top w:val="none" w:sz="0" w:space="0" w:color="auto"/>
        <w:left w:val="none" w:sz="0" w:space="0" w:color="auto"/>
        <w:bottom w:val="none" w:sz="0" w:space="0" w:color="auto"/>
        <w:right w:val="none" w:sz="0" w:space="0" w:color="auto"/>
      </w:divBdr>
    </w:div>
    <w:div w:id="2056201683">
      <w:marLeft w:val="0"/>
      <w:marRight w:val="0"/>
      <w:marTop w:val="100"/>
      <w:marBottom w:val="100"/>
      <w:divBdr>
        <w:top w:val="none" w:sz="0" w:space="0" w:color="auto"/>
        <w:left w:val="none" w:sz="0" w:space="0" w:color="auto"/>
        <w:bottom w:val="none" w:sz="0" w:space="0" w:color="auto"/>
        <w:right w:val="none" w:sz="0" w:space="0" w:color="auto"/>
      </w:divBdr>
    </w:div>
    <w:div w:id="2056348755">
      <w:marLeft w:val="0"/>
      <w:marRight w:val="0"/>
      <w:marTop w:val="0"/>
      <w:marBottom w:val="0"/>
      <w:divBdr>
        <w:top w:val="none" w:sz="0" w:space="0" w:color="auto"/>
        <w:left w:val="none" w:sz="0" w:space="0" w:color="auto"/>
        <w:bottom w:val="none" w:sz="0" w:space="0" w:color="auto"/>
        <w:right w:val="none" w:sz="0" w:space="0" w:color="auto"/>
      </w:divBdr>
      <w:divsChild>
        <w:div w:id="1634673639">
          <w:marLeft w:val="0"/>
          <w:marRight w:val="0"/>
          <w:marTop w:val="0"/>
          <w:marBottom w:val="0"/>
          <w:divBdr>
            <w:top w:val="none" w:sz="0" w:space="0" w:color="auto"/>
            <w:left w:val="none" w:sz="0" w:space="0" w:color="auto"/>
            <w:bottom w:val="none" w:sz="0" w:space="0" w:color="auto"/>
            <w:right w:val="none" w:sz="0" w:space="0" w:color="auto"/>
          </w:divBdr>
        </w:div>
      </w:divsChild>
    </w:div>
    <w:div w:id="2059815992">
      <w:marLeft w:val="0"/>
      <w:marRight w:val="0"/>
      <w:marTop w:val="0"/>
      <w:marBottom w:val="0"/>
      <w:divBdr>
        <w:top w:val="none" w:sz="0" w:space="0" w:color="auto"/>
        <w:left w:val="none" w:sz="0" w:space="0" w:color="auto"/>
        <w:bottom w:val="none" w:sz="0" w:space="0" w:color="auto"/>
        <w:right w:val="none" w:sz="0" w:space="0" w:color="auto"/>
      </w:divBdr>
      <w:divsChild>
        <w:div w:id="614949144">
          <w:marLeft w:val="0"/>
          <w:marRight w:val="0"/>
          <w:marTop w:val="0"/>
          <w:marBottom w:val="0"/>
          <w:divBdr>
            <w:top w:val="none" w:sz="0" w:space="0" w:color="auto"/>
            <w:left w:val="none" w:sz="0" w:space="0" w:color="auto"/>
            <w:bottom w:val="none" w:sz="0" w:space="0" w:color="auto"/>
            <w:right w:val="none" w:sz="0" w:space="0" w:color="auto"/>
          </w:divBdr>
          <w:divsChild>
            <w:div w:id="17933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8476">
      <w:marLeft w:val="0"/>
      <w:marRight w:val="0"/>
      <w:marTop w:val="160"/>
      <w:marBottom w:val="0"/>
      <w:divBdr>
        <w:top w:val="none" w:sz="0" w:space="0" w:color="auto"/>
        <w:left w:val="none" w:sz="0" w:space="0" w:color="auto"/>
        <w:bottom w:val="none" w:sz="0" w:space="0" w:color="auto"/>
        <w:right w:val="none" w:sz="0" w:space="0" w:color="auto"/>
      </w:divBdr>
      <w:divsChild>
        <w:div w:id="673073207">
          <w:marLeft w:val="0"/>
          <w:marRight w:val="0"/>
          <w:marTop w:val="180"/>
          <w:marBottom w:val="0"/>
          <w:divBdr>
            <w:top w:val="none" w:sz="0" w:space="0" w:color="auto"/>
            <w:left w:val="none" w:sz="0" w:space="0" w:color="auto"/>
            <w:bottom w:val="none" w:sz="0" w:space="0" w:color="auto"/>
            <w:right w:val="none" w:sz="0" w:space="0" w:color="auto"/>
          </w:divBdr>
        </w:div>
        <w:div w:id="137259596">
          <w:marLeft w:val="0"/>
          <w:marRight w:val="0"/>
          <w:marTop w:val="180"/>
          <w:marBottom w:val="0"/>
          <w:divBdr>
            <w:top w:val="none" w:sz="0" w:space="0" w:color="auto"/>
            <w:left w:val="none" w:sz="0" w:space="0" w:color="auto"/>
            <w:bottom w:val="none" w:sz="0" w:space="0" w:color="auto"/>
            <w:right w:val="none" w:sz="0" w:space="0" w:color="auto"/>
          </w:divBdr>
        </w:div>
        <w:div w:id="446970236">
          <w:marLeft w:val="0"/>
          <w:marRight w:val="0"/>
          <w:marTop w:val="180"/>
          <w:marBottom w:val="0"/>
          <w:divBdr>
            <w:top w:val="none" w:sz="0" w:space="0" w:color="auto"/>
            <w:left w:val="none" w:sz="0" w:space="0" w:color="auto"/>
            <w:bottom w:val="none" w:sz="0" w:space="0" w:color="auto"/>
            <w:right w:val="none" w:sz="0" w:space="0" w:color="auto"/>
          </w:divBdr>
        </w:div>
        <w:div w:id="1953320888">
          <w:marLeft w:val="0"/>
          <w:marRight w:val="0"/>
          <w:marTop w:val="180"/>
          <w:marBottom w:val="0"/>
          <w:divBdr>
            <w:top w:val="none" w:sz="0" w:space="0" w:color="auto"/>
            <w:left w:val="none" w:sz="0" w:space="0" w:color="auto"/>
            <w:bottom w:val="none" w:sz="0" w:space="0" w:color="auto"/>
            <w:right w:val="none" w:sz="0" w:space="0" w:color="auto"/>
          </w:divBdr>
        </w:div>
        <w:div w:id="1882743079">
          <w:marLeft w:val="0"/>
          <w:marRight w:val="0"/>
          <w:marTop w:val="180"/>
          <w:marBottom w:val="0"/>
          <w:divBdr>
            <w:top w:val="none" w:sz="0" w:space="0" w:color="auto"/>
            <w:left w:val="none" w:sz="0" w:space="0" w:color="auto"/>
            <w:bottom w:val="none" w:sz="0" w:space="0" w:color="auto"/>
            <w:right w:val="none" w:sz="0" w:space="0" w:color="auto"/>
          </w:divBdr>
        </w:div>
        <w:div w:id="998537326">
          <w:marLeft w:val="0"/>
          <w:marRight w:val="0"/>
          <w:marTop w:val="180"/>
          <w:marBottom w:val="0"/>
          <w:divBdr>
            <w:top w:val="none" w:sz="0" w:space="0" w:color="auto"/>
            <w:left w:val="none" w:sz="0" w:space="0" w:color="auto"/>
            <w:bottom w:val="none" w:sz="0" w:space="0" w:color="auto"/>
            <w:right w:val="none" w:sz="0" w:space="0" w:color="auto"/>
          </w:divBdr>
        </w:div>
        <w:div w:id="1307122372">
          <w:marLeft w:val="0"/>
          <w:marRight w:val="0"/>
          <w:marTop w:val="180"/>
          <w:marBottom w:val="0"/>
          <w:divBdr>
            <w:top w:val="none" w:sz="0" w:space="0" w:color="auto"/>
            <w:left w:val="none" w:sz="0" w:space="0" w:color="auto"/>
            <w:bottom w:val="none" w:sz="0" w:space="0" w:color="auto"/>
            <w:right w:val="none" w:sz="0" w:space="0" w:color="auto"/>
          </w:divBdr>
        </w:div>
        <w:div w:id="1801533692">
          <w:marLeft w:val="0"/>
          <w:marRight w:val="0"/>
          <w:marTop w:val="180"/>
          <w:marBottom w:val="0"/>
          <w:divBdr>
            <w:top w:val="none" w:sz="0" w:space="0" w:color="auto"/>
            <w:left w:val="none" w:sz="0" w:space="0" w:color="auto"/>
            <w:bottom w:val="none" w:sz="0" w:space="0" w:color="auto"/>
            <w:right w:val="none" w:sz="0" w:space="0" w:color="auto"/>
          </w:divBdr>
        </w:div>
        <w:div w:id="1041443255">
          <w:marLeft w:val="0"/>
          <w:marRight w:val="0"/>
          <w:marTop w:val="180"/>
          <w:marBottom w:val="0"/>
          <w:divBdr>
            <w:top w:val="none" w:sz="0" w:space="0" w:color="auto"/>
            <w:left w:val="none" w:sz="0" w:space="0" w:color="auto"/>
            <w:bottom w:val="none" w:sz="0" w:space="0" w:color="auto"/>
            <w:right w:val="none" w:sz="0" w:space="0" w:color="auto"/>
          </w:divBdr>
        </w:div>
        <w:div w:id="1762220192">
          <w:marLeft w:val="0"/>
          <w:marRight w:val="0"/>
          <w:marTop w:val="180"/>
          <w:marBottom w:val="0"/>
          <w:divBdr>
            <w:top w:val="none" w:sz="0" w:space="0" w:color="auto"/>
            <w:left w:val="none" w:sz="0" w:space="0" w:color="auto"/>
            <w:bottom w:val="none" w:sz="0" w:space="0" w:color="auto"/>
            <w:right w:val="none" w:sz="0" w:space="0" w:color="auto"/>
          </w:divBdr>
        </w:div>
      </w:divsChild>
    </w:div>
    <w:div w:id="2061778675">
      <w:marLeft w:val="0"/>
      <w:marRight w:val="0"/>
      <w:marTop w:val="100"/>
      <w:marBottom w:val="0"/>
      <w:divBdr>
        <w:top w:val="none" w:sz="0" w:space="0" w:color="auto"/>
        <w:left w:val="none" w:sz="0" w:space="0" w:color="auto"/>
        <w:bottom w:val="none" w:sz="0" w:space="0" w:color="auto"/>
        <w:right w:val="none" w:sz="0" w:space="0" w:color="auto"/>
      </w:divBdr>
    </w:div>
    <w:div w:id="2063021426">
      <w:marLeft w:val="0"/>
      <w:marRight w:val="0"/>
      <w:marTop w:val="0"/>
      <w:marBottom w:val="0"/>
      <w:divBdr>
        <w:top w:val="none" w:sz="0" w:space="0" w:color="auto"/>
        <w:left w:val="none" w:sz="0" w:space="0" w:color="auto"/>
        <w:bottom w:val="none" w:sz="0" w:space="0" w:color="auto"/>
        <w:right w:val="none" w:sz="0" w:space="0" w:color="auto"/>
      </w:divBdr>
      <w:divsChild>
        <w:div w:id="799491084">
          <w:marLeft w:val="0"/>
          <w:marRight w:val="0"/>
          <w:marTop w:val="0"/>
          <w:marBottom w:val="0"/>
          <w:divBdr>
            <w:top w:val="none" w:sz="0" w:space="0" w:color="auto"/>
            <w:left w:val="none" w:sz="0" w:space="0" w:color="auto"/>
            <w:bottom w:val="none" w:sz="0" w:space="0" w:color="auto"/>
            <w:right w:val="none" w:sz="0" w:space="0" w:color="auto"/>
          </w:divBdr>
        </w:div>
        <w:div w:id="468670703">
          <w:marLeft w:val="0"/>
          <w:marRight w:val="0"/>
          <w:marTop w:val="0"/>
          <w:marBottom w:val="0"/>
          <w:divBdr>
            <w:top w:val="none" w:sz="0" w:space="0" w:color="auto"/>
            <w:left w:val="none" w:sz="0" w:space="0" w:color="auto"/>
            <w:bottom w:val="none" w:sz="0" w:space="0" w:color="auto"/>
            <w:right w:val="none" w:sz="0" w:space="0" w:color="auto"/>
          </w:divBdr>
        </w:div>
      </w:divsChild>
    </w:div>
    <w:div w:id="2063869253">
      <w:marLeft w:val="0"/>
      <w:marRight w:val="0"/>
      <w:marTop w:val="120"/>
      <w:marBottom w:val="0"/>
      <w:divBdr>
        <w:top w:val="none" w:sz="0" w:space="0" w:color="auto"/>
        <w:left w:val="none" w:sz="0" w:space="0" w:color="auto"/>
        <w:bottom w:val="none" w:sz="0" w:space="0" w:color="auto"/>
        <w:right w:val="none" w:sz="0" w:space="0" w:color="auto"/>
      </w:divBdr>
    </w:div>
    <w:div w:id="2065255091">
      <w:marLeft w:val="0"/>
      <w:marRight w:val="0"/>
      <w:marTop w:val="0"/>
      <w:marBottom w:val="0"/>
      <w:divBdr>
        <w:top w:val="none" w:sz="0" w:space="0" w:color="auto"/>
        <w:left w:val="none" w:sz="0" w:space="0" w:color="auto"/>
        <w:bottom w:val="none" w:sz="0" w:space="0" w:color="auto"/>
        <w:right w:val="none" w:sz="0" w:space="0" w:color="auto"/>
      </w:divBdr>
    </w:div>
    <w:div w:id="2066369868">
      <w:marLeft w:val="0"/>
      <w:marRight w:val="0"/>
      <w:marTop w:val="0"/>
      <w:marBottom w:val="0"/>
      <w:divBdr>
        <w:top w:val="none" w:sz="0" w:space="0" w:color="auto"/>
        <w:left w:val="none" w:sz="0" w:space="0" w:color="auto"/>
        <w:bottom w:val="none" w:sz="0" w:space="0" w:color="auto"/>
        <w:right w:val="none" w:sz="0" w:space="0" w:color="auto"/>
      </w:divBdr>
    </w:div>
    <w:div w:id="2066483231">
      <w:marLeft w:val="0"/>
      <w:marRight w:val="0"/>
      <w:marTop w:val="0"/>
      <w:marBottom w:val="0"/>
      <w:divBdr>
        <w:top w:val="none" w:sz="0" w:space="0" w:color="auto"/>
        <w:left w:val="none" w:sz="0" w:space="0" w:color="auto"/>
        <w:bottom w:val="none" w:sz="0" w:space="0" w:color="auto"/>
        <w:right w:val="none" w:sz="0" w:space="0" w:color="auto"/>
      </w:divBdr>
      <w:divsChild>
        <w:div w:id="149292172">
          <w:marLeft w:val="0"/>
          <w:marRight w:val="0"/>
          <w:marTop w:val="0"/>
          <w:marBottom w:val="0"/>
          <w:divBdr>
            <w:top w:val="none" w:sz="0" w:space="0" w:color="auto"/>
            <w:left w:val="none" w:sz="0" w:space="0" w:color="auto"/>
            <w:bottom w:val="none" w:sz="0" w:space="0" w:color="auto"/>
            <w:right w:val="none" w:sz="0" w:space="0" w:color="auto"/>
          </w:divBdr>
        </w:div>
      </w:divsChild>
    </w:div>
    <w:div w:id="2067560608">
      <w:marLeft w:val="0"/>
      <w:marRight w:val="0"/>
      <w:marTop w:val="0"/>
      <w:marBottom w:val="0"/>
      <w:divBdr>
        <w:top w:val="none" w:sz="0" w:space="0" w:color="auto"/>
        <w:left w:val="none" w:sz="0" w:space="0" w:color="auto"/>
        <w:bottom w:val="none" w:sz="0" w:space="0" w:color="auto"/>
        <w:right w:val="none" w:sz="0" w:space="0" w:color="auto"/>
      </w:divBdr>
    </w:div>
    <w:div w:id="2069496844">
      <w:marLeft w:val="0"/>
      <w:marRight w:val="0"/>
      <w:marTop w:val="0"/>
      <w:marBottom w:val="60"/>
      <w:divBdr>
        <w:top w:val="none" w:sz="0" w:space="0" w:color="auto"/>
        <w:left w:val="none" w:sz="0" w:space="0" w:color="auto"/>
        <w:bottom w:val="none" w:sz="0" w:space="0" w:color="auto"/>
        <w:right w:val="none" w:sz="0" w:space="0" w:color="auto"/>
      </w:divBdr>
    </w:div>
    <w:div w:id="2075926994">
      <w:marLeft w:val="0"/>
      <w:marRight w:val="0"/>
      <w:marTop w:val="0"/>
      <w:marBottom w:val="0"/>
      <w:divBdr>
        <w:top w:val="none" w:sz="0" w:space="0" w:color="auto"/>
        <w:left w:val="none" w:sz="0" w:space="0" w:color="auto"/>
        <w:bottom w:val="none" w:sz="0" w:space="0" w:color="auto"/>
        <w:right w:val="none" w:sz="0" w:space="0" w:color="auto"/>
      </w:divBdr>
    </w:div>
    <w:div w:id="2076050525">
      <w:marLeft w:val="0"/>
      <w:marRight w:val="0"/>
      <w:marTop w:val="0"/>
      <w:marBottom w:val="0"/>
      <w:divBdr>
        <w:top w:val="none" w:sz="0" w:space="0" w:color="auto"/>
        <w:left w:val="none" w:sz="0" w:space="0" w:color="auto"/>
        <w:bottom w:val="none" w:sz="0" w:space="0" w:color="auto"/>
        <w:right w:val="none" w:sz="0" w:space="0" w:color="auto"/>
      </w:divBdr>
    </w:div>
    <w:div w:id="2077506961">
      <w:marLeft w:val="0"/>
      <w:marRight w:val="0"/>
      <w:marTop w:val="180"/>
      <w:marBottom w:val="0"/>
      <w:divBdr>
        <w:top w:val="none" w:sz="0" w:space="0" w:color="auto"/>
        <w:left w:val="none" w:sz="0" w:space="0" w:color="auto"/>
        <w:bottom w:val="none" w:sz="0" w:space="0" w:color="auto"/>
        <w:right w:val="none" w:sz="0" w:space="0" w:color="auto"/>
      </w:divBdr>
    </w:div>
    <w:div w:id="2082409807">
      <w:marLeft w:val="0"/>
      <w:marRight w:val="0"/>
      <w:marTop w:val="0"/>
      <w:marBottom w:val="0"/>
      <w:divBdr>
        <w:top w:val="none" w:sz="0" w:space="0" w:color="auto"/>
        <w:left w:val="none" w:sz="0" w:space="0" w:color="auto"/>
        <w:bottom w:val="none" w:sz="0" w:space="0" w:color="auto"/>
        <w:right w:val="none" w:sz="0" w:space="0" w:color="auto"/>
      </w:divBdr>
      <w:divsChild>
        <w:div w:id="1734815187">
          <w:marLeft w:val="0"/>
          <w:marRight w:val="0"/>
          <w:marTop w:val="0"/>
          <w:marBottom w:val="0"/>
          <w:divBdr>
            <w:top w:val="none" w:sz="0" w:space="0" w:color="auto"/>
            <w:left w:val="none" w:sz="0" w:space="0" w:color="auto"/>
            <w:bottom w:val="none" w:sz="0" w:space="0" w:color="auto"/>
            <w:right w:val="none" w:sz="0" w:space="0" w:color="auto"/>
          </w:divBdr>
        </w:div>
      </w:divsChild>
    </w:div>
    <w:div w:id="2089881650">
      <w:marLeft w:val="0"/>
      <w:marRight w:val="0"/>
      <w:marTop w:val="0"/>
      <w:marBottom w:val="0"/>
      <w:divBdr>
        <w:top w:val="none" w:sz="0" w:space="0" w:color="auto"/>
        <w:left w:val="none" w:sz="0" w:space="0" w:color="auto"/>
        <w:bottom w:val="none" w:sz="0" w:space="0" w:color="auto"/>
        <w:right w:val="none" w:sz="0" w:space="0" w:color="auto"/>
      </w:divBdr>
      <w:divsChild>
        <w:div w:id="1020929853">
          <w:marLeft w:val="0"/>
          <w:marRight w:val="0"/>
          <w:marTop w:val="0"/>
          <w:marBottom w:val="0"/>
          <w:divBdr>
            <w:top w:val="none" w:sz="0" w:space="0" w:color="auto"/>
            <w:left w:val="none" w:sz="0" w:space="0" w:color="auto"/>
            <w:bottom w:val="none" w:sz="0" w:space="0" w:color="auto"/>
            <w:right w:val="none" w:sz="0" w:space="0" w:color="auto"/>
          </w:divBdr>
        </w:div>
        <w:div w:id="1468086569">
          <w:marLeft w:val="0"/>
          <w:marRight w:val="0"/>
          <w:marTop w:val="0"/>
          <w:marBottom w:val="0"/>
          <w:divBdr>
            <w:top w:val="none" w:sz="0" w:space="0" w:color="auto"/>
            <w:left w:val="none" w:sz="0" w:space="0" w:color="auto"/>
            <w:bottom w:val="none" w:sz="0" w:space="0" w:color="auto"/>
            <w:right w:val="none" w:sz="0" w:space="0" w:color="auto"/>
          </w:divBdr>
        </w:div>
      </w:divsChild>
    </w:div>
    <w:div w:id="2090272887">
      <w:marLeft w:val="0"/>
      <w:marRight w:val="0"/>
      <w:marTop w:val="180"/>
      <w:marBottom w:val="0"/>
      <w:divBdr>
        <w:top w:val="none" w:sz="0" w:space="0" w:color="auto"/>
        <w:left w:val="none" w:sz="0" w:space="0" w:color="auto"/>
        <w:bottom w:val="none" w:sz="0" w:space="0" w:color="auto"/>
        <w:right w:val="none" w:sz="0" w:space="0" w:color="auto"/>
      </w:divBdr>
    </w:div>
    <w:div w:id="2090347367">
      <w:marLeft w:val="0"/>
      <w:marRight w:val="0"/>
      <w:marTop w:val="0"/>
      <w:marBottom w:val="120"/>
      <w:divBdr>
        <w:top w:val="none" w:sz="0" w:space="0" w:color="auto"/>
        <w:left w:val="none" w:sz="0" w:space="0" w:color="auto"/>
        <w:bottom w:val="none" w:sz="0" w:space="0" w:color="auto"/>
        <w:right w:val="none" w:sz="0" w:space="0" w:color="auto"/>
      </w:divBdr>
    </w:div>
    <w:div w:id="2090535073">
      <w:marLeft w:val="0"/>
      <w:marRight w:val="0"/>
      <w:marTop w:val="0"/>
      <w:marBottom w:val="0"/>
      <w:divBdr>
        <w:top w:val="none" w:sz="0" w:space="0" w:color="auto"/>
        <w:left w:val="none" w:sz="0" w:space="0" w:color="auto"/>
        <w:bottom w:val="none" w:sz="0" w:space="0" w:color="auto"/>
        <w:right w:val="none" w:sz="0" w:space="0" w:color="auto"/>
      </w:divBdr>
    </w:div>
    <w:div w:id="2091849551">
      <w:marLeft w:val="0"/>
      <w:marRight w:val="0"/>
      <w:marTop w:val="60"/>
      <w:marBottom w:val="60"/>
      <w:divBdr>
        <w:top w:val="none" w:sz="0" w:space="0" w:color="auto"/>
        <w:left w:val="none" w:sz="0" w:space="0" w:color="auto"/>
        <w:bottom w:val="none" w:sz="0" w:space="0" w:color="auto"/>
        <w:right w:val="none" w:sz="0" w:space="0" w:color="auto"/>
      </w:divBdr>
    </w:div>
    <w:div w:id="2091850822">
      <w:marLeft w:val="0"/>
      <w:marRight w:val="0"/>
      <w:marTop w:val="0"/>
      <w:marBottom w:val="0"/>
      <w:divBdr>
        <w:top w:val="none" w:sz="0" w:space="0" w:color="auto"/>
        <w:left w:val="none" w:sz="0" w:space="0" w:color="auto"/>
        <w:bottom w:val="none" w:sz="0" w:space="0" w:color="auto"/>
        <w:right w:val="none" w:sz="0" w:space="0" w:color="auto"/>
      </w:divBdr>
    </w:div>
    <w:div w:id="2092504505">
      <w:marLeft w:val="0"/>
      <w:marRight w:val="0"/>
      <w:marTop w:val="0"/>
      <w:marBottom w:val="0"/>
      <w:divBdr>
        <w:top w:val="none" w:sz="0" w:space="0" w:color="auto"/>
        <w:left w:val="none" w:sz="0" w:space="0" w:color="auto"/>
        <w:bottom w:val="none" w:sz="0" w:space="0" w:color="auto"/>
        <w:right w:val="none" w:sz="0" w:space="0" w:color="auto"/>
      </w:divBdr>
    </w:div>
    <w:div w:id="2094812324">
      <w:marLeft w:val="0"/>
      <w:marRight w:val="0"/>
      <w:marTop w:val="100"/>
      <w:marBottom w:val="0"/>
      <w:divBdr>
        <w:top w:val="none" w:sz="0" w:space="0" w:color="auto"/>
        <w:left w:val="none" w:sz="0" w:space="0" w:color="auto"/>
        <w:bottom w:val="none" w:sz="0" w:space="0" w:color="auto"/>
        <w:right w:val="none" w:sz="0" w:space="0" w:color="auto"/>
      </w:divBdr>
    </w:div>
    <w:div w:id="2096707323">
      <w:marLeft w:val="0"/>
      <w:marRight w:val="0"/>
      <w:marTop w:val="100"/>
      <w:marBottom w:val="0"/>
      <w:divBdr>
        <w:top w:val="none" w:sz="0" w:space="0" w:color="auto"/>
        <w:left w:val="none" w:sz="0" w:space="0" w:color="auto"/>
        <w:bottom w:val="none" w:sz="0" w:space="0" w:color="auto"/>
        <w:right w:val="none" w:sz="0" w:space="0" w:color="auto"/>
      </w:divBdr>
    </w:div>
    <w:div w:id="2099056512">
      <w:marLeft w:val="0"/>
      <w:marRight w:val="0"/>
      <w:marTop w:val="180"/>
      <w:marBottom w:val="0"/>
      <w:divBdr>
        <w:top w:val="none" w:sz="0" w:space="0" w:color="auto"/>
        <w:left w:val="none" w:sz="0" w:space="0" w:color="auto"/>
        <w:bottom w:val="none" w:sz="0" w:space="0" w:color="auto"/>
        <w:right w:val="none" w:sz="0" w:space="0" w:color="auto"/>
      </w:divBdr>
    </w:div>
    <w:div w:id="2100903967">
      <w:marLeft w:val="0"/>
      <w:marRight w:val="0"/>
      <w:marTop w:val="0"/>
      <w:marBottom w:val="0"/>
      <w:divBdr>
        <w:top w:val="none" w:sz="0" w:space="0" w:color="auto"/>
        <w:left w:val="none" w:sz="0" w:space="0" w:color="auto"/>
        <w:bottom w:val="none" w:sz="0" w:space="0" w:color="auto"/>
        <w:right w:val="none" w:sz="0" w:space="0" w:color="auto"/>
      </w:divBdr>
      <w:divsChild>
        <w:div w:id="1119764347">
          <w:marLeft w:val="0"/>
          <w:marRight w:val="0"/>
          <w:marTop w:val="0"/>
          <w:marBottom w:val="0"/>
          <w:divBdr>
            <w:top w:val="none" w:sz="0" w:space="0" w:color="auto"/>
            <w:left w:val="none" w:sz="0" w:space="0" w:color="auto"/>
            <w:bottom w:val="none" w:sz="0" w:space="0" w:color="auto"/>
            <w:right w:val="none" w:sz="0" w:space="0" w:color="auto"/>
          </w:divBdr>
        </w:div>
        <w:div w:id="1849520116">
          <w:marLeft w:val="0"/>
          <w:marRight w:val="0"/>
          <w:marTop w:val="0"/>
          <w:marBottom w:val="0"/>
          <w:divBdr>
            <w:top w:val="none" w:sz="0" w:space="0" w:color="auto"/>
            <w:left w:val="none" w:sz="0" w:space="0" w:color="auto"/>
            <w:bottom w:val="none" w:sz="0" w:space="0" w:color="auto"/>
            <w:right w:val="none" w:sz="0" w:space="0" w:color="auto"/>
          </w:divBdr>
        </w:div>
      </w:divsChild>
    </w:div>
    <w:div w:id="2101175372">
      <w:marLeft w:val="0"/>
      <w:marRight w:val="0"/>
      <w:marTop w:val="100"/>
      <w:marBottom w:val="0"/>
      <w:divBdr>
        <w:top w:val="none" w:sz="0" w:space="0" w:color="auto"/>
        <w:left w:val="none" w:sz="0" w:space="0" w:color="auto"/>
        <w:bottom w:val="none" w:sz="0" w:space="0" w:color="auto"/>
        <w:right w:val="none" w:sz="0" w:space="0" w:color="auto"/>
      </w:divBdr>
    </w:div>
    <w:div w:id="2109111048">
      <w:marLeft w:val="0"/>
      <w:marRight w:val="0"/>
      <w:marTop w:val="0"/>
      <w:marBottom w:val="0"/>
      <w:divBdr>
        <w:top w:val="none" w:sz="0" w:space="0" w:color="auto"/>
        <w:left w:val="none" w:sz="0" w:space="0" w:color="auto"/>
        <w:bottom w:val="none" w:sz="0" w:space="0" w:color="auto"/>
        <w:right w:val="none" w:sz="0" w:space="0" w:color="auto"/>
      </w:divBdr>
      <w:divsChild>
        <w:div w:id="937219">
          <w:marLeft w:val="0"/>
          <w:marRight w:val="0"/>
          <w:marTop w:val="0"/>
          <w:marBottom w:val="0"/>
          <w:divBdr>
            <w:top w:val="none" w:sz="0" w:space="0" w:color="auto"/>
            <w:left w:val="none" w:sz="0" w:space="0" w:color="auto"/>
            <w:bottom w:val="none" w:sz="0" w:space="0" w:color="auto"/>
            <w:right w:val="none" w:sz="0" w:space="0" w:color="auto"/>
          </w:divBdr>
        </w:div>
      </w:divsChild>
    </w:div>
    <w:div w:id="2113359217">
      <w:marLeft w:val="0"/>
      <w:marRight w:val="0"/>
      <w:marTop w:val="0"/>
      <w:marBottom w:val="0"/>
      <w:divBdr>
        <w:top w:val="none" w:sz="0" w:space="0" w:color="auto"/>
        <w:left w:val="none" w:sz="0" w:space="0" w:color="auto"/>
        <w:bottom w:val="none" w:sz="0" w:space="0" w:color="auto"/>
        <w:right w:val="none" w:sz="0" w:space="0" w:color="auto"/>
      </w:divBdr>
    </w:div>
    <w:div w:id="2114549570">
      <w:marLeft w:val="0"/>
      <w:marRight w:val="0"/>
      <w:marTop w:val="0"/>
      <w:marBottom w:val="0"/>
      <w:divBdr>
        <w:top w:val="none" w:sz="0" w:space="0" w:color="auto"/>
        <w:left w:val="none" w:sz="0" w:space="0" w:color="auto"/>
        <w:bottom w:val="none" w:sz="0" w:space="0" w:color="auto"/>
        <w:right w:val="none" w:sz="0" w:space="0" w:color="auto"/>
      </w:divBdr>
      <w:divsChild>
        <w:div w:id="283851261">
          <w:marLeft w:val="0"/>
          <w:marRight w:val="0"/>
          <w:marTop w:val="0"/>
          <w:marBottom w:val="0"/>
          <w:divBdr>
            <w:top w:val="none" w:sz="0" w:space="0" w:color="auto"/>
            <w:left w:val="none" w:sz="0" w:space="0" w:color="auto"/>
            <w:bottom w:val="none" w:sz="0" w:space="0" w:color="auto"/>
            <w:right w:val="none" w:sz="0" w:space="0" w:color="auto"/>
          </w:divBdr>
        </w:div>
        <w:div w:id="1111901362">
          <w:marLeft w:val="0"/>
          <w:marRight w:val="0"/>
          <w:marTop w:val="0"/>
          <w:marBottom w:val="0"/>
          <w:divBdr>
            <w:top w:val="none" w:sz="0" w:space="0" w:color="auto"/>
            <w:left w:val="none" w:sz="0" w:space="0" w:color="auto"/>
            <w:bottom w:val="none" w:sz="0" w:space="0" w:color="auto"/>
            <w:right w:val="none" w:sz="0" w:space="0" w:color="auto"/>
          </w:divBdr>
        </w:div>
      </w:divsChild>
    </w:div>
    <w:div w:id="2115515025">
      <w:marLeft w:val="0"/>
      <w:marRight w:val="0"/>
      <w:marTop w:val="0"/>
      <w:marBottom w:val="0"/>
      <w:divBdr>
        <w:top w:val="none" w:sz="0" w:space="0" w:color="auto"/>
        <w:left w:val="none" w:sz="0" w:space="0" w:color="auto"/>
        <w:bottom w:val="none" w:sz="0" w:space="0" w:color="auto"/>
        <w:right w:val="none" w:sz="0" w:space="0" w:color="auto"/>
      </w:divBdr>
    </w:div>
    <w:div w:id="2116905087">
      <w:marLeft w:val="0"/>
      <w:marRight w:val="0"/>
      <w:marTop w:val="0"/>
      <w:marBottom w:val="0"/>
      <w:divBdr>
        <w:top w:val="none" w:sz="0" w:space="0" w:color="auto"/>
        <w:left w:val="none" w:sz="0" w:space="0" w:color="auto"/>
        <w:bottom w:val="none" w:sz="0" w:space="0" w:color="auto"/>
        <w:right w:val="none" w:sz="0" w:space="0" w:color="auto"/>
      </w:divBdr>
      <w:divsChild>
        <w:div w:id="361514562">
          <w:marLeft w:val="0"/>
          <w:marRight w:val="0"/>
          <w:marTop w:val="0"/>
          <w:marBottom w:val="0"/>
          <w:divBdr>
            <w:top w:val="none" w:sz="0" w:space="0" w:color="auto"/>
            <w:left w:val="none" w:sz="0" w:space="0" w:color="auto"/>
            <w:bottom w:val="none" w:sz="0" w:space="0" w:color="auto"/>
            <w:right w:val="none" w:sz="0" w:space="0" w:color="auto"/>
          </w:divBdr>
        </w:div>
      </w:divsChild>
    </w:div>
    <w:div w:id="2118325246">
      <w:marLeft w:val="0"/>
      <w:marRight w:val="0"/>
      <w:marTop w:val="100"/>
      <w:marBottom w:val="0"/>
      <w:divBdr>
        <w:top w:val="none" w:sz="0" w:space="0" w:color="auto"/>
        <w:left w:val="none" w:sz="0" w:space="0" w:color="auto"/>
        <w:bottom w:val="none" w:sz="0" w:space="0" w:color="auto"/>
        <w:right w:val="none" w:sz="0" w:space="0" w:color="auto"/>
      </w:divBdr>
    </w:div>
    <w:div w:id="2118913312">
      <w:marLeft w:val="0"/>
      <w:marRight w:val="0"/>
      <w:marTop w:val="0"/>
      <w:marBottom w:val="0"/>
      <w:divBdr>
        <w:top w:val="none" w:sz="0" w:space="0" w:color="auto"/>
        <w:left w:val="none" w:sz="0" w:space="0" w:color="auto"/>
        <w:bottom w:val="none" w:sz="0" w:space="0" w:color="auto"/>
        <w:right w:val="none" w:sz="0" w:space="0" w:color="auto"/>
      </w:divBdr>
    </w:div>
    <w:div w:id="2119451372">
      <w:marLeft w:val="0"/>
      <w:marRight w:val="0"/>
      <w:marTop w:val="0"/>
      <w:marBottom w:val="0"/>
      <w:divBdr>
        <w:top w:val="none" w:sz="0" w:space="0" w:color="auto"/>
        <w:left w:val="none" w:sz="0" w:space="0" w:color="auto"/>
        <w:bottom w:val="none" w:sz="0" w:space="0" w:color="auto"/>
        <w:right w:val="none" w:sz="0" w:space="0" w:color="auto"/>
      </w:divBdr>
      <w:divsChild>
        <w:div w:id="1568805599">
          <w:marLeft w:val="0"/>
          <w:marRight w:val="0"/>
          <w:marTop w:val="0"/>
          <w:marBottom w:val="0"/>
          <w:divBdr>
            <w:top w:val="none" w:sz="0" w:space="0" w:color="auto"/>
            <w:left w:val="none" w:sz="0" w:space="0" w:color="auto"/>
            <w:bottom w:val="none" w:sz="0" w:space="0" w:color="auto"/>
            <w:right w:val="none" w:sz="0" w:space="0" w:color="auto"/>
          </w:divBdr>
        </w:div>
      </w:divsChild>
    </w:div>
    <w:div w:id="2119794687">
      <w:marLeft w:val="0"/>
      <w:marRight w:val="0"/>
      <w:marTop w:val="100"/>
      <w:marBottom w:val="0"/>
      <w:divBdr>
        <w:top w:val="none" w:sz="0" w:space="0" w:color="auto"/>
        <w:left w:val="none" w:sz="0" w:space="0" w:color="auto"/>
        <w:bottom w:val="none" w:sz="0" w:space="0" w:color="auto"/>
        <w:right w:val="none" w:sz="0" w:space="0" w:color="auto"/>
      </w:divBdr>
      <w:divsChild>
        <w:div w:id="1419062748">
          <w:marLeft w:val="0"/>
          <w:marRight w:val="0"/>
          <w:marTop w:val="0"/>
          <w:marBottom w:val="0"/>
          <w:divBdr>
            <w:top w:val="none" w:sz="0" w:space="0" w:color="auto"/>
            <w:left w:val="none" w:sz="0" w:space="0" w:color="auto"/>
            <w:bottom w:val="none" w:sz="0" w:space="0" w:color="auto"/>
            <w:right w:val="none" w:sz="0" w:space="0" w:color="auto"/>
          </w:divBdr>
        </w:div>
        <w:div w:id="1646080075">
          <w:marLeft w:val="0"/>
          <w:marRight w:val="0"/>
          <w:marTop w:val="0"/>
          <w:marBottom w:val="0"/>
          <w:divBdr>
            <w:top w:val="none" w:sz="0" w:space="0" w:color="auto"/>
            <w:left w:val="none" w:sz="0" w:space="0" w:color="auto"/>
            <w:bottom w:val="none" w:sz="0" w:space="0" w:color="auto"/>
            <w:right w:val="none" w:sz="0" w:space="0" w:color="auto"/>
          </w:divBdr>
        </w:div>
        <w:div w:id="1109007849">
          <w:marLeft w:val="0"/>
          <w:marRight w:val="0"/>
          <w:marTop w:val="0"/>
          <w:marBottom w:val="0"/>
          <w:divBdr>
            <w:top w:val="none" w:sz="0" w:space="0" w:color="auto"/>
            <w:left w:val="none" w:sz="0" w:space="0" w:color="auto"/>
            <w:bottom w:val="none" w:sz="0" w:space="0" w:color="auto"/>
            <w:right w:val="none" w:sz="0" w:space="0" w:color="auto"/>
          </w:divBdr>
        </w:div>
        <w:div w:id="2119255729">
          <w:marLeft w:val="0"/>
          <w:marRight w:val="0"/>
          <w:marTop w:val="0"/>
          <w:marBottom w:val="0"/>
          <w:divBdr>
            <w:top w:val="none" w:sz="0" w:space="0" w:color="auto"/>
            <w:left w:val="none" w:sz="0" w:space="0" w:color="auto"/>
            <w:bottom w:val="none" w:sz="0" w:space="0" w:color="auto"/>
            <w:right w:val="none" w:sz="0" w:space="0" w:color="auto"/>
          </w:divBdr>
        </w:div>
        <w:div w:id="4721009">
          <w:marLeft w:val="0"/>
          <w:marRight w:val="0"/>
          <w:marTop w:val="0"/>
          <w:marBottom w:val="0"/>
          <w:divBdr>
            <w:top w:val="none" w:sz="0" w:space="0" w:color="auto"/>
            <w:left w:val="none" w:sz="0" w:space="0" w:color="auto"/>
            <w:bottom w:val="none" w:sz="0" w:space="0" w:color="auto"/>
            <w:right w:val="none" w:sz="0" w:space="0" w:color="auto"/>
          </w:divBdr>
        </w:div>
        <w:div w:id="923337227">
          <w:marLeft w:val="0"/>
          <w:marRight w:val="0"/>
          <w:marTop w:val="0"/>
          <w:marBottom w:val="0"/>
          <w:divBdr>
            <w:top w:val="none" w:sz="0" w:space="0" w:color="auto"/>
            <w:left w:val="none" w:sz="0" w:space="0" w:color="auto"/>
            <w:bottom w:val="none" w:sz="0" w:space="0" w:color="auto"/>
            <w:right w:val="none" w:sz="0" w:space="0" w:color="auto"/>
          </w:divBdr>
        </w:div>
        <w:div w:id="2021737283">
          <w:marLeft w:val="0"/>
          <w:marRight w:val="0"/>
          <w:marTop w:val="0"/>
          <w:marBottom w:val="0"/>
          <w:divBdr>
            <w:top w:val="none" w:sz="0" w:space="0" w:color="auto"/>
            <w:left w:val="none" w:sz="0" w:space="0" w:color="auto"/>
            <w:bottom w:val="none" w:sz="0" w:space="0" w:color="auto"/>
            <w:right w:val="none" w:sz="0" w:space="0" w:color="auto"/>
          </w:divBdr>
        </w:div>
        <w:div w:id="2129159504">
          <w:marLeft w:val="0"/>
          <w:marRight w:val="0"/>
          <w:marTop w:val="0"/>
          <w:marBottom w:val="0"/>
          <w:divBdr>
            <w:top w:val="none" w:sz="0" w:space="0" w:color="auto"/>
            <w:left w:val="none" w:sz="0" w:space="0" w:color="auto"/>
            <w:bottom w:val="none" w:sz="0" w:space="0" w:color="auto"/>
            <w:right w:val="none" w:sz="0" w:space="0" w:color="auto"/>
          </w:divBdr>
        </w:div>
        <w:div w:id="1190143724">
          <w:marLeft w:val="0"/>
          <w:marRight w:val="0"/>
          <w:marTop w:val="0"/>
          <w:marBottom w:val="0"/>
          <w:divBdr>
            <w:top w:val="none" w:sz="0" w:space="0" w:color="auto"/>
            <w:left w:val="none" w:sz="0" w:space="0" w:color="auto"/>
            <w:bottom w:val="none" w:sz="0" w:space="0" w:color="auto"/>
            <w:right w:val="none" w:sz="0" w:space="0" w:color="auto"/>
          </w:divBdr>
        </w:div>
        <w:div w:id="1027869976">
          <w:marLeft w:val="0"/>
          <w:marRight w:val="0"/>
          <w:marTop w:val="0"/>
          <w:marBottom w:val="0"/>
          <w:divBdr>
            <w:top w:val="none" w:sz="0" w:space="0" w:color="auto"/>
            <w:left w:val="none" w:sz="0" w:space="0" w:color="auto"/>
            <w:bottom w:val="none" w:sz="0" w:space="0" w:color="auto"/>
            <w:right w:val="none" w:sz="0" w:space="0" w:color="auto"/>
          </w:divBdr>
        </w:div>
        <w:div w:id="1836610535">
          <w:marLeft w:val="0"/>
          <w:marRight w:val="0"/>
          <w:marTop w:val="0"/>
          <w:marBottom w:val="0"/>
          <w:divBdr>
            <w:top w:val="none" w:sz="0" w:space="0" w:color="auto"/>
            <w:left w:val="none" w:sz="0" w:space="0" w:color="auto"/>
            <w:bottom w:val="none" w:sz="0" w:space="0" w:color="auto"/>
            <w:right w:val="none" w:sz="0" w:space="0" w:color="auto"/>
          </w:divBdr>
        </w:div>
        <w:div w:id="378356017">
          <w:marLeft w:val="0"/>
          <w:marRight w:val="0"/>
          <w:marTop w:val="0"/>
          <w:marBottom w:val="0"/>
          <w:divBdr>
            <w:top w:val="none" w:sz="0" w:space="0" w:color="auto"/>
            <w:left w:val="none" w:sz="0" w:space="0" w:color="auto"/>
            <w:bottom w:val="none" w:sz="0" w:space="0" w:color="auto"/>
            <w:right w:val="none" w:sz="0" w:space="0" w:color="auto"/>
          </w:divBdr>
        </w:div>
        <w:div w:id="152063179">
          <w:marLeft w:val="0"/>
          <w:marRight w:val="0"/>
          <w:marTop w:val="0"/>
          <w:marBottom w:val="0"/>
          <w:divBdr>
            <w:top w:val="none" w:sz="0" w:space="0" w:color="auto"/>
            <w:left w:val="none" w:sz="0" w:space="0" w:color="auto"/>
            <w:bottom w:val="none" w:sz="0" w:space="0" w:color="auto"/>
            <w:right w:val="none" w:sz="0" w:space="0" w:color="auto"/>
          </w:divBdr>
        </w:div>
        <w:div w:id="394551968">
          <w:marLeft w:val="0"/>
          <w:marRight w:val="0"/>
          <w:marTop w:val="0"/>
          <w:marBottom w:val="0"/>
          <w:divBdr>
            <w:top w:val="none" w:sz="0" w:space="0" w:color="auto"/>
            <w:left w:val="none" w:sz="0" w:space="0" w:color="auto"/>
            <w:bottom w:val="none" w:sz="0" w:space="0" w:color="auto"/>
            <w:right w:val="none" w:sz="0" w:space="0" w:color="auto"/>
          </w:divBdr>
        </w:div>
        <w:div w:id="800924294">
          <w:marLeft w:val="0"/>
          <w:marRight w:val="0"/>
          <w:marTop w:val="0"/>
          <w:marBottom w:val="0"/>
          <w:divBdr>
            <w:top w:val="none" w:sz="0" w:space="0" w:color="auto"/>
            <w:left w:val="none" w:sz="0" w:space="0" w:color="auto"/>
            <w:bottom w:val="none" w:sz="0" w:space="0" w:color="auto"/>
            <w:right w:val="none" w:sz="0" w:space="0" w:color="auto"/>
          </w:divBdr>
        </w:div>
        <w:div w:id="2100441262">
          <w:marLeft w:val="0"/>
          <w:marRight w:val="0"/>
          <w:marTop w:val="0"/>
          <w:marBottom w:val="0"/>
          <w:divBdr>
            <w:top w:val="none" w:sz="0" w:space="0" w:color="auto"/>
            <w:left w:val="none" w:sz="0" w:space="0" w:color="auto"/>
            <w:bottom w:val="none" w:sz="0" w:space="0" w:color="auto"/>
            <w:right w:val="none" w:sz="0" w:space="0" w:color="auto"/>
          </w:divBdr>
        </w:div>
        <w:div w:id="582568202">
          <w:marLeft w:val="0"/>
          <w:marRight w:val="0"/>
          <w:marTop w:val="0"/>
          <w:marBottom w:val="0"/>
          <w:divBdr>
            <w:top w:val="none" w:sz="0" w:space="0" w:color="auto"/>
            <w:left w:val="none" w:sz="0" w:space="0" w:color="auto"/>
            <w:bottom w:val="none" w:sz="0" w:space="0" w:color="auto"/>
            <w:right w:val="none" w:sz="0" w:space="0" w:color="auto"/>
          </w:divBdr>
        </w:div>
        <w:div w:id="416559089">
          <w:marLeft w:val="0"/>
          <w:marRight w:val="0"/>
          <w:marTop w:val="0"/>
          <w:marBottom w:val="0"/>
          <w:divBdr>
            <w:top w:val="none" w:sz="0" w:space="0" w:color="auto"/>
            <w:left w:val="none" w:sz="0" w:space="0" w:color="auto"/>
            <w:bottom w:val="none" w:sz="0" w:space="0" w:color="auto"/>
            <w:right w:val="none" w:sz="0" w:space="0" w:color="auto"/>
          </w:divBdr>
        </w:div>
        <w:div w:id="1210729073">
          <w:marLeft w:val="0"/>
          <w:marRight w:val="0"/>
          <w:marTop w:val="0"/>
          <w:marBottom w:val="0"/>
          <w:divBdr>
            <w:top w:val="none" w:sz="0" w:space="0" w:color="auto"/>
            <w:left w:val="none" w:sz="0" w:space="0" w:color="auto"/>
            <w:bottom w:val="none" w:sz="0" w:space="0" w:color="auto"/>
            <w:right w:val="none" w:sz="0" w:space="0" w:color="auto"/>
          </w:divBdr>
        </w:div>
        <w:div w:id="160974887">
          <w:marLeft w:val="0"/>
          <w:marRight w:val="0"/>
          <w:marTop w:val="0"/>
          <w:marBottom w:val="0"/>
          <w:divBdr>
            <w:top w:val="none" w:sz="0" w:space="0" w:color="auto"/>
            <w:left w:val="none" w:sz="0" w:space="0" w:color="auto"/>
            <w:bottom w:val="none" w:sz="0" w:space="0" w:color="auto"/>
            <w:right w:val="none" w:sz="0" w:space="0" w:color="auto"/>
          </w:divBdr>
        </w:div>
        <w:div w:id="542904591">
          <w:marLeft w:val="0"/>
          <w:marRight w:val="0"/>
          <w:marTop w:val="0"/>
          <w:marBottom w:val="0"/>
          <w:divBdr>
            <w:top w:val="none" w:sz="0" w:space="0" w:color="auto"/>
            <w:left w:val="none" w:sz="0" w:space="0" w:color="auto"/>
            <w:bottom w:val="none" w:sz="0" w:space="0" w:color="auto"/>
            <w:right w:val="none" w:sz="0" w:space="0" w:color="auto"/>
          </w:divBdr>
        </w:div>
        <w:div w:id="1717774358">
          <w:marLeft w:val="0"/>
          <w:marRight w:val="0"/>
          <w:marTop w:val="0"/>
          <w:marBottom w:val="0"/>
          <w:divBdr>
            <w:top w:val="none" w:sz="0" w:space="0" w:color="auto"/>
            <w:left w:val="none" w:sz="0" w:space="0" w:color="auto"/>
            <w:bottom w:val="none" w:sz="0" w:space="0" w:color="auto"/>
            <w:right w:val="none" w:sz="0" w:space="0" w:color="auto"/>
          </w:divBdr>
        </w:div>
        <w:div w:id="2041398675">
          <w:marLeft w:val="0"/>
          <w:marRight w:val="0"/>
          <w:marTop w:val="0"/>
          <w:marBottom w:val="0"/>
          <w:divBdr>
            <w:top w:val="none" w:sz="0" w:space="0" w:color="auto"/>
            <w:left w:val="none" w:sz="0" w:space="0" w:color="auto"/>
            <w:bottom w:val="none" w:sz="0" w:space="0" w:color="auto"/>
            <w:right w:val="none" w:sz="0" w:space="0" w:color="auto"/>
          </w:divBdr>
        </w:div>
      </w:divsChild>
    </w:div>
    <w:div w:id="2124306804">
      <w:marLeft w:val="0"/>
      <w:marRight w:val="0"/>
      <w:marTop w:val="0"/>
      <w:marBottom w:val="0"/>
      <w:divBdr>
        <w:top w:val="none" w:sz="0" w:space="0" w:color="auto"/>
        <w:left w:val="none" w:sz="0" w:space="0" w:color="auto"/>
        <w:bottom w:val="none" w:sz="0" w:space="0" w:color="auto"/>
        <w:right w:val="none" w:sz="0" w:space="0" w:color="auto"/>
      </w:divBdr>
    </w:div>
    <w:div w:id="2125924434">
      <w:marLeft w:val="0"/>
      <w:marRight w:val="0"/>
      <w:marTop w:val="0"/>
      <w:marBottom w:val="0"/>
      <w:divBdr>
        <w:top w:val="none" w:sz="0" w:space="0" w:color="auto"/>
        <w:left w:val="none" w:sz="0" w:space="0" w:color="auto"/>
        <w:bottom w:val="none" w:sz="0" w:space="0" w:color="auto"/>
        <w:right w:val="none" w:sz="0" w:space="0" w:color="auto"/>
      </w:divBdr>
      <w:divsChild>
        <w:div w:id="1036661667">
          <w:marLeft w:val="0"/>
          <w:marRight w:val="0"/>
          <w:marTop w:val="0"/>
          <w:marBottom w:val="0"/>
          <w:divBdr>
            <w:top w:val="none" w:sz="0" w:space="0" w:color="auto"/>
            <w:left w:val="none" w:sz="0" w:space="0" w:color="auto"/>
            <w:bottom w:val="none" w:sz="0" w:space="0" w:color="auto"/>
            <w:right w:val="none" w:sz="0" w:space="0" w:color="auto"/>
          </w:divBdr>
        </w:div>
        <w:div w:id="12198027">
          <w:marLeft w:val="0"/>
          <w:marRight w:val="0"/>
          <w:marTop w:val="0"/>
          <w:marBottom w:val="0"/>
          <w:divBdr>
            <w:top w:val="none" w:sz="0" w:space="0" w:color="auto"/>
            <w:left w:val="none" w:sz="0" w:space="0" w:color="auto"/>
            <w:bottom w:val="none" w:sz="0" w:space="0" w:color="auto"/>
            <w:right w:val="none" w:sz="0" w:space="0" w:color="auto"/>
          </w:divBdr>
        </w:div>
      </w:divsChild>
    </w:div>
    <w:div w:id="2126659510">
      <w:marLeft w:val="0"/>
      <w:marRight w:val="0"/>
      <w:marTop w:val="0"/>
      <w:marBottom w:val="0"/>
      <w:divBdr>
        <w:top w:val="none" w:sz="0" w:space="0" w:color="auto"/>
        <w:left w:val="none" w:sz="0" w:space="0" w:color="auto"/>
        <w:bottom w:val="none" w:sz="0" w:space="0" w:color="auto"/>
        <w:right w:val="none" w:sz="0" w:space="0" w:color="auto"/>
      </w:divBdr>
    </w:div>
    <w:div w:id="2127461940">
      <w:marLeft w:val="0"/>
      <w:marRight w:val="0"/>
      <w:marTop w:val="120"/>
      <w:marBottom w:val="120"/>
      <w:divBdr>
        <w:top w:val="none" w:sz="0" w:space="0" w:color="auto"/>
        <w:left w:val="none" w:sz="0" w:space="0" w:color="auto"/>
        <w:bottom w:val="none" w:sz="0" w:space="0" w:color="auto"/>
        <w:right w:val="none" w:sz="0" w:space="0" w:color="auto"/>
      </w:divBdr>
    </w:div>
    <w:div w:id="2129740062">
      <w:marLeft w:val="0"/>
      <w:marRight w:val="0"/>
      <w:marTop w:val="0"/>
      <w:marBottom w:val="0"/>
      <w:divBdr>
        <w:top w:val="none" w:sz="0" w:space="0" w:color="auto"/>
        <w:left w:val="none" w:sz="0" w:space="0" w:color="auto"/>
        <w:bottom w:val="none" w:sz="0" w:space="0" w:color="auto"/>
        <w:right w:val="none" w:sz="0" w:space="0" w:color="auto"/>
      </w:divBdr>
      <w:divsChild>
        <w:div w:id="1509559273">
          <w:marLeft w:val="0"/>
          <w:marRight w:val="0"/>
          <w:marTop w:val="0"/>
          <w:marBottom w:val="0"/>
          <w:divBdr>
            <w:top w:val="none" w:sz="0" w:space="0" w:color="auto"/>
            <w:left w:val="none" w:sz="0" w:space="0" w:color="auto"/>
            <w:bottom w:val="none" w:sz="0" w:space="0" w:color="auto"/>
            <w:right w:val="none" w:sz="0" w:space="0" w:color="auto"/>
          </w:divBdr>
        </w:div>
      </w:divsChild>
    </w:div>
    <w:div w:id="2131702540">
      <w:marLeft w:val="0"/>
      <w:marRight w:val="0"/>
      <w:marTop w:val="0"/>
      <w:marBottom w:val="0"/>
      <w:divBdr>
        <w:top w:val="none" w:sz="0" w:space="0" w:color="auto"/>
        <w:left w:val="none" w:sz="0" w:space="0" w:color="auto"/>
        <w:bottom w:val="none" w:sz="0" w:space="0" w:color="auto"/>
        <w:right w:val="none" w:sz="0" w:space="0" w:color="auto"/>
      </w:divBdr>
    </w:div>
    <w:div w:id="2132553740">
      <w:marLeft w:val="0"/>
      <w:marRight w:val="0"/>
      <w:marTop w:val="0"/>
      <w:marBottom w:val="0"/>
      <w:divBdr>
        <w:top w:val="none" w:sz="0" w:space="0" w:color="auto"/>
        <w:left w:val="none" w:sz="0" w:space="0" w:color="auto"/>
        <w:bottom w:val="none" w:sz="0" w:space="0" w:color="auto"/>
        <w:right w:val="none" w:sz="0" w:space="0" w:color="auto"/>
      </w:divBdr>
    </w:div>
    <w:div w:id="2132823772">
      <w:marLeft w:val="0"/>
      <w:marRight w:val="0"/>
      <w:marTop w:val="0"/>
      <w:marBottom w:val="0"/>
      <w:divBdr>
        <w:top w:val="none" w:sz="0" w:space="0" w:color="auto"/>
        <w:left w:val="none" w:sz="0" w:space="0" w:color="auto"/>
        <w:bottom w:val="none" w:sz="0" w:space="0" w:color="auto"/>
        <w:right w:val="none" w:sz="0" w:space="0" w:color="auto"/>
      </w:divBdr>
      <w:divsChild>
        <w:div w:id="421877965">
          <w:marLeft w:val="0"/>
          <w:marRight w:val="0"/>
          <w:marTop w:val="0"/>
          <w:marBottom w:val="0"/>
          <w:divBdr>
            <w:top w:val="none" w:sz="0" w:space="0" w:color="auto"/>
            <w:left w:val="none" w:sz="0" w:space="0" w:color="auto"/>
            <w:bottom w:val="none" w:sz="0" w:space="0" w:color="auto"/>
            <w:right w:val="none" w:sz="0" w:space="0" w:color="auto"/>
          </w:divBdr>
        </w:div>
        <w:div w:id="1689407236">
          <w:marLeft w:val="0"/>
          <w:marRight w:val="0"/>
          <w:marTop w:val="0"/>
          <w:marBottom w:val="0"/>
          <w:divBdr>
            <w:top w:val="none" w:sz="0" w:space="0" w:color="auto"/>
            <w:left w:val="none" w:sz="0" w:space="0" w:color="auto"/>
            <w:bottom w:val="none" w:sz="0" w:space="0" w:color="auto"/>
            <w:right w:val="none" w:sz="0" w:space="0" w:color="auto"/>
          </w:divBdr>
        </w:div>
      </w:divsChild>
    </w:div>
    <w:div w:id="2137672999">
      <w:marLeft w:val="0"/>
      <w:marRight w:val="0"/>
      <w:marTop w:val="100"/>
      <w:marBottom w:val="0"/>
      <w:divBdr>
        <w:top w:val="none" w:sz="0" w:space="0" w:color="auto"/>
        <w:left w:val="none" w:sz="0" w:space="0" w:color="auto"/>
        <w:bottom w:val="none" w:sz="0" w:space="0" w:color="auto"/>
        <w:right w:val="none" w:sz="0" w:space="0" w:color="auto"/>
      </w:divBdr>
    </w:div>
    <w:div w:id="2140147389">
      <w:marLeft w:val="0"/>
      <w:marRight w:val="0"/>
      <w:marTop w:val="180"/>
      <w:marBottom w:val="0"/>
      <w:divBdr>
        <w:top w:val="none" w:sz="0" w:space="0" w:color="auto"/>
        <w:left w:val="none" w:sz="0" w:space="0" w:color="auto"/>
        <w:bottom w:val="none" w:sz="0" w:space="0" w:color="auto"/>
        <w:right w:val="none" w:sz="0" w:space="0" w:color="auto"/>
      </w:divBdr>
    </w:div>
    <w:div w:id="214585317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70866/000119312505154950/dex101.htm" TargetMode="External"/><Relationship Id="rId21" Type="http://schemas.openxmlformats.org/officeDocument/2006/relationships/hyperlink" Target="http://www.sec.gov/Archives/edgar/data/70866/000119312511118390/dex101.htm" TargetMode="External"/><Relationship Id="rId42" Type="http://schemas.openxmlformats.org/officeDocument/2006/relationships/hyperlink" Target="http://www.sec.gov/Archives/edgar/data/70866/000007086615000046/q2201510-qexhibit103direct.htm" TargetMode="External"/><Relationship Id="rId47" Type="http://schemas.openxmlformats.org/officeDocument/2006/relationships/hyperlink" Target="http://www.sec.gov/Archives/edgar/data/70866/000119312521198709/d168982dex101.htm" TargetMode="External"/><Relationship Id="rId63" Type="http://schemas.openxmlformats.org/officeDocument/2006/relationships/hyperlink" Target="http://www.sec.gov/Archives/edgar/data/70866/000007086620000020/exhibit104formof2020se.htm" TargetMode="External"/><Relationship Id="rId68" Type="http://schemas.openxmlformats.org/officeDocument/2006/relationships/hyperlink" Target="http://www.sec.gov/Archives/edgar/data/70866/000119312521246200/d218733dex101.htm" TargetMode="External"/><Relationship Id="rId84" Type="http://schemas.openxmlformats.org/officeDocument/2006/relationships/hyperlink" Target="http://www.sec.gov/Archives/edgar/data/70866/000119312521292276/d227200dex101.htm" TargetMode="External"/><Relationship Id="rId89" Type="http://schemas.openxmlformats.org/officeDocument/2006/relationships/hyperlink" Target="exhibit231consentofindepen.htm" TargetMode="External"/><Relationship Id="rId16" Type="http://schemas.openxmlformats.org/officeDocument/2006/relationships/hyperlink" Target="http://www.sec.gov/Archives/edgar/data/70866/000119312520225743/d19966dex43.htm" TargetMode="External"/><Relationship Id="rId11" Type="http://schemas.openxmlformats.org/officeDocument/2006/relationships/hyperlink" Target="exhibit421ncrsupplementali.htm" TargetMode="External"/><Relationship Id="rId32" Type="http://schemas.openxmlformats.org/officeDocument/2006/relationships/hyperlink" Target="http://www.sec.gov/Archives/edgar/data/70866/000007086615000046/q2201510-qexhibit101aandre.htm" TargetMode="External"/><Relationship Id="rId37" Type="http://schemas.openxmlformats.org/officeDocument/2006/relationships/hyperlink" Target="http://www.sec.gov/Archives/edgar/data/70866/000007086615000009/exhibit104212014directorrs.htm" TargetMode="External"/><Relationship Id="rId53" Type="http://schemas.openxmlformats.org/officeDocument/2006/relationships/hyperlink" Target="http://www.sec.gov/Archives/edgar/data/70866/000119312517087387/d294010ddef14a.htm" TargetMode="External"/><Relationship Id="rId58" Type="http://schemas.openxmlformats.org/officeDocument/2006/relationships/hyperlink" Target="https://www.sec.gov/Archives/edgar/data/70866/000007086619000013/exhibit1012019optionaw.htm" TargetMode="External"/><Relationship Id="rId74" Type="http://schemas.openxmlformats.org/officeDocument/2006/relationships/hyperlink" Target="http://www.sec.gov/Archives/edgar/data/70866/000007086618000024/exhibit104employmentagreem.htm" TargetMode="External"/><Relationship Id="rId79" Type="http://schemas.openxmlformats.org/officeDocument/2006/relationships/hyperlink" Target="http://www.sec.gov/Archives/edgar/data/70866/000007086620000032/exhibit104oliver.htm" TargetMode="External"/><Relationship Id="rId5" Type="http://schemas.openxmlformats.org/officeDocument/2006/relationships/image" Target="file:///E:\projects\LLMs\new_data_collection\data_new\htm\NCR%20VOYIX%20Corp\ncr-20211231_g2.jpg" TargetMode="External"/><Relationship Id="rId90" Type="http://schemas.openxmlformats.org/officeDocument/2006/relationships/hyperlink" Target="exhibit311sec302ceocert-12.htm" TargetMode="External"/><Relationship Id="rId22" Type="http://schemas.openxmlformats.org/officeDocument/2006/relationships/hyperlink" Target="http://www.sec.gov/Archives/edgar/data/70866/000007086611000008/formof2011stockoptionagree.htm" TargetMode="External"/><Relationship Id="rId27" Type="http://schemas.openxmlformats.org/officeDocument/2006/relationships/hyperlink" Target="http://www.sec.gov/Archives/edgar/data/70866/000119312506154428/dex104.htm" TargetMode="External"/><Relationship Id="rId43" Type="http://schemas.openxmlformats.org/officeDocument/2006/relationships/hyperlink" Target="http://www.sec.gov/Archives/edgar/data/70866/000007086616000111/a10-qexhibit102.htm" TargetMode="External"/><Relationship Id="rId48" Type="http://schemas.openxmlformats.org/officeDocument/2006/relationships/hyperlink" Target="http://www.sec.gov/Archives/edgar/data/70866/000119312521198709/d168982dex102.htm" TargetMode="External"/><Relationship Id="rId64" Type="http://schemas.openxmlformats.org/officeDocument/2006/relationships/hyperlink" Target="http://www.sec.gov/Archives/edgar/data/70866/000007086620000020/exhibit105formof2020ke.htm" TargetMode="External"/><Relationship Id="rId69" Type="http://schemas.openxmlformats.org/officeDocument/2006/relationships/hyperlink" Target="http://www.sec.gov/Archives/edgar/data/70866/000119312520071042/d825867ddef14a.htm" TargetMode="External"/><Relationship Id="rId8" Type="http://schemas.openxmlformats.org/officeDocument/2006/relationships/hyperlink" Target="http://www.sec.gov/Archives/edgar/data/70866/000007086619000019/exhibit31articlesofame.htm" TargetMode="External"/><Relationship Id="rId51" Type="http://schemas.openxmlformats.org/officeDocument/2006/relationships/hyperlink" Target="http://www.sec.gov/Archives/edgar/data/70866/000007086616000111/a10-qexhibit101.htm" TargetMode="External"/><Relationship Id="rId72" Type="http://schemas.openxmlformats.org/officeDocument/2006/relationships/hyperlink" Target="http://www.sec.gov/Archives/edgar/data/70866/000007086618000024/exhibit101mastermanufactur.htm" TargetMode="External"/><Relationship Id="rId80" Type="http://schemas.openxmlformats.org/officeDocument/2006/relationships/hyperlink" Target="http://www.sec.gov/Archives/edgar/data/70866/000119312520193392/d74206dex101.htm" TargetMode="External"/><Relationship Id="rId85" Type="http://schemas.openxmlformats.org/officeDocument/2006/relationships/hyperlink" Target="http://www.sec.gov/Archives/edgar/data/70866/000119312521292276/d227200dex102.htm"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sec.gov/Archives/edgar/data/70866/000119312519226159/d794949dex43.htm" TargetMode="External"/><Relationship Id="rId17" Type="http://schemas.openxmlformats.org/officeDocument/2006/relationships/hyperlink" Target="exhibit451ncrsupplementali.htm" TargetMode="External"/><Relationship Id="rId25" Type="http://schemas.openxmlformats.org/officeDocument/2006/relationships/hyperlink" Target="http://www.sec.gov/Archives/edgar/data/70866/000007086618000010/exhibit10112secondamendmen.htm" TargetMode="External"/><Relationship Id="rId33" Type="http://schemas.openxmlformats.org/officeDocument/2006/relationships/hyperlink" Target="http://www.sec.gov/Archives/edgar/data/70866/000007086618000010/exhibit10211firstamendment.htm" TargetMode="External"/><Relationship Id="rId38" Type="http://schemas.openxmlformats.org/officeDocument/2006/relationships/hyperlink" Target="http://www.sec.gov/Archives/edgar/data/70866/000007086615000009/exhibit104212014directorrs.htm" TargetMode="External"/><Relationship Id="rId46" Type="http://schemas.openxmlformats.org/officeDocument/2006/relationships/hyperlink" Target="http://www.sec.gov/Archives/edgar/data/70866/000119312516500314/d127170ddef14a.htm" TargetMode="External"/><Relationship Id="rId59" Type="http://schemas.openxmlformats.org/officeDocument/2006/relationships/hyperlink" Target="http://www.sec.gov/Archives/edgar/data/70866/000007086619000013/exhibit1032019performa.htm" TargetMode="External"/><Relationship Id="rId67" Type="http://schemas.openxmlformats.org/officeDocument/2006/relationships/hyperlink" Target="http://www.sec.gov/Archives/edgar/data/70866/000007086621000011/exhibit1013192020performan.htm" TargetMode="External"/><Relationship Id="rId20" Type="http://schemas.openxmlformats.org/officeDocument/2006/relationships/hyperlink" Target="exhibit47descriptionofncrc.htm" TargetMode="External"/><Relationship Id="rId41" Type="http://schemas.openxmlformats.org/officeDocument/2006/relationships/hyperlink" Target="http://www.sec.gov/Archives/edgar/data/70866/000007086615000046/q2201510-qexhibit103direct.htm" TargetMode="External"/><Relationship Id="rId54" Type="http://schemas.openxmlformats.org/officeDocument/2006/relationships/hyperlink" Target="http://www.sec.gov/Archives/edgar/data/70866/000007086617000044/exhibit101-directorgrantst.htm" TargetMode="External"/><Relationship Id="rId62" Type="http://schemas.openxmlformats.org/officeDocument/2006/relationships/hyperlink" Target="http://www.sec.gov/Archives/edgar/data/70866/000007086620000020/exhibit103formof2020se.htm" TargetMode="External"/><Relationship Id="rId70" Type="http://schemas.openxmlformats.org/officeDocument/2006/relationships/hyperlink" Target="http://www.sec.gov/Archives/edgar/data/70866/000007086621000018/exhibit101formofsefp1.htm" TargetMode="External"/><Relationship Id="rId75" Type="http://schemas.openxmlformats.org/officeDocument/2006/relationships/hyperlink" Target="http://www.sec.gov/Archives/edgar/data/70866/000007086618000024/exhibit105employmentagreem.htm" TargetMode="External"/><Relationship Id="rId83" Type="http://schemas.openxmlformats.org/officeDocument/2006/relationships/hyperlink" Target="http://www.sec.gov/Archives/edgar/data/70866/000007086621000018/exhibit103letteragreementab.htm" TargetMode="External"/><Relationship Id="rId88" Type="http://schemas.openxmlformats.org/officeDocument/2006/relationships/hyperlink" Target="exhibit21_dec312021final.htm" TargetMode="External"/><Relationship Id="rId91" Type="http://schemas.openxmlformats.org/officeDocument/2006/relationships/hyperlink" Target="exhibit312sec302cfocert-12.htm" TargetMode="External"/><Relationship Id="rId1" Type="http://schemas.openxmlformats.org/officeDocument/2006/relationships/styles" Target="styles.xml"/><Relationship Id="rId6" Type="http://schemas.openxmlformats.org/officeDocument/2006/relationships/hyperlink" Target="http://www.sec.gov/Archives/edgar/data/70866/000119312518304303/d629477dex21.htm" TargetMode="External"/><Relationship Id="rId15" Type="http://schemas.openxmlformats.org/officeDocument/2006/relationships/hyperlink" Target="exhibit441ncrsupplementali.htm" TargetMode="External"/><Relationship Id="rId23" Type="http://schemas.openxmlformats.org/officeDocument/2006/relationships/hyperlink" Target="http://www.sec.gov/Archives/edgar/data/70866/000119312509037725/dex10242.htm" TargetMode="External"/><Relationship Id="rId28" Type="http://schemas.openxmlformats.org/officeDocument/2006/relationships/hyperlink" Target="http://www.sec.gov/Archives/edgar/data/70866/000119312509037725/dex10302.htm" TargetMode="External"/><Relationship Id="rId36" Type="http://schemas.openxmlformats.org/officeDocument/2006/relationships/hyperlink" Target="http://www.sec.gov/Archives/edgar/data/70866/000007086615000009/exhibit1042ncrdirectorcomp.htm" TargetMode="External"/><Relationship Id="rId49" Type="http://schemas.openxmlformats.org/officeDocument/2006/relationships/hyperlink" Target="http://www.sec.gov/Archives/edgar/data/70866/000119312516529490/d174695dex102.htm" TargetMode="External"/><Relationship Id="rId57" Type="http://schemas.openxmlformats.org/officeDocument/2006/relationships/hyperlink" Target="http://www.sec.gov/Archives/edgar/data/70866/000007086619000019/exhibit101formof2019di.htm" TargetMode="External"/><Relationship Id="rId10" Type="http://schemas.openxmlformats.org/officeDocument/2006/relationships/hyperlink" Target="http://www.sec.gov/Archives/edgar/data/70866/000119312519226159/d794949dex41.htm" TargetMode="External"/><Relationship Id="rId31" Type="http://schemas.openxmlformats.org/officeDocument/2006/relationships/hyperlink" Target="http://www.sec.gov/Archives/edgar/data/70866/000007086613000076/a101agreementbetweenncrand.htm" TargetMode="External"/><Relationship Id="rId44" Type="http://schemas.openxmlformats.org/officeDocument/2006/relationships/hyperlink" Target="http://www.sec.gov/Archives/edgar/data/70866/000007086616000111/a10-qexhibit102.htm" TargetMode="External"/><Relationship Id="rId52" Type="http://schemas.openxmlformats.org/officeDocument/2006/relationships/hyperlink" Target="http://www.sec.gov/Archives/edgar/data/70866/000119312517087387/d294010ddef14a.htm" TargetMode="External"/><Relationship Id="rId60" Type="http://schemas.openxmlformats.org/officeDocument/2006/relationships/hyperlink" Target="http://www.sec.gov/Archives/edgar/data/70866/000007086620000020/exhibit101formof2020pr.htm" TargetMode="External"/><Relationship Id="rId65" Type="http://schemas.openxmlformats.org/officeDocument/2006/relationships/hyperlink" Target="http://www.sec.gov/Archives/edgar/data/70866/000007086620000020/exhibit106formof2020ti.htm" TargetMode="External"/><Relationship Id="rId73" Type="http://schemas.openxmlformats.org/officeDocument/2006/relationships/hyperlink" Target="http://www.sec.gov/Archives/edgar/data/70866/000007086618000024/exhibit102mhsausi-ncrxreda.htm" TargetMode="External"/><Relationship Id="rId78" Type="http://schemas.openxmlformats.org/officeDocument/2006/relationships/hyperlink" Target="http://www.sec.gov/Archives/edgar/data/70866/000007086618000033/exhibit103employmentagreem.htm" TargetMode="External"/><Relationship Id="rId81" Type="http://schemas.openxmlformats.org/officeDocument/2006/relationships/hyperlink" Target="http://www.sec.gov/Archives/edgar/data/70866/000007086621000011/exhibit1030ncrdeferredcomp.htm" TargetMode="External"/><Relationship Id="rId86" Type="http://schemas.openxmlformats.org/officeDocument/2006/relationships/hyperlink" Target="http://www.sec.gov/Archives/edgar/data/70866/000119312521292276/d227200dex103.htm" TargetMode="External"/><Relationship Id="rId94" Type="http://schemas.openxmlformats.org/officeDocument/2006/relationships/theme" Target="theme/theme1.xml"/><Relationship Id="rId4" Type="http://schemas.openxmlformats.org/officeDocument/2006/relationships/image" Target="file:///E:\projects\LLMs\new_data_collection\data_new\htm\NCR%20VOYIX%20Corp\ncr-20211231_g1.jpg" TargetMode="External"/><Relationship Id="rId9" Type="http://schemas.openxmlformats.org/officeDocument/2006/relationships/hyperlink" Target="http://www.sec.gov/Archives/edgar/data/70866/000119312521225811/d182351dex31.htm" TargetMode="External"/><Relationship Id="rId13" Type="http://schemas.openxmlformats.org/officeDocument/2006/relationships/hyperlink" Target="exhibit431ncrsupplementali.htm" TargetMode="External"/><Relationship Id="rId18" Type="http://schemas.openxmlformats.org/officeDocument/2006/relationships/hyperlink" Target="http://www.sec.gov/Archives/edgar/data/70866/000119312521107843/d333252dex41.htm" TargetMode="External"/><Relationship Id="rId39" Type="http://schemas.openxmlformats.org/officeDocument/2006/relationships/hyperlink" Target="http://www.sec.gov/Archives/edgar/data/70866/000007086615000009/exhibit104212014directorrs.htm" TargetMode="External"/><Relationship Id="rId34" Type="http://schemas.openxmlformats.org/officeDocument/2006/relationships/hyperlink" Target="http://www.sec.gov/Archives/edgar/data/70866/000007086618000010/exhibit10211firstamendment.htm" TargetMode="External"/><Relationship Id="rId50" Type="http://schemas.openxmlformats.org/officeDocument/2006/relationships/hyperlink" Target="http://www.sec.gov/Archives/edgar/data/70866/000007086621000031/exhibit105supplement1tothe.htm" TargetMode="External"/><Relationship Id="rId55" Type="http://schemas.openxmlformats.org/officeDocument/2006/relationships/hyperlink" Target="http://www.sec.gov/Archives/edgar/data/70866/000007086618000024/exhibit103formof2018direct.htm" TargetMode="External"/><Relationship Id="rId76" Type="http://schemas.openxmlformats.org/officeDocument/2006/relationships/hyperlink" Target="http://www.sec.gov/Archives/edgar/data/70866/000007086618000024/exhibit106letteragreement-.htm" TargetMode="External"/><Relationship Id="rId7" Type="http://schemas.openxmlformats.org/officeDocument/2006/relationships/hyperlink" Target="http://www.sec.gov/Archives/edgar/data/70866/000119312521015541/d911099dex21.htm" TargetMode="External"/><Relationship Id="rId71" Type="http://schemas.openxmlformats.org/officeDocument/2006/relationships/hyperlink" Target="http://www.sec.gov/Archives/edgar/data/70866/000007086617000058/exhibit101directorcompensa.htm" TargetMode="External"/><Relationship Id="rId92" Type="http://schemas.openxmlformats.org/officeDocument/2006/relationships/hyperlink" Target="exhibit32sec906ceoandcfoce.htm" TargetMode="External"/><Relationship Id="rId2" Type="http://schemas.openxmlformats.org/officeDocument/2006/relationships/settings" Target="settings.xml"/><Relationship Id="rId29" Type="http://schemas.openxmlformats.org/officeDocument/2006/relationships/hyperlink" Target="http://www.sec.gov/Archives/edgar/data/70866/000007086615000034/q1201510-qexhibit105nutile.htm" TargetMode="External"/><Relationship Id="rId24" Type="http://schemas.openxmlformats.org/officeDocument/2006/relationships/hyperlink" Target="http://www.sec.gov/Archives/edgar/data/70866/000007086611000016/amendmenttoseveranceplan.htm" TargetMode="External"/><Relationship Id="rId40" Type="http://schemas.openxmlformats.org/officeDocument/2006/relationships/hyperlink" Target="http://www.sec.gov/Archives/edgar/data/70866/000007086615000046/q2201510-qexhibit103direct.htm" TargetMode="External"/><Relationship Id="rId45" Type="http://schemas.openxmlformats.org/officeDocument/2006/relationships/hyperlink" Target="http://www.sec.gov/Archives/edgar/data/70866/000007086616000111/a10-qexhibit102.htm" TargetMode="External"/><Relationship Id="rId66" Type="http://schemas.openxmlformats.org/officeDocument/2006/relationships/hyperlink" Target="http://www.sec.gov/Archives/edgar/data/70866/000007086620000032/exhibit1012020director.htm" TargetMode="External"/><Relationship Id="rId87" Type="http://schemas.openxmlformats.org/officeDocument/2006/relationships/hyperlink" Target="http://www.sec.gov/Archives/edgar/data/70866/000119312521292276/d227200dex104.htm" TargetMode="External"/><Relationship Id="rId61" Type="http://schemas.openxmlformats.org/officeDocument/2006/relationships/hyperlink" Target="http://www.sec.gov/Archives/edgar/data/70866/000007086620000020/exhibit102formof2020pr.htm" TargetMode="External"/><Relationship Id="rId82" Type="http://schemas.openxmlformats.org/officeDocument/2006/relationships/hyperlink" Target="http://www.sec.gov/Archives/edgar/data/70866/000007086621000018/exhibit102letteragreementdc.htm" TargetMode="External"/><Relationship Id="rId19" Type="http://schemas.openxmlformats.org/officeDocument/2006/relationships/hyperlink" Target="exhibit461ncrsupplementali.htm" TargetMode="External"/><Relationship Id="rId14" Type="http://schemas.openxmlformats.org/officeDocument/2006/relationships/hyperlink" Target="http://www.sec.gov/Archives/edgar/data/70866/000119312520225743/d19966dex41.htm" TargetMode="External"/><Relationship Id="rId30" Type="http://schemas.openxmlformats.org/officeDocument/2006/relationships/hyperlink" Target="http://www.sec.gov/Archives/edgar/data/70866/000119312513100325/d472391ddef14a.htm" TargetMode="External"/><Relationship Id="rId35" Type="http://schemas.openxmlformats.org/officeDocument/2006/relationships/hyperlink" Target="http://www.sec.gov/Archives/edgar/data/70866/000007086618000010/exhibit10211firstamendment.htm" TargetMode="External"/><Relationship Id="rId56" Type="http://schemas.openxmlformats.org/officeDocument/2006/relationships/hyperlink" Target="http://www.sec.gov/Archives/edgar/data/70866/000007086618000018/exhibit101.htm" TargetMode="External"/><Relationship Id="rId77" Type="http://schemas.openxmlformats.org/officeDocument/2006/relationships/hyperlink" Target="http://www.sec.gov/Archives/edgar/data/70866/000007086618000033/exhibit101employmentagreem.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96655</Words>
  <Characters>550937</Characters>
  <Application>Microsoft Office Word</Application>
  <DocSecurity>0</DocSecurity>
  <Lines>4591</Lines>
  <Paragraphs>1292</Paragraphs>
  <ScaleCrop>false</ScaleCrop>
  <Company/>
  <LinksUpToDate>false</LinksUpToDate>
  <CharactersWithSpaces>646300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ncr-20211231</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